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86875">
      <w:pPr>
        <w:rPr>
          <w:rFonts w:hint="eastAsia" w:ascii="仿宋_GB2312" w:hAnsi="仿宋_GB2312" w:eastAsia="仿宋_GB2312" w:cs="仿宋_GB2312"/>
          <w:sz w:val="36"/>
          <w:szCs w:val="36"/>
        </w:rPr>
      </w:pPr>
    </w:p>
    <w:p w14:paraId="2DC38A76">
      <w:pPr>
        <w:keepNext w:val="0"/>
        <w:keepLines w:val="0"/>
        <w:pageBreakBefore w:val="0"/>
        <w:widowControl w:val="0"/>
        <w:kinsoku/>
        <w:wordWrap/>
        <w:overflowPunct w:val="0"/>
        <w:topLinePunct w:val="0"/>
        <w:autoSpaceDE/>
        <w:autoSpaceDN/>
        <w:bidi w:val="0"/>
        <w:textAlignment w:val="auto"/>
        <w:rPr>
          <w:rFonts w:ascii="仿宋_GB2312" w:hAnsi="仿宋_GB2312" w:eastAsia="仿宋_GB2312" w:cs="仿宋_GB2312"/>
          <w:sz w:val="36"/>
          <w:szCs w:val="36"/>
        </w:rPr>
      </w:pPr>
    </w:p>
    <w:p w14:paraId="7AD7A6F5">
      <w:pPr>
        <w:keepNext w:val="0"/>
        <w:keepLines w:val="0"/>
        <w:pageBreakBefore w:val="0"/>
        <w:widowControl w:val="0"/>
        <w:kinsoku/>
        <w:wordWrap/>
        <w:overflowPunct w:val="0"/>
        <w:topLinePunct w:val="0"/>
        <w:autoSpaceDE/>
        <w:autoSpaceDN/>
        <w:bidi w:val="0"/>
        <w:textAlignment w:val="auto"/>
        <w:rPr>
          <w:rFonts w:hint="eastAsia" w:ascii="仿宋_GB2312" w:hAnsi="仿宋_GB2312" w:eastAsia="仿宋_GB2312" w:cs="仿宋_GB2312"/>
          <w:sz w:val="36"/>
          <w:szCs w:val="36"/>
        </w:rPr>
      </w:pPr>
    </w:p>
    <w:p w14:paraId="7216A536">
      <w:pPr>
        <w:keepNext w:val="0"/>
        <w:keepLines w:val="0"/>
        <w:pageBreakBefore w:val="0"/>
        <w:widowControl w:val="0"/>
        <w:kinsoku/>
        <w:wordWrap/>
        <w:overflowPunct w:val="0"/>
        <w:topLinePunct w:val="0"/>
        <w:autoSpaceDE/>
        <w:autoSpaceDN/>
        <w:bidi w:val="0"/>
        <w:adjustRightInd w:val="0"/>
        <w:snapToGrid w:val="0"/>
        <w:jc w:val="center"/>
        <w:textAlignment w:val="auto"/>
        <w:outlineLvl w:val="0"/>
        <w:rPr>
          <w:rFonts w:hint="eastAsia" w:ascii="宋体" w:hAnsi="宋体" w:eastAsia="宋体" w:cs="宋体"/>
          <w:bCs/>
          <w:sz w:val="52"/>
          <w:szCs w:val="52"/>
        </w:rPr>
      </w:pPr>
      <w:r>
        <w:rPr>
          <w:rFonts w:hint="eastAsia" w:ascii="宋体" w:hAnsi="宋体" w:eastAsia="宋体" w:cs="宋体"/>
          <w:bCs/>
          <w:sz w:val="52"/>
          <w:szCs w:val="52"/>
        </w:rPr>
        <w:t>建设项目</w:t>
      </w:r>
      <w:r>
        <w:rPr>
          <w:rFonts w:hint="eastAsia" w:ascii="宋体" w:hAnsi="宋体" w:cs="宋体"/>
          <w:bCs/>
          <w:sz w:val="52"/>
          <w:szCs w:val="52"/>
          <w:lang w:val="en-US" w:eastAsia="zh-CN"/>
        </w:rPr>
        <w:t>生态</w:t>
      </w:r>
      <w:r>
        <w:rPr>
          <w:rFonts w:hint="eastAsia" w:ascii="宋体" w:hAnsi="宋体" w:eastAsia="宋体" w:cs="宋体"/>
          <w:bCs/>
          <w:sz w:val="52"/>
          <w:szCs w:val="52"/>
        </w:rPr>
        <w:t>环境影响报告表</w:t>
      </w:r>
    </w:p>
    <w:p w14:paraId="7ED8DE5D">
      <w:pPr>
        <w:keepNext w:val="0"/>
        <w:keepLines w:val="0"/>
        <w:pageBreakBefore w:val="0"/>
        <w:widowControl w:val="0"/>
        <w:kinsoku/>
        <w:wordWrap/>
        <w:overflowPunct w:val="0"/>
        <w:topLinePunct w:val="0"/>
        <w:autoSpaceDE/>
        <w:autoSpaceDN/>
        <w:bidi w:val="0"/>
        <w:adjustRightInd w:val="0"/>
        <w:snapToGrid w:val="0"/>
        <w:spacing w:before="192" w:beforeLines="80"/>
        <w:jc w:val="center"/>
        <w:textAlignment w:val="auto"/>
        <w:rPr>
          <w:rFonts w:hint="eastAsia" w:ascii="楷体_GB2312" w:eastAsia="楷体_GB2312"/>
          <w:bCs/>
          <w:sz w:val="48"/>
          <w:szCs w:val="48"/>
        </w:rPr>
      </w:pPr>
      <w:r>
        <w:rPr>
          <w:rFonts w:hint="eastAsia" w:ascii="楷体_GB2312" w:eastAsia="楷体_GB2312"/>
          <w:bCs/>
          <w:sz w:val="48"/>
          <w:szCs w:val="48"/>
        </w:rPr>
        <w:t>（污染影响类）</w:t>
      </w:r>
    </w:p>
    <w:p w14:paraId="30A293F8">
      <w:pPr>
        <w:keepNext w:val="0"/>
        <w:keepLines w:val="0"/>
        <w:pageBreakBefore w:val="0"/>
        <w:widowControl w:val="0"/>
        <w:kinsoku/>
        <w:wordWrap/>
        <w:overflowPunct w:val="0"/>
        <w:topLinePunct w:val="0"/>
        <w:autoSpaceDE/>
        <w:autoSpaceDN/>
        <w:bidi w:val="0"/>
        <w:adjustRightInd w:val="0"/>
        <w:snapToGrid w:val="0"/>
        <w:spacing w:line="288" w:lineRule="auto"/>
        <w:jc w:val="center"/>
        <w:textAlignment w:val="auto"/>
        <w:outlineLvl w:val="0"/>
        <w:rPr>
          <w:rFonts w:ascii="华文仿宋" w:hAnsi="华文仿宋" w:eastAsia="华文仿宋" w:cs="华文仿宋"/>
          <w:color w:val="000000"/>
          <w:kern w:val="44"/>
          <w:sz w:val="44"/>
          <w:szCs w:val="44"/>
        </w:rPr>
      </w:pPr>
    </w:p>
    <w:p w14:paraId="0AC9F237">
      <w:pPr>
        <w:keepNext w:val="0"/>
        <w:keepLines w:val="0"/>
        <w:pageBreakBefore w:val="0"/>
        <w:widowControl w:val="0"/>
        <w:kinsoku/>
        <w:wordWrap/>
        <w:overflowPunct w:val="0"/>
        <w:topLinePunct w:val="0"/>
        <w:autoSpaceDE/>
        <w:autoSpaceDN/>
        <w:bidi w:val="0"/>
        <w:jc w:val="center"/>
        <w:textAlignment w:val="auto"/>
        <w:rPr>
          <w:rFonts w:eastAsia="仿宋"/>
          <w:sz w:val="52"/>
          <w:szCs w:val="52"/>
        </w:rPr>
      </w:pPr>
    </w:p>
    <w:p w14:paraId="58BC79DF">
      <w:pPr>
        <w:keepNext w:val="0"/>
        <w:keepLines w:val="0"/>
        <w:pageBreakBefore w:val="0"/>
        <w:widowControl w:val="0"/>
        <w:kinsoku/>
        <w:wordWrap/>
        <w:overflowPunct w:val="0"/>
        <w:topLinePunct w:val="0"/>
        <w:autoSpaceDE/>
        <w:autoSpaceDN/>
        <w:bidi w:val="0"/>
        <w:ind w:firstLine="1040"/>
        <w:textAlignment w:val="auto"/>
        <w:rPr>
          <w:rFonts w:eastAsia="仿宋"/>
          <w:sz w:val="44"/>
          <w:szCs w:val="44"/>
        </w:rPr>
      </w:pPr>
    </w:p>
    <w:p w14:paraId="332FFD35">
      <w:pPr>
        <w:keepNext w:val="0"/>
        <w:keepLines w:val="0"/>
        <w:pageBreakBefore w:val="0"/>
        <w:widowControl w:val="0"/>
        <w:kinsoku/>
        <w:wordWrap/>
        <w:overflowPunct w:val="0"/>
        <w:topLinePunct w:val="0"/>
        <w:autoSpaceDE/>
        <w:autoSpaceDN/>
        <w:bidi w:val="0"/>
        <w:ind w:firstLine="1040"/>
        <w:textAlignment w:val="auto"/>
        <w:rPr>
          <w:rFonts w:eastAsia="仿宋"/>
          <w:sz w:val="44"/>
          <w:szCs w:val="44"/>
        </w:rPr>
      </w:pPr>
    </w:p>
    <w:p w14:paraId="165536CF">
      <w:pPr>
        <w:keepNext w:val="0"/>
        <w:keepLines w:val="0"/>
        <w:pageBreakBefore w:val="0"/>
        <w:widowControl w:val="0"/>
        <w:kinsoku/>
        <w:wordWrap/>
        <w:overflowPunct w:val="0"/>
        <w:topLinePunct w:val="0"/>
        <w:autoSpaceDE/>
        <w:autoSpaceDN/>
        <w:bidi w:val="0"/>
        <w:ind w:firstLine="1040"/>
        <w:textAlignment w:val="auto"/>
        <w:rPr>
          <w:rFonts w:hint="eastAsia" w:eastAsia="仿宋"/>
          <w:sz w:val="44"/>
          <w:szCs w:val="44"/>
          <w:lang w:eastAsia="zh-CN"/>
        </w:rPr>
      </w:pPr>
    </w:p>
    <w:p w14:paraId="29342A7C">
      <w:pPr>
        <w:keepNext w:val="0"/>
        <w:keepLines w:val="0"/>
        <w:pageBreakBefore w:val="0"/>
        <w:widowControl w:val="0"/>
        <w:kinsoku/>
        <w:wordWrap/>
        <w:overflowPunct w:val="0"/>
        <w:topLinePunct w:val="0"/>
        <w:autoSpaceDE/>
        <w:autoSpaceDN/>
        <w:bidi w:val="0"/>
        <w:ind w:firstLine="1040"/>
        <w:textAlignment w:val="auto"/>
        <w:rPr>
          <w:rFonts w:eastAsia="仿宋"/>
          <w:sz w:val="44"/>
          <w:szCs w:val="44"/>
        </w:rPr>
      </w:pPr>
    </w:p>
    <w:p w14:paraId="1AD30139">
      <w:pPr>
        <w:keepNext w:val="0"/>
        <w:keepLines w:val="0"/>
        <w:pageBreakBefore w:val="0"/>
        <w:widowControl w:val="0"/>
        <w:kinsoku/>
        <w:wordWrap/>
        <w:overflowPunct w:val="0"/>
        <w:topLinePunct w:val="0"/>
        <w:autoSpaceDE/>
        <w:autoSpaceDN/>
        <w:bidi w:val="0"/>
        <w:adjustRightInd w:val="0"/>
        <w:snapToGrid w:val="0"/>
        <w:spacing w:line="288" w:lineRule="auto"/>
        <w:ind w:firstLine="560" w:firstLineChars="200"/>
        <w:jc w:val="left"/>
        <w:textAlignment w:val="auto"/>
        <w:rPr>
          <w:rFonts w:hint="eastAsia" w:ascii="仿宋_GB2312" w:eastAsia="仿宋_GB2312"/>
          <w:sz w:val="28"/>
          <w:szCs w:val="28"/>
          <w:u w:val="single"/>
          <w:lang w:eastAsia="zh-CN"/>
        </w:rPr>
      </w:pPr>
      <w:r>
        <w:rPr>
          <w:rFonts w:hint="eastAsia" w:ascii="仿宋_GB2312" w:eastAsia="仿宋_GB2312"/>
          <w:sz w:val="28"/>
          <w:szCs w:val="28"/>
        </w:rPr>
        <w:t>项目名称：</w:t>
      </w:r>
      <w:r>
        <w:rPr>
          <w:rFonts w:hint="eastAsia" w:ascii="仿宋_GB2312" w:eastAsia="仿宋_GB2312"/>
          <w:sz w:val="28"/>
          <w:szCs w:val="28"/>
          <w:u w:val="single"/>
          <w:lang w:eastAsia="zh-CN"/>
        </w:rPr>
        <w:t>新疆冠盈农业科技有限公司年产1.2万吨棉花打包膜项目</w:t>
      </w:r>
    </w:p>
    <w:p w14:paraId="1CB3E963">
      <w:pPr>
        <w:keepNext w:val="0"/>
        <w:keepLines w:val="0"/>
        <w:pageBreakBefore w:val="0"/>
        <w:widowControl w:val="0"/>
        <w:kinsoku/>
        <w:wordWrap/>
        <w:overflowPunct w:val="0"/>
        <w:topLinePunct w:val="0"/>
        <w:autoSpaceDE/>
        <w:autoSpaceDN/>
        <w:bidi w:val="0"/>
        <w:adjustRightInd w:val="0"/>
        <w:snapToGrid w:val="0"/>
        <w:spacing w:line="288" w:lineRule="auto"/>
        <w:ind w:firstLine="560" w:firstLineChars="200"/>
        <w:jc w:val="left"/>
        <w:textAlignment w:val="auto"/>
        <w:rPr>
          <w:rFonts w:hint="eastAsia" w:ascii="仿宋_GB2312" w:eastAsia="仿宋_GB2312"/>
          <w:sz w:val="28"/>
          <w:szCs w:val="28"/>
          <w:u w:val="single"/>
          <w:lang w:eastAsia="zh-CN"/>
        </w:rPr>
      </w:pPr>
      <w:r>
        <w:rPr>
          <w:rFonts w:hint="eastAsia" w:ascii="仿宋_GB2312" w:eastAsia="仿宋_GB2312"/>
          <w:sz w:val="28"/>
          <w:szCs w:val="28"/>
        </w:rPr>
        <w:t>建设单位（盖章）：</w:t>
      </w:r>
      <w:r>
        <w:rPr>
          <w:rFonts w:hint="eastAsia" w:ascii="仿宋_GB2312" w:eastAsia="仿宋_GB2312"/>
          <w:sz w:val="28"/>
          <w:szCs w:val="28"/>
          <w:u w:val="single"/>
          <w:lang w:eastAsia="zh-CN"/>
        </w:rPr>
        <w:t>新疆冠盈农业科技有限公司</w:t>
      </w:r>
    </w:p>
    <w:p w14:paraId="7CF87B38">
      <w:pPr>
        <w:keepNext w:val="0"/>
        <w:keepLines w:val="0"/>
        <w:pageBreakBefore w:val="0"/>
        <w:widowControl w:val="0"/>
        <w:kinsoku/>
        <w:wordWrap/>
        <w:overflowPunct w:val="0"/>
        <w:topLinePunct w:val="0"/>
        <w:autoSpaceDE/>
        <w:autoSpaceDN/>
        <w:bidi w:val="0"/>
        <w:adjustRightInd w:val="0"/>
        <w:snapToGrid w:val="0"/>
        <w:spacing w:line="288" w:lineRule="auto"/>
        <w:ind w:firstLine="560" w:firstLineChars="200"/>
        <w:jc w:val="left"/>
        <w:textAlignment w:val="auto"/>
        <w:rPr>
          <w:rFonts w:hint="default" w:ascii="仿宋_GB2312" w:eastAsia="仿宋_GB2312"/>
          <w:sz w:val="28"/>
          <w:szCs w:val="28"/>
          <w:u w:val="single"/>
          <w:lang w:val="en-US" w:eastAsia="zh-CN"/>
        </w:rPr>
      </w:pPr>
      <w:r>
        <w:rPr>
          <w:rFonts w:hint="eastAsia" w:ascii="仿宋_GB2312" w:eastAsia="仿宋_GB2312"/>
          <w:sz w:val="28"/>
          <w:szCs w:val="28"/>
        </w:rPr>
        <w:t>编制日期：</w:t>
      </w:r>
      <w:r>
        <w:rPr>
          <w:rFonts w:hint="eastAsia" w:ascii="仿宋_GB2312" w:eastAsia="仿宋_GB2312"/>
          <w:sz w:val="28"/>
          <w:szCs w:val="28"/>
          <w:u w:val="single"/>
        </w:rPr>
        <w:t xml:space="preserve">   </w:t>
      </w:r>
      <w:r>
        <w:rPr>
          <w:rFonts w:ascii="仿宋_GB2312" w:eastAsia="仿宋_GB2312"/>
          <w:sz w:val="28"/>
          <w:szCs w:val="28"/>
          <w:u w:val="single"/>
        </w:rPr>
        <w:t xml:space="preserve"> </w:t>
      </w:r>
      <w:r>
        <w:rPr>
          <w:rFonts w:hint="eastAsia" w:ascii="仿宋_GB2312" w:eastAsia="仿宋_GB2312"/>
          <w:sz w:val="28"/>
          <w:szCs w:val="28"/>
          <w:u w:val="single"/>
        </w:rPr>
        <w:t>20</w:t>
      </w:r>
      <w:r>
        <w:rPr>
          <w:rFonts w:hint="eastAsia" w:ascii="仿宋_GB2312" w:eastAsia="仿宋_GB2312"/>
          <w:sz w:val="28"/>
          <w:szCs w:val="28"/>
          <w:u w:val="single"/>
          <w:lang w:val="en-US" w:eastAsia="zh-CN"/>
        </w:rPr>
        <w:t>26</w:t>
      </w:r>
      <w:r>
        <w:rPr>
          <w:rFonts w:hint="eastAsia" w:ascii="仿宋_GB2312" w:eastAsia="仿宋_GB2312"/>
          <w:sz w:val="28"/>
          <w:szCs w:val="28"/>
          <w:u w:val="single"/>
        </w:rPr>
        <w:t>年</w:t>
      </w:r>
      <w:r>
        <w:rPr>
          <w:rFonts w:hint="eastAsia" w:ascii="仿宋_GB2312" w:eastAsia="仿宋_GB2312"/>
          <w:sz w:val="28"/>
          <w:szCs w:val="28"/>
          <w:u w:val="single"/>
          <w:lang w:val="en-US" w:eastAsia="zh-CN"/>
        </w:rPr>
        <w:t>9</w:t>
      </w:r>
      <w:r>
        <w:rPr>
          <w:rFonts w:hint="eastAsia" w:ascii="仿宋_GB2312" w:eastAsia="仿宋_GB2312"/>
          <w:sz w:val="28"/>
          <w:szCs w:val="28"/>
          <w:u w:val="single"/>
        </w:rPr>
        <w:t>月</w:t>
      </w:r>
      <w:r>
        <w:rPr>
          <w:rFonts w:hint="eastAsia" w:ascii="仿宋_GB2312" w:eastAsia="仿宋_GB2312"/>
          <w:sz w:val="28"/>
          <w:szCs w:val="28"/>
          <w:u w:val="single"/>
          <w:lang w:val="en-US" w:eastAsia="zh-CN"/>
        </w:rPr>
        <w:t xml:space="preserve">                         </w:t>
      </w:r>
    </w:p>
    <w:p w14:paraId="72012B3A">
      <w:pPr>
        <w:keepNext w:val="0"/>
        <w:keepLines w:val="0"/>
        <w:pageBreakBefore w:val="0"/>
        <w:widowControl w:val="0"/>
        <w:kinsoku/>
        <w:wordWrap/>
        <w:overflowPunct w:val="0"/>
        <w:topLinePunct w:val="0"/>
        <w:autoSpaceDE/>
        <w:autoSpaceDN/>
        <w:bidi w:val="0"/>
        <w:adjustRightInd w:val="0"/>
        <w:snapToGrid w:val="0"/>
        <w:spacing w:line="288" w:lineRule="auto"/>
        <w:ind w:firstLine="1040"/>
        <w:jc w:val="center"/>
        <w:textAlignment w:val="auto"/>
        <w:rPr>
          <w:rFonts w:ascii="仿宋_GB2312" w:eastAsia="仿宋_GB2312"/>
          <w:sz w:val="36"/>
          <w:szCs w:val="36"/>
          <w:u w:val="single"/>
        </w:rPr>
      </w:pPr>
    </w:p>
    <w:p w14:paraId="428B1C3A">
      <w:pPr>
        <w:keepNext w:val="0"/>
        <w:keepLines w:val="0"/>
        <w:pageBreakBefore w:val="0"/>
        <w:widowControl w:val="0"/>
        <w:kinsoku/>
        <w:wordWrap/>
        <w:overflowPunct w:val="0"/>
        <w:topLinePunct w:val="0"/>
        <w:autoSpaceDE/>
        <w:autoSpaceDN/>
        <w:bidi w:val="0"/>
        <w:adjustRightInd w:val="0"/>
        <w:snapToGrid w:val="0"/>
        <w:spacing w:line="288" w:lineRule="auto"/>
        <w:ind w:firstLine="1040"/>
        <w:textAlignment w:val="auto"/>
        <w:rPr>
          <w:rFonts w:ascii="仿宋_GB2312" w:eastAsia="仿宋_GB2312"/>
          <w:sz w:val="36"/>
          <w:szCs w:val="36"/>
        </w:rPr>
      </w:pPr>
    </w:p>
    <w:p w14:paraId="5F5FABDB">
      <w:pPr>
        <w:keepNext w:val="0"/>
        <w:keepLines w:val="0"/>
        <w:pageBreakBefore w:val="0"/>
        <w:widowControl w:val="0"/>
        <w:kinsoku/>
        <w:wordWrap/>
        <w:overflowPunct w:val="0"/>
        <w:topLinePunct w:val="0"/>
        <w:autoSpaceDE/>
        <w:autoSpaceDN/>
        <w:bidi w:val="0"/>
        <w:adjustRightInd w:val="0"/>
        <w:snapToGrid w:val="0"/>
        <w:spacing w:line="288" w:lineRule="auto"/>
        <w:ind w:firstLine="1040"/>
        <w:textAlignment w:val="auto"/>
        <w:rPr>
          <w:rFonts w:ascii="仿宋_GB2312" w:eastAsia="仿宋_GB2312"/>
          <w:sz w:val="36"/>
          <w:szCs w:val="36"/>
        </w:rPr>
      </w:pPr>
    </w:p>
    <w:p w14:paraId="3507BB4F">
      <w:pPr>
        <w:keepNext w:val="0"/>
        <w:keepLines w:val="0"/>
        <w:pageBreakBefore w:val="0"/>
        <w:widowControl w:val="0"/>
        <w:kinsoku/>
        <w:wordWrap/>
        <w:overflowPunct w:val="0"/>
        <w:topLinePunct w:val="0"/>
        <w:autoSpaceDE/>
        <w:autoSpaceDN/>
        <w:bidi w:val="0"/>
        <w:adjustRightInd w:val="0"/>
        <w:snapToGrid w:val="0"/>
        <w:spacing w:line="288" w:lineRule="auto"/>
        <w:ind w:firstLine="1040"/>
        <w:textAlignment w:val="auto"/>
        <w:rPr>
          <w:rFonts w:hint="eastAsia" w:ascii="仿宋_GB2312" w:eastAsia="仿宋_GB2312"/>
          <w:sz w:val="36"/>
          <w:szCs w:val="36"/>
        </w:rPr>
      </w:pPr>
    </w:p>
    <w:p w14:paraId="07C46FC4">
      <w:pPr>
        <w:keepNext w:val="0"/>
        <w:keepLines w:val="0"/>
        <w:pageBreakBefore w:val="0"/>
        <w:widowControl w:val="0"/>
        <w:kinsoku/>
        <w:wordWrap/>
        <w:overflowPunct w:val="0"/>
        <w:topLinePunct w:val="0"/>
        <w:autoSpaceDE/>
        <w:autoSpaceDN/>
        <w:bidi w:val="0"/>
        <w:adjustRightInd w:val="0"/>
        <w:snapToGrid w:val="0"/>
        <w:spacing w:line="288" w:lineRule="auto"/>
        <w:ind w:firstLine="1040"/>
        <w:textAlignment w:val="auto"/>
        <w:rPr>
          <w:rFonts w:hint="eastAsia" w:ascii="仿宋_GB2312" w:eastAsia="仿宋_GB2312"/>
          <w:sz w:val="36"/>
          <w:szCs w:val="36"/>
        </w:rPr>
      </w:pPr>
    </w:p>
    <w:p w14:paraId="1F83C431">
      <w:pPr>
        <w:keepNext w:val="0"/>
        <w:keepLines w:val="0"/>
        <w:pageBreakBefore w:val="0"/>
        <w:widowControl w:val="0"/>
        <w:kinsoku/>
        <w:wordWrap/>
        <w:overflowPunct w:val="0"/>
        <w:topLinePunct w:val="0"/>
        <w:autoSpaceDE/>
        <w:autoSpaceDN/>
        <w:bidi w:val="0"/>
        <w:adjustRightInd w:val="0"/>
        <w:snapToGrid w:val="0"/>
        <w:spacing w:line="288" w:lineRule="auto"/>
        <w:jc w:val="center"/>
        <w:textAlignment w:val="auto"/>
        <w:rPr>
          <w:rFonts w:hint="eastAsia" w:ascii="楷体_GB2312" w:eastAsia="楷体_GB2312"/>
          <w:sz w:val="36"/>
          <w:szCs w:val="36"/>
        </w:rPr>
      </w:pPr>
      <w:r>
        <w:rPr>
          <w:rFonts w:hint="eastAsia" w:ascii="楷体_GB2312" w:eastAsia="楷体_GB2312"/>
          <w:sz w:val="36"/>
          <w:szCs w:val="36"/>
        </w:rPr>
        <w:t>中华人民共和国生态环境部制</w:t>
      </w:r>
    </w:p>
    <w:p w14:paraId="0D639776">
      <w:p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46428C6B">
      <w:pPr>
        <w:pStyle w:val="21"/>
        <w:jc w:val="center"/>
        <w:outlineLvl w:val="0"/>
        <w:rPr>
          <w:rFonts w:hint="eastAsia" w:ascii="黑体" w:hAnsi="黑体" w:eastAsia="黑体"/>
          <w:snapToGrid w:val="0"/>
          <w:sz w:val="30"/>
          <w:szCs w:val="30"/>
        </w:rPr>
      </w:pPr>
      <w:r>
        <w:rPr>
          <w:rFonts w:hint="eastAsia" w:ascii="黑体" w:hAnsi="黑体" w:eastAsia="黑体"/>
          <w:snapToGrid w:val="0"/>
          <w:sz w:val="30"/>
          <w:szCs w:val="30"/>
        </w:rPr>
        <w:t>一、建设项目基本情况</w:t>
      </w:r>
    </w:p>
    <w:tbl>
      <w:tblPr>
        <w:tblStyle w:val="24"/>
        <w:tblW w:w="886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79"/>
        <w:gridCol w:w="1634"/>
        <w:gridCol w:w="2209"/>
        <w:gridCol w:w="2639"/>
      </w:tblGrid>
      <w:tr w14:paraId="03EC53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79" w:type="dxa"/>
            <w:noWrap w:val="0"/>
            <w:tcMar>
              <w:top w:w="16" w:type="dxa"/>
              <w:left w:w="16" w:type="dxa"/>
              <w:right w:w="16" w:type="dxa"/>
            </w:tcMar>
            <w:vAlign w:val="center"/>
          </w:tcPr>
          <w:p w14:paraId="26C095AE">
            <w:pPr>
              <w:adjustRightInd w:val="0"/>
              <w:snapToGrid w:val="0"/>
              <w:jc w:val="center"/>
              <w:rPr>
                <w:rFonts w:ascii="宋体" w:hAnsi="宋体" w:cs="宋体"/>
                <w:szCs w:val="21"/>
              </w:rPr>
            </w:pPr>
            <w:r>
              <w:rPr>
                <w:rFonts w:hint="eastAsia" w:ascii="宋体" w:hAnsi="宋体" w:cs="宋体"/>
                <w:szCs w:val="21"/>
              </w:rPr>
              <w:t>建设项目名称</w:t>
            </w:r>
          </w:p>
        </w:tc>
        <w:tc>
          <w:tcPr>
            <w:tcW w:w="6482" w:type="dxa"/>
            <w:gridSpan w:val="3"/>
            <w:noWrap w:val="0"/>
            <w:vAlign w:val="center"/>
          </w:tcPr>
          <w:p w14:paraId="7076288D">
            <w:pPr>
              <w:adjustRightInd w:val="0"/>
              <w:snapToGrid w:val="0"/>
              <w:jc w:val="center"/>
              <w:rPr>
                <w:rFonts w:hint="eastAsia" w:ascii="宋体" w:hAnsi="宋体" w:eastAsia="宋体" w:cs="宋体"/>
                <w:szCs w:val="21"/>
                <w:lang w:eastAsia="zh-CN"/>
              </w:rPr>
            </w:pPr>
            <w:r>
              <w:rPr>
                <w:rFonts w:hint="eastAsia" w:ascii="宋体" w:hAnsi="宋体" w:cs="宋体"/>
                <w:szCs w:val="21"/>
                <w:lang w:eastAsia="zh-CN"/>
              </w:rPr>
              <w:t>新疆冠盈农业科技有限公司年产1.2万吨棉花打包膜项目</w:t>
            </w:r>
          </w:p>
        </w:tc>
      </w:tr>
      <w:tr w14:paraId="7842A4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79" w:type="dxa"/>
            <w:noWrap w:val="0"/>
            <w:tcMar>
              <w:top w:w="16" w:type="dxa"/>
              <w:left w:w="16" w:type="dxa"/>
              <w:right w:w="16" w:type="dxa"/>
            </w:tcMar>
            <w:vAlign w:val="center"/>
          </w:tcPr>
          <w:p w14:paraId="7D7238B9">
            <w:pPr>
              <w:adjustRightInd w:val="0"/>
              <w:snapToGrid w:val="0"/>
              <w:jc w:val="center"/>
              <w:rPr>
                <w:rFonts w:ascii="宋体" w:hAnsi="宋体" w:cs="宋体"/>
                <w:szCs w:val="21"/>
              </w:rPr>
            </w:pPr>
            <w:r>
              <w:rPr>
                <w:rFonts w:hint="eastAsia" w:ascii="宋体" w:hAnsi="宋体" w:cs="宋体"/>
                <w:szCs w:val="21"/>
              </w:rPr>
              <w:t>项目代码</w:t>
            </w:r>
          </w:p>
        </w:tc>
        <w:tc>
          <w:tcPr>
            <w:tcW w:w="6482" w:type="dxa"/>
            <w:gridSpan w:val="3"/>
            <w:noWrap w:val="0"/>
            <w:vAlign w:val="center"/>
          </w:tcPr>
          <w:p w14:paraId="1E2E5146">
            <w:pPr>
              <w:adjustRightInd w:val="0"/>
              <w:snapToGrid w:val="0"/>
              <w:jc w:val="center"/>
              <w:rPr>
                <w:rFonts w:hint="default" w:ascii="宋体" w:hAnsi="宋体" w:eastAsia="宋体" w:cs="宋体"/>
                <w:sz w:val="21"/>
                <w:szCs w:val="21"/>
                <w:lang w:val="en-US" w:eastAsia="zh-CN"/>
              </w:rPr>
            </w:pPr>
          </w:p>
        </w:tc>
      </w:tr>
      <w:tr w14:paraId="1B2578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79" w:type="dxa"/>
            <w:noWrap w:val="0"/>
            <w:tcMar>
              <w:top w:w="16" w:type="dxa"/>
              <w:left w:w="16" w:type="dxa"/>
              <w:right w:w="16" w:type="dxa"/>
            </w:tcMar>
            <w:vAlign w:val="center"/>
          </w:tcPr>
          <w:p w14:paraId="4645F01D">
            <w:pPr>
              <w:adjustRightInd w:val="0"/>
              <w:snapToGrid w:val="0"/>
              <w:jc w:val="center"/>
              <w:rPr>
                <w:rFonts w:hint="eastAsia" w:ascii="宋体" w:hAnsi="宋体" w:cs="宋体"/>
                <w:szCs w:val="21"/>
              </w:rPr>
            </w:pPr>
            <w:r>
              <w:rPr>
                <w:rFonts w:hint="eastAsia" w:ascii="宋体" w:hAnsi="宋体" w:cs="宋体"/>
                <w:szCs w:val="21"/>
              </w:rPr>
              <w:t>建设单位联系人</w:t>
            </w:r>
          </w:p>
        </w:tc>
        <w:tc>
          <w:tcPr>
            <w:tcW w:w="1634" w:type="dxa"/>
            <w:noWrap w:val="0"/>
            <w:vAlign w:val="center"/>
          </w:tcPr>
          <w:p w14:paraId="6EA7294F">
            <w:pPr>
              <w:adjustRightInd w:val="0"/>
              <w:snapToGrid w:val="0"/>
              <w:jc w:val="center"/>
              <w:rPr>
                <w:rFonts w:hint="eastAsia" w:ascii="宋体" w:hAnsi="宋体" w:eastAsia="宋体" w:cs="宋体"/>
                <w:sz w:val="21"/>
                <w:szCs w:val="21"/>
                <w:lang w:eastAsia="zh-CN"/>
              </w:rPr>
            </w:pPr>
          </w:p>
        </w:tc>
        <w:tc>
          <w:tcPr>
            <w:tcW w:w="2209" w:type="dxa"/>
            <w:noWrap w:val="0"/>
            <w:vAlign w:val="center"/>
          </w:tcPr>
          <w:p w14:paraId="2023E87A">
            <w:pPr>
              <w:adjustRightInd w:val="0"/>
              <w:snapToGrid w:val="0"/>
              <w:jc w:val="center"/>
              <w:rPr>
                <w:rFonts w:ascii="宋体" w:hAnsi="宋体" w:cs="宋体"/>
                <w:sz w:val="21"/>
                <w:szCs w:val="21"/>
              </w:rPr>
            </w:pPr>
            <w:r>
              <w:rPr>
                <w:rFonts w:hint="eastAsia" w:ascii="宋体" w:hAnsi="宋体" w:cs="宋体"/>
                <w:sz w:val="21"/>
                <w:szCs w:val="21"/>
              </w:rPr>
              <w:t>联系方式</w:t>
            </w:r>
          </w:p>
        </w:tc>
        <w:tc>
          <w:tcPr>
            <w:tcW w:w="2639" w:type="dxa"/>
            <w:noWrap w:val="0"/>
            <w:vAlign w:val="center"/>
          </w:tcPr>
          <w:p w14:paraId="0A6BA4C4">
            <w:pPr>
              <w:adjustRightInd w:val="0"/>
              <w:snapToGrid w:val="0"/>
              <w:jc w:val="center"/>
              <w:rPr>
                <w:rFonts w:hint="default" w:ascii="宋体" w:hAnsi="宋体" w:eastAsia="宋体" w:cs="宋体"/>
                <w:sz w:val="21"/>
                <w:szCs w:val="21"/>
                <w:lang w:val="en-US" w:eastAsia="zh-CN"/>
              </w:rPr>
            </w:pPr>
          </w:p>
        </w:tc>
      </w:tr>
      <w:tr w14:paraId="4149D4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79" w:type="dxa"/>
            <w:noWrap w:val="0"/>
            <w:tcMar>
              <w:top w:w="16" w:type="dxa"/>
              <w:left w:w="16" w:type="dxa"/>
              <w:right w:w="16" w:type="dxa"/>
            </w:tcMar>
            <w:vAlign w:val="center"/>
          </w:tcPr>
          <w:p w14:paraId="34F23D57">
            <w:pPr>
              <w:adjustRightInd w:val="0"/>
              <w:snapToGrid w:val="0"/>
              <w:jc w:val="center"/>
              <w:rPr>
                <w:rFonts w:ascii="宋体" w:hAnsi="宋体" w:cs="宋体"/>
                <w:szCs w:val="21"/>
              </w:rPr>
            </w:pPr>
            <w:r>
              <w:rPr>
                <w:rFonts w:hint="eastAsia" w:ascii="宋体" w:hAnsi="宋体" w:cs="宋体"/>
                <w:szCs w:val="21"/>
              </w:rPr>
              <w:t>建设地点</w:t>
            </w:r>
          </w:p>
        </w:tc>
        <w:tc>
          <w:tcPr>
            <w:tcW w:w="6482" w:type="dxa"/>
            <w:gridSpan w:val="3"/>
            <w:noWrap w:val="0"/>
            <w:vAlign w:val="center"/>
          </w:tcPr>
          <w:p w14:paraId="0500B998">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新疆巴州轮台县红桥石油服务区内</w:t>
            </w:r>
          </w:p>
        </w:tc>
      </w:tr>
      <w:tr w14:paraId="4CFA89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79" w:type="dxa"/>
            <w:noWrap w:val="0"/>
            <w:tcMar>
              <w:top w:w="16" w:type="dxa"/>
              <w:left w:w="16" w:type="dxa"/>
              <w:right w:w="16" w:type="dxa"/>
            </w:tcMar>
            <w:vAlign w:val="center"/>
          </w:tcPr>
          <w:p w14:paraId="23996C7D">
            <w:pPr>
              <w:adjustRightInd w:val="0"/>
              <w:snapToGrid w:val="0"/>
              <w:jc w:val="center"/>
              <w:rPr>
                <w:rFonts w:ascii="宋体" w:hAnsi="宋体" w:cs="宋体"/>
                <w:szCs w:val="21"/>
              </w:rPr>
            </w:pPr>
            <w:r>
              <w:rPr>
                <w:rFonts w:hint="eastAsia" w:ascii="宋体" w:hAnsi="宋体" w:cs="宋体"/>
                <w:szCs w:val="21"/>
              </w:rPr>
              <w:t>地理坐标</w:t>
            </w:r>
          </w:p>
        </w:tc>
        <w:tc>
          <w:tcPr>
            <w:tcW w:w="6482" w:type="dxa"/>
            <w:gridSpan w:val="3"/>
            <w:noWrap w:val="0"/>
            <w:vAlign w:val="center"/>
          </w:tcPr>
          <w:p w14:paraId="1CF22F33">
            <w:pPr>
              <w:jc w:val="center"/>
              <w:rPr>
                <w:rFonts w:hint="eastAsia" w:ascii="宋体" w:hAnsi="宋体" w:eastAsia="宋体" w:cs="宋体"/>
                <w:sz w:val="21"/>
                <w:szCs w:val="21"/>
                <w:lang w:eastAsia="zh-CN"/>
              </w:rPr>
            </w:pPr>
            <w:bookmarkStart w:id="28" w:name="_GoBack"/>
            <w:bookmarkEnd w:id="28"/>
          </w:p>
        </w:tc>
      </w:tr>
      <w:tr w14:paraId="0639A1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79" w:type="dxa"/>
            <w:noWrap w:val="0"/>
            <w:tcMar>
              <w:top w:w="16" w:type="dxa"/>
              <w:left w:w="16" w:type="dxa"/>
              <w:right w:w="16" w:type="dxa"/>
            </w:tcMar>
            <w:vAlign w:val="center"/>
          </w:tcPr>
          <w:p w14:paraId="0DB66484">
            <w:pPr>
              <w:adjustRightInd w:val="0"/>
              <w:snapToGrid w:val="0"/>
              <w:jc w:val="center"/>
              <w:rPr>
                <w:rFonts w:hint="eastAsia" w:ascii="宋体" w:hAnsi="宋体" w:cs="宋体"/>
                <w:szCs w:val="21"/>
              </w:rPr>
            </w:pPr>
            <w:r>
              <w:rPr>
                <w:rFonts w:hint="eastAsia" w:ascii="宋体" w:hAnsi="宋体" w:cs="宋体"/>
                <w:szCs w:val="21"/>
              </w:rPr>
              <w:t>国民经济</w:t>
            </w:r>
          </w:p>
          <w:p w14:paraId="4CA5639F">
            <w:pPr>
              <w:adjustRightInd w:val="0"/>
              <w:snapToGrid w:val="0"/>
              <w:jc w:val="center"/>
              <w:rPr>
                <w:rFonts w:ascii="宋体" w:hAnsi="宋体" w:cs="宋体"/>
                <w:szCs w:val="21"/>
              </w:rPr>
            </w:pPr>
            <w:r>
              <w:rPr>
                <w:rFonts w:hint="eastAsia" w:ascii="宋体" w:hAnsi="宋体" w:cs="宋体"/>
                <w:szCs w:val="21"/>
              </w:rPr>
              <w:t>行业类别</w:t>
            </w:r>
          </w:p>
        </w:tc>
        <w:tc>
          <w:tcPr>
            <w:tcW w:w="1634" w:type="dxa"/>
            <w:noWrap w:val="0"/>
            <w:vAlign w:val="center"/>
          </w:tcPr>
          <w:p w14:paraId="683CE167">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C2921塑料薄膜制造</w:t>
            </w:r>
          </w:p>
        </w:tc>
        <w:tc>
          <w:tcPr>
            <w:tcW w:w="2209" w:type="dxa"/>
            <w:noWrap w:val="0"/>
            <w:vAlign w:val="center"/>
          </w:tcPr>
          <w:p w14:paraId="24DBCCCC">
            <w:pPr>
              <w:adjustRightInd w:val="0"/>
              <w:snapToGrid w:val="0"/>
              <w:jc w:val="center"/>
              <w:rPr>
                <w:rFonts w:ascii="宋体" w:hAnsi="宋体" w:cs="宋体"/>
                <w:sz w:val="21"/>
                <w:szCs w:val="21"/>
              </w:rPr>
            </w:pPr>
            <w:bookmarkStart w:id="0" w:name="_Hlk49843745"/>
            <w:r>
              <w:rPr>
                <w:rFonts w:hint="eastAsia" w:ascii="宋体" w:hAnsi="宋体" w:cs="宋体"/>
                <w:sz w:val="21"/>
                <w:szCs w:val="21"/>
              </w:rPr>
              <w:t>建设项目</w:t>
            </w:r>
          </w:p>
          <w:p w14:paraId="5ABCEAB0">
            <w:pPr>
              <w:adjustRightInd w:val="0"/>
              <w:snapToGrid w:val="0"/>
              <w:jc w:val="center"/>
              <w:rPr>
                <w:rFonts w:ascii="宋体" w:hAnsi="宋体" w:cs="宋体"/>
                <w:sz w:val="21"/>
                <w:szCs w:val="21"/>
              </w:rPr>
            </w:pPr>
            <w:r>
              <w:rPr>
                <w:rFonts w:hint="eastAsia" w:ascii="宋体" w:hAnsi="宋体" w:cs="宋体"/>
                <w:sz w:val="21"/>
                <w:szCs w:val="21"/>
              </w:rPr>
              <w:t>行业类别</w:t>
            </w:r>
            <w:bookmarkEnd w:id="0"/>
          </w:p>
        </w:tc>
        <w:tc>
          <w:tcPr>
            <w:tcW w:w="2639" w:type="dxa"/>
            <w:noWrap w:val="0"/>
            <w:vAlign w:val="center"/>
          </w:tcPr>
          <w:p w14:paraId="39EFF881">
            <w:pPr>
              <w:adjustRightInd w:val="0"/>
              <w:snapToGrid w:val="0"/>
              <w:jc w:val="center"/>
              <w:rPr>
                <w:rFonts w:hint="eastAsia" w:ascii="宋体" w:hAnsi="宋体" w:eastAsia="宋体" w:cs="宋体"/>
                <w:sz w:val="21"/>
                <w:szCs w:val="21"/>
                <w:lang w:val="en-US" w:eastAsia="zh-CN"/>
              </w:rPr>
            </w:pPr>
            <w:r>
              <w:rPr>
                <w:rFonts w:hint="eastAsia" w:ascii="宋体" w:hAnsi="宋体" w:cs="宋体"/>
                <w:sz w:val="21"/>
                <w:szCs w:val="21"/>
              </w:rPr>
              <w:t>二十</w:t>
            </w:r>
            <w:r>
              <w:rPr>
                <w:rFonts w:hint="eastAsia" w:ascii="宋体" w:hAnsi="宋体" w:cs="宋体"/>
                <w:sz w:val="21"/>
                <w:szCs w:val="21"/>
                <w:lang w:val="en-US" w:eastAsia="zh-CN"/>
              </w:rPr>
              <w:t>六</w:t>
            </w:r>
            <w:r>
              <w:rPr>
                <w:rFonts w:hint="eastAsia" w:ascii="宋体" w:hAnsi="宋体" w:cs="宋体"/>
                <w:sz w:val="21"/>
                <w:szCs w:val="21"/>
              </w:rPr>
              <w:t xml:space="preserve">、橡胶和塑料制品业 </w:t>
            </w:r>
            <w:r>
              <w:rPr>
                <w:rFonts w:hint="eastAsia" w:ascii="宋体" w:hAnsi="宋体" w:cs="宋体"/>
                <w:sz w:val="21"/>
                <w:szCs w:val="21"/>
                <w:lang w:val="en-US" w:eastAsia="zh-CN"/>
              </w:rPr>
              <w:t xml:space="preserve">53 </w:t>
            </w:r>
            <w:r>
              <w:rPr>
                <w:rFonts w:hint="eastAsia" w:ascii="宋体" w:hAnsi="宋体" w:cs="宋体"/>
                <w:sz w:val="21"/>
                <w:szCs w:val="21"/>
              </w:rPr>
              <w:t>塑料制品业292</w:t>
            </w:r>
            <w:r>
              <w:rPr>
                <w:rFonts w:hint="eastAsia" w:ascii="宋体" w:hAnsi="宋体" w:cs="宋体"/>
                <w:sz w:val="21"/>
                <w:szCs w:val="21"/>
                <w:lang w:val="en-US" w:eastAsia="zh-CN"/>
              </w:rPr>
              <w:t xml:space="preserve"> 其他（年用非溶剂型低VOCs含量涂料10吨以下的除外）</w:t>
            </w:r>
          </w:p>
        </w:tc>
      </w:tr>
      <w:tr w14:paraId="2F9D1A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79" w:type="dxa"/>
            <w:noWrap w:val="0"/>
            <w:tcMar>
              <w:top w:w="16" w:type="dxa"/>
              <w:left w:w="16" w:type="dxa"/>
              <w:right w:w="16" w:type="dxa"/>
            </w:tcMar>
            <w:vAlign w:val="center"/>
          </w:tcPr>
          <w:p w14:paraId="5619EF5F">
            <w:pPr>
              <w:adjustRightInd w:val="0"/>
              <w:snapToGrid w:val="0"/>
              <w:jc w:val="center"/>
              <w:rPr>
                <w:rFonts w:ascii="宋体" w:hAnsi="宋体" w:cs="宋体"/>
                <w:szCs w:val="21"/>
              </w:rPr>
            </w:pPr>
            <w:r>
              <w:rPr>
                <w:rFonts w:hint="eastAsia" w:ascii="宋体" w:hAnsi="宋体" w:cs="宋体"/>
                <w:szCs w:val="21"/>
              </w:rPr>
              <w:t>建设性质</w:t>
            </w:r>
          </w:p>
        </w:tc>
        <w:tc>
          <w:tcPr>
            <w:tcW w:w="1634" w:type="dxa"/>
            <w:noWrap w:val="0"/>
            <w:vAlign w:val="center"/>
          </w:tcPr>
          <w:p w14:paraId="099A9C37">
            <w:pPr>
              <w:jc w:val="left"/>
              <w:rPr>
                <w:rFonts w:ascii="宋体" w:hAnsi="宋体" w:cs="宋体"/>
                <w:sz w:val="21"/>
                <w:szCs w:val="21"/>
              </w:rPr>
            </w:pPr>
            <w:r>
              <w:rPr>
                <w:rFonts w:hint="eastAsia" w:ascii="宋体" w:hAnsi="宋体" w:cs="宋体"/>
                <w:sz w:val="21"/>
                <w:szCs w:val="21"/>
              </w:rPr>
              <w:sym w:font="Wingdings 2" w:char="0052"/>
            </w:r>
            <w:r>
              <w:rPr>
                <w:rFonts w:hint="eastAsia" w:ascii="宋体" w:hAnsi="宋体" w:cs="宋体"/>
                <w:sz w:val="21"/>
                <w:szCs w:val="21"/>
              </w:rPr>
              <w:t>新建（迁建）</w:t>
            </w:r>
          </w:p>
          <w:p w14:paraId="31E04F62">
            <w:pPr>
              <w:jc w:val="left"/>
              <w:rPr>
                <w:rFonts w:hint="eastAsia" w:ascii="宋体" w:hAnsi="宋体" w:cs="宋体"/>
                <w:sz w:val="21"/>
                <w:szCs w:val="21"/>
              </w:rPr>
            </w:pPr>
            <w:r>
              <w:rPr>
                <w:rFonts w:hint="eastAsia" w:ascii="宋体" w:hAnsi="宋体" w:cs="宋体"/>
                <w:sz w:val="21"/>
                <w:szCs w:val="21"/>
              </w:rPr>
              <w:sym w:font="Wingdings 2" w:char="00A3"/>
            </w:r>
            <w:r>
              <w:rPr>
                <w:rFonts w:hint="eastAsia" w:ascii="宋体" w:hAnsi="宋体" w:cs="宋体"/>
                <w:sz w:val="21"/>
                <w:szCs w:val="21"/>
              </w:rPr>
              <w:t>改建</w:t>
            </w:r>
          </w:p>
          <w:p w14:paraId="4E1CDAE8">
            <w:pPr>
              <w:jc w:val="left"/>
              <w:rPr>
                <w:rFonts w:hint="eastAsia" w:ascii="宋体" w:hAnsi="宋体" w:cs="宋体"/>
                <w:sz w:val="21"/>
                <w:szCs w:val="21"/>
              </w:rPr>
            </w:pPr>
            <w:r>
              <w:rPr>
                <w:rFonts w:hint="eastAsia" w:ascii="宋体" w:hAnsi="宋体" w:cs="宋体"/>
                <w:sz w:val="21"/>
                <w:szCs w:val="21"/>
              </w:rPr>
              <w:t>□扩建</w:t>
            </w:r>
          </w:p>
          <w:p w14:paraId="0FB866EE">
            <w:pPr>
              <w:jc w:val="left"/>
              <w:rPr>
                <w:rFonts w:ascii="宋体" w:hAnsi="宋体" w:cs="宋体"/>
                <w:sz w:val="21"/>
                <w:szCs w:val="21"/>
              </w:rPr>
            </w:pPr>
            <w:r>
              <w:rPr>
                <w:rFonts w:hint="eastAsia" w:ascii="宋体" w:hAnsi="宋体" w:cs="宋体"/>
                <w:sz w:val="21"/>
                <w:szCs w:val="21"/>
              </w:rPr>
              <w:t>□技术改造</w:t>
            </w:r>
          </w:p>
        </w:tc>
        <w:tc>
          <w:tcPr>
            <w:tcW w:w="2209" w:type="dxa"/>
            <w:noWrap w:val="0"/>
            <w:vAlign w:val="center"/>
          </w:tcPr>
          <w:p w14:paraId="7DDB3B3F">
            <w:pPr>
              <w:adjustRightInd w:val="0"/>
              <w:snapToGrid w:val="0"/>
              <w:jc w:val="center"/>
              <w:rPr>
                <w:rFonts w:hint="eastAsia" w:ascii="宋体" w:hAnsi="宋体" w:cs="宋体"/>
                <w:sz w:val="21"/>
                <w:szCs w:val="21"/>
              </w:rPr>
            </w:pPr>
            <w:r>
              <w:rPr>
                <w:rFonts w:hint="eastAsia" w:ascii="宋体" w:hAnsi="宋体" w:cs="宋体"/>
                <w:sz w:val="21"/>
                <w:szCs w:val="21"/>
              </w:rPr>
              <w:t>建设项目</w:t>
            </w:r>
          </w:p>
          <w:p w14:paraId="1ED860AA">
            <w:pPr>
              <w:adjustRightInd w:val="0"/>
              <w:snapToGrid w:val="0"/>
              <w:jc w:val="center"/>
              <w:rPr>
                <w:rFonts w:ascii="宋体" w:hAnsi="宋体" w:cs="宋体"/>
                <w:sz w:val="21"/>
                <w:szCs w:val="21"/>
              </w:rPr>
            </w:pPr>
            <w:r>
              <w:rPr>
                <w:rFonts w:hint="eastAsia" w:ascii="宋体" w:hAnsi="宋体" w:cs="宋体"/>
                <w:sz w:val="21"/>
                <w:szCs w:val="21"/>
              </w:rPr>
              <w:t>申报情形</w:t>
            </w:r>
          </w:p>
        </w:tc>
        <w:tc>
          <w:tcPr>
            <w:tcW w:w="2639" w:type="dxa"/>
            <w:noWrap w:val="0"/>
            <w:vAlign w:val="center"/>
          </w:tcPr>
          <w:p w14:paraId="2137DDD5">
            <w:pPr>
              <w:jc w:val="left"/>
              <w:rPr>
                <w:rFonts w:ascii="宋体" w:hAnsi="宋体" w:cs="宋体"/>
                <w:sz w:val="21"/>
                <w:szCs w:val="21"/>
              </w:rPr>
            </w:pPr>
            <w:r>
              <w:rPr>
                <w:rFonts w:hint="eastAsia" w:ascii="宋体" w:hAnsi="宋体" w:cs="宋体"/>
                <w:sz w:val="21"/>
                <w:szCs w:val="21"/>
              </w:rPr>
              <w:sym w:font="Wingdings 2" w:char="0052"/>
            </w:r>
            <w:r>
              <w:rPr>
                <w:rFonts w:hint="eastAsia" w:ascii="宋体" w:hAnsi="宋体" w:cs="宋体"/>
                <w:sz w:val="21"/>
                <w:szCs w:val="21"/>
              </w:rPr>
              <w:t>首次申报项目</w:t>
            </w:r>
          </w:p>
          <w:p w14:paraId="54F940B0">
            <w:pPr>
              <w:jc w:val="left"/>
              <w:rPr>
                <w:rFonts w:ascii="宋体" w:hAnsi="宋体" w:cs="宋体"/>
                <w:sz w:val="21"/>
                <w:szCs w:val="21"/>
              </w:rPr>
            </w:pPr>
            <w:r>
              <w:rPr>
                <w:rFonts w:hint="eastAsia" w:ascii="宋体" w:hAnsi="宋体" w:cs="宋体"/>
                <w:sz w:val="21"/>
                <w:szCs w:val="21"/>
              </w:rPr>
              <w:t>□不予批准后再次申报项目</w:t>
            </w:r>
          </w:p>
          <w:p w14:paraId="370D9892">
            <w:pPr>
              <w:jc w:val="left"/>
              <w:rPr>
                <w:rFonts w:ascii="宋体" w:hAnsi="宋体" w:cs="宋体"/>
                <w:sz w:val="21"/>
                <w:szCs w:val="21"/>
              </w:rPr>
            </w:pPr>
            <w:r>
              <w:rPr>
                <w:rFonts w:hint="eastAsia" w:ascii="宋体" w:hAnsi="宋体" w:cs="宋体"/>
                <w:sz w:val="21"/>
                <w:szCs w:val="21"/>
              </w:rPr>
              <w:sym w:font="Wingdings 2" w:char="00A3"/>
            </w:r>
            <w:r>
              <w:rPr>
                <w:rFonts w:hint="eastAsia" w:ascii="宋体" w:hAnsi="宋体" w:cs="宋体"/>
                <w:sz w:val="21"/>
                <w:szCs w:val="21"/>
              </w:rPr>
              <w:t>超五年重新审核项目</w:t>
            </w:r>
          </w:p>
          <w:p w14:paraId="3989960A">
            <w:pPr>
              <w:jc w:val="left"/>
              <w:rPr>
                <w:rFonts w:ascii="宋体" w:hAnsi="宋体" w:cs="宋体"/>
                <w:sz w:val="21"/>
                <w:szCs w:val="21"/>
              </w:rPr>
            </w:pPr>
            <w:r>
              <w:rPr>
                <w:rFonts w:hint="eastAsia" w:ascii="宋体" w:hAnsi="宋体" w:cs="宋体"/>
                <w:sz w:val="21"/>
                <w:szCs w:val="21"/>
              </w:rPr>
              <w:t>□重大变动重新报批项目</w:t>
            </w:r>
          </w:p>
        </w:tc>
      </w:tr>
      <w:tr w14:paraId="33D63F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79" w:type="dxa"/>
            <w:noWrap w:val="0"/>
            <w:tcMar>
              <w:top w:w="16" w:type="dxa"/>
              <w:left w:w="16" w:type="dxa"/>
              <w:right w:w="16" w:type="dxa"/>
            </w:tcMar>
            <w:vAlign w:val="center"/>
          </w:tcPr>
          <w:p w14:paraId="200B7FED">
            <w:pPr>
              <w:adjustRightInd w:val="0"/>
              <w:snapToGrid w:val="0"/>
              <w:jc w:val="center"/>
              <w:rPr>
                <w:rFonts w:hint="eastAsia" w:ascii="宋体" w:hAnsi="宋体" w:cs="宋体"/>
                <w:szCs w:val="21"/>
              </w:rPr>
            </w:pPr>
            <w:r>
              <w:rPr>
                <w:rFonts w:hint="eastAsia" w:ascii="宋体" w:hAnsi="宋体" w:cs="宋体"/>
                <w:szCs w:val="21"/>
              </w:rPr>
              <w:t>项目审批（核准</w:t>
            </w:r>
            <w:r>
              <w:rPr>
                <w:rFonts w:ascii="宋体" w:hAnsi="宋体" w:cs="宋体"/>
                <w:szCs w:val="21"/>
              </w:rPr>
              <w:t>/</w:t>
            </w:r>
          </w:p>
          <w:p w14:paraId="70CBB930">
            <w:pPr>
              <w:adjustRightInd w:val="0"/>
              <w:snapToGrid w:val="0"/>
              <w:jc w:val="center"/>
              <w:rPr>
                <w:rFonts w:ascii="宋体" w:hAnsi="宋体" w:cs="宋体"/>
                <w:szCs w:val="21"/>
              </w:rPr>
            </w:pPr>
            <w:r>
              <w:rPr>
                <w:rFonts w:hint="eastAsia" w:ascii="宋体" w:hAnsi="宋体" w:cs="宋体"/>
                <w:szCs w:val="21"/>
              </w:rPr>
              <w:t>备案）部门（选填）</w:t>
            </w:r>
          </w:p>
        </w:tc>
        <w:tc>
          <w:tcPr>
            <w:tcW w:w="1634" w:type="dxa"/>
            <w:noWrap w:val="0"/>
            <w:vAlign w:val="center"/>
          </w:tcPr>
          <w:p w14:paraId="68090EEB">
            <w:pPr>
              <w:adjustRightInd w:val="0"/>
              <w:snapToGrid w:val="0"/>
              <w:jc w:val="center"/>
              <w:rPr>
                <w:rFonts w:ascii="宋体" w:hAnsi="宋体" w:cs="宋体"/>
                <w:color w:val="auto"/>
                <w:sz w:val="21"/>
                <w:szCs w:val="21"/>
              </w:rPr>
            </w:pPr>
            <w:r>
              <w:rPr>
                <w:rFonts w:hint="eastAsia" w:ascii="宋体" w:hAnsi="宋体" w:cs="宋体"/>
                <w:color w:val="auto"/>
                <w:sz w:val="21"/>
                <w:szCs w:val="21"/>
              </w:rPr>
              <w:t>轮台县发展和改革委员会</w:t>
            </w:r>
          </w:p>
        </w:tc>
        <w:tc>
          <w:tcPr>
            <w:tcW w:w="2209" w:type="dxa"/>
            <w:noWrap w:val="0"/>
            <w:vAlign w:val="center"/>
          </w:tcPr>
          <w:p w14:paraId="5F167F4B">
            <w:pPr>
              <w:adjustRightInd w:val="0"/>
              <w:snapToGrid w:val="0"/>
              <w:jc w:val="center"/>
              <w:rPr>
                <w:rFonts w:hint="eastAsia" w:ascii="宋体" w:hAnsi="宋体" w:cs="宋体"/>
                <w:color w:val="auto"/>
                <w:sz w:val="21"/>
                <w:szCs w:val="21"/>
              </w:rPr>
            </w:pPr>
            <w:r>
              <w:rPr>
                <w:rFonts w:hint="eastAsia" w:ascii="宋体" w:hAnsi="宋体" w:cs="宋体"/>
                <w:color w:val="auto"/>
                <w:sz w:val="21"/>
                <w:szCs w:val="21"/>
              </w:rPr>
              <w:t>项目审批（核准</w:t>
            </w:r>
            <w:r>
              <w:rPr>
                <w:rFonts w:ascii="宋体" w:hAnsi="宋体" w:cs="宋体"/>
                <w:color w:val="auto"/>
                <w:sz w:val="21"/>
                <w:szCs w:val="21"/>
              </w:rPr>
              <w:t>/</w:t>
            </w:r>
          </w:p>
          <w:p w14:paraId="642B33C0">
            <w:pPr>
              <w:adjustRightInd w:val="0"/>
              <w:snapToGrid w:val="0"/>
              <w:jc w:val="center"/>
              <w:rPr>
                <w:rFonts w:hint="eastAsia" w:ascii="宋体" w:hAnsi="宋体" w:cs="宋体"/>
                <w:color w:val="auto"/>
                <w:sz w:val="21"/>
                <w:szCs w:val="21"/>
              </w:rPr>
            </w:pPr>
            <w:r>
              <w:rPr>
                <w:rFonts w:hint="eastAsia" w:ascii="宋体" w:hAnsi="宋体" w:cs="宋体"/>
                <w:color w:val="auto"/>
                <w:sz w:val="21"/>
                <w:szCs w:val="21"/>
              </w:rPr>
              <w:t>备案）文号（选填）</w:t>
            </w:r>
          </w:p>
        </w:tc>
        <w:tc>
          <w:tcPr>
            <w:tcW w:w="2639" w:type="dxa"/>
            <w:noWrap w:val="0"/>
            <w:vAlign w:val="center"/>
          </w:tcPr>
          <w:p w14:paraId="4E35F753">
            <w:pPr>
              <w:adjustRightInd w:val="0"/>
              <w:snapToGrid w:val="0"/>
              <w:jc w:val="center"/>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2509151831652822000285</w:t>
            </w:r>
          </w:p>
        </w:tc>
      </w:tr>
      <w:tr w14:paraId="7BAF75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79" w:type="dxa"/>
            <w:noWrap w:val="0"/>
            <w:tcMar>
              <w:top w:w="16" w:type="dxa"/>
              <w:left w:w="16" w:type="dxa"/>
              <w:right w:w="16" w:type="dxa"/>
            </w:tcMar>
            <w:vAlign w:val="center"/>
          </w:tcPr>
          <w:p w14:paraId="63A9A22A">
            <w:pPr>
              <w:adjustRightInd w:val="0"/>
              <w:snapToGrid w:val="0"/>
              <w:jc w:val="center"/>
              <w:rPr>
                <w:rFonts w:ascii="宋体" w:hAnsi="宋体" w:cs="宋体"/>
                <w:color w:val="auto"/>
                <w:szCs w:val="21"/>
              </w:rPr>
            </w:pPr>
            <w:r>
              <w:rPr>
                <w:rFonts w:hint="eastAsia" w:ascii="宋体" w:hAnsi="宋体" w:cs="宋体"/>
                <w:color w:val="auto"/>
                <w:szCs w:val="21"/>
              </w:rPr>
              <w:t>总投资（万元）</w:t>
            </w:r>
          </w:p>
        </w:tc>
        <w:tc>
          <w:tcPr>
            <w:tcW w:w="1634" w:type="dxa"/>
            <w:noWrap w:val="0"/>
            <w:vAlign w:val="center"/>
          </w:tcPr>
          <w:p w14:paraId="26CA7BF4">
            <w:pPr>
              <w:adjustRightInd w:val="0"/>
              <w:snapToGrid w:val="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2500</w:t>
            </w:r>
          </w:p>
        </w:tc>
        <w:tc>
          <w:tcPr>
            <w:tcW w:w="2209" w:type="dxa"/>
            <w:noWrap w:val="0"/>
            <w:tcMar>
              <w:top w:w="16" w:type="dxa"/>
              <w:left w:w="16" w:type="dxa"/>
              <w:right w:w="16" w:type="dxa"/>
            </w:tcMar>
            <w:vAlign w:val="center"/>
          </w:tcPr>
          <w:p w14:paraId="131F90DB">
            <w:pPr>
              <w:adjustRightInd w:val="0"/>
              <w:snapToGrid w:val="0"/>
              <w:jc w:val="center"/>
              <w:rPr>
                <w:rFonts w:ascii="宋体" w:hAnsi="宋体" w:cs="宋体"/>
                <w:color w:val="auto"/>
                <w:sz w:val="21"/>
                <w:szCs w:val="21"/>
              </w:rPr>
            </w:pPr>
            <w:r>
              <w:rPr>
                <w:rFonts w:hint="eastAsia" w:ascii="宋体" w:hAnsi="宋体" w:cs="宋体"/>
                <w:color w:val="auto"/>
                <w:sz w:val="21"/>
                <w:szCs w:val="21"/>
              </w:rPr>
              <w:t>环保投资（万元）</w:t>
            </w:r>
          </w:p>
        </w:tc>
        <w:tc>
          <w:tcPr>
            <w:tcW w:w="2639" w:type="dxa"/>
            <w:noWrap w:val="0"/>
            <w:vAlign w:val="center"/>
          </w:tcPr>
          <w:p w14:paraId="099BCB54">
            <w:pPr>
              <w:adjustRightInd w:val="0"/>
              <w:snapToGrid w:val="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71.5</w:t>
            </w:r>
          </w:p>
        </w:tc>
      </w:tr>
      <w:tr w14:paraId="15FCDE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79" w:type="dxa"/>
            <w:noWrap w:val="0"/>
            <w:tcMar>
              <w:top w:w="16" w:type="dxa"/>
              <w:left w:w="16" w:type="dxa"/>
              <w:right w:w="16" w:type="dxa"/>
            </w:tcMar>
            <w:vAlign w:val="center"/>
          </w:tcPr>
          <w:p w14:paraId="0C4AFB6B">
            <w:pPr>
              <w:adjustRightInd w:val="0"/>
              <w:snapToGrid w:val="0"/>
              <w:jc w:val="center"/>
              <w:rPr>
                <w:rFonts w:ascii="宋体" w:hAnsi="宋体" w:cs="宋体"/>
                <w:color w:val="auto"/>
                <w:szCs w:val="21"/>
              </w:rPr>
            </w:pPr>
            <w:r>
              <w:rPr>
                <w:rFonts w:hint="eastAsia" w:ascii="宋体" w:hAnsi="宋体" w:cs="宋体"/>
                <w:color w:val="auto"/>
                <w:szCs w:val="21"/>
              </w:rPr>
              <w:t>环保投资占比（</w:t>
            </w:r>
            <w:r>
              <w:rPr>
                <w:rFonts w:ascii="宋体" w:hAnsi="宋体" w:cs="宋体"/>
                <w:color w:val="auto"/>
                <w:szCs w:val="21"/>
              </w:rPr>
              <w:t>%</w:t>
            </w:r>
            <w:r>
              <w:rPr>
                <w:rFonts w:hint="eastAsia" w:ascii="宋体" w:hAnsi="宋体" w:cs="宋体"/>
                <w:color w:val="auto"/>
                <w:szCs w:val="21"/>
              </w:rPr>
              <w:t>）</w:t>
            </w:r>
          </w:p>
        </w:tc>
        <w:tc>
          <w:tcPr>
            <w:tcW w:w="1634" w:type="dxa"/>
            <w:noWrap w:val="0"/>
            <w:vAlign w:val="center"/>
          </w:tcPr>
          <w:p w14:paraId="7F3E6F9A">
            <w:pPr>
              <w:adjustRightInd w:val="0"/>
              <w:snapToGrid w:val="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2.9</w:t>
            </w:r>
          </w:p>
        </w:tc>
        <w:tc>
          <w:tcPr>
            <w:tcW w:w="2209" w:type="dxa"/>
            <w:noWrap w:val="0"/>
            <w:tcMar>
              <w:top w:w="16" w:type="dxa"/>
              <w:left w:w="16" w:type="dxa"/>
              <w:right w:w="16" w:type="dxa"/>
            </w:tcMar>
            <w:vAlign w:val="center"/>
          </w:tcPr>
          <w:p w14:paraId="4F19C3E7">
            <w:pPr>
              <w:adjustRightInd w:val="0"/>
              <w:snapToGrid w:val="0"/>
              <w:jc w:val="center"/>
              <w:rPr>
                <w:rFonts w:ascii="宋体" w:hAnsi="宋体" w:cs="宋体"/>
                <w:color w:val="auto"/>
                <w:sz w:val="21"/>
                <w:szCs w:val="21"/>
              </w:rPr>
            </w:pPr>
            <w:r>
              <w:rPr>
                <w:rFonts w:hint="eastAsia" w:ascii="宋体" w:hAnsi="宋体" w:cs="宋体"/>
                <w:color w:val="auto"/>
                <w:sz w:val="21"/>
                <w:szCs w:val="21"/>
              </w:rPr>
              <w:t>施工工期</w:t>
            </w:r>
          </w:p>
        </w:tc>
        <w:tc>
          <w:tcPr>
            <w:tcW w:w="2639" w:type="dxa"/>
            <w:noWrap w:val="0"/>
            <w:vAlign w:val="center"/>
          </w:tcPr>
          <w:p w14:paraId="4B466F45">
            <w:pPr>
              <w:adjustRightInd w:val="0"/>
              <w:snapToGrid w:val="0"/>
              <w:jc w:val="center"/>
              <w:rPr>
                <w:rFonts w:hint="eastAsia" w:ascii="宋体" w:hAnsi="宋体" w:cs="宋体"/>
                <w:color w:val="auto"/>
                <w:sz w:val="21"/>
                <w:szCs w:val="21"/>
              </w:rPr>
            </w:pPr>
            <w:r>
              <w:rPr>
                <w:rFonts w:hint="eastAsia" w:ascii="宋体" w:hAnsi="宋体" w:cs="宋体"/>
                <w:color w:val="auto"/>
                <w:sz w:val="21"/>
                <w:szCs w:val="21"/>
                <w:lang w:val="en-US" w:eastAsia="zh-CN"/>
              </w:rPr>
              <w:t>6</w:t>
            </w:r>
            <w:r>
              <w:rPr>
                <w:rFonts w:hint="eastAsia" w:ascii="宋体" w:hAnsi="宋体" w:cs="宋体"/>
                <w:color w:val="auto"/>
                <w:sz w:val="21"/>
                <w:szCs w:val="21"/>
              </w:rPr>
              <w:t>个月</w:t>
            </w:r>
          </w:p>
        </w:tc>
      </w:tr>
      <w:tr w14:paraId="5717D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79" w:type="dxa"/>
            <w:noWrap w:val="0"/>
            <w:tcMar>
              <w:top w:w="16" w:type="dxa"/>
              <w:left w:w="16" w:type="dxa"/>
              <w:right w:w="16" w:type="dxa"/>
            </w:tcMar>
            <w:vAlign w:val="center"/>
          </w:tcPr>
          <w:p w14:paraId="096E5CC0">
            <w:pPr>
              <w:adjustRightInd w:val="0"/>
              <w:snapToGrid w:val="0"/>
              <w:jc w:val="center"/>
              <w:rPr>
                <w:rFonts w:hint="eastAsia" w:ascii="宋体" w:hAnsi="宋体" w:cs="宋体"/>
                <w:szCs w:val="21"/>
              </w:rPr>
            </w:pPr>
            <w:r>
              <w:rPr>
                <w:rFonts w:hint="eastAsia" w:ascii="宋体" w:hAnsi="宋体" w:cs="宋体"/>
                <w:szCs w:val="21"/>
              </w:rPr>
              <w:t>是否开工建设</w:t>
            </w:r>
          </w:p>
        </w:tc>
        <w:tc>
          <w:tcPr>
            <w:tcW w:w="1634" w:type="dxa"/>
            <w:noWrap w:val="0"/>
            <w:vAlign w:val="center"/>
          </w:tcPr>
          <w:p w14:paraId="60C5A7F4">
            <w:pPr>
              <w:adjustRightInd w:val="0"/>
              <w:snapToGrid w:val="0"/>
              <w:rPr>
                <w:rFonts w:ascii="宋体" w:hAnsi="宋体" w:cs="宋体"/>
                <w:color w:val="auto"/>
                <w:sz w:val="21"/>
                <w:szCs w:val="21"/>
              </w:rPr>
            </w:pPr>
            <w:r>
              <w:rPr>
                <w:rFonts w:hint="eastAsia" w:ascii="宋体" w:hAnsi="宋体" w:cs="宋体"/>
                <w:color w:val="auto"/>
                <w:sz w:val="21"/>
                <w:szCs w:val="21"/>
              </w:rPr>
              <w:sym w:font="Wingdings 2" w:char="00A3"/>
            </w:r>
            <w:r>
              <w:rPr>
                <w:rFonts w:hint="eastAsia" w:ascii="宋体" w:hAnsi="宋体" w:cs="宋体"/>
                <w:color w:val="auto"/>
                <w:sz w:val="21"/>
                <w:szCs w:val="21"/>
              </w:rPr>
              <w:t>否</w:t>
            </w:r>
          </w:p>
          <w:p w14:paraId="24A2C9A0">
            <w:pPr>
              <w:adjustRightInd w:val="0"/>
              <w:snapToGrid w:val="0"/>
              <w:rPr>
                <w:rFonts w:hint="default" w:ascii="宋体" w:hAnsi="宋体" w:cs="宋体"/>
                <w:color w:val="auto"/>
                <w:sz w:val="21"/>
                <w:szCs w:val="21"/>
                <w:lang w:val="en-US"/>
              </w:rPr>
            </w:pPr>
            <w:r>
              <w:rPr>
                <w:rFonts w:hint="eastAsia" w:ascii="宋体" w:hAnsi="宋体" w:cs="宋体"/>
                <w:color w:val="auto"/>
                <w:sz w:val="21"/>
                <w:szCs w:val="21"/>
              </w:rPr>
              <w:sym w:font="Wingdings 2" w:char="0052"/>
            </w:r>
            <w:r>
              <w:rPr>
                <w:rFonts w:hint="eastAsia" w:ascii="宋体" w:hAnsi="宋体" w:cs="宋体"/>
                <w:color w:val="auto"/>
                <w:sz w:val="21"/>
                <w:szCs w:val="21"/>
              </w:rPr>
              <w:t>是：</w:t>
            </w:r>
            <w:r>
              <w:rPr>
                <w:rFonts w:hint="eastAsia" w:ascii="宋体" w:hAnsi="宋体" w:cs="宋体"/>
                <w:color w:val="auto"/>
                <w:sz w:val="21"/>
                <w:szCs w:val="21"/>
                <w:u w:val="single"/>
                <w:lang w:val="en-US" w:eastAsia="zh-CN"/>
              </w:rPr>
              <w:t>年产1.2万吨棉花打包膜生产线已建成，项目存在未批先建违法行为，收到巴环责改〔2026〕8-9 号、巴环罚告〔2026〕8-9号文书；现已停止生产，落实整改并补办环评</w:t>
            </w:r>
          </w:p>
        </w:tc>
        <w:tc>
          <w:tcPr>
            <w:tcW w:w="2209" w:type="dxa"/>
            <w:noWrap w:val="0"/>
            <w:tcMar>
              <w:top w:w="16" w:type="dxa"/>
              <w:left w:w="16" w:type="dxa"/>
              <w:right w:w="16" w:type="dxa"/>
            </w:tcMar>
            <w:vAlign w:val="center"/>
          </w:tcPr>
          <w:p w14:paraId="17D91392">
            <w:pPr>
              <w:adjustRightInd w:val="0"/>
              <w:snapToGrid w:val="0"/>
              <w:jc w:val="center"/>
              <w:rPr>
                <w:rFonts w:ascii="宋体" w:hAnsi="宋体" w:cs="宋体"/>
                <w:color w:val="auto"/>
                <w:spacing w:val="-6"/>
                <w:sz w:val="21"/>
                <w:szCs w:val="21"/>
              </w:rPr>
            </w:pPr>
            <w:r>
              <w:rPr>
                <w:rFonts w:hint="eastAsia" w:ascii="宋体" w:hAnsi="宋体" w:cs="宋体"/>
                <w:color w:val="auto"/>
                <w:spacing w:val="-6"/>
                <w:sz w:val="21"/>
                <w:szCs w:val="21"/>
              </w:rPr>
              <w:t>用地（用海）</w:t>
            </w:r>
          </w:p>
          <w:p w14:paraId="56C59E0A">
            <w:pPr>
              <w:adjustRightInd w:val="0"/>
              <w:snapToGrid w:val="0"/>
              <w:jc w:val="center"/>
              <w:rPr>
                <w:rFonts w:hint="eastAsia" w:ascii="宋体" w:hAnsi="宋体" w:cs="宋体"/>
                <w:color w:val="auto"/>
                <w:sz w:val="21"/>
                <w:szCs w:val="21"/>
              </w:rPr>
            </w:pPr>
            <w:r>
              <w:rPr>
                <w:rFonts w:hint="eastAsia" w:ascii="宋体" w:hAnsi="宋体" w:cs="宋体"/>
                <w:color w:val="auto"/>
                <w:spacing w:val="-6"/>
                <w:sz w:val="21"/>
                <w:szCs w:val="21"/>
              </w:rPr>
              <w:t>面积（</w:t>
            </w:r>
            <w:r>
              <w:rPr>
                <w:rFonts w:ascii="宋体" w:hAnsi="宋体" w:cs="宋体"/>
                <w:color w:val="auto"/>
                <w:spacing w:val="-6"/>
                <w:sz w:val="21"/>
                <w:szCs w:val="21"/>
              </w:rPr>
              <w:t>m</w:t>
            </w:r>
            <w:r>
              <w:rPr>
                <w:rFonts w:ascii="宋体" w:hAnsi="宋体" w:cs="宋体"/>
                <w:color w:val="auto"/>
                <w:spacing w:val="-6"/>
                <w:sz w:val="21"/>
                <w:szCs w:val="21"/>
                <w:vertAlign w:val="superscript"/>
              </w:rPr>
              <w:t>2</w:t>
            </w:r>
            <w:r>
              <w:rPr>
                <w:rFonts w:hint="eastAsia" w:ascii="宋体" w:hAnsi="宋体" w:cs="宋体"/>
                <w:color w:val="auto"/>
                <w:spacing w:val="-6"/>
                <w:sz w:val="21"/>
                <w:szCs w:val="21"/>
              </w:rPr>
              <w:t>）</w:t>
            </w:r>
          </w:p>
        </w:tc>
        <w:tc>
          <w:tcPr>
            <w:tcW w:w="2639" w:type="dxa"/>
            <w:noWrap w:val="0"/>
            <w:vAlign w:val="center"/>
          </w:tcPr>
          <w:p w14:paraId="53E8F033">
            <w:pPr>
              <w:adjustRightInd w:val="0"/>
              <w:snapToGrid w:val="0"/>
              <w:jc w:val="center"/>
              <w:rPr>
                <w:rFonts w:hint="default"/>
                <w:lang w:val="en-US" w:eastAsia="zh-CN"/>
              </w:rPr>
            </w:pPr>
            <w:r>
              <w:rPr>
                <w:rFonts w:hint="eastAsia" w:ascii="宋体" w:hAnsi="宋体" w:cs="宋体"/>
                <w:color w:val="auto"/>
                <w:sz w:val="21"/>
                <w:szCs w:val="21"/>
                <w:lang w:val="en-US" w:eastAsia="zh-CN"/>
              </w:rPr>
              <w:t>94316</w:t>
            </w:r>
          </w:p>
        </w:tc>
      </w:tr>
      <w:tr w14:paraId="7BEFC0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79" w:type="dxa"/>
            <w:noWrap w:val="0"/>
            <w:vAlign w:val="center"/>
          </w:tcPr>
          <w:p w14:paraId="5CB20CF8">
            <w:pPr>
              <w:autoSpaceDE w:val="0"/>
              <w:autoSpaceDN w:val="0"/>
              <w:adjustRightInd w:val="0"/>
              <w:snapToGrid w:val="0"/>
              <w:jc w:val="center"/>
              <w:rPr>
                <w:rFonts w:ascii="宋体" w:hAnsi="宋体" w:cs="宋体"/>
                <w:kern w:val="0"/>
                <w:szCs w:val="21"/>
              </w:rPr>
            </w:pPr>
            <w:r>
              <w:rPr>
                <w:rFonts w:hint="eastAsia" w:ascii="宋体" w:hAnsi="宋体" w:cs="宋体"/>
                <w:kern w:val="0"/>
                <w:szCs w:val="21"/>
              </w:rPr>
              <w:t>专项评价设置情况</w:t>
            </w:r>
          </w:p>
        </w:tc>
        <w:tc>
          <w:tcPr>
            <w:tcW w:w="6482" w:type="dxa"/>
            <w:gridSpan w:val="3"/>
            <w:noWrap w:val="0"/>
            <w:vAlign w:val="center"/>
          </w:tcPr>
          <w:p w14:paraId="56F2CC67">
            <w:pPr>
              <w:autoSpaceDE w:val="0"/>
              <w:autoSpaceDN w:val="0"/>
              <w:adjustRightInd w:val="0"/>
              <w:snapToGrid w:val="0"/>
              <w:jc w:val="center"/>
              <w:rPr>
                <w:rFonts w:hint="eastAsia" w:ascii="宋体" w:hAnsi="宋体" w:cs="宋体"/>
                <w:kern w:val="0"/>
                <w:szCs w:val="21"/>
              </w:rPr>
            </w:pPr>
            <w:r>
              <w:rPr>
                <w:rFonts w:hint="eastAsia" w:ascii="宋体" w:hAnsi="宋体" w:cs="宋体"/>
                <w:kern w:val="0"/>
                <w:szCs w:val="21"/>
              </w:rPr>
              <w:t>无</w:t>
            </w:r>
          </w:p>
        </w:tc>
      </w:tr>
      <w:tr w14:paraId="33943F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79" w:type="dxa"/>
            <w:noWrap w:val="0"/>
            <w:vAlign w:val="center"/>
          </w:tcPr>
          <w:p w14:paraId="0A730977">
            <w:pPr>
              <w:autoSpaceDE w:val="0"/>
              <w:autoSpaceDN w:val="0"/>
              <w:adjustRightInd w:val="0"/>
              <w:snapToGrid w:val="0"/>
              <w:jc w:val="center"/>
              <w:rPr>
                <w:rFonts w:hint="eastAsia" w:ascii="宋体" w:hAnsi="宋体" w:cs="宋体"/>
                <w:color w:val="auto"/>
                <w:kern w:val="0"/>
                <w:szCs w:val="21"/>
              </w:rPr>
            </w:pPr>
            <w:r>
              <w:rPr>
                <w:rFonts w:hint="eastAsia" w:ascii="宋体" w:hAnsi="宋体" w:cs="宋体"/>
                <w:color w:val="auto"/>
                <w:szCs w:val="21"/>
              </w:rPr>
              <w:t>规划情况</w:t>
            </w:r>
          </w:p>
        </w:tc>
        <w:tc>
          <w:tcPr>
            <w:tcW w:w="6482" w:type="dxa"/>
            <w:gridSpan w:val="3"/>
            <w:noWrap w:val="0"/>
            <w:vAlign w:val="center"/>
          </w:tcPr>
          <w:p w14:paraId="399379E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规划：《轮台工业园区国土空间专项规划（2024—2035年）》</w:t>
            </w:r>
          </w:p>
          <w:p w14:paraId="0AFD705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审批文件：关于对《轮台工业园区国土空间专项规划（2024—2035年）》的批复，2025年2月12日，轮台县人民政府</w:t>
            </w:r>
          </w:p>
        </w:tc>
      </w:tr>
      <w:tr w14:paraId="332DC6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79" w:type="dxa"/>
            <w:noWrap w:val="0"/>
            <w:vAlign w:val="center"/>
          </w:tcPr>
          <w:p w14:paraId="08DB4664">
            <w:pPr>
              <w:adjustRightInd w:val="0"/>
              <w:snapToGrid w:val="0"/>
              <w:jc w:val="center"/>
              <w:rPr>
                <w:rFonts w:ascii="宋体" w:hAnsi="宋体" w:cs="宋体"/>
                <w:color w:val="auto"/>
                <w:szCs w:val="21"/>
              </w:rPr>
            </w:pPr>
            <w:r>
              <w:rPr>
                <w:rFonts w:hint="eastAsia" w:ascii="宋体" w:hAnsi="宋体" w:cs="宋体"/>
                <w:color w:val="auto"/>
                <w:szCs w:val="21"/>
              </w:rPr>
              <w:t>规划环境影响</w:t>
            </w:r>
          </w:p>
          <w:p w14:paraId="654F12E3">
            <w:pPr>
              <w:adjustRightInd w:val="0"/>
              <w:snapToGrid w:val="0"/>
              <w:jc w:val="center"/>
              <w:rPr>
                <w:rFonts w:hint="eastAsia" w:ascii="宋体" w:hAnsi="宋体" w:cs="宋体"/>
                <w:color w:val="auto"/>
                <w:kern w:val="0"/>
                <w:szCs w:val="21"/>
              </w:rPr>
            </w:pPr>
            <w:r>
              <w:rPr>
                <w:rFonts w:hint="eastAsia" w:ascii="宋体" w:hAnsi="宋体" w:cs="宋体"/>
                <w:color w:val="auto"/>
                <w:szCs w:val="21"/>
              </w:rPr>
              <w:t>评价情况</w:t>
            </w:r>
          </w:p>
        </w:tc>
        <w:tc>
          <w:tcPr>
            <w:tcW w:w="6482" w:type="dxa"/>
            <w:gridSpan w:val="3"/>
            <w:noWrap w:val="0"/>
            <w:vAlign w:val="center"/>
          </w:tcPr>
          <w:p w14:paraId="022F8851">
            <w:pPr>
              <w:pStyle w:val="18"/>
              <w:ind w:left="420" w:hanging="420"/>
              <w:jc w:val="center"/>
              <w:rPr>
                <w:rFonts w:hint="eastAsia" w:ascii="宋体" w:hAnsi="宋体" w:cs="宋体"/>
                <w:color w:val="auto"/>
                <w:kern w:val="0"/>
                <w:sz w:val="21"/>
                <w:szCs w:val="21"/>
              </w:rPr>
            </w:pPr>
            <w:r>
              <w:rPr>
                <w:rFonts w:hint="eastAsia" w:ascii="宋体" w:hAnsi="宋体" w:cs="宋体"/>
                <w:color w:val="auto"/>
                <w:kern w:val="0"/>
                <w:sz w:val="21"/>
                <w:szCs w:val="21"/>
              </w:rPr>
              <w:t>规划环评名称：《轮台工业园区国土空间专项规划（2024-2035年）环境影响报告书》</w:t>
            </w:r>
          </w:p>
          <w:p w14:paraId="2454669D">
            <w:pPr>
              <w:pStyle w:val="18"/>
              <w:ind w:left="420" w:hanging="420"/>
              <w:jc w:val="center"/>
              <w:rPr>
                <w:rFonts w:hint="eastAsia" w:ascii="宋体" w:hAnsi="宋体" w:cs="宋体"/>
                <w:color w:val="auto"/>
                <w:kern w:val="0"/>
                <w:sz w:val="21"/>
                <w:szCs w:val="21"/>
              </w:rPr>
            </w:pPr>
            <w:r>
              <w:rPr>
                <w:rFonts w:hint="eastAsia" w:ascii="宋体" w:hAnsi="宋体" w:cs="宋体"/>
                <w:color w:val="auto"/>
                <w:kern w:val="0"/>
                <w:sz w:val="21"/>
                <w:szCs w:val="21"/>
              </w:rPr>
              <w:t>审查机关：新疆维吾尔自治区生态环境厅</w:t>
            </w:r>
          </w:p>
          <w:p w14:paraId="2BDB99F8">
            <w:pPr>
              <w:pStyle w:val="18"/>
              <w:ind w:left="420" w:hanging="420"/>
              <w:jc w:val="center"/>
              <w:rPr>
                <w:rFonts w:hint="eastAsia" w:ascii="宋体" w:hAnsi="宋体" w:cs="宋体"/>
                <w:color w:val="auto"/>
                <w:kern w:val="0"/>
                <w:sz w:val="21"/>
                <w:szCs w:val="21"/>
              </w:rPr>
            </w:pPr>
            <w:r>
              <w:rPr>
                <w:rFonts w:hint="eastAsia" w:ascii="宋体" w:hAnsi="宋体" w:cs="宋体"/>
                <w:color w:val="auto"/>
                <w:kern w:val="0"/>
                <w:sz w:val="21"/>
                <w:szCs w:val="21"/>
              </w:rPr>
              <w:t>审查文件名称及文号：关于对《轮台工业园区国土空间专项规划（2024-2035年）环境影响报告书》的</w:t>
            </w:r>
            <w:r>
              <w:rPr>
                <w:rFonts w:hint="eastAsia" w:ascii="宋体" w:hAnsi="宋体" w:cs="宋体"/>
                <w:color w:val="auto"/>
                <w:kern w:val="0"/>
                <w:sz w:val="21"/>
                <w:szCs w:val="21"/>
                <w:lang w:val="en-US" w:eastAsia="zh-CN"/>
              </w:rPr>
              <w:t>审查意见</w:t>
            </w:r>
          </w:p>
          <w:p w14:paraId="6F7E62FC">
            <w:pPr>
              <w:pStyle w:val="18"/>
              <w:ind w:left="420" w:hanging="420"/>
              <w:jc w:val="center"/>
              <w:rPr>
                <w:rFonts w:hint="eastAsia" w:ascii="宋体" w:hAnsi="宋体" w:cs="宋体"/>
                <w:color w:val="auto"/>
                <w:kern w:val="0"/>
                <w:sz w:val="21"/>
                <w:szCs w:val="21"/>
              </w:rPr>
            </w:pPr>
            <w:r>
              <w:rPr>
                <w:rFonts w:hint="eastAsia" w:ascii="宋体" w:hAnsi="宋体" w:cs="宋体"/>
                <w:color w:val="auto"/>
                <w:kern w:val="0"/>
                <w:sz w:val="21"/>
                <w:szCs w:val="21"/>
              </w:rPr>
              <w:t>文号：新环审〔2025〕135号</w:t>
            </w:r>
          </w:p>
        </w:tc>
      </w:tr>
      <w:tr w14:paraId="09AD7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2379" w:type="dxa"/>
            <w:noWrap w:val="0"/>
            <w:vAlign w:val="center"/>
          </w:tcPr>
          <w:p w14:paraId="01ADBE84">
            <w:pPr>
              <w:autoSpaceDE w:val="0"/>
              <w:autoSpaceDN w:val="0"/>
              <w:adjustRightInd w:val="0"/>
              <w:snapToGrid w:val="0"/>
              <w:jc w:val="center"/>
              <w:rPr>
                <w:rFonts w:hint="eastAsia" w:ascii="宋体" w:hAnsi="宋体" w:cs="宋体"/>
                <w:kern w:val="0"/>
                <w:szCs w:val="21"/>
              </w:rPr>
            </w:pPr>
            <w:r>
              <w:rPr>
                <w:rFonts w:hint="eastAsia" w:ascii="宋体" w:hAnsi="宋体" w:cs="宋体"/>
                <w:kern w:val="0"/>
                <w:szCs w:val="21"/>
              </w:rPr>
              <w:t>规划及规划环境</w:t>
            </w:r>
          </w:p>
          <w:p w14:paraId="270C39CA">
            <w:pPr>
              <w:autoSpaceDE w:val="0"/>
              <w:autoSpaceDN w:val="0"/>
              <w:adjustRightInd w:val="0"/>
              <w:snapToGrid w:val="0"/>
              <w:jc w:val="center"/>
              <w:rPr>
                <w:rFonts w:ascii="宋体" w:hAnsi="宋体" w:cs="宋体"/>
                <w:kern w:val="0"/>
                <w:szCs w:val="21"/>
              </w:rPr>
            </w:pPr>
            <w:r>
              <w:rPr>
                <w:rFonts w:hint="eastAsia" w:ascii="宋体" w:hAnsi="宋体" w:cs="宋体"/>
                <w:kern w:val="0"/>
                <w:szCs w:val="21"/>
              </w:rPr>
              <w:t>影响评价符合性分析</w:t>
            </w:r>
          </w:p>
        </w:tc>
        <w:tc>
          <w:tcPr>
            <w:tcW w:w="6482" w:type="dxa"/>
            <w:gridSpan w:val="3"/>
            <w:noWrap w:val="0"/>
            <w:vAlign w:val="center"/>
          </w:tcPr>
          <w:p w14:paraId="2BB02321">
            <w:pPr>
              <w:spacing w:line="520" w:lineRule="exact"/>
              <w:ind w:firstLine="482" w:firstLineChars="200"/>
              <w:rPr>
                <w:rFonts w:hint="default" w:ascii="宋体" w:hAnsi="宋体" w:eastAsia="宋体" w:cs="宋体"/>
                <w:b/>
                <w:bCs/>
                <w:color w:val="auto"/>
                <w:sz w:val="24"/>
                <w:lang w:val="en-US" w:eastAsia="zh-CN"/>
              </w:rPr>
            </w:pPr>
            <w:r>
              <w:rPr>
                <w:rFonts w:hint="default" w:ascii="宋体" w:hAnsi="宋体" w:eastAsia="宋体" w:cs="宋体"/>
                <w:b/>
                <w:bCs/>
                <w:color w:val="auto"/>
                <w:sz w:val="24"/>
                <w:lang w:val="en-US" w:eastAsia="zh-CN"/>
              </w:rPr>
              <w:t>1 规划符合性分析</w:t>
            </w:r>
          </w:p>
          <w:p w14:paraId="53C53E3D">
            <w:pPr>
              <w:spacing w:line="520" w:lineRule="exact"/>
              <w:ind w:firstLine="480" w:firstLineChars="200"/>
              <w:rPr>
                <w:rFonts w:hint="default" w:eastAsia="宋体" w:cs="宋体" w:asciiTheme="minorAscii" w:hAnsiTheme="minorAscii"/>
                <w:color w:val="auto"/>
                <w:sz w:val="24"/>
                <w:lang w:val="en-US" w:eastAsia="zh-CN"/>
              </w:rPr>
            </w:pPr>
            <w:r>
              <w:rPr>
                <w:rFonts w:hint="default" w:eastAsia="宋体" w:cs="宋体" w:asciiTheme="minorAscii" w:hAnsiTheme="minorAscii"/>
                <w:color w:val="auto"/>
                <w:sz w:val="24"/>
                <w:lang w:val="en-US" w:eastAsia="zh-CN"/>
              </w:rPr>
              <w:t>与《轮台工业园区国土空间专项规划（2024—2035年）》符合性分析</w:t>
            </w:r>
          </w:p>
          <w:p w14:paraId="20454DAB">
            <w:pPr>
              <w:spacing w:line="520" w:lineRule="exact"/>
              <w:ind w:firstLine="480" w:firstLineChars="200"/>
              <w:rPr>
                <w:rFonts w:hint="default" w:eastAsia="宋体" w:cs="宋体" w:asciiTheme="minorAscii" w:hAnsiTheme="minorAscii"/>
                <w:color w:val="auto"/>
                <w:sz w:val="24"/>
                <w:lang w:val="en-US" w:eastAsia="zh-CN"/>
              </w:rPr>
            </w:pPr>
            <w:r>
              <w:rPr>
                <w:rFonts w:hint="default" w:eastAsia="宋体" w:cs="宋体" w:asciiTheme="minorAscii" w:hAnsiTheme="minorAscii"/>
                <w:color w:val="auto"/>
                <w:sz w:val="24"/>
                <w:lang w:val="en-US" w:eastAsia="zh-CN"/>
              </w:rPr>
              <w:t>《轮台工业园区国土空间专项规划（2024—2035年）》于2025年2月12日取得轮台县人民政府审批意见。规划批复园区范围34.8km²，采用“一园两区”布局模式，分为拉依苏石油化工区（县城以西20km）、红桥石油服务区（县城东部），本项目选址位于红桥石油服务区农产品加工区（详见附图6、附图7）。</w:t>
            </w:r>
          </w:p>
          <w:p w14:paraId="31E42B13">
            <w:pPr>
              <w:spacing w:line="520" w:lineRule="exact"/>
              <w:ind w:firstLine="480" w:firstLineChars="200"/>
              <w:rPr>
                <w:rFonts w:hint="default" w:eastAsia="宋体" w:cs="宋体" w:asciiTheme="minorAscii" w:hAnsiTheme="minorAscii"/>
                <w:color w:val="auto"/>
                <w:sz w:val="24"/>
                <w:lang w:val="en-US" w:eastAsia="zh-CN"/>
              </w:rPr>
            </w:pPr>
            <w:r>
              <w:rPr>
                <w:rFonts w:hint="default" w:cs="宋体" w:asciiTheme="minorAscii" w:hAnsiTheme="minorAscii"/>
                <w:color w:val="auto"/>
                <w:sz w:val="24"/>
                <w:lang w:val="en-US" w:eastAsia="zh-CN"/>
              </w:rPr>
              <w:t>1.</w:t>
            </w:r>
            <w:r>
              <w:rPr>
                <w:rFonts w:hint="default" w:eastAsia="宋体" w:cs="宋体" w:asciiTheme="minorAscii" w:hAnsiTheme="minorAscii"/>
                <w:color w:val="auto"/>
                <w:sz w:val="24"/>
                <w:lang w:val="en-US" w:eastAsia="zh-CN"/>
              </w:rPr>
              <w:t>土地利用符合性</w:t>
            </w:r>
          </w:p>
          <w:p w14:paraId="7645E935">
            <w:pPr>
              <w:spacing w:line="520" w:lineRule="exact"/>
              <w:ind w:firstLine="480" w:firstLineChars="200"/>
              <w:rPr>
                <w:rFonts w:hint="default" w:eastAsia="宋体" w:cs="宋体" w:asciiTheme="minorAscii" w:hAnsiTheme="minorAscii"/>
                <w:color w:val="auto"/>
                <w:sz w:val="24"/>
                <w:lang w:val="en-US" w:eastAsia="zh-CN"/>
              </w:rPr>
            </w:pPr>
            <w:r>
              <w:rPr>
                <w:rFonts w:hint="default" w:eastAsia="宋体" w:cs="宋体" w:asciiTheme="minorAscii" w:hAnsiTheme="minorAscii"/>
                <w:color w:val="auto"/>
                <w:sz w:val="24"/>
                <w:lang w:val="en-US" w:eastAsia="zh-CN"/>
              </w:rPr>
              <w:t>本项目选址位于红桥石油服务区规划国有工业用地范围内，用地规划性质为工业用地，用地权属清晰；项目占地不涉及生态保护红线、永久基本农田等法定禁止开发区域，用地规模、用地类型满足园区国土空间用地管控要求，土地利用符合规划。</w:t>
            </w:r>
          </w:p>
          <w:p w14:paraId="59AD93A0">
            <w:pPr>
              <w:spacing w:line="520" w:lineRule="exact"/>
              <w:ind w:firstLine="480" w:firstLineChars="200"/>
              <w:rPr>
                <w:rFonts w:hint="default" w:eastAsia="宋体" w:cs="宋体" w:asciiTheme="minorAscii" w:hAnsiTheme="minorAscii"/>
                <w:color w:val="auto"/>
                <w:sz w:val="24"/>
                <w:lang w:val="en-US" w:eastAsia="zh-CN"/>
              </w:rPr>
            </w:pPr>
            <w:r>
              <w:rPr>
                <w:rFonts w:hint="default" w:cs="宋体" w:asciiTheme="minorAscii" w:hAnsiTheme="minorAscii"/>
                <w:color w:val="auto"/>
                <w:sz w:val="24"/>
                <w:lang w:val="en-US" w:eastAsia="zh-CN"/>
              </w:rPr>
              <w:t>2.</w:t>
            </w:r>
            <w:r>
              <w:rPr>
                <w:rFonts w:hint="default" w:eastAsia="宋体" w:cs="宋体" w:asciiTheme="minorAscii" w:hAnsiTheme="minorAscii"/>
                <w:color w:val="auto"/>
                <w:sz w:val="24"/>
                <w:lang w:val="en-US" w:eastAsia="zh-CN"/>
              </w:rPr>
              <w:t>产业布局及入区企业准入符合性</w:t>
            </w:r>
          </w:p>
          <w:p w14:paraId="78A4B8F9">
            <w:pPr>
              <w:spacing w:line="520" w:lineRule="exact"/>
              <w:ind w:firstLine="480" w:firstLineChars="200"/>
              <w:rPr>
                <w:rFonts w:hint="default" w:eastAsia="宋体" w:cs="宋体" w:asciiTheme="minorAscii" w:hAnsiTheme="minorAscii"/>
                <w:color w:val="auto"/>
                <w:sz w:val="24"/>
                <w:lang w:val="en-US" w:eastAsia="zh-CN"/>
              </w:rPr>
            </w:pPr>
            <w:r>
              <w:rPr>
                <w:rFonts w:hint="default" w:eastAsia="宋体" w:cs="宋体" w:asciiTheme="minorAscii" w:hAnsiTheme="minorAscii"/>
                <w:color w:val="auto"/>
                <w:sz w:val="24"/>
                <w:lang w:val="en-US" w:eastAsia="zh-CN"/>
              </w:rPr>
              <w:t>红桥石油服务区规划重点发展油田配套、农产品配套轻工、仓储物流、装备加工产业，其中农产品加工区重点承接本地农产品延伸配套轻工产业。轮台县支柱农产品为棉花，棉花打包膜属于机采棉采收、轧花、仓储、转运环节必需的专用配套包装耗材，为本县棉花产业链直接配套产品。</w:t>
            </w:r>
          </w:p>
          <w:p w14:paraId="3AEE7014">
            <w:pPr>
              <w:spacing w:line="520" w:lineRule="exact"/>
              <w:ind w:firstLine="480" w:firstLineChars="200"/>
              <w:rPr>
                <w:rFonts w:hint="default" w:eastAsia="宋体" w:cs="宋体" w:asciiTheme="minorAscii" w:hAnsiTheme="minorAscii"/>
                <w:color w:val="auto"/>
                <w:sz w:val="24"/>
                <w:lang w:val="en-US" w:eastAsia="zh-CN"/>
              </w:rPr>
            </w:pPr>
            <w:r>
              <w:rPr>
                <w:rFonts w:hint="default" w:eastAsia="宋体" w:cs="宋体" w:asciiTheme="minorAscii" w:hAnsiTheme="minorAscii"/>
                <w:color w:val="auto"/>
                <w:sz w:val="24"/>
                <w:lang w:val="en-US" w:eastAsia="zh-CN"/>
              </w:rPr>
              <w:t>规划及规划环评明确红桥片区入区企业管控要求：片区以低污染轻工、农业配套产业为主，适度允许低VOCs塑料加工类项目入区，优先鼓励采用水性工艺；拉依苏石油化工区严格限制VOCs、重化工类项目。</w:t>
            </w:r>
          </w:p>
          <w:p w14:paraId="6800E7C1">
            <w:pPr>
              <w:spacing w:line="520" w:lineRule="exact"/>
              <w:ind w:firstLine="480" w:firstLineChars="200"/>
              <w:rPr>
                <w:rFonts w:hint="default" w:eastAsia="宋体" w:cs="宋体" w:asciiTheme="minorAscii" w:hAnsiTheme="minorAscii"/>
                <w:color w:val="auto"/>
                <w:sz w:val="24"/>
                <w:lang w:val="en-US" w:eastAsia="zh-CN"/>
              </w:rPr>
            </w:pPr>
            <w:r>
              <w:rPr>
                <w:rFonts w:hint="default" w:eastAsia="宋体" w:cs="宋体" w:asciiTheme="minorAscii" w:hAnsiTheme="minorAscii"/>
                <w:color w:val="auto"/>
                <w:sz w:val="24"/>
                <w:lang w:val="en-US" w:eastAsia="zh-CN"/>
              </w:rPr>
              <w:t>本项目生产原料为PE颗粒、水性低VOCs胶，仅开展塑料吹膜、水性胶涂布物理加工，无化工合成、化学反应工序，属于棉花产业链配套轻工制造项目；项目采用水性涂胶工艺，不使用有机溶剂，VOCs产生强度远低于溶剂型涂布、化工合成类项目，</w:t>
            </w:r>
            <w:r>
              <w:rPr>
                <w:rFonts w:hint="default" w:cs="宋体" w:asciiTheme="minorAscii" w:hAnsiTheme="minorAscii"/>
                <w:color w:val="auto"/>
                <w:sz w:val="24"/>
                <w:lang w:val="en-US" w:eastAsia="zh-CN"/>
              </w:rPr>
              <w:t>符合</w:t>
            </w:r>
            <w:r>
              <w:rPr>
                <w:rFonts w:hint="default" w:eastAsia="宋体" w:cs="宋体" w:asciiTheme="minorAscii" w:hAnsiTheme="minorAscii"/>
                <w:color w:val="auto"/>
                <w:sz w:val="24"/>
                <w:lang w:val="en-US" w:eastAsia="zh-CN"/>
              </w:rPr>
              <w:t>片区“低VOCs塑料加工（水性工艺优先）”的入区导向。</w:t>
            </w:r>
          </w:p>
          <w:p w14:paraId="7CAF5FA4">
            <w:pPr>
              <w:spacing w:line="520" w:lineRule="exact"/>
              <w:ind w:firstLine="480" w:firstLineChars="200"/>
              <w:rPr>
                <w:rFonts w:hint="default" w:eastAsia="宋体" w:cs="宋体" w:asciiTheme="minorAscii" w:hAnsiTheme="minorAscii"/>
                <w:color w:val="auto"/>
                <w:sz w:val="24"/>
                <w:lang w:val="en-US" w:eastAsia="zh-CN"/>
              </w:rPr>
            </w:pPr>
            <w:r>
              <w:rPr>
                <w:rFonts w:hint="default" w:eastAsia="宋体" w:cs="宋体" w:asciiTheme="minorAscii" w:hAnsiTheme="minorAscii"/>
                <w:color w:val="auto"/>
                <w:sz w:val="24"/>
                <w:lang w:val="en-US" w:eastAsia="zh-CN"/>
              </w:rPr>
              <w:t>项目不属于煤化工、“两高”重化工等禁止、限制入园产业，产业方向与红桥石油服务区农产品加工区产业定位匹配，分区产业布局无冲突，满足园区入区企业产业准入条件。</w:t>
            </w:r>
          </w:p>
          <w:p w14:paraId="7EE7E99C">
            <w:pPr>
              <w:spacing w:line="520" w:lineRule="exact"/>
              <w:ind w:firstLine="480" w:firstLineChars="200"/>
              <w:rPr>
                <w:rFonts w:hint="default" w:eastAsia="宋体" w:cs="宋体" w:asciiTheme="minorAscii" w:hAnsiTheme="minorAscii"/>
                <w:color w:val="auto"/>
                <w:sz w:val="24"/>
                <w:lang w:val="en-US" w:eastAsia="zh-CN"/>
              </w:rPr>
            </w:pPr>
            <w:r>
              <w:rPr>
                <w:rFonts w:hint="default" w:eastAsia="宋体" w:cs="宋体" w:asciiTheme="minorAscii" w:hAnsiTheme="minorAscii"/>
                <w:color w:val="auto"/>
                <w:sz w:val="24"/>
                <w:lang w:val="en-US" w:eastAsia="zh-CN"/>
              </w:rPr>
              <w:t>3</w:t>
            </w:r>
            <w:r>
              <w:rPr>
                <w:rFonts w:hint="default" w:cs="宋体" w:asciiTheme="minorAscii" w:hAnsiTheme="minorAscii"/>
                <w:color w:val="auto"/>
                <w:sz w:val="24"/>
                <w:lang w:val="en-US" w:eastAsia="zh-CN"/>
              </w:rPr>
              <w:t>.</w:t>
            </w:r>
            <w:r>
              <w:rPr>
                <w:rFonts w:hint="default" w:eastAsia="宋体" w:cs="宋体" w:asciiTheme="minorAscii" w:hAnsiTheme="minorAscii"/>
                <w:color w:val="auto"/>
                <w:sz w:val="24"/>
                <w:lang w:val="en-US" w:eastAsia="zh-CN"/>
              </w:rPr>
              <w:t>规划环评审查意见符合性</w:t>
            </w:r>
          </w:p>
          <w:p w14:paraId="502BF2A7">
            <w:pPr>
              <w:spacing w:line="520" w:lineRule="exact"/>
              <w:ind w:firstLine="480" w:firstLineChars="200"/>
              <w:rPr>
                <w:rFonts w:hint="default" w:eastAsia="宋体" w:cs="宋体" w:asciiTheme="minorAscii" w:hAnsiTheme="minorAscii"/>
                <w:color w:val="auto"/>
                <w:sz w:val="24"/>
                <w:lang w:val="en-US" w:eastAsia="zh-CN"/>
              </w:rPr>
            </w:pPr>
            <w:r>
              <w:rPr>
                <w:rFonts w:hint="default" w:eastAsia="宋体" w:cs="宋体" w:asciiTheme="minorAscii" w:hAnsiTheme="minorAscii"/>
                <w:color w:val="auto"/>
                <w:sz w:val="24"/>
                <w:lang w:val="en-US" w:eastAsia="zh-CN"/>
              </w:rPr>
              <w:t>规划环评审查意见提出：严格管控区域污染物排放，控制开发强度，落实污染物总量控制与减排任务；强化颗粒物、NOₓ、VOCs等污染物减排，污染物排放执行国家及自治区现行有效排放标准；落实减污降碳协同控制，严格管控温室气体排放，做好环境风险防控。</w:t>
            </w:r>
          </w:p>
          <w:p w14:paraId="370CA0F8">
            <w:pPr>
              <w:spacing w:line="520" w:lineRule="exact"/>
              <w:ind w:firstLine="480" w:firstLineChars="200"/>
              <w:rPr>
                <w:rFonts w:hint="default"/>
                <w:lang w:val="en-US" w:eastAsia="zh-CN"/>
              </w:rPr>
            </w:pPr>
            <w:r>
              <w:rPr>
                <w:rFonts w:hint="default" w:eastAsia="宋体" w:cs="宋体" w:asciiTheme="minorAscii" w:hAnsiTheme="minorAscii"/>
                <w:color w:val="auto"/>
                <w:sz w:val="24"/>
                <w:lang w:val="en-US" w:eastAsia="zh-CN"/>
              </w:rPr>
              <w:t>本项目采用水性低VOCs生产工艺，生产过程废气、废水、固体废物均配套建设对应的污染治理设施，污染物能够实现稳定达标排放；项目资源能耗水平较低，污染物产排强度小，环境影响轻微；项目按要求落实VOCs、颗粒物等污染物减排，落实减污降碳、环境风险防控相关措施，满足规划环评审查意见、分区环境管控、“三线一单” 管控约束，与园区环境保护总体目标协调一致。</w:t>
            </w:r>
          </w:p>
        </w:tc>
      </w:tr>
      <w:tr w14:paraId="4F7676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79" w:type="dxa"/>
            <w:noWrap w:val="0"/>
            <w:vAlign w:val="center"/>
          </w:tcPr>
          <w:p w14:paraId="56DF4EB5">
            <w:pPr>
              <w:autoSpaceDE w:val="0"/>
              <w:autoSpaceDN w:val="0"/>
              <w:adjustRightInd w:val="0"/>
              <w:snapToGrid w:val="0"/>
              <w:jc w:val="center"/>
              <w:rPr>
                <w:rFonts w:hint="eastAsia" w:ascii="宋体" w:hAnsi="宋体" w:cs="宋体"/>
                <w:kern w:val="0"/>
                <w:szCs w:val="21"/>
              </w:rPr>
            </w:pPr>
            <w:r>
              <w:rPr>
                <w:rFonts w:hint="eastAsia" w:ascii="宋体" w:hAnsi="宋体" w:cs="宋体"/>
                <w:kern w:val="0"/>
                <w:szCs w:val="21"/>
              </w:rPr>
              <w:t>其他符合性分析</w:t>
            </w:r>
          </w:p>
        </w:tc>
        <w:tc>
          <w:tcPr>
            <w:tcW w:w="6482" w:type="dxa"/>
            <w:gridSpan w:val="3"/>
            <w:noWrap w:val="0"/>
            <w:vAlign w:val="center"/>
          </w:tcPr>
          <w:p w14:paraId="0093352D">
            <w:pPr>
              <w:spacing w:line="520" w:lineRule="exact"/>
              <w:rPr>
                <w:rFonts w:hAnsi="宋体" w:cs="宋体"/>
                <w:color w:val="auto"/>
                <w:sz w:val="24"/>
              </w:rPr>
            </w:pPr>
            <w:r>
              <w:rPr>
                <w:rFonts w:hint="eastAsia" w:cs="宋体"/>
                <w:b/>
                <w:kern w:val="0"/>
                <w:sz w:val="24"/>
                <w:lang w:eastAsia="zh-CN"/>
              </w:rPr>
              <w:t>1.</w:t>
            </w:r>
            <w:r>
              <w:rPr>
                <w:rFonts w:hint="eastAsia" w:cs="宋体"/>
                <w:b/>
                <w:color w:val="auto"/>
                <w:kern w:val="0"/>
                <w:sz w:val="24"/>
              </w:rPr>
              <w:t>生态环境分区管控要求</w:t>
            </w:r>
            <w:r>
              <w:rPr>
                <w:rFonts w:hint="eastAsia" w:hAnsi="宋体" w:cs="宋体"/>
                <w:b/>
                <w:color w:val="auto"/>
                <w:kern w:val="0"/>
                <w:sz w:val="24"/>
              </w:rPr>
              <w:t>符合性分析</w:t>
            </w:r>
          </w:p>
          <w:p w14:paraId="4A4839D2">
            <w:pPr>
              <w:spacing w:line="520" w:lineRule="exact"/>
              <w:ind w:firstLine="480" w:firstLineChars="200"/>
              <w:rPr>
                <w:rFonts w:hint="eastAsia" w:eastAsia="宋体"/>
                <w:b/>
                <w:color w:val="auto"/>
                <w:kern w:val="0"/>
                <w:sz w:val="24"/>
                <w:lang w:val="en-US" w:eastAsia="zh-CN" w:bidi="ar"/>
              </w:rPr>
            </w:pPr>
            <w:r>
              <w:rPr>
                <w:rFonts w:hint="eastAsia" w:ascii="宋体" w:hAnsi="宋体" w:cs="宋体"/>
                <w:color w:val="auto"/>
                <w:sz w:val="24"/>
              </w:rPr>
              <w:t>（1）</w:t>
            </w:r>
            <w:r>
              <w:rPr>
                <w:rFonts w:hint="eastAsia" w:ascii="Calibri" w:hAnsi="Calibri" w:eastAsia="宋体" w:cs="Calibri"/>
                <w:spacing w:val="0"/>
                <w:sz w:val="24"/>
                <w:szCs w:val="24"/>
                <w:lang w:val="en-US" w:eastAsia="zh-CN"/>
              </w:rPr>
              <w:t>项目</w:t>
            </w:r>
            <w:r>
              <w:rPr>
                <w:rFonts w:hint="default" w:ascii="Calibri" w:hAnsi="Calibri" w:eastAsia="宋体" w:cs="Calibri"/>
                <w:spacing w:val="0"/>
                <w:sz w:val="24"/>
                <w:szCs w:val="24"/>
              </w:rPr>
              <w:t>与《关于印发〈新疆维吾尔自治区生态环境分区管控动态更新成果〉的通知》（新环环评发〔2024〕157号）的相符性分析如下</w:t>
            </w:r>
            <w:r>
              <w:rPr>
                <w:rFonts w:hint="eastAsia" w:ascii="宋体" w:hAnsi="宋体" w:cs="宋体"/>
                <w:color w:val="auto"/>
                <w:sz w:val="24"/>
                <w:lang w:eastAsia="zh-CN"/>
              </w:rPr>
              <w:t>。</w:t>
            </w:r>
          </w:p>
          <w:p w14:paraId="7AA379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lang w:eastAsia="zh-CN"/>
              </w:rPr>
              <w:t>表</w:t>
            </w:r>
            <w:r>
              <w:rPr>
                <w:rFonts w:hint="eastAsia" w:ascii="Times New Roman" w:hAnsi="Times New Roman" w:eastAsia="宋体" w:cs="Times New Roman"/>
                <w:b/>
                <w:bCs/>
                <w:color w:val="auto"/>
                <w:sz w:val="24"/>
                <w:szCs w:val="24"/>
                <w:lang w:val="en-US" w:eastAsia="zh-CN"/>
              </w:rPr>
              <w:t>1-</w:t>
            </w:r>
            <w:r>
              <w:rPr>
                <w:rFonts w:hint="eastAsia" w:eastAsia="Times New Roman" w:cs="Times New Roman"/>
                <w:b/>
                <w:bCs/>
                <w:color w:val="auto"/>
                <w:sz w:val="24"/>
                <w:szCs w:val="24"/>
                <w:lang w:val="en-US" w:eastAsia="zh-CN"/>
              </w:rPr>
              <w:t xml:space="preserve">1 </w:t>
            </w:r>
            <w:r>
              <w:rPr>
                <w:rFonts w:hint="eastAsia"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lang w:val="en-US" w:eastAsia="zh-CN"/>
              </w:rPr>
              <w:t>《</w:t>
            </w:r>
            <w:r>
              <w:rPr>
                <w:rFonts w:hint="eastAsia" w:ascii="Times New Roman" w:hAnsi="Times New Roman" w:eastAsia="宋体" w:cs="Times New Roman"/>
                <w:b/>
                <w:bCs/>
                <w:color w:val="auto"/>
                <w:sz w:val="24"/>
                <w:szCs w:val="24"/>
                <w:lang w:val="en-US" w:eastAsia="zh-CN"/>
              </w:rPr>
              <w:t>新疆维吾尔自治区生态环境</w:t>
            </w:r>
            <w:r>
              <w:rPr>
                <w:rFonts w:hint="default" w:ascii="Times New Roman" w:hAnsi="Times New Roman" w:eastAsia="宋体" w:cs="Times New Roman"/>
                <w:b/>
                <w:bCs/>
                <w:color w:val="auto"/>
                <w:sz w:val="24"/>
                <w:szCs w:val="24"/>
                <w:lang w:val="en-US" w:eastAsia="zh-CN"/>
              </w:rPr>
              <w:t>分区管控成果动态更新》</w:t>
            </w:r>
            <w:r>
              <w:rPr>
                <w:rFonts w:hint="default" w:ascii="Times New Roman" w:hAnsi="Times New Roman" w:eastAsia="宋体" w:cs="Times New Roman"/>
                <w:b/>
                <w:bCs/>
                <w:color w:val="auto"/>
                <w:sz w:val="24"/>
                <w:szCs w:val="24"/>
                <w:lang w:eastAsia="zh-CN"/>
              </w:rPr>
              <w:t>符合</w:t>
            </w:r>
            <w:r>
              <w:rPr>
                <w:rFonts w:hint="eastAsia" w:ascii="Times New Roman" w:hAnsi="Times New Roman" w:eastAsia="宋体" w:cs="Times New Roman"/>
                <w:b/>
                <w:bCs/>
                <w:color w:val="auto"/>
                <w:sz w:val="24"/>
                <w:szCs w:val="24"/>
                <w:lang w:val="en-US" w:eastAsia="zh-CN"/>
              </w:rPr>
              <w:t>性</w:t>
            </w:r>
            <w:r>
              <w:rPr>
                <w:rFonts w:hint="default" w:ascii="Times New Roman" w:hAnsi="Times New Roman" w:eastAsia="宋体" w:cs="Times New Roman"/>
                <w:b/>
                <w:bCs/>
                <w:color w:val="auto"/>
                <w:sz w:val="24"/>
                <w:szCs w:val="24"/>
                <w:lang w:eastAsia="zh-CN"/>
              </w:rPr>
              <w:t>分析</w:t>
            </w:r>
          </w:p>
          <w:tbl>
            <w:tblPr>
              <w:tblStyle w:val="24"/>
              <w:tblW w:w="6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86"/>
              <w:gridCol w:w="547"/>
              <w:gridCol w:w="2615"/>
              <w:gridCol w:w="1953"/>
              <w:gridCol w:w="552"/>
            </w:tblGrid>
            <w:tr w14:paraId="4228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2" w:hRule="atLeast"/>
                <w:jc w:val="center"/>
              </w:trPr>
              <w:tc>
                <w:tcPr>
                  <w:tcW w:w="1133" w:type="dxa"/>
                  <w:gridSpan w:val="2"/>
                  <w:tcBorders>
                    <w:tl2br w:val="nil"/>
                    <w:tr2bl w:val="nil"/>
                  </w:tcBorders>
                  <w:noWrap w:val="0"/>
                  <w:vAlign w:val="center"/>
                </w:tcPr>
                <w:p w14:paraId="7E549957">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default" w:ascii="Calibri" w:hAnsi="Calibri" w:eastAsia="宋体" w:cs="Calibri"/>
                      <w:snapToGrid/>
                      <w:color w:val="000000"/>
                      <w:kern w:val="0"/>
                      <w:sz w:val="21"/>
                      <w:szCs w:val="21"/>
                      <w:lang w:val="en-US" w:eastAsia="zh-CN"/>
                    </w:rPr>
                    <w:t>管控维度</w:t>
                  </w:r>
                </w:p>
              </w:tc>
              <w:tc>
                <w:tcPr>
                  <w:tcW w:w="2615" w:type="dxa"/>
                  <w:tcBorders>
                    <w:tl2br w:val="nil"/>
                    <w:tr2bl w:val="nil"/>
                  </w:tcBorders>
                  <w:noWrap w:val="0"/>
                  <w:vAlign w:val="center"/>
                </w:tcPr>
                <w:p w14:paraId="798DD319">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default" w:ascii="Calibri" w:hAnsi="Calibri" w:eastAsia="宋体" w:cs="Calibri"/>
                      <w:snapToGrid/>
                      <w:color w:val="000000"/>
                      <w:kern w:val="0"/>
                      <w:sz w:val="21"/>
                      <w:szCs w:val="21"/>
                      <w:lang w:val="en-US" w:eastAsia="zh-CN"/>
                    </w:rPr>
                    <w:t>管控要求</w:t>
                  </w:r>
                </w:p>
              </w:tc>
              <w:tc>
                <w:tcPr>
                  <w:tcW w:w="1953" w:type="dxa"/>
                  <w:tcBorders>
                    <w:tl2br w:val="nil"/>
                    <w:tr2bl w:val="nil"/>
                  </w:tcBorders>
                  <w:noWrap w:val="0"/>
                  <w:vAlign w:val="center"/>
                </w:tcPr>
                <w:p w14:paraId="6CBD8528">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本项目</w:t>
                  </w:r>
                </w:p>
              </w:tc>
              <w:tc>
                <w:tcPr>
                  <w:tcW w:w="552" w:type="dxa"/>
                  <w:tcBorders>
                    <w:tl2br w:val="nil"/>
                    <w:tr2bl w:val="nil"/>
                  </w:tcBorders>
                  <w:noWrap w:val="0"/>
                  <w:vAlign w:val="center"/>
                </w:tcPr>
                <w:p w14:paraId="377F9AB1">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符合性</w:t>
                  </w:r>
                </w:p>
              </w:tc>
            </w:tr>
            <w:tr w14:paraId="7393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828" w:hRule="atLeast"/>
                <w:jc w:val="center"/>
              </w:trPr>
              <w:tc>
                <w:tcPr>
                  <w:tcW w:w="586" w:type="dxa"/>
                  <w:vMerge w:val="restart"/>
                  <w:tcBorders>
                    <w:tl2br w:val="nil"/>
                    <w:tr2bl w:val="nil"/>
                  </w:tcBorders>
                  <w:noWrap w:val="0"/>
                  <w:vAlign w:val="center"/>
                </w:tcPr>
                <w:p w14:paraId="2BD54177">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default" w:ascii="Calibri" w:hAnsi="Calibri" w:eastAsia="宋体" w:cs="Calibri"/>
                      <w:snapToGrid/>
                      <w:color w:val="000000"/>
                      <w:kern w:val="0"/>
                      <w:sz w:val="21"/>
                      <w:szCs w:val="21"/>
                      <w:lang w:val="en-US" w:eastAsia="zh-CN"/>
                    </w:rPr>
                    <w:t>A1空间布局约束</w:t>
                  </w:r>
                </w:p>
              </w:tc>
              <w:tc>
                <w:tcPr>
                  <w:tcW w:w="547" w:type="dxa"/>
                  <w:tcBorders>
                    <w:tl2br w:val="nil"/>
                    <w:tr2bl w:val="nil"/>
                  </w:tcBorders>
                  <w:noWrap w:val="0"/>
                  <w:vAlign w:val="center"/>
                </w:tcPr>
                <w:p w14:paraId="1CD438F9">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default" w:ascii="Calibri" w:hAnsi="Calibri" w:eastAsia="宋体" w:cs="Calibri"/>
                      <w:snapToGrid/>
                      <w:color w:val="000000"/>
                      <w:kern w:val="0"/>
                      <w:sz w:val="21"/>
                      <w:szCs w:val="21"/>
                      <w:lang w:val="en-US" w:eastAsia="zh-CN"/>
                    </w:rPr>
                    <w:t>A1.1禁止开发建设的活动</w:t>
                  </w:r>
                </w:p>
              </w:tc>
              <w:tc>
                <w:tcPr>
                  <w:tcW w:w="2615" w:type="dxa"/>
                  <w:tcBorders>
                    <w:tl2br w:val="nil"/>
                    <w:tr2bl w:val="nil"/>
                  </w:tcBorders>
                  <w:noWrap w:val="0"/>
                  <w:vAlign w:val="center"/>
                </w:tcPr>
                <w:p w14:paraId="7B21A717">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〔A1.1-1〕禁止新建、扩建《产业结构调整指导目录</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2024年本</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》中淘汰类项目。禁止引入《市场准入负面清单</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202</w:t>
                  </w:r>
                  <w:r>
                    <w:rPr>
                      <w:rFonts w:hint="eastAsia" w:ascii="Calibri" w:hAnsi="Calibri" w:eastAsia="Times New Roman" w:cs="Calibri"/>
                      <w:snapToGrid/>
                      <w:color w:val="000000"/>
                      <w:kern w:val="0"/>
                      <w:sz w:val="21"/>
                      <w:szCs w:val="21"/>
                      <w:lang w:val="en-US" w:eastAsia="zh-CN"/>
                    </w:rPr>
                    <w:t>2</w:t>
                  </w:r>
                  <w:r>
                    <w:rPr>
                      <w:rFonts w:hint="default" w:ascii="Calibri" w:hAnsi="Calibri" w:eastAsia="宋体" w:cs="Calibri"/>
                      <w:snapToGrid/>
                      <w:color w:val="000000"/>
                      <w:kern w:val="0"/>
                      <w:sz w:val="21"/>
                      <w:szCs w:val="21"/>
                      <w:lang w:eastAsia="zh-CN"/>
                    </w:rPr>
                    <w:t>年版</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》禁止准入类事项。〔A1.1-2〕禁止建设不符合国家和自治区环境保护标准的项目。〔A1.1-6〕禁止在自治区行政区域内引进能</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水</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耗不符合相关国家标准中准入值要求且污染物排放和环境风险防控不符合国家</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地方</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标准及有关产业准入条件的高污染</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排放</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、高能</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水</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耗、高环境风险的工业项目。</w:t>
                  </w:r>
                </w:p>
              </w:tc>
              <w:tc>
                <w:tcPr>
                  <w:tcW w:w="1953" w:type="dxa"/>
                  <w:tcBorders>
                    <w:tl2br w:val="nil"/>
                    <w:tr2bl w:val="nil"/>
                  </w:tcBorders>
                  <w:noWrap w:val="0"/>
                  <w:vAlign w:val="center"/>
                </w:tcPr>
                <w:p w14:paraId="025C286D">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default" w:ascii="Calibri" w:hAnsi="Calibri" w:eastAsia="宋体" w:cs="Calibri"/>
                      <w:snapToGrid/>
                      <w:color w:val="000000"/>
                      <w:kern w:val="0"/>
                      <w:sz w:val="21"/>
                      <w:szCs w:val="21"/>
                      <w:lang w:eastAsia="zh-CN"/>
                    </w:rPr>
                    <w:t>本项目</w:t>
                  </w:r>
                  <w:r>
                    <w:rPr>
                      <w:rFonts w:hint="default" w:ascii="Calibri" w:hAnsi="Calibri" w:eastAsia="宋体" w:cs="Calibri"/>
                      <w:snapToGrid/>
                      <w:color w:val="000000"/>
                      <w:kern w:val="0"/>
                      <w:sz w:val="21"/>
                      <w:szCs w:val="21"/>
                      <w:lang w:val="en-US" w:eastAsia="zh-CN"/>
                    </w:rPr>
                    <w:t>不属于</w:t>
                  </w:r>
                  <w:r>
                    <w:rPr>
                      <w:rFonts w:hint="default" w:ascii="Calibri" w:hAnsi="Calibri" w:eastAsia="宋体" w:cs="Calibri"/>
                      <w:snapToGrid/>
                      <w:color w:val="000000"/>
                      <w:kern w:val="0"/>
                      <w:sz w:val="21"/>
                      <w:szCs w:val="21"/>
                      <w:lang w:eastAsia="zh-CN"/>
                    </w:rPr>
                    <w:t>《产业结构调整指导目录</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2024年本</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w:t>
                  </w:r>
                  <w:r>
                    <w:rPr>
                      <w:rFonts w:hint="eastAsia" w:ascii="Calibri" w:hAnsi="Calibri" w:eastAsia="Times New Roman" w:cs="Calibri"/>
                      <w:snapToGrid/>
                      <w:color w:val="000000"/>
                      <w:kern w:val="0"/>
                      <w:sz w:val="21"/>
                      <w:szCs w:val="21"/>
                      <w:lang w:eastAsia="zh-CN"/>
                    </w:rPr>
                    <w:t>中的鼓励类</w:t>
                  </w:r>
                  <w:r>
                    <w:rPr>
                      <w:rFonts w:hint="default" w:ascii="Calibri" w:hAnsi="Calibri" w:eastAsia="宋体" w:cs="Calibri"/>
                      <w:snapToGrid/>
                      <w:color w:val="000000"/>
                      <w:kern w:val="0"/>
                      <w:sz w:val="21"/>
                      <w:szCs w:val="21"/>
                      <w:lang w:eastAsia="zh-CN"/>
                    </w:rPr>
                    <w:t>、限制类</w:t>
                  </w:r>
                  <w:r>
                    <w:rPr>
                      <w:rFonts w:hint="eastAsia" w:ascii="Calibri" w:hAnsi="Calibri" w:eastAsia="Times New Roman" w:cs="Calibri"/>
                      <w:snapToGrid/>
                      <w:color w:val="000000"/>
                      <w:kern w:val="0"/>
                      <w:sz w:val="21"/>
                      <w:szCs w:val="21"/>
                      <w:lang w:eastAsia="zh-CN"/>
                    </w:rPr>
                    <w:t>和</w:t>
                  </w:r>
                  <w:r>
                    <w:rPr>
                      <w:rFonts w:hint="default" w:ascii="Calibri" w:hAnsi="Calibri" w:eastAsia="宋体" w:cs="Calibri"/>
                      <w:snapToGrid/>
                      <w:color w:val="000000"/>
                      <w:kern w:val="0"/>
                      <w:sz w:val="21"/>
                      <w:szCs w:val="21"/>
                      <w:lang w:eastAsia="zh-CN"/>
                    </w:rPr>
                    <w:t>淘汰类</w:t>
                  </w:r>
                  <w:r>
                    <w:rPr>
                      <w:rFonts w:hint="eastAsia" w:ascii="Calibri" w:hAnsi="Calibri" w:eastAsia="Times New Roman" w:cs="Calibri"/>
                      <w:snapToGrid/>
                      <w:color w:val="000000"/>
                      <w:kern w:val="0"/>
                      <w:sz w:val="21"/>
                      <w:szCs w:val="21"/>
                      <w:lang w:eastAsia="zh-CN"/>
                    </w:rPr>
                    <w:t>项目</w:t>
                  </w:r>
                  <w:r>
                    <w:rPr>
                      <w:rFonts w:hint="default"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val="en-US" w:eastAsia="zh-CN"/>
                    </w:rPr>
                    <w:t>不属于</w:t>
                  </w:r>
                  <w:r>
                    <w:rPr>
                      <w:rFonts w:hint="default" w:ascii="Calibri" w:hAnsi="Calibri" w:eastAsia="宋体" w:cs="Calibri"/>
                      <w:snapToGrid/>
                      <w:color w:val="000000"/>
                      <w:kern w:val="0"/>
                      <w:sz w:val="21"/>
                      <w:szCs w:val="21"/>
                      <w:lang w:eastAsia="zh-CN"/>
                    </w:rPr>
                    <w:t>《市场准入负面清单</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202</w:t>
                  </w:r>
                  <w:r>
                    <w:rPr>
                      <w:rFonts w:hint="eastAsia" w:ascii="Calibri" w:hAnsi="Calibri" w:eastAsia="Times New Roman" w:cs="Calibri"/>
                      <w:snapToGrid/>
                      <w:color w:val="000000"/>
                      <w:kern w:val="0"/>
                      <w:sz w:val="21"/>
                      <w:szCs w:val="21"/>
                      <w:lang w:val="en-US" w:eastAsia="zh-CN"/>
                    </w:rPr>
                    <w:t>5</w:t>
                  </w:r>
                  <w:r>
                    <w:rPr>
                      <w:rFonts w:hint="default" w:ascii="Calibri" w:hAnsi="Calibri" w:eastAsia="宋体" w:cs="Calibri"/>
                      <w:snapToGrid/>
                      <w:color w:val="000000"/>
                      <w:kern w:val="0"/>
                      <w:sz w:val="21"/>
                      <w:szCs w:val="21"/>
                      <w:lang w:eastAsia="zh-CN"/>
                    </w:rPr>
                    <w:t>年版</w:t>
                  </w:r>
                  <w:r>
                    <w:rPr>
                      <w:rFonts w:hint="eastAsia" w:ascii="Calibri" w:hAnsi="Calibri" w:eastAsia="宋体" w:cs="Calibri"/>
                      <w:snapToGrid/>
                      <w:color w:val="000000"/>
                      <w:kern w:val="0"/>
                      <w:sz w:val="21"/>
                      <w:szCs w:val="21"/>
                      <w:lang w:eastAsia="zh-CN"/>
                    </w:rPr>
                    <w:t>）</w:t>
                  </w:r>
                  <w:r>
                    <w:rPr>
                      <w:rFonts w:hint="default" w:ascii="Calibri" w:hAnsi="Calibri" w:eastAsia="宋体" w:cs="Calibri"/>
                      <w:snapToGrid/>
                      <w:color w:val="000000"/>
                      <w:kern w:val="0"/>
                      <w:sz w:val="21"/>
                      <w:szCs w:val="21"/>
                      <w:lang w:eastAsia="zh-CN"/>
                    </w:rPr>
                    <w:t>》禁止准入类</w:t>
                  </w:r>
                  <w:r>
                    <w:rPr>
                      <w:rFonts w:hint="default" w:ascii="Calibri" w:hAnsi="Calibri" w:eastAsia="宋体" w:cs="Calibri"/>
                      <w:snapToGrid/>
                      <w:color w:val="000000"/>
                      <w:kern w:val="0"/>
                      <w:sz w:val="21"/>
                      <w:szCs w:val="21"/>
                      <w:lang w:val="en-US" w:eastAsia="zh-CN"/>
                    </w:rPr>
                    <w:t>项目</w:t>
                  </w:r>
                  <w:r>
                    <w:rPr>
                      <w:rFonts w:hint="eastAsia" w:ascii="Calibri" w:hAnsi="Calibri" w:eastAsia="宋体" w:cs="Calibri"/>
                      <w:snapToGrid/>
                      <w:color w:val="000000"/>
                      <w:kern w:val="0"/>
                      <w:sz w:val="21"/>
                      <w:szCs w:val="21"/>
                      <w:lang w:val="en-US" w:eastAsia="zh-CN"/>
                    </w:rPr>
                    <w:t>，属于允许类项目，符合国家产业政策要求</w:t>
                  </w:r>
                  <w:r>
                    <w:rPr>
                      <w:rFonts w:hint="default" w:ascii="Calibri" w:hAnsi="Calibri" w:eastAsia="宋体" w:cs="Calibri"/>
                      <w:snapToGrid/>
                      <w:color w:val="000000"/>
                      <w:kern w:val="0"/>
                      <w:sz w:val="21"/>
                      <w:szCs w:val="21"/>
                      <w:lang w:eastAsia="zh-CN"/>
                    </w:rPr>
                    <w:t>。</w:t>
                  </w:r>
                </w:p>
              </w:tc>
              <w:tc>
                <w:tcPr>
                  <w:tcW w:w="552" w:type="dxa"/>
                  <w:tcBorders>
                    <w:tl2br w:val="nil"/>
                    <w:tr2bl w:val="nil"/>
                  </w:tcBorders>
                  <w:noWrap w:val="0"/>
                  <w:vAlign w:val="center"/>
                </w:tcPr>
                <w:p w14:paraId="55226942">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符合</w:t>
                  </w:r>
                </w:p>
              </w:tc>
            </w:tr>
            <w:tr w14:paraId="1B99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828" w:hRule="atLeast"/>
                <w:jc w:val="center"/>
              </w:trPr>
              <w:tc>
                <w:tcPr>
                  <w:tcW w:w="586" w:type="dxa"/>
                  <w:vMerge w:val="continue"/>
                  <w:tcBorders>
                    <w:tl2br w:val="nil"/>
                    <w:tr2bl w:val="nil"/>
                  </w:tcBorders>
                  <w:noWrap w:val="0"/>
                  <w:vAlign w:val="center"/>
                </w:tcPr>
                <w:p w14:paraId="0B776936">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p>
              </w:tc>
              <w:tc>
                <w:tcPr>
                  <w:tcW w:w="547" w:type="dxa"/>
                  <w:tcBorders>
                    <w:tl2br w:val="nil"/>
                    <w:tr2bl w:val="nil"/>
                  </w:tcBorders>
                  <w:noWrap w:val="0"/>
                  <w:vAlign w:val="center"/>
                </w:tcPr>
                <w:p w14:paraId="2C7162BB">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default" w:ascii="Calibri" w:hAnsi="Calibri" w:eastAsia="宋体" w:cs="Calibri"/>
                      <w:snapToGrid/>
                      <w:color w:val="000000"/>
                      <w:kern w:val="0"/>
                      <w:sz w:val="21"/>
                      <w:szCs w:val="21"/>
                      <w:lang w:val="en-US" w:eastAsia="zh-CN"/>
                    </w:rPr>
                    <w:t>A1.2限制开发建设的活动</w:t>
                  </w:r>
                </w:p>
              </w:tc>
              <w:tc>
                <w:tcPr>
                  <w:tcW w:w="2615" w:type="dxa"/>
                  <w:tcBorders>
                    <w:tl2br w:val="nil"/>
                    <w:tr2bl w:val="nil"/>
                  </w:tcBorders>
                  <w:noWrap w:val="0"/>
                  <w:vAlign w:val="center"/>
                </w:tcPr>
                <w:p w14:paraId="03AEE836">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A1.2-2〕建设项目用地原则上不得占用永久基本农田，确需占用永久基本农田的建设项目须符合《中华人民共和国基本农田保护条例》中相关要求，占用耕地、林地或草地的建设项目须按照国家、自治区相关补偿要求进行补偿。〔A1.2-3〕以用途变更为住宅、公共管理与公共服务用地的地块为重点，严格建设用地准入管理和风险管控，未依法完成土壤污染状况调查或风险评估的地块，不得开工建设与风险管控和修复无关的项目。</w:t>
                  </w:r>
                </w:p>
              </w:tc>
              <w:tc>
                <w:tcPr>
                  <w:tcW w:w="1953" w:type="dxa"/>
                  <w:tcBorders>
                    <w:tl2br w:val="nil"/>
                    <w:tr2bl w:val="nil"/>
                  </w:tcBorders>
                  <w:noWrap w:val="0"/>
                  <w:vAlign w:val="center"/>
                </w:tcPr>
                <w:p w14:paraId="76DCB35E">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eastAsia" w:ascii="Calibri" w:hAnsi="Calibri" w:eastAsia="宋体" w:cs="Calibri"/>
                      <w:snapToGrid/>
                      <w:color w:val="000000"/>
                      <w:kern w:val="0"/>
                      <w:sz w:val="21"/>
                      <w:szCs w:val="21"/>
                      <w:lang w:val="en-US" w:eastAsia="zh-CN"/>
                    </w:rPr>
                    <w:t>本项目</w:t>
                  </w:r>
                  <w:r>
                    <w:rPr>
                      <w:rFonts w:hint="default" w:ascii="Calibri" w:hAnsi="Calibri" w:eastAsia="宋体" w:cs="Calibri"/>
                      <w:snapToGrid/>
                      <w:color w:val="000000"/>
                      <w:kern w:val="0"/>
                      <w:sz w:val="21"/>
                      <w:szCs w:val="21"/>
                      <w:lang w:eastAsia="zh-CN"/>
                    </w:rPr>
                    <w:t>未涉及</w:t>
                  </w:r>
                  <w:r>
                    <w:rPr>
                      <w:rFonts w:hint="eastAsia" w:ascii="Calibri" w:hAnsi="Calibri" w:eastAsia="Times New Roman" w:cs="Calibri"/>
                      <w:snapToGrid/>
                      <w:color w:val="000000"/>
                      <w:kern w:val="0"/>
                      <w:sz w:val="21"/>
                      <w:szCs w:val="21"/>
                      <w:lang w:eastAsia="zh-CN"/>
                    </w:rPr>
                    <w:t>永久基本农田</w:t>
                  </w:r>
                  <w:r>
                    <w:rPr>
                      <w:rFonts w:hint="eastAsia" w:ascii="Calibri" w:hAnsi="Calibri" w:eastAsia="宋体" w:cs="Calibri"/>
                      <w:snapToGrid/>
                      <w:color w:val="000000"/>
                      <w:kern w:val="0"/>
                      <w:sz w:val="21"/>
                      <w:szCs w:val="21"/>
                      <w:lang w:val="en-US" w:eastAsia="zh-CN"/>
                    </w:rPr>
                    <w:t>、</w:t>
                  </w:r>
                  <w:r>
                    <w:rPr>
                      <w:rFonts w:hint="default" w:ascii="Calibri" w:hAnsi="Calibri" w:eastAsia="宋体" w:cs="Calibri"/>
                      <w:snapToGrid/>
                      <w:color w:val="000000"/>
                      <w:kern w:val="0"/>
                      <w:sz w:val="21"/>
                      <w:szCs w:val="21"/>
                      <w:lang w:eastAsia="zh-CN"/>
                    </w:rPr>
                    <w:t>林地、耕地、</w:t>
                  </w:r>
                  <w:r>
                    <w:rPr>
                      <w:rFonts w:hint="eastAsia" w:ascii="Calibri" w:hAnsi="Calibri" w:eastAsia="宋体" w:cs="Calibri"/>
                      <w:snapToGrid/>
                      <w:color w:val="000000"/>
                      <w:kern w:val="0"/>
                      <w:sz w:val="21"/>
                      <w:szCs w:val="21"/>
                      <w:lang w:val="en-US" w:eastAsia="zh-CN"/>
                    </w:rPr>
                    <w:t>草地、</w:t>
                  </w:r>
                  <w:r>
                    <w:rPr>
                      <w:rFonts w:hint="default" w:ascii="Calibri" w:hAnsi="Calibri" w:eastAsia="宋体" w:cs="Calibri"/>
                      <w:snapToGrid/>
                      <w:color w:val="000000"/>
                      <w:kern w:val="0"/>
                      <w:sz w:val="21"/>
                      <w:szCs w:val="21"/>
                      <w:lang w:eastAsia="zh-CN"/>
                    </w:rPr>
                    <w:t>基本农田保护区和自然保护区。</w:t>
                  </w:r>
                </w:p>
              </w:tc>
              <w:tc>
                <w:tcPr>
                  <w:tcW w:w="552" w:type="dxa"/>
                  <w:tcBorders>
                    <w:tl2br w:val="nil"/>
                    <w:tr2bl w:val="nil"/>
                  </w:tcBorders>
                  <w:noWrap w:val="0"/>
                  <w:vAlign w:val="center"/>
                </w:tcPr>
                <w:p w14:paraId="26635812">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符合</w:t>
                  </w:r>
                </w:p>
              </w:tc>
            </w:tr>
            <w:tr w14:paraId="71ED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91" w:hRule="atLeast"/>
                <w:jc w:val="center"/>
              </w:trPr>
              <w:tc>
                <w:tcPr>
                  <w:tcW w:w="586" w:type="dxa"/>
                  <w:vMerge w:val="continue"/>
                  <w:tcBorders>
                    <w:tl2br w:val="nil"/>
                    <w:tr2bl w:val="nil"/>
                  </w:tcBorders>
                  <w:noWrap w:val="0"/>
                  <w:vAlign w:val="center"/>
                </w:tcPr>
                <w:p w14:paraId="408E405B">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p>
              </w:tc>
              <w:tc>
                <w:tcPr>
                  <w:tcW w:w="547" w:type="dxa"/>
                  <w:tcBorders>
                    <w:tl2br w:val="nil"/>
                    <w:tr2bl w:val="nil"/>
                  </w:tcBorders>
                  <w:noWrap w:val="0"/>
                  <w:vAlign w:val="center"/>
                </w:tcPr>
                <w:p w14:paraId="5B07A21E">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default" w:ascii="Calibri" w:hAnsi="Calibri" w:eastAsia="宋体" w:cs="Calibri"/>
                      <w:snapToGrid/>
                      <w:color w:val="000000"/>
                      <w:kern w:val="0"/>
                      <w:sz w:val="21"/>
                      <w:szCs w:val="21"/>
                      <w:lang w:val="en-US" w:eastAsia="zh-CN"/>
                    </w:rPr>
                    <w:t>A1.4其他布局要求</w:t>
                  </w:r>
                </w:p>
              </w:tc>
              <w:tc>
                <w:tcPr>
                  <w:tcW w:w="2615" w:type="dxa"/>
                  <w:tcBorders>
                    <w:tl2br w:val="nil"/>
                    <w:tr2bl w:val="nil"/>
                  </w:tcBorders>
                  <w:noWrap w:val="0"/>
                  <w:vAlign w:val="center"/>
                </w:tcPr>
                <w:p w14:paraId="266E9C62">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〔A1.4-1〕一切开发建设活动应符合国家、自治区主体功能区规划</w:t>
                  </w:r>
                  <w:r>
                    <w:rPr>
                      <w:rFonts w:hint="eastAsia" w:ascii="Calibri" w:hAnsi="Calibri" w:cs="Calibri"/>
                      <w:snapToGrid/>
                      <w:color w:val="000000"/>
                      <w:kern w:val="0"/>
                      <w:sz w:val="21"/>
                      <w:szCs w:val="21"/>
                      <w:lang w:eastAsia="zh-CN"/>
                    </w:rPr>
                    <w:t>，以及自治区</w:t>
                  </w:r>
                  <w:r>
                    <w:rPr>
                      <w:rFonts w:hint="default" w:ascii="Calibri" w:hAnsi="Calibri" w:eastAsia="宋体" w:cs="Calibri"/>
                      <w:snapToGrid/>
                      <w:color w:val="000000"/>
                      <w:kern w:val="0"/>
                      <w:sz w:val="21"/>
                      <w:szCs w:val="21"/>
                      <w:lang w:eastAsia="zh-CN"/>
                    </w:rPr>
                    <w:t>和各地颁布实施的生态环境功能区划、国民经济发展规划、产业发展规划、国土空间规划等相关规划及重点生态功能区负面清单要求，符合区域或产业规划环评要求。</w:t>
                  </w:r>
                </w:p>
              </w:tc>
              <w:tc>
                <w:tcPr>
                  <w:tcW w:w="1953" w:type="dxa"/>
                  <w:tcBorders>
                    <w:tl2br w:val="nil"/>
                    <w:tr2bl w:val="nil"/>
                  </w:tcBorders>
                  <w:noWrap w:val="0"/>
                  <w:vAlign w:val="center"/>
                </w:tcPr>
                <w:p w14:paraId="2C129A41">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default" w:ascii="Calibri" w:hAnsi="Calibri" w:eastAsia="宋体" w:cs="Calibri"/>
                      <w:snapToGrid/>
                      <w:color w:val="000000"/>
                      <w:kern w:val="0"/>
                      <w:sz w:val="21"/>
                      <w:szCs w:val="21"/>
                      <w:lang w:eastAsia="zh-CN"/>
                    </w:rPr>
                    <w:t>项目</w:t>
                  </w:r>
                  <w:r>
                    <w:rPr>
                      <w:rFonts w:hint="eastAsia" w:ascii="Calibri" w:hAnsi="Calibri" w:eastAsia="宋体" w:cs="Calibri"/>
                      <w:snapToGrid/>
                      <w:color w:val="000000"/>
                      <w:kern w:val="0"/>
                      <w:sz w:val="21"/>
                      <w:szCs w:val="21"/>
                      <w:lang w:val="en-US" w:eastAsia="zh-CN"/>
                    </w:rPr>
                    <w:t>为塑料薄膜制造，</w:t>
                  </w:r>
                  <w:r>
                    <w:rPr>
                      <w:rFonts w:hint="default" w:ascii="Calibri" w:hAnsi="Calibri" w:eastAsia="宋体" w:cs="Calibri"/>
                      <w:snapToGrid/>
                      <w:color w:val="000000"/>
                      <w:kern w:val="0"/>
                      <w:sz w:val="21"/>
                      <w:szCs w:val="21"/>
                      <w:lang w:val="en-US" w:eastAsia="zh-CN"/>
                    </w:rPr>
                    <w:t>符合生态环境功能区划、国民经济发展规划、产业发展规划、国土空间规划等相关规划及重点生态功能区负面清单要求</w:t>
                  </w:r>
                  <w:r>
                    <w:rPr>
                      <w:rFonts w:hint="default" w:ascii="Calibri" w:hAnsi="Calibri" w:eastAsia="宋体" w:cs="Calibri"/>
                      <w:snapToGrid/>
                      <w:color w:val="000000"/>
                      <w:kern w:val="0"/>
                      <w:sz w:val="21"/>
                      <w:szCs w:val="21"/>
                      <w:lang w:eastAsia="zh-CN"/>
                    </w:rPr>
                    <w:t>。</w:t>
                  </w:r>
                </w:p>
              </w:tc>
              <w:tc>
                <w:tcPr>
                  <w:tcW w:w="552" w:type="dxa"/>
                  <w:tcBorders>
                    <w:tl2br w:val="nil"/>
                    <w:tr2bl w:val="nil"/>
                  </w:tcBorders>
                  <w:noWrap w:val="0"/>
                  <w:vAlign w:val="center"/>
                </w:tcPr>
                <w:p w14:paraId="79C931A6">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符合</w:t>
                  </w:r>
                </w:p>
              </w:tc>
            </w:tr>
            <w:tr w14:paraId="3CC5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283" w:hRule="atLeast"/>
                <w:jc w:val="center"/>
              </w:trPr>
              <w:tc>
                <w:tcPr>
                  <w:tcW w:w="586" w:type="dxa"/>
                  <w:tcBorders>
                    <w:tl2br w:val="nil"/>
                    <w:tr2bl w:val="nil"/>
                  </w:tcBorders>
                  <w:noWrap w:val="0"/>
                  <w:vAlign w:val="center"/>
                </w:tcPr>
                <w:p w14:paraId="4508E884">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default" w:ascii="Calibri" w:hAnsi="Calibri" w:eastAsia="宋体" w:cs="Calibri"/>
                      <w:snapToGrid/>
                      <w:color w:val="000000"/>
                      <w:kern w:val="0"/>
                      <w:sz w:val="21"/>
                      <w:szCs w:val="21"/>
                      <w:lang w:val="en-US" w:eastAsia="zh-CN"/>
                    </w:rPr>
                    <w:t>A2污染物排放管控</w:t>
                  </w:r>
                </w:p>
              </w:tc>
              <w:tc>
                <w:tcPr>
                  <w:tcW w:w="547" w:type="dxa"/>
                  <w:tcBorders>
                    <w:tl2br w:val="nil"/>
                    <w:tr2bl w:val="nil"/>
                  </w:tcBorders>
                  <w:noWrap w:val="0"/>
                  <w:vAlign w:val="center"/>
                </w:tcPr>
                <w:p w14:paraId="3D9C533D">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kern w:val="0"/>
                      <w:sz w:val="21"/>
                      <w:szCs w:val="21"/>
                      <w:lang w:val="en-US" w:eastAsia="zh-CN"/>
                    </w:rPr>
                  </w:pPr>
                  <w:r>
                    <w:rPr>
                      <w:rFonts w:hint="default" w:ascii="Calibri" w:hAnsi="Calibri" w:eastAsia="宋体" w:cs="Calibri"/>
                      <w:snapToGrid/>
                      <w:color w:val="000000"/>
                      <w:kern w:val="0"/>
                      <w:sz w:val="21"/>
                      <w:szCs w:val="21"/>
                      <w:lang w:val="en-US" w:eastAsia="zh-CN"/>
                    </w:rPr>
                    <w:t>A2.1污染物消减/替代要求</w:t>
                  </w:r>
                </w:p>
              </w:tc>
              <w:tc>
                <w:tcPr>
                  <w:tcW w:w="2615" w:type="dxa"/>
                  <w:tcBorders>
                    <w:tl2br w:val="nil"/>
                    <w:tr2bl w:val="nil"/>
                  </w:tcBorders>
                  <w:noWrap w:val="0"/>
                  <w:vAlign w:val="center"/>
                </w:tcPr>
                <w:p w14:paraId="43824BB8">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kern w:val="0"/>
                      <w:sz w:val="21"/>
                      <w:szCs w:val="21"/>
                      <w:lang w:eastAsia="zh-CN"/>
                    </w:rPr>
                    <w:t>〔A2.1-3〕促进大气污染物与温室气体协同控制。实施污染物和温室气体协同控制，实现减污降碳协同效应。开展工业、农业温室气体和污染减排协同控制研究，减少温室气体和污染物排放。强化污水、垃圾等集中处置设施环境管理，协同控制氢氟碳化物、甲烷、氧化亚氮等温室气体。加强节约能源与大气污染防治协同有效衔接</w:t>
                  </w:r>
                  <w:r>
                    <w:rPr>
                      <w:rFonts w:hint="eastAsia" w:ascii="Calibri" w:hAnsi="Calibri" w:eastAsia="Times New Roman" w:cs="Calibri"/>
                      <w:snapToGrid/>
                      <w:kern w:val="0"/>
                      <w:sz w:val="21"/>
                      <w:szCs w:val="21"/>
                      <w:lang w:eastAsia="zh-CN"/>
                    </w:rPr>
                    <w:t>，促进</w:t>
                  </w:r>
                  <w:r>
                    <w:rPr>
                      <w:rFonts w:hint="default" w:ascii="Calibri" w:hAnsi="Calibri" w:eastAsia="宋体" w:cs="Calibri"/>
                      <w:snapToGrid/>
                      <w:kern w:val="0"/>
                      <w:sz w:val="21"/>
                      <w:szCs w:val="21"/>
                      <w:lang w:eastAsia="zh-CN"/>
                    </w:rPr>
                    <w:t>大气污染防治协同增效。</w:t>
                  </w:r>
                </w:p>
              </w:tc>
              <w:tc>
                <w:tcPr>
                  <w:tcW w:w="1953" w:type="dxa"/>
                  <w:tcBorders>
                    <w:tl2br w:val="nil"/>
                    <w:tr2bl w:val="nil"/>
                  </w:tcBorders>
                  <w:noWrap w:val="0"/>
                  <w:vAlign w:val="center"/>
                </w:tcPr>
                <w:p w14:paraId="07B916F2">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kern w:val="0"/>
                      <w:sz w:val="21"/>
                      <w:szCs w:val="21"/>
                      <w:lang w:eastAsia="zh-CN"/>
                    </w:rPr>
                    <w:t>本项目采取完善的污染治理措施，不会对</w:t>
                  </w:r>
                  <w:r>
                    <w:rPr>
                      <w:rFonts w:hint="eastAsia" w:ascii="Calibri" w:hAnsi="Calibri" w:eastAsia="宋体" w:cs="Calibri"/>
                      <w:snapToGrid/>
                      <w:kern w:val="0"/>
                      <w:sz w:val="21"/>
                      <w:szCs w:val="21"/>
                      <w:lang w:val="en-US" w:eastAsia="zh-CN"/>
                    </w:rPr>
                    <w:t>项目</w:t>
                  </w:r>
                  <w:r>
                    <w:rPr>
                      <w:rFonts w:hint="default" w:ascii="Calibri" w:hAnsi="Calibri" w:eastAsia="宋体" w:cs="Calibri"/>
                      <w:snapToGrid/>
                      <w:kern w:val="0"/>
                      <w:sz w:val="21"/>
                      <w:szCs w:val="21"/>
                      <w:lang w:eastAsia="zh-CN"/>
                    </w:rPr>
                    <w:t>周围大气环境、地表水环境、声环境、地下水、土壤环境产生明显影响。</w:t>
                  </w:r>
                </w:p>
              </w:tc>
              <w:tc>
                <w:tcPr>
                  <w:tcW w:w="552" w:type="dxa"/>
                  <w:tcBorders>
                    <w:tl2br w:val="nil"/>
                    <w:tr2bl w:val="nil"/>
                  </w:tcBorders>
                  <w:noWrap w:val="0"/>
                  <w:vAlign w:val="center"/>
                </w:tcPr>
                <w:p w14:paraId="597F8383">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符合</w:t>
                  </w:r>
                </w:p>
              </w:tc>
            </w:tr>
            <w:tr w14:paraId="46BB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296" w:hRule="atLeast"/>
                <w:jc w:val="center"/>
              </w:trPr>
              <w:tc>
                <w:tcPr>
                  <w:tcW w:w="586" w:type="dxa"/>
                  <w:tcBorders>
                    <w:tl2br w:val="nil"/>
                    <w:tr2bl w:val="nil"/>
                  </w:tcBorders>
                  <w:noWrap w:val="0"/>
                  <w:vAlign w:val="center"/>
                </w:tcPr>
                <w:p w14:paraId="14430AC1">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kern w:val="0"/>
                      <w:sz w:val="21"/>
                      <w:szCs w:val="21"/>
                      <w:lang w:val="en-US" w:eastAsia="zh-CN"/>
                    </w:rPr>
                  </w:pPr>
                  <w:r>
                    <w:rPr>
                      <w:rFonts w:hint="default" w:ascii="Calibri" w:hAnsi="Calibri" w:eastAsia="宋体" w:cs="Calibri"/>
                      <w:snapToGrid/>
                      <w:color w:val="000000"/>
                      <w:kern w:val="0"/>
                      <w:sz w:val="21"/>
                      <w:szCs w:val="21"/>
                      <w:lang w:val="en-US" w:eastAsia="zh-CN"/>
                    </w:rPr>
                    <w:t>A3环境风险防控</w:t>
                  </w:r>
                </w:p>
              </w:tc>
              <w:tc>
                <w:tcPr>
                  <w:tcW w:w="547" w:type="dxa"/>
                  <w:tcBorders>
                    <w:tl2br w:val="nil"/>
                    <w:tr2bl w:val="nil"/>
                  </w:tcBorders>
                  <w:noWrap w:val="0"/>
                  <w:vAlign w:val="center"/>
                </w:tcPr>
                <w:p w14:paraId="5049CD93">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kern w:val="0"/>
                      <w:sz w:val="21"/>
                      <w:szCs w:val="21"/>
                      <w:lang w:val="en-US" w:eastAsia="zh-CN"/>
                    </w:rPr>
                  </w:pPr>
                  <w:r>
                    <w:rPr>
                      <w:rFonts w:hint="default" w:ascii="Calibri" w:hAnsi="Calibri" w:eastAsia="宋体" w:cs="Calibri"/>
                      <w:snapToGrid/>
                      <w:color w:val="000000"/>
                      <w:kern w:val="0"/>
                      <w:sz w:val="21"/>
                      <w:szCs w:val="21"/>
                      <w:lang w:val="en-US" w:eastAsia="zh-CN"/>
                    </w:rPr>
                    <w:t>A3.2联防联控要求</w:t>
                  </w:r>
                </w:p>
              </w:tc>
              <w:tc>
                <w:tcPr>
                  <w:tcW w:w="2615" w:type="dxa"/>
                  <w:tcBorders>
                    <w:tl2br w:val="nil"/>
                    <w:tr2bl w:val="nil"/>
                  </w:tcBorders>
                  <w:noWrap w:val="0"/>
                  <w:vAlign w:val="center"/>
                </w:tcPr>
                <w:p w14:paraId="6CEEE629">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kern w:val="0"/>
                      <w:sz w:val="21"/>
                      <w:szCs w:val="21"/>
                      <w:lang w:eastAsia="zh-CN"/>
                    </w:rPr>
                  </w:pPr>
                  <w:r>
                    <w:rPr>
                      <w:rFonts w:hint="eastAsia" w:ascii="Calibri" w:hAnsi="Calibri" w:cs="Calibri"/>
                      <w:snapToGrid/>
                      <w:kern w:val="0"/>
                      <w:sz w:val="21"/>
                      <w:szCs w:val="21"/>
                      <w:lang w:eastAsia="zh-CN"/>
                    </w:rPr>
                    <w:t>[A3.2-5]</w:t>
                  </w:r>
                  <w:r>
                    <w:rPr>
                      <w:rFonts w:hint="default" w:ascii="Calibri" w:hAnsi="Calibri" w:eastAsia="宋体" w:cs="Calibri"/>
                      <w:snapToGrid/>
                      <w:kern w:val="0"/>
                      <w:sz w:val="21"/>
                      <w:szCs w:val="21"/>
                      <w:lang w:eastAsia="zh-CN"/>
                    </w:rPr>
                    <w:t>强化生态环境应急管理。实施企业突发生态环境应急预案电子化备案，完成县级以上政府突发环</w:t>
                  </w:r>
                  <w:r>
                    <w:rPr>
                      <w:rFonts w:hint="default" w:ascii="Calibri" w:hAnsi="Calibri" w:eastAsia="宋体" w:cs="Calibri"/>
                      <w:color w:val="000000"/>
                      <w:sz w:val="21"/>
                      <w:szCs w:val="21"/>
                      <w:lang w:val="en-US" w:eastAsia="zh-CN"/>
                    </w:rPr>
                    <w:t>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w:t>
                  </w:r>
                  <w:r>
                    <w:rPr>
                      <w:rFonts w:hint="default" w:ascii="Calibri" w:hAnsi="Calibri" w:eastAsia="宋体" w:cs="Calibri"/>
                      <w:snapToGrid/>
                      <w:kern w:val="0"/>
                      <w:sz w:val="21"/>
                      <w:szCs w:val="21"/>
                      <w:lang w:eastAsia="zh-CN"/>
                    </w:rPr>
                    <w:t>置，定期开展应急演练，增强实战能力。</w:t>
                  </w:r>
                </w:p>
              </w:tc>
              <w:tc>
                <w:tcPr>
                  <w:tcW w:w="1953" w:type="dxa"/>
                  <w:tcBorders>
                    <w:tl2br w:val="nil"/>
                    <w:tr2bl w:val="nil"/>
                  </w:tcBorders>
                  <w:noWrap w:val="0"/>
                  <w:vAlign w:val="center"/>
                </w:tcPr>
                <w:p w14:paraId="4123B79E">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kern w:val="0"/>
                      <w:sz w:val="21"/>
                      <w:szCs w:val="21"/>
                      <w:lang w:eastAsia="zh-CN"/>
                    </w:rPr>
                  </w:pPr>
                  <w:r>
                    <w:rPr>
                      <w:rFonts w:hint="default" w:ascii="Calibri" w:hAnsi="Calibri" w:eastAsia="宋体" w:cs="Calibri"/>
                      <w:color w:val="000000"/>
                      <w:sz w:val="21"/>
                      <w:szCs w:val="21"/>
                      <w:lang w:eastAsia="zh-CN"/>
                    </w:rPr>
                    <w:t>本项目按照相关规定落实</w:t>
                  </w:r>
                  <w:r>
                    <w:rPr>
                      <w:rFonts w:hint="eastAsia" w:ascii="Calibri" w:hAnsi="Calibri" w:eastAsia="Times New Roman" w:cs="Calibri"/>
                      <w:color w:val="000000"/>
                      <w:sz w:val="21"/>
                      <w:szCs w:val="21"/>
                      <w:lang w:eastAsia="zh-CN"/>
                    </w:rPr>
                    <w:t>和完善</w:t>
                  </w:r>
                  <w:r>
                    <w:rPr>
                      <w:rFonts w:hint="default" w:ascii="Calibri" w:hAnsi="Calibri" w:eastAsia="宋体" w:cs="Calibri"/>
                      <w:color w:val="000000"/>
                      <w:sz w:val="21"/>
                      <w:szCs w:val="21"/>
                      <w:lang w:eastAsia="zh-CN"/>
                    </w:rPr>
                    <w:t>各项环境事故防范、环境风险处理制度和措施</w:t>
                  </w:r>
                  <w:r>
                    <w:rPr>
                      <w:rFonts w:hint="eastAsia" w:ascii="Calibri" w:hAnsi="Calibri" w:eastAsia="宋体" w:cs="Calibri"/>
                      <w:color w:val="000000"/>
                      <w:sz w:val="21"/>
                      <w:szCs w:val="21"/>
                      <w:lang w:eastAsia="zh-CN"/>
                    </w:rPr>
                    <w:t>。</w:t>
                  </w:r>
                </w:p>
              </w:tc>
              <w:tc>
                <w:tcPr>
                  <w:tcW w:w="552" w:type="dxa"/>
                  <w:tcBorders>
                    <w:tl2br w:val="nil"/>
                    <w:tr2bl w:val="nil"/>
                  </w:tcBorders>
                  <w:noWrap w:val="0"/>
                  <w:vAlign w:val="center"/>
                </w:tcPr>
                <w:p w14:paraId="2B5CBF16">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eastAsia="zh-CN"/>
                    </w:rPr>
                  </w:pPr>
                  <w:r>
                    <w:rPr>
                      <w:rFonts w:hint="default" w:ascii="Calibri" w:hAnsi="Calibri" w:eastAsia="宋体" w:cs="Calibri"/>
                      <w:snapToGrid/>
                      <w:color w:val="000000"/>
                      <w:kern w:val="0"/>
                      <w:sz w:val="21"/>
                      <w:szCs w:val="21"/>
                      <w:lang w:eastAsia="zh-CN"/>
                    </w:rPr>
                    <w:t>符合</w:t>
                  </w:r>
                </w:p>
              </w:tc>
            </w:tr>
            <w:tr w14:paraId="5CBC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296" w:hRule="atLeast"/>
                <w:jc w:val="center"/>
              </w:trPr>
              <w:tc>
                <w:tcPr>
                  <w:tcW w:w="586" w:type="dxa"/>
                  <w:tcBorders>
                    <w:tl2br w:val="nil"/>
                    <w:tr2bl w:val="nil"/>
                  </w:tcBorders>
                  <w:noWrap w:val="0"/>
                  <w:vAlign w:val="center"/>
                </w:tcPr>
                <w:p w14:paraId="5F226418">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eastAsia" w:ascii="Calibri" w:hAnsi="Calibri" w:eastAsia="宋体" w:cs="Calibri"/>
                      <w:snapToGrid/>
                      <w:color w:val="000000"/>
                      <w:kern w:val="0"/>
                      <w:sz w:val="21"/>
                      <w:szCs w:val="21"/>
                      <w:lang w:val="en-US" w:eastAsia="zh-CN"/>
                    </w:rPr>
                    <w:t>A4资源利用要求</w:t>
                  </w:r>
                </w:p>
              </w:tc>
              <w:tc>
                <w:tcPr>
                  <w:tcW w:w="547" w:type="dxa"/>
                  <w:tcBorders>
                    <w:tl2br w:val="nil"/>
                    <w:tr2bl w:val="nil"/>
                  </w:tcBorders>
                  <w:noWrap w:val="0"/>
                  <w:vAlign w:val="center"/>
                </w:tcPr>
                <w:p w14:paraId="47C794A8">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kern w:val="0"/>
                      <w:sz w:val="21"/>
                      <w:szCs w:val="21"/>
                      <w:lang w:val="en-US" w:eastAsia="zh-CN"/>
                    </w:rPr>
                  </w:pPr>
                  <w:r>
                    <w:rPr>
                      <w:rFonts w:hint="eastAsia" w:ascii="Calibri" w:hAnsi="Calibri" w:eastAsia="宋体" w:cs="Calibri"/>
                      <w:snapToGrid/>
                      <w:kern w:val="0"/>
                      <w:sz w:val="21"/>
                      <w:szCs w:val="21"/>
                      <w:lang w:val="en-US" w:eastAsia="zh-CN"/>
                    </w:rPr>
                    <w:t>A4.3能源利用</w:t>
                  </w:r>
                </w:p>
              </w:tc>
              <w:tc>
                <w:tcPr>
                  <w:tcW w:w="2615" w:type="dxa"/>
                  <w:tcBorders>
                    <w:tl2br w:val="nil"/>
                    <w:tr2bl w:val="nil"/>
                  </w:tcBorders>
                  <w:noWrap w:val="0"/>
                  <w:vAlign w:val="center"/>
                </w:tcPr>
                <w:p w14:paraId="3A213CA8">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kern w:val="0"/>
                      <w:sz w:val="21"/>
                      <w:szCs w:val="21"/>
                      <w:lang w:eastAsia="zh-CN"/>
                    </w:rPr>
                  </w:pPr>
                  <w:r>
                    <w:rPr>
                      <w:rFonts w:hint="default" w:ascii="Calibri" w:hAnsi="Calibri" w:eastAsia="宋体" w:cs="Calibri"/>
                      <w:snapToGrid/>
                      <w:kern w:val="0"/>
                      <w:sz w:val="21"/>
                      <w:szCs w:val="21"/>
                      <w:lang w:eastAsia="zh-CN"/>
                    </w:rPr>
                    <w:t>A4.3</w:t>
                  </w:r>
                  <w:r>
                    <w:rPr>
                      <w:rFonts w:hint="eastAsia" w:ascii="Calibri" w:hAnsi="Calibri" w:eastAsia="宋体" w:cs="Calibri"/>
                      <w:snapToGrid/>
                      <w:kern w:val="0"/>
                      <w:sz w:val="21"/>
                      <w:szCs w:val="21"/>
                      <w:lang w:val="en-US" w:eastAsia="zh-CN"/>
                    </w:rPr>
                    <w:t>-4鼓励使用清洁能源</w:t>
                  </w:r>
                  <w:r>
                    <w:rPr>
                      <w:rFonts w:hint="eastAsia" w:ascii="Calibri" w:hAnsi="Calibri" w:cs="Calibri"/>
                      <w:snapToGrid/>
                      <w:kern w:val="0"/>
                      <w:sz w:val="21"/>
                      <w:szCs w:val="21"/>
                      <w:lang w:val="en-US" w:eastAsia="zh-CN"/>
                    </w:rPr>
                    <w:t>、</w:t>
                  </w:r>
                  <w:r>
                    <w:rPr>
                      <w:rFonts w:hint="default" w:ascii="Calibri" w:hAnsi="Calibri" w:eastAsia="宋体" w:cs="Calibri"/>
                      <w:snapToGrid/>
                      <w:kern w:val="0"/>
                      <w:sz w:val="21"/>
                      <w:szCs w:val="21"/>
                      <w:lang w:eastAsia="zh-CN"/>
                    </w:rPr>
                    <w:t>电厂</w:t>
                  </w:r>
                  <w:r>
                    <w:rPr>
                      <w:rFonts w:hint="eastAsia" w:ascii="Calibri" w:hAnsi="Calibri" w:cs="Calibri"/>
                      <w:snapToGrid/>
                      <w:kern w:val="0"/>
                      <w:sz w:val="21"/>
                      <w:szCs w:val="21"/>
                      <w:lang w:eastAsia="zh-CN"/>
                    </w:rPr>
                    <w:t>热力</w:t>
                  </w:r>
                  <w:r>
                    <w:rPr>
                      <w:rFonts w:hint="default" w:ascii="Calibri" w:hAnsi="Calibri" w:eastAsia="宋体" w:cs="Calibri"/>
                      <w:snapToGrid/>
                      <w:kern w:val="0"/>
                      <w:sz w:val="21"/>
                      <w:szCs w:val="21"/>
                      <w:lang w:eastAsia="zh-CN"/>
                    </w:rPr>
                    <w:t>、</w:t>
                  </w:r>
                  <w:r>
                    <w:rPr>
                      <w:rFonts w:hint="eastAsia" w:ascii="Calibri" w:hAnsi="Calibri" w:eastAsia="宋体" w:cs="Calibri"/>
                      <w:snapToGrid/>
                      <w:kern w:val="0"/>
                      <w:sz w:val="21"/>
                      <w:szCs w:val="21"/>
                      <w:lang w:val="en-US" w:eastAsia="zh-CN"/>
                    </w:rPr>
                    <w:t>工业</w:t>
                  </w:r>
                  <w:r>
                    <w:rPr>
                      <w:rFonts w:hint="default" w:ascii="Calibri" w:hAnsi="Calibri" w:eastAsia="宋体" w:cs="Calibri"/>
                      <w:snapToGrid/>
                      <w:kern w:val="0"/>
                      <w:sz w:val="21"/>
                      <w:szCs w:val="21"/>
                      <w:lang w:eastAsia="zh-CN"/>
                    </w:rPr>
                    <w:t>余热等替代锅炉炉窑燃料用煤。</w:t>
                  </w:r>
                </w:p>
              </w:tc>
              <w:tc>
                <w:tcPr>
                  <w:tcW w:w="1953" w:type="dxa"/>
                  <w:tcBorders>
                    <w:tl2br w:val="nil"/>
                    <w:tr2bl w:val="nil"/>
                  </w:tcBorders>
                  <w:noWrap w:val="0"/>
                  <w:vAlign w:val="center"/>
                </w:tcPr>
                <w:p w14:paraId="22B34204">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color w:val="000000"/>
                      <w:sz w:val="21"/>
                      <w:szCs w:val="21"/>
                      <w:lang w:eastAsia="zh-CN"/>
                    </w:rPr>
                  </w:pPr>
                  <w:r>
                    <w:rPr>
                      <w:rFonts w:hint="default" w:ascii="Calibri" w:hAnsi="Calibri" w:eastAsia="宋体" w:cs="Calibri"/>
                      <w:color w:val="000000"/>
                      <w:sz w:val="21"/>
                      <w:szCs w:val="21"/>
                      <w:lang w:eastAsia="zh-CN"/>
                    </w:rPr>
                    <w:t>本项目</w:t>
                  </w:r>
                  <w:r>
                    <w:rPr>
                      <w:rFonts w:hint="eastAsia" w:ascii="Calibri" w:hAnsi="Calibri" w:eastAsia="宋体" w:cs="Calibri"/>
                      <w:color w:val="000000"/>
                      <w:sz w:val="21"/>
                      <w:szCs w:val="21"/>
                      <w:lang w:val="en-US" w:eastAsia="zh-CN"/>
                    </w:rPr>
                    <w:t>生产采用电加热</w:t>
                  </w:r>
                  <w:r>
                    <w:rPr>
                      <w:rFonts w:hint="eastAsia" w:ascii="Calibri" w:hAnsi="Calibri" w:eastAsia="宋体" w:cs="Calibri"/>
                      <w:color w:val="000000"/>
                      <w:sz w:val="21"/>
                      <w:szCs w:val="21"/>
                      <w:lang w:eastAsia="zh-CN"/>
                    </w:rPr>
                    <w:t>，</w:t>
                  </w:r>
                  <w:r>
                    <w:rPr>
                      <w:rFonts w:hint="eastAsia" w:ascii="Calibri" w:hAnsi="Calibri" w:eastAsia="宋体" w:cs="Calibri"/>
                      <w:color w:val="000000"/>
                      <w:sz w:val="21"/>
                      <w:szCs w:val="21"/>
                      <w:lang w:val="en-US" w:eastAsia="zh-CN"/>
                    </w:rPr>
                    <w:t>生活供暖采用电采暖</w:t>
                  </w:r>
                  <w:r>
                    <w:rPr>
                      <w:rFonts w:hint="default" w:ascii="Calibri" w:hAnsi="Calibri" w:eastAsia="宋体" w:cs="Calibri"/>
                      <w:color w:val="000000"/>
                      <w:sz w:val="21"/>
                      <w:szCs w:val="21"/>
                      <w:lang w:eastAsia="zh-CN"/>
                    </w:rPr>
                    <w:t>。</w:t>
                  </w:r>
                </w:p>
              </w:tc>
              <w:tc>
                <w:tcPr>
                  <w:tcW w:w="552" w:type="dxa"/>
                  <w:tcBorders>
                    <w:tl2br w:val="nil"/>
                    <w:tr2bl w:val="nil"/>
                  </w:tcBorders>
                  <w:noWrap w:val="0"/>
                  <w:vAlign w:val="center"/>
                </w:tcPr>
                <w:p w14:paraId="18F81AB8">
                  <w:pPr>
                    <w:pStyle w:val="63"/>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Chars="0"/>
                    <w:jc w:val="center"/>
                    <w:textAlignment w:val="auto"/>
                    <w:rPr>
                      <w:rFonts w:hint="default" w:ascii="Calibri" w:hAnsi="Calibri" w:eastAsia="宋体" w:cs="Calibri"/>
                      <w:snapToGrid/>
                      <w:color w:val="000000"/>
                      <w:kern w:val="0"/>
                      <w:sz w:val="21"/>
                      <w:szCs w:val="21"/>
                      <w:lang w:val="en-US" w:eastAsia="zh-CN"/>
                    </w:rPr>
                  </w:pPr>
                  <w:r>
                    <w:rPr>
                      <w:rFonts w:hint="eastAsia" w:ascii="Calibri" w:hAnsi="Calibri" w:eastAsia="宋体" w:cs="Calibri"/>
                      <w:snapToGrid/>
                      <w:color w:val="000000"/>
                      <w:kern w:val="0"/>
                      <w:sz w:val="21"/>
                      <w:szCs w:val="21"/>
                      <w:lang w:val="en-US" w:eastAsia="zh-CN"/>
                    </w:rPr>
                    <w:t>符合</w:t>
                  </w:r>
                </w:p>
              </w:tc>
            </w:tr>
          </w:tbl>
          <w:p w14:paraId="1672A2BD">
            <w:pPr>
              <w:spacing w:line="520" w:lineRule="exact"/>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2</w:t>
            </w:r>
            <w:r>
              <w:rPr>
                <w:rFonts w:hint="eastAsia" w:ascii="宋体" w:hAnsi="宋体" w:eastAsia="宋体" w:cs="宋体"/>
                <w:color w:val="auto"/>
                <w:sz w:val="24"/>
                <w:lang w:eastAsia="zh-CN"/>
              </w:rPr>
              <w:t>）</w:t>
            </w:r>
            <w:r>
              <w:rPr>
                <w:rFonts w:hint="eastAsia" w:ascii="宋体" w:hAnsi="宋体" w:eastAsia="宋体" w:cs="宋体"/>
                <w:color w:val="auto"/>
                <w:sz w:val="24"/>
              </w:rPr>
              <w:t>与《巴音郭楞蒙古自治州“三线一单”生态环境分区管控方案》生态环境分区管控动态更新成果（2023年）相符性分析</w:t>
            </w:r>
            <w:r>
              <w:rPr>
                <w:rFonts w:hint="eastAsia" w:ascii="宋体" w:hAnsi="宋体" w:eastAsia="宋体" w:cs="宋体"/>
                <w:color w:val="auto"/>
                <w:sz w:val="24"/>
                <w:lang w:eastAsia="zh-CN"/>
              </w:rPr>
              <w:t>。</w:t>
            </w:r>
          </w:p>
          <w:p w14:paraId="7A5608EB">
            <w:pPr>
              <w:pStyle w:val="56"/>
              <w:spacing w:line="500" w:lineRule="exact"/>
              <w:ind w:firstLine="482"/>
              <w:jc w:val="center"/>
              <w:rPr>
                <w:rFonts w:ascii="Times New Roman"/>
                <w:b/>
                <w:bCs/>
                <w:color w:val="auto"/>
                <w:kern w:val="2"/>
              </w:rPr>
            </w:pPr>
            <w:r>
              <w:rPr>
                <w:rFonts w:ascii="Times New Roman"/>
                <w:b/>
                <w:bCs/>
                <w:color w:val="auto"/>
                <w:kern w:val="2"/>
              </w:rPr>
              <w:t>表</w:t>
            </w:r>
            <w:r>
              <w:rPr>
                <w:rFonts w:hint="eastAsia" w:ascii="Times New Roman"/>
                <w:b/>
                <w:bCs/>
                <w:color w:val="auto"/>
                <w:kern w:val="2"/>
                <w:lang w:val="en-US" w:eastAsia="zh-CN"/>
              </w:rPr>
              <w:t>1-2</w:t>
            </w:r>
            <w:r>
              <w:rPr>
                <w:rFonts w:hint="eastAsia" w:ascii="Times New Roman"/>
                <w:b/>
                <w:bCs/>
                <w:color w:val="auto"/>
                <w:kern w:val="2"/>
              </w:rPr>
              <w:t xml:space="preserve">   《巴音郭楞蒙古自治州“三线一单”生态环境分区管控方案》</w:t>
            </w:r>
            <w:r>
              <w:rPr>
                <w:rFonts w:ascii="Times New Roman"/>
                <w:b/>
                <w:bCs/>
                <w:color w:val="auto"/>
                <w:kern w:val="2"/>
              </w:rPr>
              <w:t>符合</w:t>
            </w:r>
            <w:r>
              <w:rPr>
                <w:rFonts w:hint="eastAsia" w:ascii="Times New Roman"/>
                <w:b/>
                <w:bCs/>
                <w:color w:val="auto"/>
                <w:kern w:val="2"/>
                <w:lang w:val="en-US" w:eastAsia="zh-CN"/>
              </w:rPr>
              <w:t>性</w:t>
            </w:r>
            <w:r>
              <w:rPr>
                <w:rFonts w:ascii="Times New Roman"/>
                <w:b/>
                <w:bCs/>
                <w:color w:val="auto"/>
                <w:kern w:val="2"/>
              </w:rPr>
              <w:t>分析</w:t>
            </w:r>
          </w:p>
          <w:tbl>
            <w:tblPr>
              <w:tblStyle w:val="24"/>
              <w:tblW w:w="6251"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96"/>
              <w:gridCol w:w="637"/>
              <w:gridCol w:w="2933"/>
              <w:gridCol w:w="1360"/>
              <w:gridCol w:w="425"/>
            </w:tblGrid>
            <w:tr w14:paraId="36C6AF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96" w:type="dxa"/>
                  <w:noWrap w:val="0"/>
                  <w:vAlign w:val="center"/>
                </w:tcPr>
                <w:p w14:paraId="1FC6585D">
                  <w:pPr>
                    <w:tabs>
                      <w:tab w:val="left" w:pos="1264"/>
                    </w:tabs>
                    <w:jc w:val="center"/>
                    <w:rPr>
                      <w:color w:val="auto"/>
                      <w:szCs w:val="21"/>
                    </w:rPr>
                  </w:pPr>
                  <w:r>
                    <w:rPr>
                      <w:color w:val="auto"/>
                      <w:szCs w:val="21"/>
                    </w:rPr>
                    <w:t>环境管控单元名称及编码</w:t>
                  </w:r>
                </w:p>
              </w:tc>
              <w:tc>
                <w:tcPr>
                  <w:tcW w:w="3570" w:type="dxa"/>
                  <w:gridSpan w:val="2"/>
                  <w:tcBorders>
                    <w:right w:val="single" w:color="auto" w:sz="4" w:space="0"/>
                  </w:tcBorders>
                  <w:noWrap w:val="0"/>
                  <w:vAlign w:val="center"/>
                </w:tcPr>
                <w:p w14:paraId="720C819D">
                  <w:pPr>
                    <w:widowControl/>
                    <w:jc w:val="center"/>
                    <w:rPr>
                      <w:rFonts w:hint="eastAsia" w:eastAsia="宋体"/>
                      <w:color w:val="auto"/>
                      <w:szCs w:val="21"/>
                      <w:lang w:val="en-US" w:eastAsia="zh-CN"/>
                    </w:rPr>
                  </w:pPr>
                  <w:r>
                    <w:rPr>
                      <w:color w:val="auto"/>
                      <w:kern w:val="0"/>
                      <w:szCs w:val="21"/>
                    </w:rPr>
                    <w:t>“三线一单”要求</w:t>
                  </w:r>
                </w:p>
              </w:tc>
              <w:tc>
                <w:tcPr>
                  <w:tcW w:w="1360" w:type="dxa"/>
                  <w:tcBorders>
                    <w:left w:val="single" w:color="auto" w:sz="4" w:space="0"/>
                  </w:tcBorders>
                  <w:noWrap w:val="0"/>
                  <w:vAlign w:val="center"/>
                </w:tcPr>
                <w:p w14:paraId="5A7E7BE5">
                  <w:pPr>
                    <w:widowControl/>
                    <w:jc w:val="center"/>
                    <w:rPr>
                      <w:color w:val="auto"/>
                      <w:kern w:val="0"/>
                      <w:szCs w:val="21"/>
                    </w:rPr>
                  </w:pPr>
                  <w:r>
                    <w:rPr>
                      <w:color w:val="auto"/>
                      <w:kern w:val="0"/>
                      <w:szCs w:val="21"/>
                    </w:rPr>
                    <w:t>工程具体情况</w:t>
                  </w:r>
                </w:p>
              </w:tc>
              <w:tc>
                <w:tcPr>
                  <w:tcW w:w="425" w:type="dxa"/>
                  <w:noWrap w:val="0"/>
                  <w:vAlign w:val="center"/>
                </w:tcPr>
                <w:p w14:paraId="7BF4658A">
                  <w:pPr>
                    <w:widowControl/>
                    <w:jc w:val="center"/>
                    <w:rPr>
                      <w:color w:val="auto"/>
                      <w:szCs w:val="21"/>
                    </w:rPr>
                  </w:pPr>
                  <w:r>
                    <w:rPr>
                      <w:color w:val="auto"/>
                      <w:kern w:val="0"/>
                      <w:szCs w:val="21"/>
                    </w:rPr>
                    <w:t>相符性分析</w:t>
                  </w:r>
                </w:p>
              </w:tc>
            </w:tr>
            <w:tr w14:paraId="2B17BC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96" w:type="dxa"/>
                  <w:vMerge w:val="restart"/>
                  <w:noWrap w:val="0"/>
                  <w:vAlign w:val="center"/>
                </w:tcPr>
                <w:p w14:paraId="2EECF68B">
                  <w:pPr>
                    <w:tabs>
                      <w:tab w:val="left" w:pos="1264"/>
                    </w:tabs>
                    <w:jc w:val="center"/>
                    <w:rPr>
                      <w:color w:val="auto"/>
                      <w:szCs w:val="21"/>
                    </w:rPr>
                  </w:pPr>
                  <w:r>
                    <w:rPr>
                      <w:rFonts w:hint="eastAsia"/>
                      <w:color w:val="auto"/>
                      <w:szCs w:val="21"/>
                      <w:lang w:eastAsia="zh-CN"/>
                    </w:rPr>
                    <w:t>轮台工业园区（重点管控单元）</w:t>
                  </w:r>
                  <w:r>
                    <w:rPr>
                      <w:color w:val="auto"/>
                      <w:szCs w:val="21"/>
                    </w:rPr>
                    <w:t>（ZH6528</w:t>
                  </w:r>
                  <w:r>
                    <w:rPr>
                      <w:rFonts w:hint="eastAsia"/>
                      <w:color w:val="auto"/>
                      <w:szCs w:val="21"/>
                      <w:lang w:val="en-US" w:eastAsia="zh-CN"/>
                    </w:rPr>
                    <w:t>2220004）</w:t>
                  </w:r>
                </w:p>
              </w:tc>
              <w:tc>
                <w:tcPr>
                  <w:tcW w:w="637" w:type="dxa"/>
                  <w:tcBorders>
                    <w:right w:val="single" w:color="auto" w:sz="4" w:space="0"/>
                  </w:tcBorders>
                  <w:noWrap w:val="0"/>
                  <w:vAlign w:val="center"/>
                </w:tcPr>
                <w:p w14:paraId="161A588D">
                  <w:pPr>
                    <w:widowControl/>
                    <w:jc w:val="center"/>
                    <w:rPr>
                      <w:color w:val="auto"/>
                      <w:szCs w:val="21"/>
                    </w:rPr>
                  </w:pPr>
                  <w:r>
                    <w:rPr>
                      <w:color w:val="auto"/>
                      <w:szCs w:val="21"/>
                    </w:rPr>
                    <w:t>空间管控约束</w:t>
                  </w:r>
                </w:p>
              </w:tc>
              <w:tc>
                <w:tcPr>
                  <w:tcW w:w="2933" w:type="dxa"/>
                  <w:tcBorders>
                    <w:left w:val="single" w:color="auto" w:sz="4" w:space="0"/>
                    <w:right w:val="single" w:color="auto" w:sz="4" w:space="0"/>
                  </w:tcBorders>
                  <w:noWrap w:val="0"/>
                  <w:vAlign w:val="center"/>
                </w:tcPr>
                <w:p w14:paraId="2DA8BCD9">
                  <w:pPr>
                    <w:jc w:val="center"/>
                    <w:rPr>
                      <w:color w:val="auto"/>
                      <w:szCs w:val="21"/>
                    </w:rPr>
                  </w:pPr>
                </w:p>
                <w:p w14:paraId="1A385E4C">
                  <w:pPr>
                    <w:jc w:val="center"/>
                    <w:rPr>
                      <w:rFonts w:hint="eastAsia" w:eastAsia="宋体"/>
                      <w:color w:val="auto"/>
                      <w:szCs w:val="21"/>
                      <w:lang w:val="en-US" w:eastAsia="zh-CN"/>
                    </w:rPr>
                  </w:pPr>
                  <w:r>
                    <w:rPr>
                      <w:color w:val="auto"/>
                      <w:szCs w:val="21"/>
                    </w:rPr>
                    <w:t>1.4禁止在自治州行政区域内引进能</w:t>
                  </w:r>
                  <w:r>
                    <w:rPr>
                      <w:rFonts w:hint="eastAsia"/>
                      <w:color w:val="auto"/>
                      <w:szCs w:val="21"/>
                      <w:lang w:eastAsia="zh-CN"/>
                    </w:rPr>
                    <w:t>（</w:t>
                  </w:r>
                  <w:r>
                    <w:rPr>
                      <w:color w:val="auto"/>
                      <w:szCs w:val="21"/>
                    </w:rPr>
                    <w:t>水</w:t>
                  </w:r>
                  <w:r>
                    <w:rPr>
                      <w:rFonts w:hint="eastAsia"/>
                      <w:color w:val="auto"/>
                      <w:szCs w:val="21"/>
                      <w:lang w:eastAsia="zh-CN"/>
                    </w:rPr>
                    <w:t>）</w:t>
                  </w:r>
                  <w:r>
                    <w:rPr>
                      <w:color w:val="auto"/>
                      <w:szCs w:val="21"/>
                    </w:rPr>
                    <w:t>耗不符合相关国家标准中准入值要求，且污染物排放和环境风险防控不符合国家</w:t>
                  </w:r>
                  <w:r>
                    <w:rPr>
                      <w:rFonts w:hint="eastAsia"/>
                      <w:color w:val="auto"/>
                      <w:szCs w:val="21"/>
                      <w:lang w:eastAsia="zh-CN"/>
                    </w:rPr>
                    <w:t>（</w:t>
                  </w:r>
                  <w:r>
                    <w:rPr>
                      <w:color w:val="auto"/>
                      <w:szCs w:val="21"/>
                    </w:rPr>
                    <w:t>地方</w:t>
                  </w:r>
                  <w:r>
                    <w:rPr>
                      <w:rFonts w:hint="eastAsia"/>
                      <w:color w:val="auto"/>
                      <w:szCs w:val="21"/>
                      <w:lang w:eastAsia="zh-CN"/>
                    </w:rPr>
                    <w:t>）</w:t>
                  </w:r>
                  <w:r>
                    <w:rPr>
                      <w:color w:val="auto"/>
                      <w:szCs w:val="21"/>
                    </w:rPr>
                    <w:t>标准及有关产业准入条件的高污染</w:t>
                  </w:r>
                  <w:r>
                    <w:rPr>
                      <w:rFonts w:hint="eastAsia"/>
                      <w:color w:val="auto"/>
                      <w:szCs w:val="21"/>
                      <w:lang w:eastAsia="zh-CN"/>
                    </w:rPr>
                    <w:t>（</w:t>
                  </w:r>
                  <w:r>
                    <w:rPr>
                      <w:color w:val="auto"/>
                      <w:szCs w:val="21"/>
                    </w:rPr>
                    <w:t>排放</w:t>
                  </w:r>
                  <w:r>
                    <w:rPr>
                      <w:rFonts w:hint="eastAsia"/>
                      <w:color w:val="auto"/>
                      <w:szCs w:val="21"/>
                      <w:lang w:eastAsia="zh-CN"/>
                    </w:rPr>
                    <w:t>）</w:t>
                  </w:r>
                  <w:r>
                    <w:rPr>
                      <w:color w:val="auto"/>
                      <w:szCs w:val="21"/>
                    </w:rPr>
                    <w:t>、高能</w:t>
                  </w:r>
                  <w:r>
                    <w:rPr>
                      <w:rFonts w:hint="eastAsia"/>
                      <w:color w:val="auto"/>
                      <w:szCs w:val="21"/>
                      <w:lang w:eastAsia="zh-CN"/>
                    </w:rPr>
                    <w:t>（</w:t>
                  </w:r>
                  <w:r>
                    <w:rPr>
                      <w:color w:val="auto"/>
                      <w:szCs w:val="21"/>
                    </w:rPr>
                    <w:t>水</w:t>
                  </w:r>
                  <w:r>
                    <w:rPr>
                      <w:rFonts w:hint="eastAsia"/>
                      <w:color w:val="auto"/>
                      <w:szCs w:val="21"/>
                      <w:lang w:eastAsia="zh-CN"/>
                    </w:rPr>
                    <w:t>）</w:t>
                  </w:r>
                  <w:r>
                    <w:rPr>
                      <w:color w:val="auto"/>
                      <w:szCs w:val="21"/>
                    </w:rPr>
                    <w:t>耗、高环境风险的工业项目。</w:t>
                  </w:r>
                </w:p>
              </w:tc>
              <w:tc>
                <w:tcPr>
                  <w:tcW w:w="1360" w:type="dxa"/>
                  <w:tcBorders>
                    <w:left w:val="single" w:color="auto" w:sz="4" w:space="0"/>
                  </w:tcBorders>
                  <w:noWrap w:val="0"/>
                  <w:vAlign w:val="center"/>
                </w:tcPr>
                <w:p w14:paraId="06916CFD">
                  <w:pPr>
                    <w:widowControl/>
                    <w:rPr>
                      <w:color w:val="auto"/>
                      <w:kern w:val="0"/>
                      <w:szCs w:val="21"/>
                    </w:rPr>
                  </w:pPr>
                  <w:r>
                    <w:rPr>
                      <w:color w:val="auto"/>
                      <w:szCs w:val="21"/>
                    </w:rPr>
                    <w:t>本项目属于</w:t>
                  </w:r>
                  <w:r>
                    <w:rPr>
                      <w:rFonts w:hint="eastAsia"/>
                      <w:color w:val="auto"/>
                      <w:szCs w:val="21"/>
                    </w:rPr>
                    <w:t>塑料薄膜制造</w:t>
                  </w:r>
                  <w:r>
                    <w:rPr>
                      <w:color w:val="auto"/>
                      <w:szCs w:val="21"/>
                    </w:rPr>
                    <w:t>，不属于高污染、高能耗项目；</w:t>
                  </w:r>
                  <w:r>
                    <w:rPr>
                      <w:rFonts w:hint="eastAsia"/>
                      <w:color w:val="auto"/>
                      <w:szCs w:val="21"/>
                    </w:rPr>
                    <w:t>项目生产产生的废气</w:t>
                  </w:r>
                  <w:r>
                    <w:rPr>
                      <w:rFonts w:hint="eastAsia"/>
                      <w:color w:val="auto"/>
                      <w:szCs w:val="21"/>
                      <w:lang w:val="en-US" w:eastAsia="zh-CN"/>
                    </w:rPr>
                    <w:t>均</w:t>
                  </w:r>
                  <w:r>
                    <w:rPr>
                      <w:rFonts w:hint="eastAsia"/>
                      <w:color w:val="auto"/>
                      <w:szCs w:val="21"/>
                    </w:rPr>
                    <w:t>采取有效的环保措施，</w:t>
                  </w:r>
                  <w:r>
                    <w:rPr>
                      <w:rFonts w:hint="eastAsia"/>
                      <w:color w:val="auto"/>
                      <w:szCs w:val="21"/>
                      <w:lang w:val="en-US" w:eastAsia="zh-CN"/>
                    </w:rPr>
                    <w:t>处理</w:t>
                  </w:r>
                  <w:r>
                    <w:rPr>
                      <w:rFonts w:hint="eastAsia"/>
                      <w:color w:val="auto"/>
                      <w:szCs w:val="21"/>
                    </w:rPr>
                    <w:t>后达标排放</w:t>
                  </w:r>
                  <w:r>
                    <w:rPr>
                      <w:rFonts w:hint="eastAsia"/>
                      <w:color w:val="auto"/>
                      <w:szCs w:val="21"/>
                      <w:lang w:eastAsia="zh-CN"/>
                    </w:rPr>
                    <w:t>，不属于严重污染大气环境的项目</w:t>
                  </w:r>
                  <w:r>
                    <w:rPr>
                      <w:color w:val="auto"/>
                      <w:szCs w:val="21"/>
                    </w:rPr>
                    <w:t>。</w:t>
                  </w:r>
                </w:p>
              </w:tc>
              <w:tc>
                <w:tcPr>
                  <w:tcW w:w="425" w:type="dxa"/>
                  <w:noWrap w:val="0"/>
                  <w:vAlign w:val="center"/>
                </w:tcPr>
                <w:p w14:paraId="346843D7">
                  <w:pPr>
                    <w:tabs>
                      <w:tab w:val="left" w:pos="1264"/>
                    </w:tabs>
                    <w:rPr>
                      <w:color w:val="auto"/>
                      <w:szCs w:val="21"/>
                    </w:rPr>
                  </w:pPr>
                  <w:r>
                    <w:rPr>
                      <w:color w:val="auto"/>
                      <w:szCs w:val="21"/>
                    </w:rPr>
                    <w:t>符合</w:t>
                  </w:r>
                </w:p>
              </w:tc>
            </w:tr>
            <w:tr w14:paraId="4D2CE3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96" w:type="dxa"/>
                  <w:vMerge w:val="continue"/>
                  <w:noWrap w:val="0"/>
                  <w:vAlign w:val="center"/>
                </w:tcPr>
                <w:p w14:paraId="0CC264F3">
                  <w:pPr>
                    <w:tabs>
                      <w:tab w:val="left" w:pos="1264"/>
                    </w:tabs>
                    <w:jc w:val="center"/>
                    <w:rPr>
                      <w:color w:val="auto"/>
                      <w:szCs w:val="21"/>
                    </w:rPr>
                  </w:pPr>
                </w:p>
              </w:tc>
              <w:tc>
                <w:tcPr>
                  <w:tcW w:w="637" w:type="dxa"/>
                  <w:tcBorders>
                    <w:right w:val="single" w:color="auto" w:sz="4" w:space="0"/>
                  </w:tcBorders>
                  <w:noWrap w:val="0"/>
                  <w:vAlign w:val="center"/>
                </w:tcPr>
                <w:p w14:paraId="2F7BDE6E">
                  <w:pPr>
                    <w:widowControl/>
                    <w:jc w:val="center"/>
                    <w:rPr>
                      <w:color w:val="auto"/>
                      <w:szCs w:val="21"/>
                    </w:rPr>
                  </w:pPr>
                  <w:r>
                    <w:rPr>
                      <w:color w:val="auto"/>
                      <w:szCs w:val="21"/>
                    </w:rPr>
                    <w:t>污染</w:t>
                  </w:r>
                </w:p>
                <w:p w14:paraId="170B9783">
                  <w:pPr>
                    <w:widowControl/>
                    <w:jc w:val="center"/>
                    <w:rPr>
                      <w:color w:val="auto"/>
                      <w:szCs w:val="21"/>
                    </w:rPr>
                  </w:pPr>
                  <w:r>
                    <w:rPr>
                      <w:color w:val="auto"/>
                      <w:szCs w:val="21"/>
                    </w:rPr>
                    <w:t>物排</w:t>
                  </w:r>
                </w:p>
                <w:p w14:paraId="035C4420">
                  <w:pPr>
                    <w:widowControl/>
                    <w:jc w:val="center"/>
                    <w:rPr>
                      <w:color w:val="auto"/>
                      <w:szCs w:val="21"/>
                    </w:rPr>
                  </w:pPr>
                  <w:r>
                    <w:rPr>
                      <w:color w:val="auto"/>
                      <w:szCs w:val="21"/>
                    </w:rPr>
                    <w:t>放管控</w:t>
                  </w:r>
                </w:p>
              </w:tc>
              <w:tc>
                <w:tcPr>
                  <w:tcW w:w="2933" w:type="dxa"/>
                  <w:tcBorders>
                    <w:left w:val="single" w:color="auto" w:sz="4" w:space="0"/>
                    <w:right w:val="single" w:color="auto" w:sz="4" w:space="0"/>
                  </w:tcBorders>
                  <w:noWrap w:val="0"/>
                  <w:vAlign w:val="center"/>
                </w:tcPr>
                <w:p w14:paraId="00ABD249">
                  <w:pPr>
                    <w:jc w:val="center"/>
                    <w:rPr>
                      <w:rFonts w:hint="eastAsia"/>
                      <w:color w:val="auto"/>
                      <w:szCs w:val="21"/>
                    </w:rPr>
                  </w:pPr>
                  <w:r>
                    <w:rPr>
                      <w:rFonts w:hint="eastAsia"/>
                      <w:color w:val="auto"/>
                      <w:szCs w:val="21"/>
                    </w:rPr>
                    <w:t>1.大气排放污染物的企业事业单位和其他生产经营者应当履行大气污染防治的法定义务，执行大气污染物排放标准，遵守大气污染物排放总量控制要求。</w:t>
                  </w:r>
                </w:p>
                <w:p w14:paraId="488400E2">
                  <w:pPr>
                    <w:jc w:val="center"/>
                    <w:rPr>
                      <w:rFonts w:hint="eastAsia"/>
                      <w:color w:val="auto"/>
                      <w:szCs w:val="21"/>
                    </w:rPr>
                  </w:pPr>
                  <w:r>
                    <w:rPr>
                      <w:rFonts w:hint="eastAsia"/>
                      <w:color w:val="auto"/>
                      <w:szCs w:val="21"/>
                    </w:rPr>
                    <w:t>2.实施挥发性有机物及恶臭治理。加快石化企业脱硫以及动力车间脱硫、脱硝工作，加强罐区油气治理、装卸储运油气回收以及工艺废气挥发性有机物治理、恶臭治理。积极推进陶瓷、玻璃、砖瓦等建材行业二氧化硫、烟粉尘控制。在石化、有机化工、煤化工等重点行业开展挥发性有机物综合治理，在石化行业开展“泄漏检测与修复”技术改造。建立挥发性有机物重点监管企业名录。积极推进加油站、储油库和油罐车开展油气回收，完成所有加油站、储油库和油罐车油气回收治理。</w:t>
                  </w:r>
                </w:p>
                <w:p w14:paraId="72DDD771">
                  <w:pPr>
                    <w:jc w:val="center"/>
                    <w:rPr>
                      <w:color w:val="auto"/>
                      <w:szCs w:val="21"/>
                    </w:rPr>
                  </w:pPr>
                  <w:r>
                    <w:rPr>
                      <w:rFonts w:hint="eastAsia"/>
                      <w:color w:val="auto"/>
                      <w:szCs w:val="21"/>
                    </w:rPr>
                    <w:t>3.防治地下水污染。石化生产存贮销售企业和工业园区等区域应进行必要的防渗处理。加油站地下油罐全部更新为双层罐或完成防渗池设置。</w:t>
                  </w:r>
                </w:p>
              </w:tc>
              <w:tc>
                <w:tcPr>
                  <w:tcW w:w="1360" w:type="dxa"/>
                  <w:tcBorders>
                    <w:left w:val="single" w:color="auto" w:sz="4" w:space="0"/>
                  </w:tcBorders>
                  <w:noWrap w:val="0"/>
                  <w:vAlign w:val="center"/>
                </w:tcPr>
                <w:p w14:paraId="36712A74">
                  <w:pPr>
                    <w:widowControl/>
                    <w:rPr>
                      <w:rFonts w:hint="eastAsia" w:eastAsia="宋体"/>
                      <w:color w:val="auto"/>
                      <w:kern w:val="0"/>
                      <w:szCs w:val="21"/>
                      <w:lang w:eastAsia="zh-CN"/>
                    </w:rPr>
                  </w:pPr>
                  <w:r>
                    <w:rPr>
                      <w:rFonts w:hint="eastAsia"/>
                      <w:color w:val="auto"/>
                      <w:szCs w:val="21"/>
                    </w:rPr>
                    <w:t>本项目</w:t>
                  </w:r>
                  <w:r>
                    <w:rPr>
                      <w:color w:val="auto"/>
                      <w:szCs w:val="21"/>
                    </w:rPr>
                    <w:t>无组织及有组织排放废气采取有效</w:t>
                  </w:r>
                  <w:r>
                    <w:rPr>
                      <w:rFonts w:hint="eastAsia"/>
                      <w:color w:val="auto"/>
                      <w:szCs w:val="21"/>
                      <w:lang w:eastAsia="zh-CN"/>
                    </w:rPr>
                    <w:t>环保</w:t>
                  </w:r>
                  <w:r>
                    <w:rPr>
                      <w:color w:val="auto"/>
                      <w:szCs w:val="21"/>
                    </w:rPr>
                    <w:t>措施</w:t>
                  </w:r>
                  <w:r>
                    <w:rPr>
                      <w:rFonts w:hint="eastAsia"/>
                      <w:color w:val="auto"/>
                      <w:szCs w:val="21"/>
                      <w:lang w:eastAsia="zh-CN"/>
                    </w:rPr>
                    <w:t>后</w:t>
                  </w:r>
                  <w:r>
                    <w:rPr>
                      <w:color w:val="auto"/>
                      <w:szCs w:val="21"/>
                    </w:rPr>
                    <w:t>，</w:t>
                  </w:r>
                  <w:r>
                    <w:rPr>
                      <w:rFonts w:hint="eastAsia"/>
                      <w:color w:val="auto"/>
                      <w:szCs w:val="21"/>
                      <w:lang w:eastAsia="zh-CN"/>
                    </w:rPr>
                    <w:t>可以满足</w:t>
                  </w:r>
                  <w:r>
                    <w:rPr>
                      <w:color w:val="auto"/>
                      <w:szCs w:val="21"/>
                    </w:rPr>
                    <w:t>相应限值后达标排放</w:t>
                  </w:r>
                  <w:r>
                    <w:rPr>
                      <w:rFonts w:hint="eastAsia"/>
                      <w:color w:val="auto"/>
                      <w:szCs w:val="21"/>
                    </w:rPr>
                    <w:t>。</w:t>
                  </w:r>
                  <w:r>
                    <w:rPr>
                      <w:rFonts w:hint="eastAsia"/>
                      <w:color w:val="auto"/>
                      <w:szCs w:val="21"/>
                      <w:lang w:val="en-US" w:eastAsia="zh-CN"/>
                    </w:rPr>
                    <w:t>本项目为塑料薄膜制造项目，不涉及石化、有机化工、煤化工等行业，对生产过程中产生的挥发性有机物采取了相应的环保措施以减少废气的排放，可以实现废气达标排放。</w:t>
                  </w:r>
                </w:p>
              </w:tc>
              <w:tc>
                <w:tcPr>
                  <w:tcW w:w="425" w:type="dxa"/>
                  <w:noWrap w:val="0"/>
                  <w:vAlign w:val="center"/>
                </w:tcPr>
                <w:p w14:paraId="3A039E36">
                  <w:pPr>
                    <w:tabs>
                      <w:tab w:val="left" w:pos="1264"/>
                    </w:tabs>
                    <w:jc w:val="center"/>
                    <w:rPr>
                      <w:color w:val="auto"/>
                      <w:szCs w:val="21"/>
                    </w:rPr>
                  </w:pPr>
                  <w:r>
                    <w:rPr>
                      <w:color w:val="auto"/>
                      <w:szCs w:val="21"/>
                    </w:rPr>
                    <w:t>符合</w:t>
                  </w:r>
                </w:p>
              </w:tc>
            </w:tr>
            <w:tr w14:paraId="06C651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96" w:type="dxa"/>
                  <w:vMerge w:val="continue"/>
                  <w:noWrap w:val="0"/>
                  <w:vAlign w:val="center"/>
                </w:tcPr>
                <w:p w14:paraId="7DB48023">
                  <w:pPr>
                    <w:tabs>
                      <w:tab w:val="left" w:pos="1264"/>
                    </w:tabs>
                    <w:jc w:val="center"/>
                    <w:rPr>
                      <w:color w:val="auto"/>
                      <w:szCs w:val="21"/>
                    </w:rPr>
                  </w:pPr>
                </w:p>
              </w:tc>
              <w:tc>
                <w:tcPr>
                  <w:tcW w:w="637" w:type="dxa"/>
                  <w:tcBorders>
                    <w:right w:val="single" w:color="auto" w:sz="4" w:space="0"/>
                  </w:tcBorders>
                  <w:noWrap w:val="0"/>
                  <w:vAlign w:val="center"/>
                </w:tcPr>
                <w:p w14:paraId="7B637FF0">
                  <w:pPr>
                    <w:widowControl/>
                    <w:jc w:val="center"/>
                    <w:rPr>
                      <w:color w:val="auto"/>
                      <w:szCs w:val="21"/>
                    </w:rPr>
                  </w:pPr>
                  <w:r>
                    <w:rPr>
                      <w:color w:val="auto"/>
                      <w:szCs w:val="21"/>
                    </w:rPr>
                    <w:t>环境风险防控</w:t>
                  </w:r>
                </w:p>
              </w:tc>
              <w:tc>
                <w:tcPr>
                  <w:tcW w:w="2933" w:type="dxa"/>
                  <w:tcBorders>
                    <w:left w:val="single" w:color="auto" w:sz="4" w:space="0"/>
                    <w:right w:val="single" w:color="auto" w:sz="4" w:space="0"/>
                  </w:tcBorders>
                  <w:noWrap w:val="0"/>
                  <w:vAlign w:val="center"/>
                </w:tcPr>
                <w:p w14:paraId="109A9F78">
                  <w:pPr>
                    <w:jc w:val="center"/>
                    <w:rPr>
                      <w:rFonts w:hint="eastAsia"/>
                      <w:color w:val="auto"/>
                      <w:szCs w:val="21"/>
                    </w:rPr>
                  </w:pPr>
                  <w:r>
                    <w:rPr>
                      <w:rFonts w:hint="eastAsia"/>
                      <w:color w:val="auto"/>
                      <w:szCs w:val="21"/>
                    </w:rPr>
                    <w:t>1.定期评估地下水环境安全隐患，检查重点工业企业周边地下水污染状况，并定期公布污染地下水的企业名单。公布环境风险大、严重影响公众健康的地下水污染场地清单，开展修复试点。</w:t>
                  </w:r>
                </w:p>
                <w:p w14:paraId="3C83D0FE">
                  <w:pPr>
                    <w:jc w:val="center"/>
                    <w:rPr>
                      <w:rFonts w:hint="eastAsia"/>
                      <w:color w:val="auto"/>
                      <w:szCs w:val="21"/>
                    </w:rPr>
                  </w:pPr>
                  <w:r>
                    <w:rPr>
                      <w:rFonts w:hint="eastAsia"/>
                      <w:color w:val="auto"/>
                      <w:szCs w:val="21"/>
                    </w:rPr>
                    <w:t>2.重点排污单位应当根据所在地重污染天气应急预案，编制本单位重污染天气应急响应方案。</w:t>
                  </w:r>
                </w:p>
                <w:p w14:paraId="7EC45D96">
                  <w:pPr>
                    <w:jc w:val="center"/>
                    <w:rPr>
                      <w:color w:val="auto"/>
                      <w:szCs w:val="21"/>
                    </w:rPr>
                  </w:pPr>
                  <w:r>
                    <w:rPr>
                      <w:rFonts w:hint="eastAsia"/>
                      <w:color w:val="auto"/>
                      <w:szCs w:val="21"/>
                    </w:rPr>
                    <w:t>3.土壤环境重点监管企业全部纳入监督性环境监测范围，重点监测污染物为镉、汞、砷、铅、铬等重金属和多环芳烃、石油类等有机污染物。土壤环境监管重点行业企业拆除生产设施设备、构筑物和污染治理设施，要事先制定残留污染物清理和安全处置方案，并报所在地环境保护、工业和信息化部门备案；要严格按照有关规定实施安全处理处置，防范拆除活动污染土壤</w:t>
                  </w:r>
                  <w:r>
                    <w:rPr>
                      <w:color w:val="auto"/>
                      <w:szCs w:val="21"/>
                    </w:rPr>
                    <w:t>。</w:t>
                  </w:r>
                </w:p>
                <w:p w14:paraId="03079111">
                  <w:pPr>
                    <w:widowControl/>
                    <w:jc w:val="center"/>
                    <w:rPr>
                      <w:color w:val="auto"/>
                      <w:szCs w:val="21"/>
                    </w:rPr>
                  </w:pPr>
                </w:p>
              </w:tc>
              <w:tc>
                <w:tcPr>
                  <w:tcW w:w="1360" w:type="dxa"/>
                  <w:tcBorders>
                    <w:left w:val="single" w:color="auto" w:sz="4" w:space="0"/>
                  </w:tcBorders>
                  <w:noWrap w:val="0"/>
                  <w:vAlign w:val="center"/>
                </w:tcPr>
                <w:p w14:paraId="64E5C6E4">
                  <w:pPr>
                    <w:widowControl/>
                    <w:jc w:val="center"/>
                    <w:rPr>
                      <w:color w:val="auto"/>
                      <w:kern w:val="0"/>
                      <w:szCs w:val="21"/>
                    </w:rPr>
                  </w:pPr>
                  <w:r>
                    <w:rPr>
                      <w:color w:val="auto"/>
                      <w:kern w:val="0"/>
                      <w:szCs w:val="21"/>
                    </w:rPr>
                    <w:t>项目</w:t>
                  </w:r>
                  <w:r>
                    <w:rPr>
                      <w:rFonts w:hint="eastAsia"/>
                      <w:color w:val="auto"/>
                      <w:kern w:val="0"/>
                      <w:szCs w:val="21"/>
                      <w:lang w:eastAsia="zh-CN"/>
                    </w:rPr>
                    <w:t>已按照相关要求落实环境风险防控措施，编制重污染天气应急响应方案，运营期</w:t>
                  </w:r>
                  <w:r>
                    <w:rPr>
                      <w:rFonts w:hint="eastAsia"/>
                      <w:color w:val="auto"/>
                      <w:kern w:val="0"/>
                      <w:szCs w:val="21"/>
                      <w:lang w:val="en-US" w:eastAsia="zh-CN"/>
                    </w:rPr>
                    <w:t>采取防渗措施后</w:t>
                  </w:r>
                  <w:r>
                    <w:rPr>
                      <w:rFonts w:hint="eastAsia"/>
                      <w:color w:val="auto"/>
                      <w:kern w:val="0"/>
                      <w:szCs w:val="21"/>
                      <w:lang w:eastAsia="zh-CN"/>
                    </w:rPr>
                    <w:t>，不存在</w:t>
                  </w:r>
                  <w:r>
                    <w:rPr>
                      <w:rFonts w:hint="eastAsia"/>
                      <w:color w:val="auto"/>
                      <w:kern w:val="0"/>
                      <w:szCs w:val="21"/>
                      <w:lang w:val="en-US" w:eastAsia="zh-CN"/>
                    </w:rPr>
                    <w:t>土壤</w:t>
                  </w:r>
                  <w:r>
                    <w:rPr>
                      <w:rFonts w:hint="eastAsia"/>
                      <w:color w:val="auto"/>
                      <w:kern w:val="0"/>
                      <w:szCs w:val="21"/>
                      <w:lang w:eastAsia="zh-CN"/>
                    </w:rPr>
                    <w:t>污染场地风险。</w:t>
                  </w:r>
                </w:p>
              </w:tc>
              <w:tc>
                <w:tcPr>
                  <w:tcW w:w="425" w:type="dxa"/>
                  <w:noWrap w:val="0"/>
                  <w:vAlign w:val="center"/>
                </w:tcPr>
                <w:p w14:paraId="1B299147">
                  <w:pPr>
                    <w:tabs>
                      <w:tab w:val="left" w:pos="1264"/>
                    </w:tabs>
                    <w:jc w:val="center"/>
                    <w:rPr>
                      <w:color w:val="auto"/>
                      <w:szCs w:val="21"/>
                    </w:rPr>
                  </w:pPr>
                  <w:r>
                    <w:rPr>
                      <w:color w:val="auto"/>
                      <w:szCs w:val="21"/>
                    </w:rPr>
                    <w:t>符合</w:t>
                  </w:r>
                </w:p>
              </w:tc>
            </w:tr>
            <w:tr w14:paraId="69A7D7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96" w:type="dxa"/>
                  <w:vMerge w:val="continue"/>
                  <w:noWrap w:val="0"/>
                  <w:vAlign w:val="center"/>
                </w:tcPr>
                <w:p w14:paraId="6EA69866">
                  <w:pPr>
                    <w:tabs>
                      <w:tab w:val="left" w:pos="1264"/>
                    </w:tabs>
                    <w:jc w:val="center"/>
                    <w:rPr>
                      <w:color w:val="auto"/>
                      <w:szCs w:val="21"/>
                    </w:rPr>
                  </w:pPr>
                </w:p>
              </w:tc>
              <w:tc>
                <w:tcPr>
                  <w:tcW w:w="637" w:type="dxa"/>
                  <w:tcBorders>
                    <w:right w:val="single" w:color="auto" w:sz="4" w:space="0"/>
                  </w:tcBorders>
                  <w:noWrap w:val="0"/>
                  <w:vAlign w:val="center"/>
                </w:tcPr>
                <w:p w14:paraId="476A4DE0">
                  <w:pPr>
                    <w:widowControl/>
                    <w:jc w:val="center"/>
                    <w:rPr>
                      <w:color w:val="auto"/>
                      <w:szCs w:val="21"/>
                    </w:rPr>
                  </w:pPr>
                  <w:r>
                    <w:rPr>
                      <w:color w:val="auto"/>
                      <w:szCs w:val="21"/>
                    </w:rPr>
                    <w:t>资源利用效率</w:t>
                  </w:r>
                </w:p>
              </w:tc>
              <w:tc>
                <w:tcPr>
                  <w:tcW w:w="2933" w:type="dxa"/>
                  <w:tcBorders>
                    <w:left w:val="single" w:color="auto" w:sz="4" w:space="0"/>
                    <w:right w:val="single" w:color="auto" w:sz="4" w:space="0"/>
                  </w:tcBorders>
                  <w:noWrap w:val="0"/>
                  <w:vAlign w:val="center"/>
                </w:tcPr>
                <w:p w14:paraId="5CD8AD05">
                  <w:pPr>
                    <w:jc w:val="center"/>
                    <w:rPr>
                      <w:color w:val="auto"/>
                      <w:szCs w:val="21"/>
                    </w:rPr>
                  </w:pPr>
                  <w:r>
                    <w:rPr>
                      <w:rFonts w:hint="eastAsia"/>
                      <w:color w:val="auto"/>
                      <w:szCs w:val="21"/>
                    </w:rPr>
                    <w:t>强化工业水循环利用。推进加强洗煤废水循环利用。在高耗水行业开展试点示范，筛选具有明显经济效益的节水治污技术。鼓励纺织印染、石油石化、煤化工等高耗水企业废水深度处理回用。具备使用再生水条件但未充分利用的项目，不得批准其新增取水许可。</w:t>
                  </w:r>
                </w:p>
              </w:tc>
              <w:tc>
                <w:tcPr>
                  <w:tcW w:w="1360" w:type="dxa"/>
                  <w:tcBorders>
                    <w:left w:val="single" w:color="auto" w:sz="4" w:space="0"/>
                  </w:tcBorders>
                  <w:noWrap w:val="0"/>
                  <w:vAlign w:val="center"/>
                </w:tcPr>
                <w:p w14:paraId="48B14E8B">
                  <w:pPr>
                    <w:widowControl/>
                    <w:rPr>
                      <w:rFonts w:hint="default"/>
                      <w:lang w:val="en-US" w:eastAsia="zh-CN"/>
                    </w:rPr>
                  </w:pPr>
                  <w:r>
                    <w:rPr>
                      <w:rFonts w:hint="eastAsia"/>
                      <w:color w:val="auto"/>
                      <w:szCs w:val="21"/>
                      <w:lang w:eastAsia="zh-CN"/>
                    </w:rPr>
                    <w:t>本项目</w:t>
                  </w:r>
                  <w:r>
                    <w:rPr>
                      <w:rFonts w:hint="eastAsia"/>
                      <w:color w:val="auto"/>
                      <w:szCs w:val="21"/>
                      <w:lang w:val="en-US" w:eastAsia="zh-CN"/>
                    </w:rPr>
                    <w:t>无生产废水排放，仅员工生活污水排放，排入污水管网，最终进入污水处理厂处理。</w:t>
                  </w:r>
                </w:p>
              </w:tc>
              <w:tc>
                <w:tcPr>
                  <w:tcW w:w="425" w:type="dxa"/>
                  <w:noWrap w:val="0"/>
                  <w:vAlign w:val="center"/>
                </w:tcPr>
                <w:p w14:paraId="178D70B0">
                  <w:pPr>
                    <w:tabs>
                      <w:tab w:val="left" w:pos="1264"/>
                    </w:tabs>
                    <w:jc w:val="center"/>
                    <w:rPr>
                      <w:color w:val="auto"/>
                      <w:szCs w:val="21"/>
                    </w:rPr>
                  </w:pPr>
                  <w:r>
                    <w:rPr>
                      <w:color w:val="auto"/>
                      <w:szCs w:val="21"/>
                    </w:rPr>
                    <w:t>符合</w:t>
                  </w:r>
                </w:p>
              </w:tc>
            </w:tr>
          </w:tbl>
          <w:p w14:paraId="2FBB5390">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b/>
                <w:color w:val="000000"/>
                <w:kern w:val="0"/>
                <w:sz w:val="24"/>
              </w:rPr>
            </w:pPr>
            <w:r>
              <w:rPr>
                <w:rFonts w:hint="eastAsia"/>
                <w:b/>
                <w:color w:val="000000"/>
                <w:kern w:val="0"/>
                <w:sz w:val="24"/>
                <w:lang w:val="en-US" w:eastAsia="zh-CN"/>
              </w:rPr>
              <w:t>2.</w:t>
            </w:r>
            <w:r>
              <w:rPr>
                <w:b/>
                <w:color w:val="000000"/>
                <w:kern w:val="0"/>
                <w:sz w:val="24"/>
              </w:rPr>
              <w:t>产业政策分析</w:t>
            </w:r>
          </w:p>
          <w:p w14:paraId="0A6AF5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sz w:val="24"/>
              </w:rPr>
            </w:pPr>
            <w:r>
              <w:rPr>
                <w:sz w:val="24"/>
              </w:rPr>
              <w:t>根据《产业结构调整指导目录（20</w:t>
            </w:r>
            <w:r>
              <w:rPr>
                <w:rFonts w:hint="eastAsia"/>
                <w:sz w:val="24"/>
                <w:lang w:val="en-US" w:eastAsia="zh-CN"/>
              </w:rPr>
              <w:t>24</w:t>
            </w:r>
            <w:r>
              <w:rPr>
                <w:sz w:val="24"/>
              </w:rPr>
              <w:t>本）》，本项目不属于限制类或淘汰类项目，属于允许建设项目，因此本项目的建设符合国家产业政策要求</w:t>
            </w:r>
            <w:r>
              <w:t>。</w:t>
            </w:r>
          </w:p>
          <w:p w14:paraId="46BFE4B5">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color w:val="000000"/>
                <w:kern w:val="0"/>
                <w:sz w:val="24"/>
                <w:lang w:val="en-US" w:eastAsia="zh-CN"/>
              </w:rPr>
            </w:pPr>
            <w:r>
              <w:rPr>
                <w:rFonts w:hint="eastAsia" w:ascii="Times New Roman" w:hAnsi="Times New Roman" w:eastAsia="宋体" w:cs="Times New Roman"/>
                <w:b/>
                <w:color w:val="000000"/>
                <w:kern w:val="0"/>
                <w:sz w:val="24"/>
                <w:lang w:val="en-US" w:eastAsia="zh-CN"/>
              </w:rPr>
              <w:t>3.建设选址环境及规划符合性分析</w:t>
            </w:r>
          </w:p>
          <w:p w14:paraId="14CEB20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本项目位于新疆巴州轮台县红桥石油服务区内，土地为工业用地，本项目用地符合《轮台工业园区国土空间专项规划（2024—2035年）》中土地利用规划。</w:t>
            </w:r>
          </w:p>
          <w:p w14:paraId="5A77574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000000"/>
                <w:kern w:val="0"/>
                <w:sz w:val="24"/>
                <w:lang w:bidi="ar"/>
              </w:rPr>
            </w:pPr>
            <w:r>
              <w:rPr>
                <w:rFonts w:hint="eastAsia" w:ascii="宋体" w:hAnsi="宋体" w:cs="宋体"/>
                <w:b/>
                <w:color w:val="000000"/>
                <w:kern w:val="0"/>
                <w:sz w:val="24"/>
                <w:lang w:val="en-US" w:eastAsia="zh-CN" w:bidi="ar"/>
              </w:rPr>
              <w:t>4.</w:t>
            </w:r>
            <w:r>
              <w:rPr>
                <w:rFonts w:hint="eastAsia" w:ascii="宋体" w:hAnsi="宋体" w:cs="宋体"/>
                <w:b/>
                <w:color w:val="000000"/>
                <w:kern w:val="0"/>
                <w:sz w:val="24"/>
                <w:lang w:bidi="ar"/>
              </w:rPr>
              <w:t>环境管理政策分析</w:t>
            </w:r>
          </w:p>
          <w:p w14:paraId="57B4A7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bCs/>
                <w:sz w:val="24"/>
              </w:rPr>
            </w:pPr>
            <w:r>
              <w:rPr>
                <w:rFonts w:hint="eastAsia" w:ascii="宋体" w:hAnsi="宋体" w:cs="宋体"/>
                <w:b/>
                <w:bCs/>
                <w:sz w:val="24"/>
              </w:rPr>
              <w:t>表</w:t>
            </w:r>
            <w:r>
              <w:rPr>
                <w:rFonts w:hint="eastAsia" w:ascii="宋体" w:hAnsi="宋体" w:cs="宋体"/>
                <w:b/>
                <w:bCs/>
                <w:sz w:val="24"/>
                <w:lang w:val="en-US" w:eastAsia="zh-CN"/>
              </w:rPr>
              <w:t>1-3</w:t>
            </w:r>
            <w:r>
              <w:rPr>
                <w:rFonts w:hint="eastAsia" w:ascii="宋体" w:hAnsi="宋体" w:cs="宋体"/>
                <w:b/>
                <w:bCs/>
                <w:sz w:val="24"/>
              </w:rPr>
              <w:t xml:space="preserve">   环境管理政策相符性分析</w:t>
            </w:r>
          </w:p>
          <w:tbl>
            <w:tblPr>
              <w:tblStyle w:val="24"/>
              <w:tblW w:w="6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2387"/>
              <w:gridCol w:w="1771"/>
              <w:gridCol w:w="426"/>
            </w:tblGrid>
            <w:tr w14:paraId="0605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5BE7FC3F">
                  <w:pPr>
                    <w:pStyle w:val="56"/>
                    <w:spacing w:line="360" w:lineRule="auto"/>
                    <w:jc w:val="center"/>
                    <w:rPr>
                      <w:b w:val="0"/>
                      <w:bCs/>
                      <w:sz w:val="21"/>
                      <w:szCs w:val="21"/>
                    </w:rPr>
                  </w:pPr>
                  <w:r>
                    <w:rPr>
                      <w:rFonts w:hint="eastAsia"/>
                      <w:b w:val="0"/>
                      <w:bCs/>
                      <w:sz w:val="21"/>
                      <w:szCs w:val="21"/>
                    </w:rPr>
                    <w:t>文件</w:t>
                  </w:r>
                </w:p>
              </w:tc>
              <w:tc>
                <w:tcPr>
                  <w:tcW w:w="2387" w:type="dxa"/>
                  <w:noWrap w:val="0"/>
                  <w:vAlign w:val="center"/>
                </w:tcPr>
                <w:p w14:paraId="005F5E8F">
                  <w:pPr>
                    <w:pStyle w:val="56"/>
                    <w:spacing w:line="360" w:lineRule="auto"/>
                    <w:jc w:val="center"/>
                    <w:rPr>
                      <w:b w:val="0"/>
                      <w:bCs/>
                      <w:sz w:val="21"/>
                      <w:szCs w:val="21"/>
                    </w:rPr>
                  </w:pPr>
                  <w:r>
                    <w:rPr>
                      <w:rFonts w:hint="eastAsia"/>
                      <w:b w:val="0"/>
                      <w:bCs/>
                      <w:sz w:val="21"/>
                      <w:szCs w:val="21"/>
                    </w:rPr>
                    <w:t>环境管理政策要求</w:t>
                  </w:r>
                </w:p>
              </w:tc>
              <w:tc>
                <w:tcPr>
                  <w:tcW w:w="1771" w:type="dxa"/>
                  <w:noWrap w:val="0"/>
                  <w:vAlign w:val="center"/>
                </w:tcPr>
                <w:p w14:paraId="150ED3BE">
                  <w:pPr>
                    <w:pStyle w:val="56"/>
                    <w:spacing w:line="360" w:lineRule="auto"/>
                    <w:jc w:val="center"/>
                    <w:rPr>
                      <w:b w:val="0"/>
                      <w:bCs/>
                      <w:sz w:val="21"/>
                      <w:szCs w:val="21"/>
                    </w:rPr>
                  </w:pPr>
                  <w:r>
                    <w:rPr>
                      <w:rFonts w:hint="eastAsia"/>
                      <w:b w:val="0"/>
                      <w:bCs/>
                      <w:sz w:val="21"/>
                      <w:szCs w:val="21"/>
                    </w:rPr>
                    <w:t>本项目情况</w:t>
                  </w:r>
                </w:p>
              </w:tc>
              <w:tc>
                <w:tcPr>
                  <w:tcW w:w="426" w:type="dxa"/>
                  <w:noWrap w:val="0"/>
                  <w:vAlign w:val="center"/>
                </w:tcPr>
                <w:p w14:paraId="32E95539">
                  <w:pPr>
                    <w:pStyle w:val="56"/>
                    <w:spacing w:line="360" w:lineRule="auto"/>
                    <w:jc w:val="center"/>
                    <w:rPr>
                      <w:b w:val="0"/>
                      <w:bCs/>
                      <w:sz w:val="21"/>
                      <w:szCs w:val="21"/>
                    </w:rPr>
                  </w:pPr>
                  <w:r>
                    <w:rPr>
                      <w:rFonts w:hint="eastAsia"/>
                      <w:b w:val="0"/>
                      <w:bCs/>
                      <w:sz w:val="21"/>
                      <w:szCs w:val="21"/>
                    </w:rPr>
                    <w:t>符合性</w:t>
                  </w:r>
                </w:p>
              </w:tc>
            </w:tr>
            <w:tr w14:paraId="334A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59728487">
                  <w:pPr>
                    <w:keepLines/>
                    <w:pageBreakBefore w:val="0"/>
                    <w:widowControl w:val="0"/>
                    <w:kinsoku/>
                    <w:bidi w:val="0"/>
                    <w:spacing w:line="240" w:lineRule="auto"/>
                    <w:jc w:val="center"/>
                    <w:rPr>
                      <w:rFonts w:hint="eastAsia" w:cs="Times New Roman"/>
                      <w:b w:val="0"/>
                      <w:bCs/>
                      <w:color w:val="000000"/>
                      <w:sz w:val="21"/>
                      <w:szCs w:val="21"/>
                      <w:highlight w:val="none"/>
                      <w:lang w:eastAsia="zh-CN"/>
                    </w:rPr>
                  </w:pPr>
                  <w:r>
                    <w:rPr>
                      <w:rFonts w:hint="eastAsia" w:cs="Times New Roman"/>
                      <w:b w:val="0"/>
                      <w:bCs/>
                      <w:color w:val="000000"/>
                      <w:sz w:val="21"/>
                      <w:szCs w:val="21"/>
                      <w:highlight w:val="none"/>
                      <w:lang w:eastAsia="zh-CN"/>
                    </w:rPr>
                    <w:t>《新疆生态环境保护“十四五”规划》</w:t>
                  </w:r>
                </w:p>
              </w:tc>
              <w:tc>
                <w:tcPr>
                  <w:tcW w:w="2387" w:type="dxa"/>
                  <w:noWrap w:val="0"/>
                  <w:vAlign w:val="center"/>
                </w:tcPr>
                <w:p w14:paraId="6D5487C0">
                  <w:pPr>
                    <w:adjustRightInd w:val="0"/>
                    <w:snapToGrid w:val="0"/>
                    <w:spacing w:line="0" w:lineRule="atLeast"/>
                    <w:jc w:val="center"/>
                    <w:rPr>
                      <w:rFonts w:hint="default" w:ascii="Times New Roman" w:hAnsi="Times New Roman" w:eastAsia="宋体" w:cs="Times New Roman"/>
                      <w:b w:val="0"/>
                      <w:bCs/>
                      <w:color w:val="auto"/>
                      <w:sz w:val="21"/>
                      <w:szCs w:val="21"/>
                      <w:highlight w:val="none"/>
                    </w:rPr>
                  </w:pPr>
                  <w:r>
                    <w:rPr>
                      <w:rFonts w:hint="eastAsia" w:hAnsi="宋体" w:eastAsia="宋体" w:cs="宋体"/>
                      <w:color w:val="auto"/>
                      <w:spacing w:val="-10"/>
                      <w:szCs w:val="21"/>
                      <w:highlight w:val="none"/>
                      <w:lang w:val="en-US" w:eastAsia="zh-CN"/>
                    </w:rPr>
                    <w:t>加强重点行业VOCs治理。实施VOCs排放总量控制，重点推进石油天然气开采、石化、化工、包装印刷、工业涂装、油品储运销等重点行业排放源以及机动车等移动源VOCs污染防治，加强重点行业、重点企业的精细化管控；全面推进使用低VOCs含量涂料、油墨、胶粘剂、清洗剂等；加强汽修行业VOCs综合治理，加大餐饮油烟污染治理力度，持续削减VOCs排放量</w:t>
                  </w:r>
                </w:p>
              </w:tc>
              <w:tc>
                <w:tcPr>
                  <w:tcW w:w="1771" w:type="dxa"/>
                  <w:noWrap w:val="0"/>
                  <w:vAlign w:val="center"/>
                </w:tcPr>
                <w:p w14:paraId="2F388133">
                  <w:pPr>
                    <w:adjustRightInd w:val="0"/>
                    <w:snapToGrid w:val="0"/>
                    <w:spacing w:line="0" w:lineRule="atLeast"/>
                    <w:jc w:val="center"/>
                    <w:rPr>
                      <w:rFonts w:hint="default" w:ascii="Times New Roman" w:hAnsi="Times New Roman" w:eastAsia="宋体" w:cs="Times New Roman"/>
                      <w:b w:val="0"/>
                      <w:bCs/>
                      <w:color w:val="auto"/>
                      <w:sz w:val="21"/>
                      <w:szCs w:val="21"/>
                      <w:highlight w:val="none"/>
                      <w:lang w:val="en-US" w:eastAsia="zh-CN" w:bidi="ar-SA"/>
                    </w:rPr>
                  </w:pPr>
                  <w:r>
                    <w:rPr>
                      <w:rFonts w:hint="eastAsia" w:hAnsi="宋体" w:cs="宋体"/>
                      <w:color w:val="auto"/>
                      <w:spacing w:val="-10"/>
                      <w:szCs w:val="21"/>
                      <w:highlight w:val="none"/>
                      <w:lang w:val="en-US" w:eastAsia="zh-CN"/>
                    </w:rPr>
                    <w:t>项目有机废气经集气罩收集后通过“活性炭吸附/脱附+催化燃烧（热源采用电加热）”装置处理后通过20m排气筒（DA001）排放，</w:t>
                  </w:r>
                  <w:r>
                    <w:rPr>
                      <w:rFonts w:hint="eastAsia" w:hAnsi="宋体" w:eastAsia="宋体" w:cs="宋体"/>
                      <w:color w:val="auto"/>
                      <w:spacing w:val="-10"/>
                      <w:szCs w:val="21"/>
                      <w:highlight w:val="none"/>
                      <w:lang w:val="en-US" w:eastAsia="zh-CN"/>
                    </w:rPr>
                    <w:t>深化</w:t>
                  </w:r>
                  <w:r>
                    <w:rPr>
                      <w:rFonts w:hint="eastAsia" w:ascii="宋体" w:hAnsi="宋体" w:eastAsia="宋体" w:cs="宋体"/>
                      <w:b w:val="0"/>
                      <w:bCs/>
                      <w:color w:val="auto"/>
                      <w:kern w:val="0"/>
                      <w:sz w:val="21"/>
                      <w:szCs w:val="21"/>
                      <w:highlight w:val="none"/>
                      <w:vertAlign w:val="baseline"/>
                      <w:lang w:val="en-US" w:eastAsia="zh-CN" w:bidi="ar-SA"/>
                    </w:rPr>
                    <w:t>VOCs</w:t>
                  </w:r>
                  <w:r>
                    <w:rPr>
                      <w:rFonts w:hint="eastAsia" w:hAnsi="宋体" w:eastAsia="宋体" w:cs="宋体"/>
                      <w:color w:val="auto"/>
                      <w:spacing w:val="-10"/>
                      <w:szCs w:val="21"/>
                      <w:highlight w:val="none"/>
                      <w:lang w:val="en-US" w:eastAsia="zh-CN"/>
                    </w:rPr>
                    <w:t>污染防治</w:t>
                  </w:r>
                </w:p>
              </w:tc>
              <w:tc>
                <w:tcPr>
                  <w:tcW w:w="426" w:type="dxa"/>
                  <w:noWrap w:val="0"/>
                  <w:vAlign w:val="center"/>
                </w:tcPr>
                <w:p w14:paraId="0D930E42">
                  <w:pPr>
                    <w:pStyle w:val="56"/>
                    <w:spacing w:line="360" w:lineRule="auto"/>
                    <w:jc w:val="center"/>
                    <w:rPr>
                      <w:rFonts w:hint="eastAsia" w:eastAsia="宋体"/>
                      <w:b w:val="0"/>
                      <w:bCs/>
                      <w:sz w:val="21"/>
                      <w:szCs w:val="21"/>
                      <w:lang w:val="en-US" w:eastAsia="zh-CN"/>
                    </w:rPr>
                  </w:pPr>
                  <w:r>
                    <w:rPr>
                      <w:rFonts w:hint="eastAsia"/>
                      <w:b w:val="0"/>
                      <w:bCs/>
                      <w:sz w:val="21"/>
                      <w:szCs w:val="21"/>
                      <w:lang w:val="en-US" w:eastAsia="zh-CN"/>
                    </w:rPr>
                    <w:t>符合</w:t>
                  </w:r>
                </w:p>
              </w:tc>
            </w:tr>
            <w:tr w14:paraId="77E2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vMerge w:val="restart"/>
                  <w:noWrap w:val="0"/>
                  <w:vAlign w:val="center"/>
                </w:tcPr>
                <w:p w14:paraId="19CA2C0D">
                  <w:pPr>
                    <w:pStyle w:val="56"/>
                    <w:spacing w:line="320" w:lineRule="exact"/>
                    <w:jc w:val="center"/>
                    <w:rPr>
                      <w:rFonts w:hint="eastAsia" w:ascii="Times New Roman" w:eastAsia="宋体" w:cs="Times New Roman"/>
                      <w:b w:val="0"/>
                      <w:bCs/>
                      <w:sz w:val="21"/>
                      <w:szCs w:val="21"/>
                      <w:lang w:eastAsia="zh-CN"/>
                    </w:rPr>
                  </w:pPr>
                  <w:r>
                    <w:rPr>
                      <w:rFonts w:hint="eastAsia" w:ascii="Times New Roman" w:eastAsia="宋体" w:cs="Times New Roman"/>
                      <w:b w:val="0"/>
                      <w:bCs/>
                      <w:sz w:val="21"/>
                      <w:szCs w:val="21"/>
                      <w:lang w:eastAsia="zh-CN"/>
                    </w:rPr>
                    <w:t>《新疆维吾尔自治区大气污染防治条例》</w:t>
                  </w:r>
                </w:p>
              </w:tc>
              <w:tc>
                <w:tcPr>
                  <w:tcW w:w="2387" w:type="dxa"/>
                  <w:noWrap w:val="0"/>
                  <w:vAlign w:val="center"/>
                </w:tcPr>
                <w:p w14:paraId="3531247B">
                  <w:pPr>
                    <w:pStyle w:val="56"/>
                    <w:spacing w:line="320" w:lineRule="exact"/>
                    <w:jc w:val="center"/>
                    <w:rPr>
                      <w:rFonts w:hint="eastAsia" w:ascii="Times New Roman" w:eastAsia="宋体" w:cs="Times New Roman"/>
                      <w:b w:val="0"/>
                      <w:bCs/>
                      <w:sz w:val="21"/>
                      <w:szCs w:val="21"/>
                      <w:lang w:eastAsia="zh-CN"/>
                    </w:rPr>
                  </w:pPr>
                  <w:r>
                    <w:rPr>
                      <w:rFonts w:hint="eastAsia" w:ascii="Times New Roman" w:cs="Times New Roman"/>
                      <w:b w:val="0"/>
                      <w:bCs/>
                      <w:sz w:val="21"/>
                      <w:szCs w:val="21"/>
                    </w:rPr>
                    <w:t>推进城市建成区、工业园区实行集中供热，使用清洁燃料。在集中供热管网覆盖区域内，禁止新建、改建、扩建燃煤供热锅炉</w:t>
                  </w:r>
                  <w:r>
                    <w:rPr>
                      <w:rFonts w:hint="eastAsia" w:ascii="Times New Roman" w:cs="Times New Roman"/>
                      <w:b w:val="0"/>
                      <w:bCs/>
                      <w:sz w:val="21"/>
                      <w:szCs w:val="21"/>
                      <w:lang w:eastAsia="zh-CN"/>
                    </w:rPr>
                    <w:t>，在</w:t>
                  </w:r>
                  <w:r>
                    <w:rPr>
                      <w:rFonts w:hint="eastAsia" w:ascii="Times New Roman" w:cs="Times New Roman"/>
                      <w:b w:val="0"/>
                      <w:bCs/>
                      <w:sz w:val="21"/>
                      <w:szCs w:val="21"/>
                    </w:rPr>
                    <w:t>集中供热管网覆盖前，已建成使用的燃煤供热锅炉应当限期停止使用</w:t>
                  </w:r>
                  <w:r>
                    <w:rPr>
                      <w:rFonts w:hint="eastAsia" w:ascii="Times New Roman" w:cs="Times New Roman"/>
                      <w:b w:val="0"/>
                      <w:bCs/>
                      <w:sz w:val="21"/>
                      <w:szCs w:val="21"/>
                      <w:lang w:eastAsia="zh-CN"/>
                    </w:rPr>
                    <w:t>。</w:t>
                  </w:r>
                </w:p>
              </w:tc>
              <w:tc>
                <w:tcPr>
                  <w:tcW w:w="1771" w:type="dxa"/>
                  <w:noWrap w:val="0"/>
                  <w:vAlign w:val="center"/>
                </w:tcPr>
                <w:p w14:paraId="1D1E4A39">
                  <w:pPr>
                    <w:pStyle w:val="56"/>
                    <w:spacing w:line="320" w:lineRule="exact"/>
                    <w:jc w:val="center"/>
                    <w:rPr>
                      <w:rFonts w:hint="eastAsia" w:ascii="Times New Roman" w:eastAsia="宋体" w:cs="Times New Roman"/>
                      <w:b w:val="0"/>
                      <w:bCs/>
                      <w:sz w:val="21"/>
                      <w:szCs w:val="21"/>
                      <w:lang w:val="en-US" w:eastAsia="zh-CN"/>
                    </w:rPr>
                  </w:pPr>
                  <w:r>
                    <w:rPr>
                      <w:rFonts w:ascii="Times New Roman" w:cs="Times New Roman"/>
                      <w:b w:val="0"/>
                      <w:bCs/>
                      <w:sz w:val="21"/>
                      <w:szCs w:val="21"/>
                    </w:rPr>
                    <w:t>本项目</w:t>
                  </w:r>
                  <w:r>
                    <w:rPr>
                      <w:rFonts w:hint="eastAsia" w:ascii="Times New Roman" w:cs="Times New Roman"/>
                      <w:b w:val="0"/>
                      <w:bCs/>
                      <w:sz w:val="21"/>
                      <w:szCs w:val="21"/>
                      <w:lang w:val="en-US" w:eastAsia="zh-CN"/>
                    </w:rPr>
                    <w:t>生活</w:t>
                  </w:r>
                  <w:r>
                    <w:rPr>
                      <w:rFonts w:ascii="Times New Roman" w:cs="Times New Roman"/>
                      <w:b w:val="0"/>
                      <w:bCs/>
                      <w:sz w:val="21"/>
                      <w:szCs w:val="21"/>
                    </w:rPr>
                    <w:t>使用电采暖供暖，属于清洁取暖</w:t>
                  </w:r>
                  <w:r>
                    <w:rPr>
                      <w:rFonts w:hint="eastAsia" w:ascii="Times New Roman" w:cs="Times New Roman"/>
                      <w:b w:val="0"/>
                      <w:bCs/>
                      <w:sz w:val="21"/>
                      <w:szCs w:val="21"/>
                      <w:lang w:eastAsia="zh-CN"/>
                    </w:rPr>
                    <w:t>。</w:t>
                  </w:r>
                </w:p>
              </w:tc>
              <w:tc>
                <w:tcPr>
                  <w:tcW w:w="426" w:type="dxa"/>
                  <w:noWrap w:val="0"/>
                  <w:vAlign w:val="center"/>
                </w:tcPr>
                <w:p w14:paraId="1E3C498F">
                  <w:pPr>
                    <w:pStyle w:val="56"/>
                    <w:spacing w:line="360" w:lineRule="auto"/>
                    <w:jc w:val="center"/>
                    <w:rPr>
                      <w:rFonts w:hint="eastAsia"/>
                      <w:b w:val="0"/>
                      <w:bCs/>
                      <w:sz w:val="21"/>
                      <w:szCs w:val="21"/>
                      <w:lang w:eastAsia="zh-CN"/>
                    </w:rPr>
                  </w:pPr>
                  <w:r>
                    <w:rPr>
                      <w:rFonts w:hint="eastAsia"/>
                      <w:b w:val="0"/>
                      <w:bCs/>
                      <w:sz w:val="21"/>
                      <w:szCs w:val="21"/>
                      <w:lang w:eastAsia="zh-CN"/>
                    </w:rPr>
                    <w:t>符合</w:t>
                  </w:r>
                </w:p>
              </w:tc>
            </w:tr>
            <w:tr w14:paraId="0E38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vMerge w:val="continue"/>
                  <w:noWrap w:val="0"/>
                  <w:vAlign w:val="center"/>
                </w:tcPr>
                <w:p w14:paraId="532DF2CF">
                  <w:pPr>
                    <w:pStyle w:val="56"/>
                    <w:spacing w:line="320" w:lineRule="exact"/>
                    <w:jc w:val="center"/>
                    <w:rPr>
                      <w:rFonts w:hint="eastAsia" w:ascii="Times New Roman" w:eastAsia="宋体" w:cs="Times New Roman"/>
                      <w:b w:val="0"/>
                      <w:bCs/>
                      <w:sz w:val="21"/>
                      <w:szCs w:val="21"/>
                      <w:lang w:eastAsia="zh-CN"/>
                    </w:rPr>
                  </w:pPr>
                </w:p>
              </w:tc>
              <w:tc>
                <w:tcPr>
                  <w:tcW w:w="2387" w:type="dxa"/>
                  <w:noWrap w:val="0"/>
                  <w:vAlign w:val="center"/>
                </w:tcPr>
                <w:p w14:paraId="3CEAB357">
                  <w:pPr>
                    <w:pStyle w:val="56"/>
                    <w:spacing w:line="320" w:lineRule="exact"/>
                    <w:jc w:val="center"/>
                    <w:rPr>
                      <w:rFonts w:hint="eastAsia" w:ascii="Times New Roman" w:eastAsia="宋体" w:cs="Times New Roman"/>
                      <w:b w:val="0"/>
                      <w:bCs/>
                      <w:sz w:val="21"/>
                      <w:szCs w:val="21"/>
                      <w:lang w:eastAsia="zh-CN"/>
                    </w:rPr>
                  </w:pPr>
                  <w:r>
                    <w:rPr>
                      <w:rFonts w:hint="eastAsia" w:ascii="Times New Roman" w:cs="Times New Roman"/>
                      <w:b w:val="0"/>
                      <w:bCs/>
                      <w:sz w:val="21"/>
                      <w:szCs w:val="21"/>
                    </w:rPr>
                    <w:t>禁止在自治区行政区域内引进能（水）耗不符合相关国家标准中准入值要求且污染物排放和环境风险防控不符合国家（地方）标准及有关产业准入条件的高污染（排放）、高能（水）耗、高环境风险的工业项目</w:t>
                  </w:r>
                  <w:r>
                    <w:rPr>
                      <w:rFonts w:hint="eastAsia" w:ascii="Times New Roman" w:cs="Times New Roman"/>
                      <w:b w:val="0"/>
                      <w:bCs/>
                      <w:sz w:val="21"/>
                      <w:szCs w:val="21"/>
                      <w:lang w:eastAsia="zh-CN"/>
                    </w:rPr>
                    <w:t>。</w:t>
                  </w:r>
                </w:p>
              </w:tc>
              <w:tc>
                <w:tcPr>
                  <w:tcW w:w="1771" w:type="dxa"/>
                  <w:noWrap w:val="0"/>
                  <w:vAlign w:val="center"/>
                </w:tcPr>
                <w:p w14:paraId="1DB2827C">
                  <w:pPr>
                    <w:pStyle w:val="56"/>
                    <w:spacing w:line="320" w:lineRule="exact"/>
                    <w:jc w:val="center"/>
                    <w:rPr>
                      <w:rFonts w:hint="eastAsia" w:ascii="Times New Roman" w:eastAsia="宋体" w:cs="Times New Roman"/>
                      <w:b w:val="0"/>
                      <w:bCs/>
                      <w:sz w:val="21"/>
                      <w:szCs w:val="21"/>
                      <w:lang w:eastAsia="zh-CN"/>
                    </w:rPr>
                  </w:pPr>
                  <w:r>
                    <w:rPr>
                      <w:rFonts w:hint="eastAsia" w:ascii="Times New Roman" w:eastAsia="宋体" w:cs="Times New Roman"/>
                      <w:b w:val="0"/>
                      <w:bCs/>
                      <w:sz w:val="21"/>
                      <w:szCs w:val="21"/>
                      <w:lang w:eastAsia="zh-CN"/>
                    </w:rPr>
                    <w:t>项目运营过程中会消耗电和新鲜水，用水来自市政管网，用电来自市政供电，不属于高耗能企业</w:t>
                  </w:r>
                  <w:r>
                    <w:rPr>
                      <w:rFonts w:hint="eastAsia" w:ascii="Times New Roman" w:cs="Times New Roman"/>
                      <w:b w:val="0"/>
                      <w:bCs/>
                      <w:sz w:val="21"/>
                      <w:szCs w:val="21"/>
                      <w:lang w:eastAsia="zh-CN"/>
                    </w:rPr>
                    <w:t>，不会突破地区资源利用配额。</w:t>
                  </w:r>
                </w:p>
              </w:tc>
              <w:tc>
                <w:tcPr>
                  <w:tcW w:w="426" w:type="dxa"/>
                  <w:noWrap w:val="0"/>
                  <w:vAlign w:val="center"/>
                </w:tcPr>
                <w:p w14:paraId="0570839B">
                  <w:pPr>
                    <w:pStyle w:val="56"/>
                    <w:spacing w:line="360" w:lineRule="auto"/>
                    <w:jc w:val="center"/>
                    <w:rPr>
                      <w:rFonts w:hint="eastAsia"/>
                      <w:b w:val="0"/>
                      <w:bCs/>
                      <w:sz w:val="21"/>
                      <w:szCs w:val="21"/>
                      <w:lang w:eastAsia="zh-CN"/>
                    </w:rPr>
                  </w:pPr>
                  <w:r>
                    <w:rPr>
                      <w:rFonts w:hint="eastAsia"/>
                      <w:b w:val="0"/>
                      <w:bCs/>
                      <w:sz w:val="21"/>
                      <w:szCs w:val="21"/>
                      <w:lang w:eastAsia="zh-CN"/>
                    </w:rPr>
                    <w:t>符合</w:t>
                  </w:r>
                </w:p>
              </w:tc>
            </w:tr>
            <w:tr w14:paraId="6A8A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699CD147">
                  <w:pPr>
                    <w:keepLines/>
                    <w:pageBreakBefore w:val="0"/>
                    <w:widowControl w:val="0"/>
                    <w:kinsoku/>
                    <w:bidi w:val="0"/>
                    <w:spacing w:line="240" w:lineRule="auto"/>
                    <w:jc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《新疆维吾尔自治区2025年空气质量持续改善行动实施方案》</w:t>
                  </w:r>
                </w:p>
              </w:tc>
              <w:tc>
                <w:tcPr>
                  <w:tcW w:w="2387" w:type="dxa"/>
                  <w:noWrap w:val="0"/>
                  <w:vAlign w:val="center"/>
                </w:tcPr>
                <w:p w14:paraId="3B2C4A7A">
                  <w:pPr>
                    <w:keepLines/>
                    <w:pageBreakBefore w:val="0"/>
                    <w:widowControl w:val="0"/>
                    <w:kinsoku/>
                    <w:bidi w:val="0"/>
                    <w:spacing w:line="240" w:lineRule="auto"/>
                    <w:rPr>
                      <w:rFonts w:hint="default" w:ascii="Times New Roman" w:hAnsi="Times New Roman" w:eastAsia="宋体" w:cs="Times New Roman"/>
                      <w:b w:val="0"/>
                      <w:bCs/>
                      <w:color w:val="000000"/>
                      <w:sz w:val="21"/>
                      <w:szCs w:val="21"/>
                      <w:highlight w:val="none"/>
                    </w:rPr>
                  </w:pPr>
                  <w:r>
                    <w:rPr>
                      <w:rFonts w:hint="eastAsia" w:ascii="Times New Roman" w:hAnsi="Times New Roman" w:eastAsia="宋体" w:cs="Times New Roman"/>
                      <w:b w:val="0"/>
                      <w:bCs/>
                      <w:color w:val="000000"/>
                      <w:sz w:val="21"/>
                      <w:szCs w:val="21"/>
                      <w:highlight w:val="none"/>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w:t>
                  </w:r>
                </w:p>
              </w:tc>
              <w:tc>
                <w:tcPr>
                  <w:tcW w:w="1771" w:type="dxa"/>
                  <w:noWrap w:val="0"/>
                  <w:vAlign w:val="center"/>
                </w:tcPr>
                <w:p w14:paraId="131D3587">
                  <w:pPr>
                    <w:keepLines/>
                    <w:pageBreakBefore w:val="0"/>
                    <w:widowControl w:val="0"/>
                    <w:kinsoku/>
                    <w:bidi w:val="0"/>
                    <w:spacing w:line="240" w:lineRule="auto"/>
                    <w:jc w:val="center"/>
                    <w:rPr>
                      <w:rFonts w:hint="default" w:ascii="Times New Roman" w:hAnsi="Times New Roman" w:eastAsia="宋体" w:cs="Times New Roman"/>
                      <w:b w:val="0"/>
                      <w:bCs/>
                      <w:color w:val="000000"/>
                      <w:sz w:val="21"/>
                      <w:szCs w:val="21"/>
                      <w:highlight w:val="none"/>
                    </w:rPr>
                  </w:pPr>
                  <w:r>
                    <w:rPr>
                      <w:rFonts w:hint="eastAsia" w:ascii="Times New Roman" w:hAnsi="Times New Roman" w:eastAsia="宋体" w:cs="Times New Roman"/>
                      <w:b w:val="0"/>
                      <w:bCs/>
                      <w:color w:val="000000"/>
                      <w:sz w:val="21"/>
                      <w:szCs w:val="21"/>
                      <w:highlight w:val="none"/>
                    </w:rPr>
                    <w:t>项目</w:t>
                  </w:r>
                  <w:r>
                    <w:rPr>
                      <w:rFonts w:hint="eastAsia" w:cs="Times New Roman"/>
                      <w:b w:val="0"/>
                      <w:bCs/>
                      <w:color w:val="000000"/>
                      <w:sz w:val="21"/>
                      <w:szCs w:val="21"/>
                      <w:highlight w:val="none"/>
                      <w:lang w:eastAsia="zh-CN"/>
                    </w:rPr>
                    <w:t>采用水性低VOCs涂胶工艺，不属于高耗能、高排放、低水平项目，严格落实各项污染防治措施后污染物可达标排放，满足相关政策要求，符合实施方案管控规定</w:t>
                  </w:r>
                  <w:r>
                    <w:rPr>
                      <w:rFonts w:hint="eastAsia" w:ascii="Times New Roman" w:hAnsi="Times New Roman" w:eastAsia="宋体" w:cs="Times New Roman"/>
                      <w:b w:val="0"/>
                      <w:bCs/>
                      <w:color w:val="000000"/>
                      <w:sz w:val="21"/>
                      <w:szCs w:val="21"/>
                      <w:highlight w:val="none"/>
                      <w:lang w:val="en-US" w:eastAsia="zh-CN"/>
                    </w:rPr>
                    <w:t>。</w:t>
                  </w:r>
                </w:p>
              </w:tc>
              <w:tc>
                <w:tcPr>
                  <w:tcW w:w="426" w:type="dxa"/>
                  <w:noWrap w:val="0"/>
                  <w:vAlign w:val="center"/>
                </w:tcPr>
                <w:p w14:paraId="5FB79C03">
                  <w:pPr>
                    <w:keepLines/>
                    <w:pageBreakBefore w:val="0"/>
                    <w:widowControl w:val="0"/>
                    <w:kinsoku/>
                    <w:bidi w:val="0"/>
                    <w:spacing w:line="240" w:lineRule="auto"/>
                    <w:jc w:val="center"/>
                    <w:rPr>
                      <w:rFonts w:hint="eastAsia"/>
                      <w:b w:val="0"/>
                      <w:bCs/>
                      <w:sz w:val="21"/>
                      <w:szCs w:val="21"/>
                      <w:lang w:val="en-US" w:eastAsia="zh-CN"/>
                    </w:rPr>
                  </w:pPr>
                  <w:r>
                    <w:rPr>
                      <w:rFonts w:hint="default" w:ascii="Times New Roman" w:hAnsi="Times New Roman" w:eastAsia="宋体" w:cs="Times New Roman"/>
                      <w:b w:val="0"/>
                      <w:bCs/>
                      <w:color w:val="000000"/>
                      <w:sz w:val="21"/>
                      <w:szCs w:val="21"/>
                      <w:highlight w:val="none"/>
                    </w:rPr>
                    <w:t>符合</w:t>
                  </w:r>
                </w:p>
              </w:tc>
            </w:tr>
            <w:tr w14:paraId="6006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54075C05">
                  <w:pPr>
                    <w:keepLines/>
                    <w:pageBreakBefore w:val="0"/>
                    <w:widowControl w:val="0"/>
                    <w:kinsoku/>
                    <w:bidi w:val="0"/>
                    <w:spacing w:line="240" w:lineRule="auto"/>
                    <w:jc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《自治州大气污染防治三年攻坚行动方案（2023－2025年）》（巴政发〔2023〕27号）</w:t>
                  </w:r>
                </w:p>
              </w:tc>
              <w:tc>
                <w:tcPr>
                  <w:tcW w:w="2387" w:type="dxa"/>
                  <w:noWrap w:val="0"/>
                  <w:vAlign w:val="center"/>
                </w:tcPr>
                <w:p w14:paraId="16C83A73">
                  <w:pPr>
                    <w:pStyle w:val="61"/>
                    <w:spacing w:line="320" w:lineRule="exact"/>
                    <w:jc w:val="center"/>
                    <w:rPr>
                      <w:rFonts w:hint="default" w:ascii="Times New Roman" w:hAnsi="Times New Roman" w:eastAsia="宋体" w:cs="Times New Roman"/>
                      <w:b w:val="0"/>
                      <w:bCs/>
                      <w:color w:val="000000"/>
                      <w:sz w:val="21"/>
                      <w:szCs w:val="21"/>
                      <w:highlight w:val="none"/>
                      <w:lang w:val="en-US" w:eastAsia="zh-CN"/>
                    </w:rPr>
                  </w:pPr>
                  <w:r>
                    <w:rPr>
                      <w:rFonts w:hint="eastAsia" w:ascii="Times New Roman" w:hAnsi="Times New Roman" w:eastAsia="宋体" w:cs="Times New Roman"/>
                      <w:b w:val="0"/>
                      <w:bCs/>
                      <w:color w:val="auto"/>
                      <w:szCs w:val="21"/>
                      <w:lang w:eastAsia="zh-CN"/>
                    </w:rPr>
                    <w:t>大力推进电能替代煤炭，积极稳妥推进以气代煤。新、改、扩建加热炉、热处理炉、干燥炉、熔化炉，采用清洁低碳能源，不得使用高污染燃料（煤、石油焦、渣油、重油等）。现有使用高污染燃料的工业炉窑改用清洁燃料，</w:t>
                  </w:r>
                </w:p>
              </w:tc>
              <w:tc>
                <w:tcPr>
                  <w:tcW w:w="1771" w:type="dxa"/>
                  <w:noWrap w:val="0"/>
                  <w:vAlign w:val="center"/>
                </w:tcPr>
                <w:p w14:paraId="0F24CC04">
                  <w:pPr>
                    <w:pStyle w:val="61"/>
                    <w:spacing w:line="320" w:lineRule="exact"/>
                    <w:jc w:val="center"/>
                    <w:rPr>
                      <w:rFonts w:hint="default" w:ascii="Times New Roman" w:hAnsi="Times New Roman" w:eastAsia="宋体" w:cs="Times New Roman"/>
                      <w:b w:val="0"/>
                      <w:bCs/>
                      <w:color w:val="000000"/>
                      <w:sz w:val="21"/>
                      <w:szCs w:val="21"/>
                      <w:highlight w:val="none"/>
                      <w:lang w:val="en-US" w:eastAsia="zh-CN"/>
                    </w:rPr>
                  </w:pPr>
                  <w:r>
                    <w:rPr>
                      <w:rFonts w:hint="eastAsia"/>
                      <w:b w:val="0"/>
                      <w:bCs/>
                      <w:color w:val="auto"/>
                      <w:szCs w:val="21"/>
                      <w:lang w:val="en-US" w:eastAsia="zh-CN"/>
                    </w:rPr>
                    <w:t>本项目生产供热采取电加热，生活供暖采用电供暖。</w:t>
                  </w:r>
                </w:p>
              </w:tc>
              <w:tc>
                <w:tcPr>
                  <w:tcW w:w="426" w:type="dxa"/>
                  <w:noWrap w:val="0"/>
                  <w:vAlign w:val="center"/>
                </w:tcPr>
                <w:p w14:paraId="6C7DE5DE">
                  <w:pPr>
                    <w:keepLines/>
                    <w:pageBreakBefore w:val="0"/>
                    <w:widowControl w:val="0"/>
                    <w:kinsoku/>
                    <w:bidi w:val="0"/>
                    <w:spacing w:line="240" w:lineRule="auto"/>
                    <w:jc w:val="center"/>
                    <w:rPr>
                      <w:rFonts w:hint="default" w:ascii="Times New Roman" w:hAnsi="Times New Roman" w:eastAsia="宋体" w:cs="Times New Roman"/>
                      <w:b w:val="0"/>
                      <w:bCs/>
                      <w:color w:val="000000"/>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符合</w:t>
                  </w:r>
                </w:p>
              </w:tc>
            </w:tr>
            <w:tr w14:paraId="4831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02855783">
                  <w:pPr>
                    <w:pStyle w:val="61"/>
                    <w:spacing w:line="320" w:lineRule="exact"/>
                    <w:jc w:val="center"/>
                    <w:rPr>
                      <w:rFonts w:hint="default" w:ascii="Times New Roman" w:hAnsi="Times New Roman" w:eastAsia="宋体" w:cs="Times New Roman"/>
                      <w:b w:val="0"/>
                      <w:bCs/>
                      <w:color w:val="000000"/>
                      <w:sz w:val="21"/>
                      <w:szCs w:val="21"/>
                      <w:highlight w:val="none"/>
                    </w:rPr>
                  </w:pPr>
                  <w:r>
                    <w:rPr>
                      <w:rFonts w:hint="default"/>
                      <w:b w:val="0"/>
                      <w:bCs/>
                      <w:color w:val="auto"/>
                      <w:szCs w:val="21"/>
                      <w:lang w:val="en-US" w:eastAsia="zh-CN"/>
                    </w:rPr>
                    <w:t>《挥发性有机物（VOCs）污染防治技术政策》</w:t>
                  </w:r>
                </w:p>
              </w:tc>
              <w:tc>
                <w:tcPr>
                  <w:tcW w:w="2387" w:type="dxa"/>
                  <w:noWrap w:val="0"/>
                  <w:vAlign w:val="center"/>
                </w:tcPr>
                <w:p w14:paraId="056CE7E5">
                  <w:pPr>
                    <w:pStyle w:val="61"/>
                    <w:spacing w:line="320" w:lineRule="exact"/>
                    <w:jc w:val="center"/>
                    <w:rPr>
                      <w:rFonts w:hint="eastAsia" w:ascii="Times New Roman" w:hAnsi="Times New Roman" w:eastAsia="宋体" w:cs="Times New Roman"/>
                      <w:b w:val="0"/>
                      <w:bCs/>
                      <w:color w:val="000000"/>
                      <w:sz w:val="21"/>
                      <w:szCs w:val="21"/>
                      <w:highlight w:val="none"/>
                      <w:lang w:eastAsia="zh-CN"/>
                    </w:rPr>
                  </w:pPr>
                  <w:r>
                    <w:rPr>
                      <w:rFonts w:hint="eastAsia" w:ascii="Times New Roman" w:hAnsi="Times New Roman" w:cs="Times New Roman"/>
                      <w:b w:val="0"/>
                      <w:bCs/>
                      <w:color w:val="auto"/>
                      <w:szCs w:val="21"/>
                    </w:rPr>
                    <w:t>对于含低浓度VOCs的废气，有回收价值时可采用吸附技术、吸收技术对有机溶剂回收后达标排放；不宜回收时，可采用吸附浓缩燃烧技术、生物技术、吸收技术、等离子体技术或紫外光高级氧化技术等净化后达标排放</w:t>
                  </w:r>
                  <w:r>
                    <w:rPr>
                      <w:rFonts w:hint="eastAsia"/>
                      <w:lang w:eastAsia="zh-CN"/>
                    </w:rPr>
                    <w:t>。</w:t>
                  </w:r>
                </w:p>
              </w:tc>
              <w:tc>
                <w:tcPr>
                  <w:tcW w:w="1771" w:type="dxa"/>
                  <w:noWrap w:val="0"/>
                  <w:vAlign w:val="center"/>
                </w:tcPr>
                <w:p w14:paraId="18458CD0">
                  <w:pPr>
                    <w:pStyle w:val="61"/>
                    <w:spacing w:line="320" w:lineRule="exact"/>
                    <w:jc w:val="center"/>
                    <w:rPr>
                      <w:rFonts w:hint="default" w:ascii="Times New Roman" w:hAnsi="Times New Roman" w:eastAsia="宋体" w:cs="Times New Roman"/>
                      <w:b w:val="0"/>
                      <w:bCs/>
                      <w:color w:val="000000"/>
                      <w:sz w:val="21"/>
                      <w:szCs w:val="21"/>
                      <w:highlight w:val="none"/>
                      <w:lang w:val="en-US" w:eastAsia="zh-CN"/>
                    </w:rPr>
                  </w:pPr>
                  <w:r>
                    <w:rPr>
                      <w:rFonts w:hint="default" w:ascii="Times New Roman" w:hAnsi="Times New Roman" w:cs="Times New Roman"/>
                      <w:b w:val="0"/>
                      <w:bCs/>
                      <w:color w:val="auto"/>
                      <w:szCs w:val="21"/>
                      <w:vertAlign w:val="baseline"/>
                      <w:lang w:val="en-US" w:eastAsia="zh-CN"/>
                    </w:rPr>
                    <w:t>本项目产生的VOCs设置</w:t>
                  </w:r>
                  <w:r>
                    <w:rPr>
                      <w:rFonts w:hint="eastAsia" w:ascii="Times New Roman" w:hAnsi="Times New Roman" w:cs="Times New Roman"/>
                      <w:b w:val="0"/>
                      <w:bCs/>
                      <w:color w:val="auto"/>
                      <w:szCs w:val="21"/>
                      <w:vertAlign w:val="baseline"/>
                      <w:lang w:val="en-US" w:eastAsia="zh-CN"/>
                    </w:rPr>
                    <w:t>集气罩经活性炭吸附/脱附+催化燃烧处理后</w:t>
                  </w:r>
                  <w:r>
                    <w:rPr>
                      <w:rFonts w:hint="default" w:ascii="Times New Roman" w:hAnsi="Times New Roman" w:cs="Times New Roman"/>
                      <w:b w:val="0"/>
                      <w:bCs/>
                      <w:color w:val="auto"/>
                      <w:szCs w:val="21"/>
                      <w:vertAlign w:val="baseline"/>
                      <w:lang w:val="en-US" w:eastAsia="zh-CN"/>
                    </w:rPr>
                    <w:t>达标排放。项目废气治理设施设有专职人员开展定期保养检修</w:t>
                  </w:r>
                  <w:r>
                    <w:rPr>
                      <w:rFonts w:hint="eastAsia" w:ascii="Times New Roman" w:hAnsi="Times New Roman" w:cs="Times New Roman"/>
                      <w:b w:val="0"/>
                      <w:bCs/>
                      <w:color w:val="auto"/>
                      <w:szCs w:val="21"/>
                      <w:vertAlign w:val="baseline"/>
                      <w:lang w:val="en-US" w:eastAsia="zh-CN"/>
                    </w:rPr>
                    <w:t>，</w:t>
                  </w:r>
                  <w:r>
                    <w:rPr>
                      <w:rFonts w:hint="default" w:ascii="Times New Roman" w:hAnsi="Times New Roman" w:cs="Times New Roman"/>
                      <w:b w:val="0"/>
                      <w:bCs/>
                      <w:color w:val="auto"/>
                      <w:szCs w:val="21"/>
                      <w:vertAlign w:val="baseline"/>
                      <w:lang w:val="en-US" w:eastAsia="zh-CN"/>
                    </w:rPr>
                    <w:t>确保污染治理设施稳定运行</w:t>
                  </w:r>
                  <w:r>
                    <w:rPr>
                      <w:rFonts w:hint="eastAsia" w:ascii="Times New Roman" w:hAnsi="Times New Roman" w:cs="Times New Roman"/>
                      <w:b w:val="0"/>
                      <w:bCs/>
                      <w:color w:val="auto"/>
                      <w:szCs w:val="21"/>
                      <w:vertAlign w:val="baseline"/>
                      <w:lang w:val="en-US" w:eastAsia="zh-CN"/>
                    </w:rPr>
                    <w:t>。</w:t>
                  </w:r>
                </w:p>
              </w:tc>
              <w:tc>
                <w:tcPr>
                  <w:tcW w:w="426" w:type="dxa"/>
                  <w:noWrap w:val="0"/>
                  <w:vAlign w:val="center"/>
                </w:tcPr>
                <w:p w14:paraId="7B8B87D0">
                  <w:pPr>
                    <w:keepLines/>
                    <w:pageBreakBefore w:val="0"/>
                    <w:widowControl w:val="0"/>
                    <w:kinsoku/>
                    <w:bidi w:val="0"/>
                    <w:spacing w:line="240" w:lineRule="auto"/>
                    <w:jc w:val="center"/>
                    <w:rPr>
                      <w:rFonts w:hint="default" w:ascii="Times New Roman" w:hAnsi="Times New Roman" w:eastAsia="宋体" w:cs="Times New Roman"/>
                      <w:b w:val="0"/>
                      <w:bCs/>
                      <w:color w:val="000000"/>
                      <w:sz w:val="21"/>
                      <w:szCs w:val="21"/>
                      <w:highlight w:val="none"/>
                      <w:lang w:val="en-US" w:eastAsia="zh-CN"/>
                    </w:rPr>
                  </w:pPr>
                  <w:r>
                    <w:rPr>
                      <w:rFonts w:hint="eastAsia" w:cs="Times New Roman"/>
                      <w:b w:val="0"/>
                      <w:bCs/>
                      <w:color w:val="000000"/>
                      <w:sz w:val="21"/>
                      <w:szCs w:val="21"/>
                      <w:highlight w:val="none"/>
                      <w:lang w:val="en-US" w:eastAsia="zh-CN"/>
                    </w:rPr>
                    <w:t>符合</w:t>
                  </w:r>
                </w:p>
              </w:tc>
            </w:tr>
            <w:tr w14:paraId="05D7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2B2227A0">
                  <w:pPr>
                    <w:pStyle w:val="61"/>
                    <w:spacing w:line="320" w:lineRule="exact"/>
                    <w:jc w:val="center"/>
                    <w:rPr>
                      <w:rFonts w:hint="default"/>
                      <w:b w:val="0"/>
                      <w:bCs/>
                      <w:color w:val="auto"/>
                      <w:szCs w:val="21"/>
                      <w:lang w:val="en-US" w:eastAsia="zh-CN"/>
                    </w:rPr>
                  </w:pPr>
                  <w:r>
                    <w:rPr>
                      <w:rFonts w:hint="default"/>
                      <w:b w:val="0"/>
                      <w:bCs/>
                      <w:color w:val="auto"/>
                      <w:szCs w:val="21"/>
                      <w:lang w:val="en-US" w:eastAsia="zh-CN"/>
                    </w:rPr>
                    <w:t>《“十四五”塑料污染治理行动方案》</w:t>
                  </w:r>
                </w:p>
              </w:tc>
              <w:tc>
                <w:tcPr>
                  <w:tcW w:w="2387" w:type="dxa"/>
                  <w:noWrap w:val="0"/>
                  <w:vAlign w:val="center"/>
                </w:tcPr>
                <w:p w14:paraId="632480A7">
                  <w:pPr>
                    <w:pStyle w:val="61"/>
                    <w:spacing w:line="320" w:lineRule="exact"/>
                    <w:jc w:val="center"/>
                    <w:rPr>
                      <w:rFonts w:hint="eastAsia" w:ascii="Times New Roman" w:hAnsi="Times New Roman" w:eastAsia="宋体" w:cs="Times New Roman"/>
                      <w:b w:val="0"/>
                      <w:bCs/>
                      <w:color w:val="auto"/>
                      <w:szCs w:val="21"/>
                      <w:lang w:eastAsia="zh-CN"/>
                    </w:rPr>
                  </w:pPr>
                  <w:r>
                    <w:rPr>
                      <w:rFonts w:hint="eastAsia" w:ascii="Times New Roman" w:hAnsi="Times New Roman" w:cs="Times New Roman"/>
                      <w:b w:val="0"/>
                      <w:bCs/>
                      <w:color w:val="auto"/>
                      <w:szCs w:val="21"/>
                    </w:rPr>
                    <w:t>推行塑料制品绿色设计；推动塑料废弃物规范回收、资源化利用；减少塑料垃圾向自然环境泄漏，强化生产企业源头管控</w:t>
                  </w:r>
                  <w:r>
                    <w:rPr>
                      <w:rFonts w:hint="eastAsia" w:ascii="Times New Roman" w:hAnsi="Times New Roman" w:cs="Times New Roman"/>
                      <w:b w:val="0"/>
                      <w:bCs/>
                      <w:color w:val="auto"/>
                      <w:szCs w:val="21"/>
                      <w:lang w:eastAsia="zh-CN"/>
                    </w:rPr>
                    <w:t>。</w:t>
                  </w:r>
                </w:p>
              </w:tc>
              <w:tc>
                <w:tcPr>
                  <w:tcW w:w="1771" w:type="dxa"/>
                  <w:noWrap w:val="0"/>
                  <w:vAlign w:val="center"/>
                </w:tcPr>
                <w:p w14:paraId="7980F907">
                  <w:pPr>
                    <w:pStyle w:val="61"/>
                    <w:spacing w:line="320" w:lineRule="exact"/>
                    <w:jc w:val="center"/>
                    <w:rPr>
                      <w:rFonts w:hint="default" w:ascii="Times New Roman" w:hAnsi="Times New Roman" w:cs="Times New Roman"/>
                      <w:b w:val="0"/>
                      <w:bCs/>
                      <w:color w:val="auto"/>
                      <w:szCs w:val="21"/>
                      <w:vertAlign w:val="baseline"/>
                      <w:lang w:val="en-US" w:eastAsia="zh-CN"/>
                    </w:rPr>
                  </w:pPr>
                  <w:r>
                    <w:rPr>
                      <w:rFonts w:hint="default" w:ascii="Times New Roman" w:hAnsi="Times New Roman" w:cs="Times New Roman"/>
                      <w:b w:val="0"/>
                      <w:bCs/>
                      <w:color w:val="auto"/>
                      <w:szCs w:val="21"/>
                      <w:vertAlign w:val="baseline"/>
                      <w:lang w:val="en-US" w:eastAsia="zh-CN"/>
                    </w:rPr>
                    <w:t>项目产品为棉花产业配套包装材料，生产产生废膜、边角料全部外售回收企业综合再生利用；厂区落实固废分类管理，生产过程无塑料废弃物无序外排</w:t>
                  </w:r>
                  <w:r>
                    <w:rPr>
                      <w:rFonts w:hint="eastAsia" w:ascii="Times New Roman" w:hAnsi="Times New Roman" w:cs="Times New Roman"/>
                      <w:b w:val="0"/>
                      <w:bCs/>
                      <w:color w:val="auto"/>
                      <w:szCs w:val="21"/>
                      <w:vertAlign w:val="baseline"/>
                      <w:lang w:val="en-US" w:eastAsia="zh-CN"/>
                    </w:rPr>
                    <w:t>。</w:t>
                  </w:r>
                </w:p>
              </w:tc>
              <w:tc>
                <w:tcPr>
                  <w:tcW w:w="426" w:type="dxa"/>
                  <w:noWrap w:val="0"/>
                  <w:vAlign w:val="center"/>
                </w:tcPr>
                <w:p w14:paraId="4CC18F7F">
                  <w:pPr>
                    <w:keepLines/>
                    <w:pageBreakBefore w:val="0"/>
                    <w:widowControl w:val="0"/>
                    <w:kinsoku/>
                    <w:bidi w:val="0"/>
                    <w:spacing w:line="240" w:lineRule="auto"/>
                    <w:jc w:val="center"/>
                    <w:rPr>
                      <w:rFonts w:hint="default" w:cs="Times New Roman"/>
                      <w:b w:val="0"/>
                      <w:bCs/>
                      <w:color w:val="000000"/>
                      <w:sz w:val="21"/>
                      <w:szCs w:val="21"/>
                      <w:highlight w:val="none"/>
                      <w:lang w:val="en-US" w:eastAsia="zh-CN"/>
                    </w:rPr>
                  </w:pPr>
                  <w:r>
                    <w:rPr>
                      <w:rFonts w:hint="eastAsia" w:cs="Times New Roman"/>
                      <w:b w:val="0"/>
                      <w:bCs/>
                      <w:color w:val="000000"/>
                      <w:sz w:val="21"/>
                      <w:szCs w:val="21"/>
                      <w:highlight w:val="none"/>
                      <w:lang w:val="en-US" w:eastAsia="zh-CN"/>
                    </w:rPr>
                    <w:t>符合</w:t>
                  </w:r>
                </w:p>
              </w:tc>
            </w:tr>
            <w:tr w14:paraId="6038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3EC92267">
                  <w:pPr>
                    <w:pStyle w:val="61"/>
                    <w:spacing w:line="320" w:lineRule="exact"/>
                    <w:jc w:val="center"/>
                    <w:rPr>
                      <w:rFonts w:hint="default"/>
                      <w:b w:val="0"/>
                      <w:bCs/>
                      <w:color w:val="auto"/>
                      <w:szCs w:val="21"/>
                      <w:lang w:val="en-US" w:eastAsia="zh-CN"/>
                    </w:rPr>
                  </w:pPr>
                  <w:r>
                    <w:rPr>
                      <w:rFonts w:hint="default"/>
                      <w:b w:val="0"/>
                      <w:bCs/>
                      <w:color w:val="auto"/>
                      <w:szCs w:val="21"/>
                      <w:lang w:val="en-US" w:eastAsia="zh-CN"/>
                    </w:rPr>
                    <w:t>《关于进一步加强塑料污染治理的意见》（发改环资〔2020〕80号）</w:t>
                  </w:r>
                </w:p>
              </w:tc>
              <w:tc>
                <w:tcPr>
                  <w:tcW w:w="2387" w:type="dxa"/>
                  <w:noWrap w:val="0"/>
                  <w:vAlign w:val="center"/>
                </w:tcPr>
                <w:p w14:paraId="7A1DFF27">
                  <w:pPr>
                    <w:pStyle w:val="61"/>
                    <w:spacing w:line="320" w:lineRule="exact"/>
                    <w:jc w:val="center"/>
                    <w:rPr>
                      <w:rFonts w:hint="eastAsia" w:ascii="Times New Roman" w:hAnsi="Times New Roman" w:eastAsia="宋体" w:cs="Times New Roman"/>
                      <w:b w:val="0"/>
                      <w:bCs/>
                      <w:color w:val="auto"/>
                      <w:szCs w:val="21"/>
                      <w:lang w:eastAsia="zh-CN"/>
                    </w:rPr>
                  </w:pPr>
                  <w:r>
                    <w:rPr>
                      <w:rFonts w:hint="eastAsia" w:ascii="Times New Roman" w:hAnsi="Times New Roman" w:cs="Times New Roman"/>
                      <w:b w:val="0"/>
                      <w:bCs/>
                      <w:color w:val="auto"/>
                      <w:szCs w:val="21"/>
                    </w:rPr>
                    <w:t>有序禁止、限制部分塑料制品生产销售使用，健全塑料制品生产</w:t>
                  </w:r>
                  <w:r>
                    <w:rPr>
                      <w:rFonts w:hint="eastAsia" w:ascii="Times New Roman" w:hAnsi="Times New Roman" w:cs="Times New Roman"/>
                      <w:b w:val="0"/>
                      <w:bCs/>
                      <w:color w:val="auto"/>
                      <w:szCs w:val="21"/>
                      <w:lang w:eastAsia="zh-CN"/>
                    </w:rPr>
                    <w:t>－</w:t>
                  </w:r>
                  <w:r>
                    <w:rPr>
                      <w:rFonts w:hint="eastAsia" w:ascii="Times New Roman" w:hAnsi="Times New Roman" w:cs="Times New Roman"/>
                      <w:b w:val="0"/>
                      <w:bCs/>
                      <w:color w:val="auto"/>
                      <w:szCs w:val="21"/>
                    </w:rPr>
                    <w:t>流通</w:t>
                  </w:r>
                  <w:r>
                    <w:rPr>
                      <w:rFonts w:hint="eastAsia" w:ascii="Times New Roman" w:hAnsi="Times New Roman" w:cs="Times New Roman"/>
                      <w:b w:val="0"/>
                      <w:bCs/>
                      <w:color w:val="auto"/>
                      <w:szCs w:val="21"/>
                      <w:lang w:eastAsia="zh-CN"/>
                    </w:rPr>
                    <w:t>－</w:t>
                  </w:r>
                  <w:r>
                    <w:rPr>
                      <w:rFonts w:hint="eastAsia" w:ascii="Times New Roman" w:hAnsi="Times New Roman" w:cs="Times New Roman"/>
                      <w:b w:val="0"/>
                      <w:bCs/>
                      <w:color w:val="auto"/>
                      <w:szCs w:val="21"/>
                    </w:rPr>
                    <w:t>使用</w:t>
                  </w:r>
                  <w:r>
                    <w:rPr>
                      <w:rFonts w:hint="eastAsia" w:ascii="Times New Roman" w:hAnsi="Times New Roman" w:cs="Times New Roman"/>
                      <w:b w:val="0"/>
                      <w:bCs/>
                      <w:color w:val="auto"/>
                      <w:szCs w:val="21"/>
                      <w:lang w:eastAsia="zh-CN"/>
                    </w:rPr>
                    <w:t>－</w:t>
                  </w:r>
                  <w:r>
                    <w:rPr>
                      <w:rFonts w:hint="eastAsia" w:ascii="Times New Roman" w:hAnsi="Times New Roman" w:cs="Times New Roman"/>
                      <w:b w:val="0"/>
                      <w:bCs/>
                      <w:color w:val="auto"/>
                      <w:szCs w:val="21"/>
                    </w:rPr>
                    <w:t>回收处置全链条管理制度；禁止生产厚度小于0.025mm超薄塑料袋、厚度小于0.01mm超薄农用地膜；规范塑料废弃物回收利用，遏制塑料环境污染</w:t>
                  </w:r>
                  <w:r>
                    <w:rPr>
                      <w:rFonts w:hint="eastAsia" w:ascii="Times New Roman" w:hAnsi="Times New Roman" w:cs="Times New Roman"/>
                      <w:b w:val="0"/>
                      <w:bCs/>
                      <w:color w:val="auto"/>
                      <w:szCs w:val="21"/>
                      <w:lang w:eastAsia="zh-CN"/>
                    </w:rPr>
                    <w:t>。</w:t>
                  </w:r>
                </w:p>
              </w:tc>
              <w:tc>
                <w:tcPr>
                  <w:tcW w:w="1771" w:type="dxa"/>
                  <w:noWrap w:val="0"/>
                  <w:vAlign w:val="center"/>
                </w:tcPr>
                <w:p w14:paraId="7A909ACD">
                  <w:pPr>
                    <w:pStyle w:val="61"/>
                    <w:spacing w:line="320" w:lineRule="exact"/>
                    <w:jc w:val="center"/>
                    <w:rPr>
                      <w:rFonts w:hint="default" w:ascii="Times New Roman" w:hAnsi="Times New Roman" w:cs="Times New Roman"/>
                      <w:b w:val="0"/>
                      <w:bCs/>
                      <w:color w:val="auto"/>
                      <w:szCs w:val="21"/>
                      <w:vertAlign w:val="baseline"/>
                      <w:lang w:val="en-US" w:eastAsia="zh-CN"/>
                    </w:rPr>
                  </w:pPr>
                  <w:r>
                    <w:rPr>
                      <w:rFonts w:hint="default" w:ascii="Times New Roman" w:hAnsi="Times New Roman" w:cs="Times New Roman"/>
                      <w:b w:val="0"/>
                      <w:bCs/>
                      <w:color w:val="auto"/>
                      <w:szCs w:val="21"/>
                      <w:vertAlign w:val="baseline"/>
                      <w:lang w:val="en-US" w:eastAsia="zh-CN"/>
                    </w:rPr>
                    <w:t>本项目产品为机采棉配套棉花打包膜，不属于政策明令禁止生产的超薄类塑料制品；生产过</w:t>
                  </w:r>
                  <w:r>
                    <w:rPr>
                      <w:rFonts w:hint="eastAsia" w:ascii="Times New Roman" w:hAnsi="Times New Roman" w:cs="Times New Roman"/>
                      <w:b w:val="0"/>
                      <w:bCs/>
                      <w:color w:val="auto"/>
                      <w:szCs w:val="21"/>
                      <w:vertAlign w:val="baseline"/>
                      <w:lang w:val="en-US" w:eastAsia="zh-CN"/>
                    </w:rPr>
                    <w:t>程中</w:t>
                  </w:r>
                  <w:r>
                    <w:rPr>
                      <w:rFonts w:hint="default" w:ascii="Times New Roman" w:hAnsi="Times New Roman" w:cs="Times New Roman"/>
                      <w:b w:val="0"/>
                      <w:bCs/>
                      <w:color w:val="auto"/>
                      <w:szCs w:val="21"/>
                      <w:vertAlign w:val="baseline"/>
                      <w:lang w:val="en-US" w:eastAsia="zh-CN"/>
                    </w:rPr>
                    <w:t>产生的塑料边角料、废膜全部外售回收企业综合再生利用，建立固废台账，杜绝塑料废弃物向环境泄漏</w:t>
                  </w:r>
                  <w:r>
                    <w:rPr>
                      <w:rFonts w:hint="eastAsia" w:ascii="Times New Roman" w:hAnsi="Times New Roman" w:cs="Times New Roman"/>
                      <w:b w:val="0"/>
                      <w:bCs/>
                      <w:color w:val="auto"/>
                      <w:szCs w:val="21"/>
                      <w:vertAlign w:val="baseline"/>
                      <w:lang w:val="en-US" w:eastAsia="zh-CN"/>
                    </w:rPr>
                    <w:t>。</w:t>
                  </w:r>
                </w:p>
              </w:tc>
              <w:tc>
                <w:tcPr>
                  <w:tcW w:w="426" w:type="dxa"/>
                  <w:noWrap w:val="0"/>
                  <w:vAlign w:val="center"/>
                </w:tcPr>
                <w:p w14:paraId="56C03F9F">
                  <w:pPr>
                    <w:keepLines/>
                    <w:pageBreakBefore w:val="0"/>
                    <w:widowControl w:val="0"/>
                    <w:kinsoku/>
                    <w:bidi w:val="0"/>
                    <w:spacing w:line="240" w:lineRule="auto"/>
                    <w:jc w:val="center"/>
                    <w:rPr>
                      <w:rFonts w:hint="default" w:cs="Times New Roman"/>
                      <w:b w:val="0"/>
                      <w:bCs/>
                      <w:color w:val="000000"/>
                      <w:sz w:val="21"/>
                      <w:szCs w:val="21"/>
                      <w:highlight w:val="none"/>
                      <w:lang w:val="en-US" w:eastAsia="zh-CN"/>
                    </w:rPr>
                  </w:pPr>
                  <w:r>
                    <w:rPr>
                      <w:rFonts w:hint="eastAsia" w:cs="Times New Roman"/>
                      <w:b w:val="0"/>
                      <w:bCs/>
                      <w:color w:val="000000"/>
                      <w:sz w:val="21"/>
                      <w:szCs w:val="21"/>
                      <w:highlight w:val="none"/>
                      <w:lang w:val="en-US" w:eastAsia="zh-CN"/>
                    </w:rPr>
                    <w:t>符合</w:t>
                  </w:r>
                </w:p>
              </w:tc>
            </w:tr>
            <w:tr w14:paraId="096F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62B30C1F">
                  <w:pPr>
                    <w:pStyle w:val="61"/>
                    <w:spacing w:line="320" w:lineRule="exact"/>
                    <w:jc w:val="center"/>
                    <w:rPr>
                      <w:rFonts w:hint="default"/>
                      <w:b w:val="0"/>
                      <w:bCs/>
                      <w:color w:val="auto"/>
                      <w:szCs w:val="21"/>
                      <w:lang w:val="en-US" w:eastAsia="zh-CN"/>
                    </w:rPr>
                  </w:pPr>
                  <w:r>
                    <w:rPr>
                      <w:rFonts w:hint="default"/>
                      <w:b w:val="0"/>
                      <w:bCs/>
                      <w:color w:val="auto"/>
                      <w:szCs w:val="21"/>
                      <w:lang w:val="en-US" w:eastAsia="zh-CN"/>
                    </w:rPr>
                    <w:t>《关于扎实推进塑料污染治理工作的通知》（发改环资〔2020〕1146号）</w:t>
                  </w:r>
                </w:p>
              </w:tc>
              <w:tc>
                <w:tcPr>
                  <w:tcW w:w="2387" w:type="dxa"/>
                  <w:noWrap w:val="0"/>
                  <w:vAlign w:val="center"/>
                </w:tcPr>
                <w:p w14:paraId="5EAE16E5">
                  <w:pPr>
                    <w:pStyle w:val="61"/>
                    <w:spacing w:line="320" w:lineRule="exact"/>
                    <w:jc w:val="center"/>
                    <w:rPr>
                      <w:rFonts w:hint="eastAsia" w:ascii="Times New Roman" w:hAnsi="Times New Roman" w:eastAsia="宋体" w:cs="Times New Roman"/>
                      <w:b w:val="0"/>
                      <w:bCs/>
                      <w:color w:val="auto"/>
                      <w:szCs w:val="21"/>
                      <w:lang w:eastAsia="zh-CN"/>
                    </w:rPr>
                  </w:pPr>
                  <w:r>
                    <w:rPr>
                      <w:rFonts w:hint="eastAsia" w:ascii="Times New Roman" w:hAnsi="Times New Roman" w:cs="Times New Roman"/>
                      <w:b w:val="0"/>
                      <w:bCs/>
                      <w:color w:val="auto"/>
                      <w:szCs w:val="21"/>
                    </w:rPr>
                    <w:t>强化禁限类塑料制品生产销售监管，严禁生产淘汰类塑料制品；压实企业主体责任，规范生产端管控，完善塑料废弃物收集处置，防范塑料垃圾污染土壤及水环境</w:t>
                  </w:r>
                  <w:r>
                    <w:rPr>
                      <w:rFonts w:hint="eastAsia" w:ascii="Times New Roman" w:hAnsi="Times New Roman" w:cs="Times New Roman"/>
                      <w:b w:val="0"/>
                      <w:bCs/>
                      <w:color w:val="auto"/>
                      <w:szCs w:val="21"/>
                      <w:lang w:eastAsia="zh-CN"/>
                    </w:rPr>
                    <w:t>。</w:t>
                  </w:r>
                </w:p>
              </w:tc>
              <w:tc>
                <w:tcPr>
                  <w:tcW w:w="1771" w:type="dxa"/>
                  <w:noWrap w:val="0"/>
                  <w:vAlign w:val="center"/>
                </w:tcPr>
                <w:p w14:paraId="08E9DBE6">
                  <w:pPr>
                    <w:pStyle w:val="61"/>
                    <w:spacing w:line="320" w:lineRule="exact"/>
                    <w:jc w:val="center"/>
                    <w:rPr>
                      <w:rFonts w:hint="default" w:ascii="Times New Roman" w:hAnsi="Times New Roman" w:cs="Times New Roman"/>
                      <w:b w:val="0"/>
                      <w:bCs/>
                      <w:color w:val="auto"/>
                      <w:szCs w:val="21"/>
                      <w:vertAlign w:val="baseline"/>
                      <w:lang w:val="en-US" w:eastAsia="zh-CN"/>
                    </w:rPr>
                  </w:pPr>
                  <w:r>
                    <w:rPr>
                      <w:rFonts w:hint="default" w:ascii="Times New Roman" w:hAnsi="Times New Roman" w:cs="Times New Roman"/>
                      <w:b w:val="0"/>
                      <w:bCs/>
                      <w:color w:val="auto"/>
                      <w:szCs w:val="21"/>
                      <w:vertAlign w:val="baseline"/>
                      <w:lang w:val="en-US" w:eastAsia="zh-CN"/>
                    </w:rPr>
                    <w:t>项目不生产政策淘汰类塑料制品；生产固废分类收集，一般塑料固废全部资源化</w:t>
                  </w:r>
                  <w:r>
                    <w:rPr>
                      <w:rFonts w:hint="eastAsia" w:ascii="Times New Roman" w:hAnsi="Times New Roman" w:cs="Times New Roman"/>
                      <w:b w:val="0"/>
                      <w:bCs/>
                      <w:color w:val="auto"/>
                      <w:szCs w:val="21"/>
                      <w:vertAlign w:val="baseline"/>
                      <w:lang w:val="en-US" w:eastAsia="zh-CN"/>
                    </w:rPr>
                    <w:t>外售回收企业综合再生利用</w:t>
                  </w:r>
                  <w:r>
                    <w:rPr>
                      <w:rFonts w:hint="default" w:ascii="Times New Roman" w:hAnsi="Times New Roman" w:cs="Times New Roman"/>
                      <w:b w:val="0"/>
                      <w:bCs/>
                      <w:color w:val="auto"/>
                      <w:szCs w:val="21"/>
                      <w:vertAlign w:val="baseline"/>
                      <w:lang w:val="en-US" w:eastAsia="zh-CN"/>
                    </w:rPr>
                    <w:t>，危险废物密闭收集交由资质单位处置，厂区落实防渗措施，防止塑料废弃物泄漏污染环境</w:t>
                  </w:r>
                  <w:r>
                    <w:rPr>
                      <w:rFonts w:hint="eastAsia" w:ascii="Times New Roman" w:hAnsi="Times New Roman" w:cs="Times New Roman"/>
                      <w:b w:val="0"/>
                      <w:bCs/>
                      <w:color w:val="auto"/>
                      <w:szCs w:val="21"/>
                      <w:vertAlign w:val="baseline"/>
                      <w:lang w:val="en-US" w:eastAsia="zh-CN"/>
                    </w:rPr>
                    <w:t>。</w:t>
                  </w:r>
                </w:p>
              </w:tc>
              <w:tc>
                <w:tcPr>
                  <w:tcW w:w="426" w:type="dxa"/>
                  <w:noWrap w:val="0"/>
                  <w:vAlign w:val="center"/>
                </w:tcPr>
                <w:p w14:paraId="6696C9F1">
                  <w:pPr>
                    <w:keepLines/>
                    <w:pageBreakBefore w:val="0"/>
                    <w:widowControl w:val="0"/>
                    <w:kinsoku/>
                    <w:bidi w:val="0"/>
                    <w:spacing w:line="240" w:lineRule="auto"/>
                    <w:jc w:val="center"/>
                    <w:rPr>
                      <w:rFonts w:hint="default" w:cs="Times New Roman"/>
                      <w:b w:val="0"/>
                      <w:bCs/>
                      <w:color w:val="000000"/>
                      <w:sz w:val="21"/>
                      <w:szCs w:val="21"/>
                      <w:highlight w:val="none"/>
                      <w:lang w:val="en-US" w:eastAsia="zh-CN"/>
                    </w:rPr>
                  </w:pPr>
                  <w:r>
                    <w:rPr>
                      <w:rFonts w:hint="eastAsia" w:cs="Times New Roman"/>
                      <w:b w:val="0"/>
                      <w:bCs/>
                      <w:color w:val="000000"/>
                      <w:sz w:val="21"/>
                      <w:szCs w:val="21"/>
                      <w:highlight w:val="none"/>
                      <w:lang w:val="en-US" w:eastAsia="zh-CN"/>
                    </w:rPr>
                    <w:t>符合</w:t>
                  </w:r>
                </w:p>
              </w:tc>
            </w:tr>
            <w:tr w14:paraId="422D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43098C25">
                  <w:pPr>
                    <w:pStyle w:val="61"/>
                    <w:spacing w:line="320" w:lineRule="exact"/>
                    <w:jc w:val="center"/>
                    <w:rPr>
                      <w:rFonts w:hint="default"/>
                      <w:b w:val="0"/>
                      <w:bCs/>
                      <w:color w:val="auto"/>
                      <w:szCs w:val="21"/>
                      <w:lang w:val="en-US" w:eastAsia="zh-CN"/>
                    </w:rPr>
                  </w:pPr>
                  <w:r>
                    <w:rPr>
                      <w:rFonts w:hint="default"/>
                      <w:b w:val="0"/>
                      <w:bCs/>
                      <w:color w:val="auto"/>
                      <w:szCs w:val="21"/>
                      <w:lang w:val="en-US" w:eastAsia="zh-CN"/>
                    </w:rPr>
                    <w:t>《生态保护“十五五”规划》</w:t>
                  </w:r>
                </w:p>
              </w:tc>
              <w:tc>
                <w:tcPr>
                  <w:tcW w:w="2387" w:type="dxa"/>
                  <w:noWrap w:val="0"/>
                  <w:vAlign w:val="center"/>
                </w:tcPr>
                <w:p w14:paraId="644FEA6E">
                  <w:pPr>
                    <w:pStyle w:val="61"/>
                    <w:spacing w:line="320" w:lineRule="exact"/>
                    <w:jc w:val="center"/>
                    <w:rPr>
                      <w:rFonts w:hint="eastAsia" w:ascii="Times New Roman" w:hAnsi="Times New Roman" w:cs="Times New Roman"/>
                      <w:b w:val="0"/>
                      <w:bCs/>
                      <w:color w:val="auto"/>
                      <w:szCs w:val="21"/>
                    </w:rPr>
                  </w:pPr>
                  <w:r>
                    <w:rPr>
                      <w:rFonts w:hint="eastAsia" w:ascii="Times New Roman" w:hAnsi="Times New Roman" w:cs="Times New Roman"/>
                      <w:b w:val="0"/>
                      <w:bCs/>
                      <w:color w:val="auto"/>
                      <w:szCs w:val="21"/>
                    </w:rPr>
                    <w:t>持续优化生态空间格局，严守生态保护红线、自然保护地、重要生态功能区管控；统筹推进生态系统保护修复，严控开发建设活动对重要生态空间的占用与扰动；维护生态系统稳定性与生物多样性</w:t>
                  </w:r>
                </w:p>
              </w:tc>
              <w:tc>
                <w:tcPr>
                  <w:tcW w:w="1771" w:type="dxa"/>
                  <w:noWrap w:val="0"/>
                  <w:vAlign w:val="center"/>
                </w:tcPr>
                <w:p w14:paraId="64A353F8">
                  <w:pPr>
                    <w:pStyle w:val="61"/>
                    <w:spacing w:line="320" w:lineRule="exact"/>
                    <w:jc w:val="center"/>
                    <w:rPr>
                      <w:rFonts w:hint="default" w:ascii="Times New Roman" w:hAnsi="Times New Roman" w:cs="Times New Roman"/>
                      <w:b w:val="0"/>
                      <w:bCs/>
                      <w:color w:val="auto"/>
                      <w:szCs w:val="21"/>
                      <w:vertAlign w:val="baseline"/>
                      <w:lang w:val="en-US" w:eastAsia="zh-CN"/>
                    </w:rPr>
                  </w:pPr>
                  <w:r>
                    <w:rPr>
                      <w:rFonts w:hint="default" w:ascii="Times New Roman" w:hAnsi="Times New Roman" w:cs="Times New Roman"/>
                      <w:b w:val="0"/>
                      <w:bCs/>
                      <w:color w:val="auto"/>
                      <w:szCs w:val="21"/>
                      <w:vertAlign w:val="baseline"/>
                      <w:lang w:val="en-US" w:eastAsia="zh-CN"/>
                    </w:rPr>
                    <w:t>本项目选址位于轮台工业园区红桥石油服务区已规划国有工业用地，不占用生态保护红线、自然保护地、重要生态功能区；项目在现有已建成厂区内实施，不新增野外生态用地，不会对区域生态系统、生物多样性产生扰动</w:t>
                  </w:r>
                </w:p>
              </w:tc>
              <w:tc>
                <w:tcPr>
                  <w:tcW w:w="426" w:type="dxa"/>
                  <w:noWrap w:val="0"/>
                  <w:vAlign w:val="center"/>
                </w:tcPr>
                <w:p w14:paraId="1F69129E">
                  <w:pPr>
                    <w:keepLines/>
                    <w:pageBreakBefore w:val="0"/>
                    <w:widowControl w:val="0"/>
                    <w:kinsoku/>
                    <w:bidi w:val="0"/>
                    <w:spacing w:line="240" w:lineRule="auto"/>
                    <w:jc w:val="center"/>
                    <w:rPr>
                      <w:rFonts w:hint="default" w:cs="Times New Roman"/>
                      <w:b w:val="0"/>
                      <w:bCs/>
                      <w:color w:val="000000"/>
                      <w:sz w:val="21"/>
                      <w:szCs w:val="21"/>
                      <w:highlight w:val="none"/>
                      <w:lang w:val="en-US" w:eastAsia="zh-CN"/>
                    </w:rPr>
                  </w:pPr>
                  <w:r>
                    <w:rPr>
                      <w:rFonts w:hint="eastAsia" w:cs="Times New Roman"/>
                      <w:b w:val="0"/>
                      <w:bCs/>
                      <w:color w:val="000000"/>
                      <w:sz w:val="21"/>
                      <w:szCs w:val="21"/>
                      <w:highlight w:val="none"/>
                      <w:lang w:val="en-US" w:eastAsia="zh-CN"/>
                    </w:rPr>
                    <w:t>符合</w:t>
                  </w:r>
                </w:p>
              </w:tc>
            </w:tr>
            <w:tr w14:paraId="6A7E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47C7B7C8">
                  <w:pPr>
                    <w:pStyle w:val="61"/>
                    <w:spacing w:line="320" w:lineRule="exact"/>
                    <w:jc w:val="center"/>
                    <w:rPr>
                      <w:rFonts w:hint="default"/>
                      <w:b w:val="0"/>
                      <w:bCs/>
                      <w:color w:val="auto"/>
                      <w:szCs w:val="21"/>
                      <w:lang w:val="en-US" w:eastAsia="zh-CN"/>
                    </w:rPr>
                  </w:pPr>
                  <w:r>
                    <w:rPr>
                      <w:rFonts w:hint="default"/>
                      <w:b w:val="0"/>
                      <w:bCs/>
                      <w:color w:val="auto"/>
                      <w:szCs w:val="21"/>
                      <w:lang w:val="en-US" w:eastAsia="zh-CN"/>
                    </w:rPr>
                    <w:t>《美丽中国建设“十五五”规划》</w:t>
                  </w:r>
                </w:p>
              </w:tc>
              <w:tc>
                <w:tcPr>
                  <w:tcW w:w="2387" w:type="dxa"/>
                  <w:noWrap w:val="0"/>
                  <w:vAlign w:val="center"/>
                </w:tcPr>
                <w:p w14:paraId="589F6BB9">
                  <w:pPr>
                    <w:pStyle w:val="61"/>
                    <w:spacing w:line="320" w:lineRule="exact"/>
                    <w:jc w:val="center"/>
                    <w:rPr>
                      <w:rFonts w:hint="eastAsia" w:ascii="Times New Roman" w:hAnsi="Times New Roman" w:eastAsia="宋体" w:cs="Times New Roman"/>
                      <w:b w:val="0"/>
                      <w:bCs/>
                      <w:color w:val="auto"/>
                      <w:szCs w:val="21"/>
                      <w:lang w:eastAsia="zh-CN"/>
                    </w:rPr>
                  </w:pPr>
                  <w:r>
                    <w:rPr>
                      <w:rFonts w:hint="eastAsia" w:ascii="Times New Roman" w:hAnsi="Times New Roman" w:cs="Times New Roman"/>
                      <w:b w:val="0"/>
                      <w:bCs/>
                      <w:color w:val="auto"/>
                      <w:szCs w:val="21"/>
                    </w:rPr>
                    <w:t>深入打好蓝天、碧水、净土保卫战；推动重点行业VOCs源头替代与治理；强化建设用地风险管控；推进产业绿色低碳转型，严控</w:t>
                  </w:r>
                  <w:r>
                    <w:rPr>
                      <w:rFonts w:hint="eastAsia" w:ascii="Times New Roman" w:hAnsi="Times New Roman" w:cs="Times New Roman"/>
                      <w:b w:val="0"/>
                      <w:bCs/>
                      <w:color w:val="auto"/>
                      <w:szCs w:val="21"/>
                      <w:lang w:eastAsia="zh-CN"/>
                    </w:rPr>
                    <w:t>“两高”项目</w:t>
                  </w:r>
                  <w:r>
                    <w:rPr>
                      <w:rFonts w:hint="eastAsia" w:ascii="Times New Roman" w:hAnsi="Times New Roman" w:cs="Times New Roman"/>
                      <w:b w:val="0"/>
                      <w:bCs/>
                      <w:color w:val="auto"/>
                      <w:szCs w:val="21"/>
                    </w:rPr>
                    <w:t>，推动企业清洁生产</w:t>
                  </w:r>
                  <w:r>
                    <w:rPr>
                      <w:rFonts w:hint="eastAsia" w:ascii="Times New Roman" w:hAnsi="Times New Roman" w:cs="Times New Roman"/>
                      <w:b w:val="0"/>
                      <w:bCs/>
                      <w:color w:val="auto"/>
                      <w:szCs w:val="21"/>
                      <w:lang w:eastAsia="zh-CN"/>
                    </w:rPr>
                    <w:t>。</w:t>
                  </w:r>
                </w:p>
              </w:tc>
              <w:tc>
                <w:tcPr>
                  <w:tcW w:w="1771" w:type="dxa"/>
                  <w:noWrap w:val="0"/>
                  <w:vAlign w:val="center"/>
                </w:tcPr>
                <w:p w14:paraId="4B12B6C5">
                  <w:pPr>
                    <w:pStyle w:val="61"/>
                    <w:spacing w:line="320" w:lineRule="exact"/>
                    <w:jc w:val="center"/>
                    <w:rPr>
                      <w:rFonts w:hint="default" w:ascii="Times New Roman" w:hAnsi="Times New Roman" w:cs="Times New Roman"/>
                      <w:b w:val="0"/>
                      <w:bCs/>
                      <w:color w:val="auto"/>
                      <w:szCs w:val="21"/>
                      <w:vertAlign w:val="baseline"/>
                      <w:lang w:val="en-US" w:eastAsia="zh-CN"/>
                    </w:rPr>
                  </w:pPr>
                  <w:r>
                    <w:rPr>
                      <w:rFonts w:hint="default" w:ascii="Times New Roman" w:hAnsi="Times New Roman" w:cs="Times New Roman"/>
                      <w:b w:val="0"/>
                      <w:bCs/>
                      <w:color w:val="auto"/>
                      <w:szCs w:val="21"/>
                      <w:vertAlign w:val="baseline"/>
                      <w:lang w:val="en-US" w:eastAsia="zh-CN"/>
                    </w:rPr>
                    <w:t>项目采用水性胶实现VOCs源头替代，配套完备有机废气治理设施；厂区实施分区防渗防控土壤地下水污染；项目不属于</w:t>
                  </w:r>
                  <w:r>
                    <w:rPr>
                      <w:rFonts w:hint="eastAsia" w:ascii="Times New Roman" w:hAnsi="Times New Roman" w:cs="Times New Roman"/>
                      <w:b w:val="0"/>
                      <w:bCs/>
                      <w:color w:val="auto"/>
                      <w:szCs w:val="21"/>
                      <w:vertAlign w:val="baseline"/>
                      <w:lang w:val="en-US" w:eastAsia="zh-CN"/>
                    </w:rPr>
                    <w:t>“两高”项目</w:t>
                  </w:r>
                  <w:r>
                    <w:rPr>
                      <w:rFonts w:hint="default" w:ascii="Times New Roman" w:hAnsi="Times New Roman" w:cs="Times New Roman"/>
                      <w:b w:val="0"/>
                      <w:bCs/>
                      <w:color w:val="auto"/>
                      <w:szCs w:val="21"/>
                      <w:vertAlign w:val="baseline"/>
                      <w:lang w:val="en-US" w:eastAsia="zh-CN"/>
                    </w:rPr>
                    <w:t>，落实减污降碳协同管控</w:t>
                  </w:r>
                  <w:r>
                    <w:rPr>
                      <w:rFonts w:hint="eastAsia" w:ascii="Times New Roman" w:hAnsi="Times New Roman" w:cs="Times New Roman"/>
                      <w:b w:val="0"/>
                      <w:bCs/>
                      <w:color w:val="auto"/>
                      <w:szCs w:val="21"/>
                      <w:vertAlign w:val="baseline"/>
                      <w:lang w:val="en-US" w:eastAsia="zh-CN"/>
                    </w:rPr>
                    <w:t>。</w:t>
                  </w:r>
                </w:p>
              </w:tc>
              <w:tc>
                <w:tcPr>
                  <w:tcW w:w="426" w:type="dxa"/>
                  <w:noWrap w:val="0"/>
                  <w:vAlign w:val="center"/>
                </w:tcPr>
                <w:p w14:paraId="747CC579">
                  <w:pPr>
                    <w:keepLines/>
                    <w:pageBreakBefore w:val="0"/>
                    <w:widowControl w:val="0"/>
                    <w:kinsoku/>
                    <w:bidi w:val="0"/>
                    <w:spacing w:line="240" w:lineRule="auto"/>
                    <w:jc w:val="center"/>
                    <w:rPr>
                      <w:rFonts w:hint="default" w:cs="Times New Roman"/>
                      <w:b w:val="0"/>
                      <w:bCs/>
                      <w:color w:val="000000"/>
                      <w:sz w:val="21"/>
                      <w:szCs w:val="21"/>
                      <w:highlight w:val="none"/>
                      <w:lang w:val="en-US" w:eastAsia="zh-CN"/>
                    </w:rPr>
                  </w:pPr>
                  <w:r>
                    <w:rPr>
                      <w:rFonts w:hint="eastAsia" w:cs="Times New Roman"/>
                      <w:b w:val="0"/>
                      <w:bCs/>
                      <w:color w:val="000000"/>
                      <w:sz w:val="21"/>
                      <w:szCs w:val="21"/>
                      <w:highlight w:val="none"/>
                      <w:lang w:val="en-US" w:eastAsia="zh-CN"/>
                    </w:rPr>
                    <w:t>符合</w:t>
                  </w:r>
                </w:p>
              </w:tc>
            </w:tr>
            <w:tr w14:paraId="2B65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38393F3A">
                  <w:pPr>
                    <w:pStyle w:val="61"/>
                    <w:spacing w:line="320" w:lineRule="exact"/>
                    <w:jc w:val="center"/>
                    <w:rPr>
                      <w:rFonts w:hint="default"/>
                      <w:b w:val="0"/>
                      <w:bCs/>
                      <w:color w:val="auto"/>
                      <w:szCs w:val="21"/>
                      <w:lang w:val="en-US" w:eastAsia="zh-CN"/>
                    </w:rPr>
                  </w:pPr>
                  <w:r>
                    <w:rPr>
                      <w:rFonts w:hint="default"/>
                      <w:b w:val="0"/>
                      <w:bCs/>
                      <w:color w:val="auto"/>
                      <w:szCs w:val="21"/>
                      <w:lang w:val="en-US" w:eastAsia="zh-CN"/>
                    </w:rPr>
                    <w:t>《土壤、地下水和农业农村生态环境保护“十五五”规划》</w:t>
                  </w:r>
                </w:p>
              </w:tc>
              <w:tc>
                <w:tcPr>
                  <w:tcW w:w="2387" w:type="dxa"/>
                  <w:noWrap w:val="0"/>
                  <w:vAlign w:val="center"/>
                </w:tcPr>
                <w:p w14:paraId="5BA4E333">
                  <w:pPr>
                    <w:pStyle w:val="61"/>
                    <w:spacing w:line="320" w:lineRule="exact"/>
                    <w:jc w:val="center"/>
                    <w:rPr>
                      <w:rFonts w:hint="eastAsia" w:ascii="Times New Roman" w:hAnsi="Times New Roman" w:eastAsia="宋体" w:cs="Times New Roman"/>
                      <w:b w:val="0"/>
                      <w:bCs/>
                      <w:color w:val="auto"/>
                      <w:szCs w:val="21"/>
                      <w:lang w:eastAsia="zh-CN"/>
                    </w:rPr>
                  </w:pPr>
                  <w:r>
                    <w:rPr>
                      <w:rFonts w:hint="eastAsia" w:ascii="Times New Roman" w:hAnsi="Times New Roman" w:cs="Times New Roman"/>
                      <w:b w:val="0"/>
                      <w:bCs/>
                      <w:color w:val="auto"/>
                      <w:szCs w:val="21"/>
                    </w:rPr>
                    <w:t>强化工业企业土壤和地下水源头风险防控；工业场地落实分区防渗；加强固体废物规范化管理，防范固废淋溶造成土壤、地下水污染</w:t>
                  </w:r>
                  <w:r>
                    <w:rPr>
                      <w:rFonts w:hint="eastAsia" w:ascii="Times New Roman" w:hAnsi="Times New Roman" w:cs="Times New Roman"/>
                      <w:b w:val="0"/>
                      <w:bCs/>
                      <w:color w:val="auto"/>
                      <w:szCs w:val="21"/>
                      <w:lang w:eastAsia="zh-CN"/>
                    </w:rPr>
                    <w:t>。</w:t>
                  </w:r>
                </w:p>
              </w:tc>
              <w:tc>
                <w:tcPr>
                  <w:tcW w:w="1771" w:type="dxa"/>
                  <w:noWrap w:val="0"/>
                  <w:vAlign w:val="center"/>
                </w:tcPr>
                <w:p w14:paraId="1AB46819">
                  <w:pPr>
                    <w:pStyle w:val="61"/>
                    <w:spacing w:line="320" w:lineRule="exact"/>
                    <w:jc w:val="center"/>
                    <w:rPr>
                      <w:rFonts w:hint="default" w:ascii="Times New Roman" w:hAnsi="Times New Roman" w:cs="Times New Roman"/>
                      <w:b w:val="0"/>
                      <w:bCs/>
                      <w:color w:val="auto"/>
                      <w:szCs w:val="21"/>
                      <w:vertAlign w:val="baseline"/>
                      <w:lang w:val="en-US" w:eastAsia="zh-CN"/>
                    </w:rPr>
                  </w:pPr>
                  <w:r>
                    <w:rPr>
                      <w:rFonts w:hint="default" w:ascii="Times New Roman" w:hAnsi="Times New Roman" w:cs="Times New Roman"/>
                      <w:b w:val="0"/>
                      <w:bCs/>
                      <w:color w:val="auto"/>
                      <w:szCs w:val="21"/>
                      <w:vertAlign w:val="baseline"/>
                      <w:lang w:val="en-US" w:eastAsia="zh-CN"/>
                    </w:rPr>
                    <w:t>项目划分重点、一般、简单防渗分区；</w:t>
                  </w:r>
                  <w:r>
                    <w:rPr>
                      <w:rFonts w:hint="eastAsia" w:ascii="Times New Roman" w:hAnsi="Times New Roman" w:cs="Times New Roman"/>
                      <w:b w:val="0"/>
                      <w:bCs/>
                      <w:color w:val="auto"/>
                      <w:szCs w:val="21"/>
                      <w:vertAlign w:val="baseline"/>
                      <w:lang w:val="en-US" w:eastAsia="zh-CN"/>
                    </w:rPr>
                    <w:t>危险废物贮存库</w:t>
                  </w:r>
                  <w:r>
                    <w:rPr>
                      <w:rFonts w:hint="default" w:ascii="Times New Roman" w:hAnsi="Times New Roman" w:cs="Times New Roman"/>
                      <w:b w:val="0"/>
                      <w:bCs/>
                      <w:color w:val="auto"/>
                      <w:szCs w:val="21"/>
                      <w:vertAlign w:val="baseline"/>
                      <w:lang w:val="en-US" w:eastAsia="zh-CN"/>
                    </w:rPr>
                    <w:t>、生产车间落实防渗、围堰、托盘应急收集；危险废物、一般固废分类规范贮存，防范淋溶渗漏污染土壤地下水</w:t>
                  </w:r>
                  <w:r>
                    <w:rPr>
                      <w:rFonts w:hint="eastAsia" w:ascii="Times New Roman" w:hAnsi="Times New Roman" w:cs="Times New Roman"/>
                      <w:b w:val="0"/>
                      <w:bCs/>
                      <w:color w:val="auto"/>
                      <w:szCs w:val="21"/>
                      <w:vertAlign w:val="baseline"/>
                      <w:lang w:val="en-US" w:eastAsia="zh-CN"/>
                    </w:rPr>
                    <w:t>。</w:t>
                  </w:r>
                </w:p>
              </w:tc>
              <w:tc>
                <w:tcPr>
                  <w:tcW w:w="426" w:type="dxa"/>
                  <w:noWrap w:val="0"/>
                  <w:vAlign w:val="center"/>
                </w:tcPr>
                <w:p w14:paraId="2387A2D2">
                  <w:pPr>
                    <w:keepLines/>
                    <w:pageBreakBefore w:val="0"/>
                    <w:widowControl w:val="0"/>
                    <w:kinsoku/>
                    <w:bidi w:val="0"/>
                    <w:spacing w:line="240" w:lineRule="auto"/>
                    <w:jc w:val="center"/>
                    <w:rPr>
                      <w:rFonts w:hint="default" w:cs="Times New Roman"/>
                      <w:b w:val="0"/>
                      <w:bCs/>
                      <w:color w:val="000000"/>
                      <w:sz w:val="21"/>
                      <w:szCs w:val="21"/>
                      <w:highlight w:val="none"/>
                      <w:lang w:val="en-US" w:eastAsia="zh-CN"/>
                    </w:rPr>
                  </w:pPr>
                  <w:r>
                    <w:rPr>
                      <w:rFonts w:hint="eastAsia" w:cs="Times New Roman"/>
                      <w:b w:val="0"/>
                      <w:bCs/>
                      <w:color w:val="000000"/>
                      <w:sz w:val="21"/>
                      <w:szCs w:val="21"/>
                      <w:highlight w:val="none"/>
                      <w:lang w:val="en-US" w:eastAsia="zh-CN"/>
                    </w:rPr>
                    <w:t>符合</w:t>
                  </w:r>
                </w:p>
              </w:tc>
            </w:tr>
            <w:tr w14:paraId="1160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21181135">
                  <w:pPr>
                    <w:pStyle w:val="61"/>
                    <w:spacing w:line="320" w:lineRule="exact"/>
                    <w:jc w:val="center"/>
                    <w:rPr>
                      <w:rFonts w:hint="default"/>
                      <w:b w:val="0"/>
                      <w:bCs/>
                      <w:color w:val="auto"/>
                      <w:szCs w:val="21"/>
                      <w:lang w:val="en-US" w:eastAsia="zh-CN"/>
                    </w:rPr>
                  </w:pPr>
                  <w:r>
                    <w:rPr>
                      <w:rFonts w:hint="default"/>
                      <w:b w:val="0"/>
                      <w:bCs/>
                      <w:color w:val="auto"/>
                      <w:szCs w:val="21"/>
                      <w:lang w:val="en-US" w:eastAsia="zh-CN"/>
                    </w:rPr>
                    <w:t>《新疆维吾尔自治区国民经济和社会发展第十五个五年规划纲要》</w:t>
                  </w:r>
                </w:p>
              </w:tc>
              <w:tc>
                <w:tcPr>
                  <w:tcW w:w="2387" w:type="dxa"/>
                  <w:noWrap w:val="0"/>
                  <w:vAlign w:val="center"/>
                </w:tcPr>
                <w:p w14:paraId="2453F64A">
                  <w:pPr>
                    <w:pStyle w:val="61"/>
                    <w:spacing w:line="320" w:lineRule="exact"/>
                    <w:jc w:val="center"/>
                    <w:rPr>
                      <w:rFonts w:hint="eastAsia" w:ascii="Times New Roman" w:hAnsi="Times New Roman" w:eastAsia="宋体" w:cs="Times New Roman"/>
                      <w:b w:val="0"/>
                      <w:bCs/>
                      <w:color w:val="auto"/>
                      <w:szCs w:val="21"/>
                      <w:lang w:eastAsia="zh-CN"/>
                    </w:rPr>
                  </w:pPr>
                  <w:r>
                    <w:rPr>
                      <w:rFonts w:hint="eastAsia" w:ascii="Times New Roman" w:hAnsi="Times New Roman" w:cs="Times New Roman"/>
                      <w:b w:val="0"/>
                      <w:bCs/>
                      <w:color w:val="auto"/>
                      <w:szCs w:val="21"/>
                    </w:rPr>
                    <w:t>推动传统产业绿色转型升级；严控“两高” 项目盲目发展；推进重点行业大气污染物减排；强化固体废物污染环境防治，推动资源综合利用；培育地方特色农产品配套产业</w:t>
                  </w:r>
                  <w:r>
                    <w:rPr>
                      <w:rFonts w:hint="eastAsia" w:ascii="Times New Roman" w:hAnsi="Times New Roman" w:cs="Times New Roman"/>
                      <w:b w:val="0"/>
                      <w:bCs/>
                      <w:color w:val="auto"/>
                      <w:szCs w:val="21"/>
                      <w:lang w:eastAsia="zh-CN"/>
                    </w:rPr>
                    <w:t>。</w:t>
                  </w:r>
                </w:p>
              </w:tc>
              <w:tc>
                <w:tcPr>
                  <w:tcW w:w="1771" w:type="dxa"/>
                  <w:noWrap w:val="0"/>
                  <w:vAlign w:val="center"/>
                </w:tcPr>
                <w:p w14:paraId="099291B0">
                  <w:pPr>
                    <w:pStyle w:val="61"/>
                    <w:spacing w:line="320" w:lineRule="exact"/>
                    <w:jc w:val="center"/>
                    <w:rPr>
                      <w:rFonts w:hint="default" w:ascii="Times New Roman" w:hAnsi="Times New Roman" w:cs="Times New Roman"/>
                      <w:b w:val="0"/>
                      <w:bCs/>
                      <w:color w:val="auto"/>
                      <w:szCs w:val="21"/>
                      <w:vertAlign w:val="baseline"/>
                      <w:lang w:val="en-US" w:eastAsia="zh-CN"/>
                    </w:rPr>
                  </w:pPr>
                  <w:r>
                    <w:rPr>
                      <w:rFonts w:hint="default" w:ascii="Times New Roman" w:hAnsi="Times New Roman" w:cs="Times New Roman"/>
                      <w:b w:val="0"/>
                      <w:bCs/>
                      <w:color w:val="auto"/>
                      <w:szCs w:val="21"/>
                      <w:vertAlign w:val="baseline"/>
                      <w:lang w:val="en-US" w:eastAsia="zh-CN"/>
                    </w:rPr>
                    <w:t>本项目为本地棉花产业链配套轻工项目，不属于</w:t>
                  </w:r>
                  <w:r>
                    <w:rPr>
                      <w:rFonts w:hint="eastAsia" w:ascii="Times New Roman" w:hAnsi="Times New Roman" w:cs="Times New Roman"/>
                      <w:b w:val="0"/>
                      <w:bCs/>
                      <w:color w:val="auto"/>
                      <w:szCs w:val="21"/>
                      <w:vertAlign w:val="baseline"/>
                      <w:lang w:val="en-US" w:eastAsia="zh-CN"/>
                    </w:rPr>
                    <w:t>“两高”项目</w:t>
                  </w:r>
                  <w:r>
                    <w:rPr>
                      <w:rFonts w:hint="default" w:ascii="Times New Roman" w:hAnsi="Times New Roman" w:cs="Times New Roman"/>
                      <w:b w:val="0"/>
                      <w:bCs/>
                      <w:color w:val="auto"/>
                      <w:szCs w:val="21"/>
                      <w:vertAlign w:val="baseline"/>
                      <w:lang w:val="en-US" w:eastAsia="zh-CN"/>
                    </w:rPr>
                    <w:t>；废气落实VOCs减排；塑料类一般固废全部资源</w:t>
                  </w:r>
                  <w:r>
                    <w:rPr>
                      <w:rFonts w:hint="eastAsia" w:ascii="Times New Roman" w:hAnsi="Times New Roman" w:cs="Times New Roman"/>
                      <w:b w:val="0"/>
                      <w:bCs/>
                      <w:color w:val="auto"/>
                      <w:szCs w:val="21"/>
                      <w:vertAlign w:val="baseline"/>
                      <w:lang w:val="en-US" w:eastAsia="zh-CN"/>
                    </w:rPr>
                    <w:t>外售</w:t>
                  </w:r>
                  <w:r>
                    <w:rPr>
                      <w:rFonts w:hint="default" w:ascii="Times New Roman" w:hAnsi="Times New Roman" w:cs="Times New Roman"/>
                      <w:b w:val="0"/>
                      <w:bCs/>
                      <w:color w:val="auto"/>
                      <w:szCs w:val="21"/>
                      <w:vertAlign w:val="baseline"/>
                      <w:lang w:val="en-US" w:eastAsia="zh-CN"/>
                    </w:rPr>
                    <w:t>回收</w:t>
                  </w:r>
                  <w:r>
                    <w:rPr>
                      <w:rFonts w:hint="eastAsia" w:ascii="Times New Roman" w:hAnsi="Times New Roman" w:cs="Times New Roman"/>
                      <w:b w:val="0"/>
                      <w:bCs/>
                      <w:color w:val="auto"/>
                      <w:szCs w:val="21"/>
                      <w:vertAlign w:val="baseline"/>
                      <w:lang w:val="en-US" w:eastAsia="zh-CN"/>
                    </w:rPr>
                    <w:t>企业综合</w:t>
                  </w:r>
                  <w:r>
                    <w:rPr>
                      <w:rFonts w:hint="default" w:ascii="Times New Roman" w:hAnsi="Times New Roman" w:cs="Times New Roman"/>
                      <w:b w:val="0"/>
                      <w:bCs/>
                      <w:color w:val="auto"/>
                      <w:szCs w:val="21"/>
                      <w:vertAlign w:val="baseline"/>
                      <w:lang w:val="en-US" w:eastAsia="zh-CN"/>
                    </w:rPr>
                    <w:t>利用，危废规范化处置</w:t>
                  </w:r>
                  <w:r>
                    <w:rPr>
                      <w:rFonts w:hint="eastAsia" w:ascii="Times New Roman" w:hAnsi="Times New Roman" w:cs="Times New Roman"/>
                      <w:b w:val="0"/>
                      <w:bCs/>
                      <w:color w:val="auto"/>
                      <w:szCs w:val="21"/>
                      <w:vertAlign w:val="baseline"/>
                      <w:lang w:val="en-US" w:eastAsia="zh-CN"/>
                    </w:rPr>
                    <w:t>。</w:t>
                  </w:r>
                </w:p>
              </w:tc>
              <w:tc>
                <w:tcPr>
                  <w:tcW w:w="426" w:type="dxa"/>
                  <w:noWrap w:val="0"/>
                  <w:vAlign w:val="center"/>
                </w:tcPr>
                <w:p w14:paraId="2038B2FD">
                  <w:pPr>
                    <w:keepLines/>
                    <w:pageBreakBefore w:val="0"/>
                    <w:widowControl w:val="0"/>
                    <w:kinsoku/>
                    <w:bidi w:val="0"/>
                    <w:spacing w:line="240" w:lineRule="auto"/>
                    <w:jc w:val="center"/>
                    <w:rPr>
                      <w:rFonts w:hint="default" w:cs="Times New Roman"/>
                      <w:b w:val="0"/>
                      <w:bCs/>
                      <w:color w:val="000000"/>
                      <w:sz w:val="21"/>
                      <w:szCs w:val="21"/>
                      <w:highlight w:val="none"/>
                      <w:lang w:val="en-US" w:eastAsia="zh-CN"/>
                    </w:rPr>
                  </w:pPr>
                  <w:r>
                    <w:rPr>
                      <w:rFonts w:hint="eastAsia" w:cs="Times New Roman"/>
                      <w:b w:val="0"/>
                      <w:bCs/>
                      <w:color w:val="000000"/>
                      <w:sz w:val="21"/>
                      <w:szCs w:val="21"/>
                      <w:highlight w:val="none"/>
                      <w:lang w:val="en-US" w:eastAsia="zh-CN"/>
                    </w:rPr>
                    <w:t>符合</w:t>
                  </w:r>
                </w:p>
              </w:tc>
            </w:tr>
            <w:tr w14:paraId="2092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noWrap w:val="0"/>
                  <w:vAlign w:val="center"/>
                </w:tcPr>
                <w:p w14:paraId="228625B6">
                  <w:pPr>
                    <w:pStyle w:val="61"/>
                    <w:spacing w:line="320" w:lineRule="exact"/>
                    <w:jc w:val="center"/>
                    <w:rPr>
                      <w:rFonts w:hint="default"/>
                      <w:b w:val="0"/>
                      <w:bCs/>
                      <w:color w:val="auto"/>
                      <w:szCs w:val="21"/>
                      <w:lang w:val="en-US" w:eastAsia="zh-CN"/>
                    </w:rPr>
                  </w:pPr>
                  <w:r>
                    <w:rPr>
                      <w:rFonts w:hint="default"/>
                      <w:b w:val="0"/>
                      <w:bCs/>
                      <w:color w:val="auto"/>
                      <w:szCs w:val="21"/>
                      <w:lang w:val="en-US" w:eastAsia="zh-CN"/>
                    </w:rPr>
                    <w:t>《中华人民共和国生态环境法典》</w:t>
                  </w:r>
                </w:p>
              </w:tc>
              <w:tc>
                <w:tcPr>
                  <w:tcW w:w="2387" w:type="dxa"/>
                  <w:noWrap w:val="0"/>
                  <w:vAlign w:val="center"/>
                </w:tcPr>
                <w:p w14:paraId="2E01DAF3">
                  <w:pPr>
                    <w:pStyle w:val="61"/>
                    <w:spacing w:line="320" w:lineRule="exact"/>
                    <w:jc w:val="center"/>
                    <w:rPr>
                      <w:rFonts w:hint="eastAsia" w:ascii="Times New Roman" w:hAnsi="Times New Roman" w:cs="Times New Roman"/>
                      <w:b w:val="0"/>
                      <w:bCs/>
                      <w:color w:val="auto"/>
                      <w:szCs w:val="21"/>
                    </w:rPr>
                  </w:pPr>
                  <w:r>
                    <w:rPr>
                      <w:rFonts w:hint="eastAsia" w:ascii="Times New Roman" w:hAnsi="Times New Roman" w:cs="Times New Roman"/>
                      <w:b w:val="0"/>
                      <w:bCs/>
                      <w:color w:val="auto"/>
                      <w:szCs w:val="21"/>
                    </w:rPr>
                    <w:t>建设项目应当依法开展环境影响评价，落实生态环境保护措施；生产经营活动排放污染物不得超过污染物排放标准；生产过程产生固体废物应当分类收集、规范贮存、依法处置；生产运营强化挥发性有机物等大气污染物收集治理，防控无组织排放；落实土壤、地下水污染防控措施，防范物料渗漏造成环境风险。</w:t>
                  </w:r>
                </w:p>
              </w:tc>
              <w:tc>
                <w:tcPr>
                  <w:tcW w:w="1771" w:type="dxa"/>
                  <w:noWrap w:val="0"/>
                  <w:vAlign w:val="center"/>
                </w:tcPr>
                <w:p w14:paraId="7A7145BA">
                  <w:pPr>
                    <w:pStyle w:val="61"/>
                    <w:spacing w:line="320" w:lineRule="exact"/>
                    <w:jc w:val="center"/>
                    <w:rPr>
                      <w:rFonts w:hint="default" w:ascii="Times New Roman" w:hAnsi="Times New Roman" w:cs="Times New Roman"/>
                      <w:b w:val="0"/>
                      <w:bCs/>
                      <w:color w:val="auto"/>
                      <w:szCs w:val="21"/>
                      <w:vertAlign w:val="baseline"/>
                      <w:lang w:val="en-US" w:eastAsia="zh-CN"/>
                    </w:rPr>
                  </w:pPr>
                  <w:r>
                    <w:rPr>
                      <w:rFonts w:hint="default" w:ascii="Times New Roman" w:hAnsi="Times New Roman" w:cs="Times New Roman"/>
                      <w:b w:val="0"/>
                      <w:bCs/>
                      <w:color w:val="auto"/>
                      <w:szCs w:val="21"/>
                      <w:vertAlign w:val="baseline"/>
                      <w:lang w:val="en-US" w:eastAsia="zh-CN"/>
                    </w:rPr>
                    <w:t>本项目按要求开展环境影响评价；生产废气设置集气收集+治理设施，控制VOCs、颗粒物有组织及无组织排放；固体废物分类收集，一般固废综合利用，危险废物设置专用贮存间，委托具备资质单位处置；生产区地面采取防渗硬化，落实土壤、地下水污染防控措施；项目配套建设废气、废水、噪声、固废污染防治设施，各项污染物排放控制满足现行标准要求</w:t>
                  </w:r>
                  <w:r>
                    <w:rPr>
                      <w:rFonts w:hint="eastAsia" w:ascii="Times New Roman" w:hAnsi="Times New Roman" w:cs="Times New Roman"/>
                      <w:b w:val="0"/>
                      <w:bCs/>
                      <w:color w:val="auto"/>
                      <w:szCs w:val="21"/>
                      <w:vertAlign w:val="baseline"/>
                      <w:lang w:val="en-US" w:eastAsia="zh-CN"/>
                    </w:rPr>
                    <w:t>。</w:t>
                  </w:r>
                </w:p>
              </w:tc>
              <w:tc>
                <w:tcPr>
                  <w:tcW w:w="426" w:type="dxa"/>
                  <w:noWrap w:val="0"/>
                  <w:vAlign w:val="center"/>
                </w:tcPr>
                <w:p w14:paraId="1C720161">
                  <w:pPr>
                    <w:keepLines/>
                    <w:pageBreakBefore w:val="0"/>
                    <w:widowControl w:val="0"/>
                    <w:kinsoku/>
                    <w:bidi w:val="0"/>
                    <w:spacing w:line="240" w:lineRule="auto"/>
                    <w:jc w:val="center"/>
                    <w:rPr>
                      <w:rFonts w:hint="default" w:cs="Times New Roman"/>
                      <w:b w:val="0"/>
                      <w:bCs/>
                      <w:color w:val="000000"/>
                      <w:sz w:val="21"/>
                      <w:szCs w:val="21"/>
                      <w:highlight w:val="none"/>
                      <w:lang w:val="en-US" w:eastAsia="zh-CN"/>
                    </w:rPr>
                  </w:pPr>
                  <w:r>
                    <w:rPr>
                      <w:rFonts w:hint="eastAsia" w:cs="Times New Roman"/>
                      <w:b w:val="0"/>
                      <w:bCs/>
                      <w:color w:val="000000"/>
                      <w:sz w:val="21"/>
                      <w:szCs w:val="21"/>
                      <w:highlight w:val="none"/>
                      <w:lang w:val="en-US" w:eastAsia="zh-CN"/>
                    </w:rPr>
                    <w:t>符合</w:t>
                  </w:r>
                </w:p>
              </w:tc>
            </w:tr>
          </w:tbl>
          <w:p w14:paraId="5240EC91">
            <w:pPr>
              <w:autoSpaceDE w:val="0"/>
              <w:autoSpaceDN w:val="0"/>
              <w:adjustRightInd w:val="0"/>
              <w:snapToGrid w:val="0"/>
              <w:rPr>
                <w:rFonts w:ascii="宋体" w:hAnsi="宋体" w:cs="宋体"/>
                <w:kern w:val="0"/>
                <w:szCs w:val="21"/>
              </w:rPr>
            </w:pPr>
          </w:p>
          <w:p w14:paraId="68E710BD">
            <w:pPr>
              <w:autoSpaceDE w:val="0"/>
              <w:autoSpaceDN w:val="0"/>
              <w:adjustRightInd w:val="0"/>
              <w:snapToGrid w:val="0"/>
              <w:rPr>
                <w:rFonts w:ascii="宋体" w:hAnsi="宋体" w:cs="宋体"/>
                <w:kern w:val="0"/>
                <w:szCs w:val="21"/>
              </w:rPr>
            </w:pPr>
          </w:p>
          <w:p w14:paraId="6FD5078F">
            <w:pPr>
              <w:autoSpaceDE w:val="0"/>
              <w:autoSpaceDN w:val="0"/>
              <w:adjustRightInd w:val="0"/>
              <w:snapToGrid w:val="0"/>
              <w:rPr>
                <w:rFonts w:ascii="宋体" w:hAnsi="宋体" w:cs="宋体"/>
                <w:kern w:val="0"/>
                <w:szCs w:val="21"/>
              </w:rPr>
            </w:pPr>
          </w:p>
          <w:p w14:paraId="2E8E994E">
            <w:pPr>
              <w:autoSpaceDE w:val="0"/>
              <w:autoSpaceDN w:val="0"/>
              <w:adjustRightInd w:val="0"/>
              <w:snapToGrid w:val="0"/>
              <w:rPr>
                <w:rFonts w:ascii="宋体" w:hAnsi="宋体" w:cs="宋体"/>
                <w:kern w:val="0"/>
                <w:szCs w:val="21"/>
              </w:rPr>
            </w:pPr>
          </w:p>
          <w:p w14:paraId="345EEF88">
            <w:pPr>
              <w:autoSpaceDE w:val="0"/>
              <w:autoSpaceDN w:val="0"/>
              <w:adjustRightInd w:val="0"/>
              <w:snapToGrid w:val="0"/>
              <w:rPr>
                <w:rFonts w:ascii="宋体" w:hAnsi="宋体" w:cs="宋体"/>
                <w:kern w:val="0"/>
                <w:szCs w:val="21"/>
              </w:rPr>
            </w:pPr>
          </w:p>
          <w:p w14:paraId="6FECE1F4">
            <w:pPr>
              <w:autoSpaceDE w:val="0"/>
              <w:autoSpaceDN w:val="0"/>
              <w:adjustRightInd w:val="0"/>
              <w:snapToGrid w:val="0"/>
              <w:rPr>
                <w:rFonts w:ascii="宋体" w:hAnsi="宋体" w:cs="宋体"/>
                <w:kern w:val="0"/>
                <w:szCs w:val="21"/>
              </w:rPr>
            </w:pPr>
          </w:p>
          <w:p w14:paraId="777F206F">
            <w:pPr>
              <w:autoSpaceDE w:val="0"/>
              <w:autoSpaceDN w:val="0"/>
              <w:adjustRightInd w:val="0"/>
              <w:snapToGrid w:val="0"/>
              <w:rPr>
                <w:rFonts w:ascii="宋体" w:hAnsi="宋体" w:cs="宋体"/>
                <w:kern w:val="0"/>
                <w:szCs w:val="21"/>
              </w:rPr>
            </w:pPr>
          </w:p>
          <w:p w14:paraId="5F81025D">
            <w:pPr>
              <w:autoSpaceDE w:val="0"/>
              <w:autoSpaceDN w:val="0"/>
              <w:adjustRightInd w:val="0"/>
              <w:snapToGrid w:val="0"/>
              <w:rPr>
                <w:rFonts w:ascii="宋体" w:hAnsi="宋体" w:cs="宋体"/>
                <w:kern w:val="0"/>
                <w:szCs w:val="21"/>
              </w:rPr>
            </w:pPr>
          </w:p>
          <w:p w14:paraId="49C49A54">
            <w:pPr>
              <w:autoSpaceDE w:val="0"/>
              <w:autoSpaceDN w:val="0"/>
              <w:adjustRightInd w:val="0"/>
              <w:snapToGrid w:val="0"/>
              <w:rPr>
                <w:rFonts w:ascii="宋体" w:hAnsi="宋体" w:cs="宋体"/>
                <w:kern w:val="0"/>
                <w:szCs w:val="21"/>
              </w:rPr>
            </w:pPr>
          </w:p>
          <w:p w14:paraId="7D60C437">
            <w:pPr>
              <w:autoSpaceDE w:val="0"/>
              <w:autoSpaceDN w:val="0"/>
              <w:adjustRightInd w:val="0"/>
              <w:snapToGrid w:val="0"/>
              <w:rPr>
                <w:rFonts w:ascii="宋体" w:hAnsi="宋体" w:cs="宋体"/>
                <w:kern w:val="0"/>
                <w:szCs w:val="21"/>
              </w:rPr>
            </w:pPr>
          </w:p>
          <w:p w14:paraId="30F455FE">
            <w:pPr>
              <w:autoSpaceDE w:val="0"/>
              <w:autoSpaceDN w:val="0"/>
              <w:adjustRightInd w:val="0"/>
              <w:snapToGrid w:val="0"/>
              <w:rPr>
                <w:rFonts w:ascii="宋体" w:hAnsi="宋体" w:cs="宋体"/>
                <w:kern w:val="0"/>
                <w:szCs w:val="21"/>
              </w:rPr>
            </w:pPr>
          </w:p>
          <w:p w14:paraId="63F79BC7">
            <w:pPr>
              <w:autoSpaceDE w:val="0"/>
              <w:autoSpaceDN w:val="0"/>
              <w:adjustRightInd w:val="0"/>
              <w:snapToGrid w:val="0"/>
              <w:rPr>
                <w:rFonts w:ascii="宋体" w:hAnsi="宋体" w:cs="宋体"/>
                <w:kern w:val="0"/>
                <w:szCs w:val="21"/>
              </w:rPr>
            </w:pPr>
          </w:p>
          <w:p w14:paraId="1D2A0D70">
            <w:pPr>
              <w:autoSpaceDE w:val="0"/>
              <w:autoSpaceDN w:val="0"/>
              <w:adjustRightInd w:val="0"/>
              <w:snapToGrid w:val="0"/>
              <w:rPr>
                <w:rFonts w:ascii="宋体" w:hAnsi="宋体" w:cs="宋体"/>
                <w:kern w:val="0"/>
                <w:szCs w:val="21"/>
              </w:rPr>
            </w:pPr>
          </w:p>
        </w:tc>
      </w:tr>
    </w:tbl>
    <w:p w14:paraId="2B388CED">
      <w:pPr>
        <w:spacing w:line="360" w:lineRule="auto"/>
        <w:outlineLvl w:val="0"/>
        <w:rPr>
          <w:rFonts w:eastAsia="黑体"/>
          <w:sz w:val="30"/>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519941C5">
      <w:pPr>
        <w:pStyle w:val="21"/>
        <w:jc w:val="center"/>
        <w:outlineLvl w:val="0"/>
        <w:rPr>
          <w:rFonts w:ascii="黑体" w:hAnsi="黑体" w:eastAsia="黑体"/>
          <w:snapToGrid w:val="0"/>
          <w:sz w:val="30"/>
          <w:szCs w:val="30"/>
        </w:rPr>
      </w:pPr>
      <w:r>
        <w:rPr>
          <w:rFonts w:hint="eastAsia" w:ascii="黑体" w:hAnsi="黑体" w:eastAsia="黑体"/>
          <w:snapToGrid w:val="0"/>
          <w:sz w:val="30"/>
          <w:szCs w:val="30"/>
        </w:rPr>
        <w:t>二、建设项目工程分析</w:t>
      </w:r>
    </w:p>
    <w:tbl>
      <w:tblPr>
        <w:tblStyle w:val="24"/>
        <w:tblW w:w="905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49"/>
        <w:gridCol w:w="8609"/>
      </w:tblGrid>
      <w:tr w14:paraId="7F5B69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449" w:type="dxa"/>
            <w:noWrap w:val="0"/>
            <w:vAlign w:val="center"/>
          </w:tcPr>
          <w:p w14:paraId="533B5BB2">
            <w:pPr>
              <w:pStyle w:val="21"/>
              <w:adjustRightInd w:val="0"/>
              <w:snapToGrid w:val="0"/>
              <w:spacing w:before="0" w:beforeAutospacing="0" w:after="0" w:afterAutospacing="0"/>
              <w:jc w:val="center"/>
              <w:rPr>
                <w:rFonts w:cs="宋体"/>
                <w:sz w:val="21"/>
                <w:szCs w:val="21"/>
              </w:rPr>
            </w:pPr>
            <w:r>
              <w:rPr>
                <w:rFonts w:hint="eastAsia" w:cs="宋体"/>
                <w:sz w:val="21"/>
                <w:szCs w:val="21"/>
              </w:rPr>
              <w:t>建设内容</w:t>
            </w:r>
          </w:p>
        </w:tc>
        <w:tc>
          <w:tcPr>
            <w:tcW w:w="8609" w:type="dxa"/>
            <w:noWrap w:val="0"/>
            <w:vAlign w:val="top"/>
          </w:tcPr>
          <w:p w14:paraId="7EA76157">
            <w:pPr>
              <w:spacing w:line="500" w:lineRule="exact"/>
              <w:rPr>
                <w:rFonts w:hint="eastAsia" w:ascii="宋体" w:hAnsi="宋体" w:eastAsia="宋体" w:cs="宋体"/>
                <w:b/>
                <w:bCs/>
                <w:sz w:val="24"/>
                <w:lang w:eastAsia="zh-CN"/>
              </w:rPr>
            </w:pPr>
            <w:r>
              <w:rPr>
                <w:rFonts w:hint="eastAsia" w:ascii="宋体" w:hAnsi="宋体" w:cs="宋体"/>
                <w:b/>
                <w:bCs/>
                <w:sz w:val="24"/>
              </w:rPr>
              <w:t>一、</w:t>
            </w:r>
            <w:r>
              <w:rPr>
                <w:rFonts w:hint="eastAsia" w:ascii="宋体" w:hAnsi="宋体" w:cs="宋体"/>
                <w:b/>
                <w:bCs/>
                <w:sz w:val="24"/>
                <w:lang w:eastAsia="zh-CN"/>
              </w:rPr>
              <w:t>项目</w:t>
            </w:r>
            <w:r>
              <w:rPr>
                <w:rFonts w:hint="eastAsia" w:ascii="宋体" w:hAnsi="宋体" w:cs="宋体"/>
                <w:b/>
                <w:bCs/>
                <w:sz w:val="24"/>
                <w:lang w:val="en-US" w:eastAsia="zh-CN"/>
              </w:rPr>
              <w:t>背景</w:t>
            </w:r>
          </w:p>
          <w:p w14:paraId="6DF1EE9B">
            <w:pPr>
              <w:spacing w:line="500" w:lineRule="exact"/>
              <w:ind w:firstLine="480" w:firstLineChars="200"/>
              <w:rPr>
                <w:rFonts w:hint="eastAsia" w:ascii="宋体" w:hAnsi="宋体" w:cs="宋体"/>
                <w:b w:val="0"/>
                <w:bCs w:val="0"/>
                <w:color w:val="auto"/>
                <w:sz w:val="24"/>
                <w:lang w:val="en-US" w:eastAsia="zh-CN"/>
              </w:rPr>
            </w:pPr>
            <w:r>
              <w:rPr>
                <w:rFonts w:hint="eastAsia" w:ascii="宋体" w:hAnsi="宋体" w:cs="宋体"/>
                <w:b w:val="0"/>
                <w:bCs w:val="0"/>
                <w:color w:val="auto"/>
                <w:sz w:val="24"/>
                <w:lang w:val="en-US" w:eastAsia="zh-CN"/>
              </w:rPr>
              <w:t>棉花是新疆重要大宗农产品与国家战略性储备物资，随着机采棉技术大面积推广，棉花打包作为机采棉产业链必要配套环节，机械化采收棉包需专用打包膜实现防尘、防潮防护，保障棉包仓储及长途转运，市场对本地化棉花打包膜存在一定产能需求。</w:t>
            </w:r>
          </w:p>
          <w:p w14:paraId="75677F6B">
            <w:pPr>
              <w:spacing w:line="500" w:lineRule="exact"/>
              <w:ind w:firstLine="480" w:firstLineChars="200"/>
              <w:rPr>
                <w:rFonts w:hint="default" w:ascii="宋体" w:hAnsi="宋体" w:cs="宋体"/>
                <w:b w:val="0"/>
                <w:bCs w:val="0"/>
                <w:color w:val="auto"/>
                <w:sz w:val="24"/>
                <w:lang w:val="en-US" w:eastAsia="zh-CN"/>
              </w:rPr>
            </w:pPr>
            <w:r>
              <w:rPr>
                <w:rFonts w:hint="eastAsia" w:ascii="宋体" w:hAnsi="宋体" w:cs="宋体"/>
                <w:b w:val="0"/>
                <w:bCs w:val="0"/>
                <w:color w:val="auto"/>
                <w:sz w:val="24"/>
                <w:lang w:val="en-US" w:eastAsia="zh-CN"/>
              </w:rPr>
              <w:t>在此产业市场背景下，新疆冠盈农业科技有限公司于2025年8月通过司法拍卖取得轮台县红桥石油服务区原新疆沃地生态农业发展集团有限公司厂区厂房、地坪及配套基础设施，厂区原有构筑物无历史环境污染遗留问题。企业依托现有厂房购置吹膜、涂胶等全套生产设备，建设年产1.2万吨棉花打包膜项目。本项目在未依法报批环境影响评价文件的情况下擅自开工建设，属于未批先建。</w:t>
            </w:r>
          </w:p>
          <w:p w14:paraId="24BCAD5F">
            <w:pPr>
              <w:spacing w:line="500" w:lineRule="exact"/>
              <w:ind w:firstLine="480" w:firstLineChars="200"/>
              <w:rPr>
                <w:rFonts w:hint="eastAsia" w:ascii="宋体" w:hAnsi="宋体" w:cs="宋体"/>
                <w:b w:val="0"/>
                <w:bCs w:val="0"/>
                <w:color w:val="auto"/>
                <w:sz w:val="24"/>
                <w:lang w:eastAsia="zh-CN"/>
              </w:rPr>
            </w:pPr>
            <w:r>
              <w:rPr>
                <w:rFonts w:hint="eastAsia" w:ascii="宋体" w:hAnsi="宋体" w:cs="宋体"/>
                <w:b w:val="0"/>
                <w:bCs w:val="0"/>
                <w:color w:val="auto"/>
                <w:sz w:val="24"/>
                <w:lang w:eastAsia="zh-CN"/>
              </w:rPr>
              <w:t>2026年7月10日，巴州生态环境局轮台县分局开展现场检查，针对上述违法行为下达《责令改正违法行为决定书》（巴环责改〔2026〕8</w:t>
            </w:r>
            <w:r>
              <w:rPr>
                <w:rFonts w:hint="eastAsia" w:ascii="宋体" w:hAnsi="宋体" w:cs="宋体"/>
                <w:b w:val="0"/>
                <w:bCs w:val="0"/>
                <w:color w:val="auto"/>
                <w:sz w:val="24"/>
                <w:lang w:val="en-US" w:eastAsia="zh-CN"/>
              </w:rPr>
              <w:t>-</w:t>
            </w:r>
            <w:r>
              <w:rPr>
                <w:rFonts w:hint="eastAsia" w:ascii="宋体" w:hAnsi="宋体" w:cs="宋体"/>
                <w:b w:val="0"/>
                <w:bCs w:val="0"/>
                <w:color w:val="auto"/>
                <w:sz w:val="24"/>
                <w:lang w:eastAsia="zh-CN"/>
              </w:rPr>
              <w:t>9号），责令企业立即停止违法行为，依法报批环境影响评价文件；后下达《行政处罚事先告知书》（巴环罚告〔2026〕8</w:t>
            </w:r>
            <w:r>
              <w:rPr>
                <w:rFonts w:hint="eastAsia" w:ascii="宋体" w:hAnsi="宋体" w:cs="宋体"/>
                <w:b w:val="0"/>
                <w:bCs w:val="0"/>
                <w:color w:val="auto"/>
                <w:sz w:val="24"/>
                <w:lang w:val="en-US" w:eastAsia="zh-CN"/>
              </w:rPr>
              <w:t>-</w:t>
            </w:r>
            <w:r>
              <w:rPr>
                <w:rFonts w:hint="eastAsia" w:ascii="宋体" w:hAnsi="宋体" w:cs="宋体"/>
                <w:b w:val="0"/>
                <w:bCs w:val="0"/>
                <w:color w:val="auto"/>
                <w:sz w:val="24"/>
                <w:lang w:eastAsia="zh-CN"/>
              </w:rPr>
              <w:t>9号）。企业认识到环境违法问题，积极落实整改补救措施，委托评价单位开展本项目环境影响评价工作。</w:t>
            </w:r>
          </w:p>
          <w:p w14:paraId="2D18B38E">
            <w:pPr>
              <w:spacing w:line="500" w:lineRule="exact"/>
              <w:ind w:firstLine="480" w:firstLineChars="200"/>
              <w:rPr>
                <w:rFonts w:hint="eastAsia" w:ascii="宋体" w:hAnsi="宋体" w:cs="宋体"/>
                <w:b w:val="0"/>
                <w:bCs w:val="0"/>
                <w:color w:val="auto"/>
                <w:sz w:val="24"/>
                <w:lang w:eastAsia="zh-CN"/>
              </w:rPr>
            </w:pPr>
            <w:r>
              <w:rPr>
                <w:rFonts w:hint="eastAsia" w:ascii="宋体" w:hAnsi="宋体" w:cs="宋体"/>
                <w:b w:val="0"/>
                <w:bCs w:val="0"/>
                <w:color w:val="auto"/>
                <w:sz w:val="24"/>
                <w:lang w:eastAsia="zh-CN"/>
              </w:rPr>
              <w:t>按照《中华人民共和国生态环境法典》（2026年8月15日施行）和《建设项目环境影响评价分类管理名录》等有关法律法规规定，项目属《名录》所列“二十六、橡胶和塑料制品业29”，“53、塑料制品业292：其他（年用非溶剂型低VOCs含量涂料10吨以下的除外）”，应编制环境影响报告表。受建设单位委托，</w:t>
            </w:r>
            <w:r>
              <w:rPr>
                <w:rFonts w:hint="eastAsia" w:ascii="宋体" w:hAnsi="宋体" w:cs="宋体"/>
                <w:b w:val="0"/>
                <w:bCs w:val="0"/>
                <w:color w:val="auto"/>
                <w:sz w:val="24"/>
                <w:lang w:val="en-US" w:eastAsia="zh-CN"/>
              </w:rPr>
              <w:t>本公司</w:t>
            </w:r>
            <w:r>
              <w:rPr>
                <w:rFonts w:hint="eastAsia" w:ascii="宋体" w:hAnsi="宋体" w:cs="宋体"/>
                <w:b w:val="0"/>
                <w:bCs w:val="0"/>
                <w:color w:val="auto"/>
                <w:sz w:val="24"/>
                <w:lang w:eastAsia="zh-CN"/>
              </w:rPr>
              <w:t>承担了本项目的环境影响评价工作。接受委托后，</w:t>
            </w:r>
            <w:r>
              <w:rPr>
                <w:rFonts w:hint="eastAsia" w:ascii="宋体" w:hAnsi="宋体" w:cs="宋体"/>
                <w:b w:val="0"/>
                <w:bCs w:val="0"/>
                <w:color w:val="auto"/>
                <w:sz w:val="24"/>
                <w:lang w:val="en-US" w:eastAsia="zh-CN"/>
              </w:rPr>
              <w:t>本公司</w:t>
            </w:r>
            <w:r>
              <w:rPr>
                <w:rFonts w:hint="eastAsia" w:ascii="宋体" w:hAnsi="宋体" w:cs="宋体"/>
                <w:b w:val="0"/>
                <w:bCs w:val="0"/>
                <w:color w:val="auto"/>
                <w:sz w:val="24"/>
                <w:lang w:eastAsia="zh-CN"/>
              </w:rPr>
              <w:t>在现场踏勘和资料收集的基础上，编制完成了《新疆冠盈农业科技有限公司年产1.2万吨棉花打包膜项目》，</w:t>
            </w:r>
            <w:r>
              <w:rPr>
                <w:sz w:val="24"/>
              </w:rPr>
              <w:t>呈报环境保护行政主管部门</w:t>
            </w:r>
            <w:r>
              <w:rPr>
                <w:rFonts w:hint="eastAsia"/>
                <w:sz w:val="24"/>
                <w:lang w:eastAsia="zh-CN"/>
              </w:rPr>
              <w:t>，</w:t>
            </w:r>
            <w:r>
              <w:rPr>
                <w:rFonts w:hint="default" w:ascii="Times New Roman" w:hAnsi="Times New Roman" w:cs="Times New Roman"/>
                <w:sz w:val="24"/>
                <w:szCs w:val="24"/>
              </w:rPr>
              <w:t>审批后作为环保部门和该企业进行环境管理的依据</w:t>
            </w:r>
            <w:r>
              <w:rPr>
                <w:rFonts w:hint="eastAsia" w:ascii="宋体" w:hAnsi="宋体" w:cs="宋体"/>
                <w:b w:val="0"/>
                <w:bCs w:val="0"/>
                <w:color w:val="auto"/>
                <w:sz w:val="24"/>
                <w:lang w:eastAsia="zh-CN"/>
              </w:rPr>
              <w:t>。</w:t>
            </w:r>
          </w:p>
          <w:p w14:paraId="0478A17F">
            <w:pPr>
              <w:spacing w:line="500" w:lineRule="exact"/>
              <w:rPr>
                <w:rFonts w:hint="eastAsia"/>
                <w:b/>
                <w:bCs/>
                <w:sz w:val="24"/>
                <w:lang w:val="en-US" w:eastAsia="zh-CN"/>
              </w:rPr>
            </w:pPr>
            <w:r>
              <w:rPr>
                <w:rFonts w:hint="eastAsia"/>
                <w:b/>
                <w:bCs/>
                <w:sz w:val="24"/>
                <w:lang w:val="en-US" w:eastAsia="zh-CN"/>
              </w:rPr>
              <w:t>二、现有已建工程基本情况说明</w:t>
            </w:r>
          </w:p>
          <w:p w14:paraId="11F20442">
            <w:pPr>
              <w:spacing w:line="500" w:lineRule="exact"/>
              <w:ind w:firstLine="480" w:firstLineChars="200"/>
              <w:rPr>
                <w:rFonts w:hint="eastAsia"/>
                <w:sz w:val="24"/>
                <w:lang w:val="en-US" w:eastAsia="zh-CN"/>
              </w:rPr>
            </w:pPr>
            <w:r>
              <w:rPr>
                <w:rFonts w:hint="eastAsia"/>
                <w:sz w:val="24"/>
                <w:lang w:val="en-US" w:eastAsia="zh-CN"/>
              </w:rPr>
              <w:t>本项目于2025年8月取得厂区法拍之后，在未依法报批环境影响评价文件的前提下，开展设备安装建设，年产1.2万吨棉花打包膜主体生产线现已建成，主体生产设备已安装到位；废气治理、规范危废库等环保配套设施尚未建设完成，生产线未正式投产运行。</w:t>
            </w:r>
          </w:p>
          <w:p w14:paraId="57E39478">
            <w:pPr>
              <w:spacing w:line="500" w:lineRule="exact"/>
              <w:ind w:firstLine="480" w:firstLineChars="200"/>
              <w:rPr>
                <w:rFonts w:hint="eastAsia"/>
                <w:sz w:val="24"/>
                <w:lang w:val="en-US" w:eastAsia="zh-CN"/>
              </w:rPr>
            </w:pPr>
            <w:r>
              <w:rPr>
                <w:rFonts w:hint="eastAsia"/>
                <w:sz w:val="24"/>
                <w:lang w:val="en-US" w:eastAsia="zh-CN"/>
              </w:rPr>
              <w:t>现有已建工程仅完成主体生产设备安装，未履行环境影响评价、环保“三同时”相关手续，属于未批先建，巴州生态环境局已下达《责令改正违法行为决定书》（巴环责改〔2026〕8-9号）、《行政处罚事先告知书》（巴环罚告〔2026〕8-9号），责令企业停止违法行为，补办环评手续。</w:t>
            </w:r>
          </w:p>
          <w:p w14:paraId="34D73AB7">
            <w:pPr>
              <w:spacing w:line="500" w:lineRule="exact"/>
              <w:ind w:firstLine="480" w:firstLineChars="200"/>
              <w:rPr>
                <w:rFonts w:hint="eastAsia"/>
                <w:sz w:val="24"/>
                <w:lang w:val="en-US" w:eastAsia="zh-CN"/>
              </w:rPr>
            </w:pPr>
            <w:r>
              <w:rPr>
                <w:rFonts w:hint="eastAsia"/>
                <w:sz w:val="24"/>
                <w:lang w:val="en-US" w:eastAsia="zh-CN"/>
              </w:rPr>
              <w:t>本次评价范围：包含项目现已建成的主体生产线工程，以及本次需要配套新建的废气治理设施、危险废物贮存库、一般等环保工程，同时包含新建办公楼、门卫等辅助工程；厂区原有厂房、地坪等建构筑物属于司法拍卖受让既有建构筑物，不属于本项目建设评价内容，依托工程。</w:t>
            </w:r>
          </w:p>
          <w:p w14:paraId="583F5B91">
            <w:pPr>
              <w:spacing w:line="500" w:lineRule="exact"/>
              <w:rPr>
                <w:b/>
                <w:bCs/>
                <w:sz w:val="24"/>
              </w:rPr>
            </w:pPr>
            <w:r>
              <w:rPr>
                <w:rFonts w:hint="eastAsia"/>
                <w:b/>
                <w:bCs/>
                <w:sz w:val="24"/>
                <w:lang w:val="en-US" w:eastAsia="zh-CN"/>
              </w:rPr>
              <w:t>三</w:t>
            </w:r>
            <w:r>
              <w:rPr>
                <w:b/>
                <w:bCs/>
                <w:sz w:val="24"/>
              </w:rPr>
              <w:t>、项目地理位置</w:t>
            </w:r>
          </w:p>
          <w:p w14:paraId="42BE494C">
            <w:pPr>
              <w:spacing w:line="500" w:lineRule="exact"/>
              <w:ind w:firstLine="480" w:firstLineChars="200"/>
              <w:rPr>
                <w:sz w:val="24"/>
              </w:rPr>
            </w:pPr>
            <w:r>
              <w:rPr>
                <w:sz w:val="24"/>
              </w:rPr>
              <w:t>本拟建项目选址于</w:t>
            </w:r>
            <w:r>
              <w:rPr>
                <w:rFonts w:hint="eastAsia"/>
                <w:sz w:val="24"/>
                <w:lang w:eastAsia="zh-CN"/>
              </w:rPr>
              <w:t>新疆巴州轮台县红桥石油服务区内</w:t>
            </w:r>
            <w:r>
              <w:rPr>
                <w:color w:val="000000"/>
                <w:sz w:val="24"/>
              </w:rPr>
              <w:t>。</w:t>
            </w:r>
            <w:r>
              <w:rPr>
                <w:sz w:val="24"/>
              </w:rPr>
              <w:t>具体地理位置详见《附图1  建设项目地理位置示意图》。</w:t>
            </w:r>
          </w:p>
          <w:p w14:paraId="72823F7B">
            <w:pPr>
              <w:spacing w:line="500" w:lineRule="exact"/>
              <w:ind w:firstLine="480" w:firstLineChars="200"/>
              <w:rPr>
                <w:rFonts w:hint="eastAsia" w:ascii="宋体" w:hAnsi="宋体" w:cs="宋体"/>
                <w:b/>
                <w:bCs/>
                <w:sz w:val="24"/>
                <w:lang w:eastAsia="zh-CN"/>
              </w:rPr>
            </w:pPr>
            <w:r>
              <w:rPr>
                <w:rFonts w:hint="eastAsia"/>
                <w:color w:val="000000"/>
                <w:sz w:val="24"/>
              </w:rPr>
              <w:t>建设项目</w:t>
            </w:r>
            <w:r>
              <w:rPr>
                <w:rFonts w:hint="eastAsia"/>
                <w:color w:val="000000"/>
                <w:sz w:val="24"/>
                <w:lang w:val="en-US" w:eastAsia="zh-CN"/>
              </w:rPr>
              <w:t>西侧</w:t>
            </w:r>
            <w:r>
              <w:rPr>
                <w:rFonts w:hint="eastAsia"/>
                <w:color w:val="000000"/>
                <w:sz w:val="24"/>
              </w:rPr>
              <w:t>为</w:t>
            </w:r>
            <w:r>
              <w:rPr>
                <w:rFonts w:hint="eastAsia"/>
                <w:color w:val="000000"/>
                <w:sz w:val="24"/>
                <w:lang w:val="en-US" w:eastAsia="zh-CN"/>
              </w:rPr>
              <w:t>沙漠公路，距离约50m，南侧紧邻石油路，东侧为新疆中农科芯种业有限公司，距离约80m，北侧紧邻巴州莱茵恩特设备质量检测有限公司</w:t>
            </w:r>
            <w:r>
              <w:rPr>
                <w:rFonts w:hint="eastAsia"/>
                <w:color w:val="000000"/>
                <w:sz w:val="24"/>
              </w:rPr>
              <w:t>。周边环境详见《附图2  项目周边环境关系与</w:t>
            </w:r>
            <w:r>
              <w:rPr>
                <w:rFonts w:hint="eastAsia"/>
                <w:color w:val="000000"/>
                <w:sz w:val="24"/>
                <w:lang w:val="en-US" w:eastAsia="zh-CN"/>
              </w:rPr>
              <w:t>引用</w:t>
            </w:r>
            <w:r>
              <w:rPr>
                <w:rFonts w:hint="eastAsia"/>
                <w:color w:val="000000"/>
                <w:sz w:val="24"/>
              </w:rPr>
              <w:t>大气环境监测</w:t>
            </w:r>
            <w:r>
              <w:rPr>
                <w:rFonts w:hint="eastAsia"/>
                <w:color w:val="000000"/>
                <w:sz w:val="24"/>
                <w:lang w:val="en-US" w:eastAsia="zh-CN"/>
              </w:rPr>
              <w:t>点位</w:t>
            </w:r>
            <w:r>
              <w:rPr>
                <w:rFonts w:hint="eastAsia"/>
                <w:color w:val="000000"/>
                <w:sz w:val="24"/>
              </w:rPr>
              <w:t>示意图》</w:t>
            </w:r>
            <w:r>
              <w:rPr>
                <w:color w:val="000000"/>
                <w:sz w:val="24"/>
              </w:rPr>
              <w:t>。</w:t>
            </w:r>
          </w:p>
          <w:p w14:paraId="76DB7D77">
            <w:pPr>
              <w:spacing w:line="500" w:lineRule="exact"/>
              <w:rPr>
                <w:rFonts w:hint="eastAsia" w:ascii="宋体" w:hAnsi="宋体" w:cs="宋体"/>
                <w:b/>
                <w:bCs/>
                <w:sz w:val="24"/>
              </w:rPr>
            </w:pPr>
            <w:r>
              <w:rPr>
                <w:rFonts w:hint="eastAsia" w:ascii="宋体" w:hAnsi="宋体" w:cs="宋体"/>
                <w:b/>
                <w:bCs/>
                <w:sz w:val="24"/>
                <w:lang w:val="en-US" w:eastAsia="zh-CN"/>
              </w:rPr>
              <w:t>四</w:t>
            </w:r>
            <w:r>
              <w:rPr>
                <w:rFonts w:hint="eastAsia" w:ascii="宋体" w:hAnsi="宋体" w:cs="宋体"/>
                <w:b/>
                <w:bCs/>
                <w:sz w:val="24"/>
                <w:lang w:eastAsia="zh-CN"/>
              </w:rPr>
              <w:t>、</w:t>
            </w:r>
            <w:r>
              <w:rPr>
                <w:rFonts w:hint="eastAsia" w:ascii="宋体" w:hAnsi="宋体" w:cs="宋体"/>
                <w:b/>
                <w:bCs/>
                <w:sz w:val="24"/>
              </w:rPr>
              <w:t>建设内容与规模</w:t>
            </w:r>
          </w:p>
          <w:p w14:paraId="4C7F8098">
            <w:pPr>
              <w:spacing w:line="520" w:lineRule="exact"/>
              <w:ind w:firstLine="480" w:firstLineChars="200"/>
              <w:rPr>
                <w:rFonts w:hint="default" w:ascii="Calibri" w:hAnsi="Calibri" w:cs="宋体"/>
                <w:color w:val="auto"/>
                <w:sz w:val="24"/>
              </w:rPr>
            </w:pPr>
            <w:r>
              <w:rPr>
                <w:rFonts w:hint="default" w:ascii="Calibri" w:hAnsi="Calibri" w:cs="宋体"/>
                <w:color w:val="auto"/>
                <w:sz w:val="24"/>
              </w:rPr>
              <w:t>本项目厂区总占地面积约</w:t>
            </w:r>
            <w:r>
              <w:rPr>
                <w:rFonts w:hint="eastAsia" w:ascii="Calibri" w:hAnsi="Calibri" w:cs="宋体"/>
                <w:color w:val="auto"/>
                <w:sz w:val="24"/>
                <w:lang w:val="en-US" w:eastAsia="zh-CN"/>
              </w:rPr>
              <w:t>94316</w:t>
            </w:r>
            <w:r>
              <w:rPr>
                <w:rFonts w:hint="default" w:ascii="Calibri" w:hAnsi="Calibri" w:cs="宋体"/>
                <w:color w:val="auto"/>
                <w:sz w:val="24"/>
              </w:rPr>
              <w:t>m</w:t>
            </w:r>
            <w:r>
              <w:rPr>
                <w:rFonts w:hint="default" w:ascii="Calibri" w:hAnsi="Calibri" w:cs="宋体"/>
                <w:color w:val="auto"/>
                <w:sz w:val="24"/>
                <w:vertAlign w:val="superscript"/>
              </w:rPr>
              <w:t>2</w:t>
            </w:r>
            <w:r>
              <w:rPr>
                <w:rFonts w:hint="default" w:ascii="Calibri" w:hAnsi="Calibri" w:cs="宋体"/>
                <w:color w:val="auto"/>
                <w:sz w:val="24"/>
                <w:vertAlign w:val="baseline"/>
                <w:lang w:eastAsia="zh-CN"/>
              </w:rPr>
              <w:t>，</w:t>
            </w:r>
            <w:r>
              <w:rPr>
                <w:rFonts w:hint="default" w:ascii="Calibri" w:hAnsi="Calibri"/>
                <w:color w:val="auto"/>
                <w:sz w:val="24"/>
                <w:lang w:eastAsia="zh-CN"/>
              </w:rPr>
              <w:t>用地性质为工业建设用地。</w:t>
            </w:r>
            <w:r>
              <w:rPr>
                <w:rFonts w:hint="default" w:ascii="Calibri" w:hAnsi="Calibri"/>
                <w:color w:val="auto"/>
                <w:sz w:val="24"/>
                <w:lang w:val="en-US" w:eastAsia="zh-CN"/>
              </w:rPr>
              <w:t>项目</w:t>
            </w:r>
            <w:r>
              <w:rPr>
                <w:rFonts w:hint="default" w:ascii="Calibri" w:hAnsi="Calibri"/>
                <w:color w:val="auto"/>
                <w:sz w:val="24"/>
                <w:lang w:eastAsia="zh-CN"/>
              </w:rPr>
              <w:t>依托厂区现有建（构）筑物配套实施</w:t>
            </w:r>
            <w:r>
              <w:rPr>
                <w:rFonts w:hint="eastAsia" w:ascii="Calibri" w:hAnsi="Calibri"/>
                <w:color w:val="auto"/>
                <w:sz w:val="24"/>
                <w:lang w:val="en-US" w:eastAsia="zh-CN"/>
              </w:rPr>
              <w:t>生产</w:t>
            </w:r>
            <w:r>
              <w:rPr>
                <w:rFonts w:hint="default" w:ascii="Calibri" w:hAnsi="Calibri"/>
                <w:color w:val="auto"/>
                <w:sz w:val="24"/>
                <w:lang w:eastAsia="zh-CN"/>
              </w:rPr>
              <w:t>设备安装，并同步新建</w:t>
            </w:r>
            <w:r>
              <w:rPr>
                <w:rFonts w:hint="default" w:ascii="Calibri" w:hAnsi="Calibri"/>
                <w:color w:val="auto"/>
                <w:sz w:val="24"/>
                <w:lang w:val="en-US" w:eastAsia="zh-CN"/>
              </w:rPr>
              <w:t>仓库</w:t>
            </w:r>
            <w:r>
              <w:rPr>
                <w:rFonts w:hint="default" w:ascii="Calibri" w:hAnsi="Calibri"/>
                <w:color w:val="auto"/>
                <w:sz w:val="24"/>
                <w:lang w:eastAsia="zh-CN"/>
              </w:rPr>
              <w:t>、</w:t>
            </w:r>
            <w:r>
              <w:rPr>
                <w:rFonts w:hint="eastAsia" w:ascii="Calibri" w:hAnsi="Calibri"/>
                <w:color w:val="auto"/>
                <w:sz w:val="24"/>
                <w:lang w:val="en-US" w:eastAsia="zh-CN"/>
              </w:rPr>
              <w:t>办公楼</w:t>
            </w:r>
            <w:r>
              <w:rPr>
                <w:rFonts w:hint="default" w:ascii="Calibri" w:hAnsi="Calibri"/>
                <w:color w:val="auto"/>
                <w:sz w:val="24"/>
                <w:lang w:eastAsia="zh-CN"/>
              </w:rPr>
              <w:t>、</w:t>
            </w:r>
            <w:r>
              <w:rPr>
                <w:rFonts w:hint="eastAsia" w:ascii="Calibri" w:hAnsi="Calibri"/>
                <w:color w:val="auto"/>
                <w:sz w:val="24"/>
                <w:lang w:val="en-US" w:eastAsia="zh-CN"/>
              </w:rPr>
              <w:t>门卫</w:t>
            </w:r>
            <w:r>
              <w:rPr>
                <w:rFonts w:hint="default" w:ascii="Calibri" w:hAnsi="Calibri"/>
                <w:color w:val="auto"/>
                <w:sz w:val="24"/>
                <w:lang w:eastAsia="zh-CN"/>
              </w:rPr>
              <w:t>等配套</w:t>
            </w:r>
            <w:r>
              <w:rPr>
                <w:rFonts w:hint="eastAsia" w:ascii="Calibri" w:hAnsi="Calibri"/>
                <w:color w:val="auto"/>
                <w:sz w:val="24"/>
                <w:lang w:val="en-US" w:eastAsia="zh-CN"/>
              </w:rPr>
              <w:t>建筑</w:t>
            </w:r>
            <w:r>
              <w:rPr>
                <w:rFonts w:hint="default" w:ascii="Calibri" w:hAnsi="Calibri"/>
                <w:color w:val="auto"/>
                <w:sz w:val="24"/>
                <w:lang w:eastAsia="zh-CN"/>
              </w:rPr>
              <w:t>，建成年产1.2万吨棉花</w:t>
            </w:r>
            <w:r>
              <w:rPr>
                <w:rFonts w:hint="default" w:ascii="Calibri" w:hAnsi="Calibri"/>
                <w:color w:val="auto"/>
                <w:sz w:val="24"/>
                <w:lang w:val="en-US" w:eastAsia="zh-CN"/>
              </w:rPr>
              <w:t>打包膜</w:t>
            </w:r>
            <w:r>
              <w:rPr>
                <w:rFonts w:hint="default" w:ascii="Calibri" w:hAnsi="Calibri"/>
                <w:color w:val="auto"/>
                <w:sz w:val="24"/>
                <w:lang w:eastAsia="zh-CN"/>
              </w:rPr>
              <w:t>生产线；厂区现有生活</w:t>
            </w:r>
            <w:r>
              <w:rPr>
                <w:rFonts w:hint="eastAsia" w:ascii="Calibri" w:hAnsi="Calibri"/>
                <w:color w:val="auto"/>
                <w:sz w:val="24"/>
                <w:lang w:val="en-US" w:eastAsia="zh-CN"/>
              </w:rPr>
              <w:t>办公</w:t>
            </w:r>
            <w:r>
              <w:rPr>
                <w:rFonts w:hint="default" w:ascii="Calibri" w:hAnsi="Calibri"/>
                <w:color w:val="auto"/>
                <w:sz w:val="24"/>
                <w:lang w:eastAsia="zh-CN"/>
              </w:rPr>
              <w:t>彩钢房、食堂可满足员工食宿需求，</w:t>
            </w:r>
            <w:r>
              <w:rPr>
                <w:rFonts w:hint="eastAsia" w:ascii="Calibri" w:hAnsi="Calibri"/>
                <w:color w:val="auto"/>
                <w:sz w:val="24"/>
                <w:lang w:eastAsia="zh-CN"/>
              </w:rPr>
              <w:t>待办</w:t>
            </w:r>
            <w:r>
              <w:rPr>
                <w:rFonts w:hint="default" w:ascii="Calibri" w:hAnsi="Calibri"/>
                <w:color w:val="auto"/>
                <w:sz w:val="24"/>
                <w:lang w:eastAsia="zh-CN"/>
              </w:rPr>
              <w:t>公楼建成后，拆除现有生活办公彩钢房</w:t>
            </w:r>
            <w:r>
              <w:rPr>
                <w:rFonts w:hint="default" w:ascii="Calibri" w:hAnsi="Calibri" w:cs="宋体"/>
                <w:color w:val="auto"/>
                <w:sz w:val="24"/>
              </w:rPr>
              <w:t>。</w:t>
            </w:r>
          </w:p>
          <w:p w14:paraId="0F81DF05">
            <w:pPr>
              <w:spacing w:line="520" w:lineRule="exact"/>
              <w:ind w:firstLine="480" w:firstLineChars="200"/>
              <w:rPr>
                <w:rFonts w:hint="default" w:ascii="Calibri" w:hAnsi="Calibri" w:cs="宋体"/>
                <w:color w:val="auto"/>
                <w:sz w:val="24"/>
              </w:rPr>
            </w:pPr>
            <w:r>
              <w:rPr>
                <w:rFonts w:hint="eastAsia" w:ascii="Calibri" w:hAnsi="Calibri" w:cs="宋体"/>
                <w:color w:val="auto"/>
                <w:sz w:val="24"/>
                <w:lang w:val="en-US" w:eastAsia="zh-CN"/>
              </w:rPr>
              <w:t>项目</w:t>
            </w:r>
            <w:r>
              <w:rPr>
                <w:rFonts w:hint="default" w:ascii="Calibri" w:hAnsi="Calibri" w:cs="宋体"/>
                <w:color w:val="auto"/>
                <w:sz w:val="24"/>
                <w:lang w:val="en-US" w:eastAsia="zh-CN"/>
              </w:rPr>
              <w:t>依托现有车间三作为</w:t>
            </w:r>
            <w:r>
              <w:rPr>
                <w:rFonts w:hint="default" w:ascii="Calibri" w:hAnsi="Calibri" w:cs="宋体"/>
                <w:color w:val="auto"/>
                <w:sz w:val="24"/>
              </w:rPr>
              <w:t>核心生产车间，购置安装吹膜机组、涂胶设备</w:t>
            </w:r>
            <w:r>
              <w:rPr>
                <w:rFonts w:hint="default" w:ascii="Calibri" w:hAnsi="Calibri" w:cs="宋体"/>
                <w:color w:val="auto"/>
                <w:sz w:val="24"/>
                <w:lang w:val="en-US" w:eastAsia="zh-CN"/>
              </w:rPr>
              <w:t>等</w:t>
            </w:r>
            <w:r>
              <w:rPr>
                <w:rFonts w:hint="default" w:ascii="Calibri" w:hAnsi="Calibri" w:cs="宋体"/>
                <w:color w:val="auto"/>
                <w:sz w:val="24"/>
              </w:rPr>
              <w:t>成套设备及配套辅助生产设备，</w:t>
            </w:r>
            <w:r>
              <w:rPr>
                <w:rFonts w:hint="default" w:ascii="Calibri" w:hAnsi="Calibri" w:cs="宋体"/>
                <w:color w:val="auto"/>
                <w:sz w:val="24"/>
                <w:lang w:val="en-US" w:eastAsia="zh-CN"/>
              </w:rPr>
              <w:t>依托</w:t>
            </w:r>
            <w:r>
              <w:rPr>
                <w:rFonts w:hint="eastAsia" w:ascii="Calibri" w:hAnsi="Calibri" w:cs="宋体"/>
                <w:color w:val="auto"/>
                <w:sz w:val="24"/>
                <w:lang w:val="en-US" w:eastAsia="zh-CN"/>
              </w:rPr>
              <w:t>现有</w:t>
            </w:r>
            <w:r>
              <w:rPr>
                <w:rFonts w:hint="default" w:ascii="Calibri" w:hAnsi="Calibri" w:cs="宋体"/>
                <w:color w:val="auto"/>
                <w:sz w:val="24"/>
                <w:lang w:val="en-US" w:eastAsia="zh-CN"/>
              </w:rPr>
              <w:t>车间一、车间二作为项目原料</w:t>
            </w:r>
            <w:r>
              <w:rPr>
                <w:rFonts w:hint="eastAsia" w:ascii="Calibri" w:hAnsi="Calibri" w:cs="宋体"/>
                <w:color w:val="auto"/>
                <w:sz w:val="24"/>
                <w:lang w:val="en-US" w:eastAsia="zh-CN"/>
              </w:rPr>
              <w:t>及成品</w:t>
            </w:r>
            <w:r>
              <w:rPr>
                <w:rFonts w:hint="default" w:ascii="Calibri" w:hAnsi="Calibri" w:cs="宋体"/>
                <w:color w:val="auto"/>
                <w:sz w:val="24"/>
                <w:lang w:val="en-US" w:eastAsia="zh-CN"/>
              </w:rPr>
              <w:t>仓储区，实现原料分类规范存储</w:t>
            </w:r>
            <w:r>
              <w:rPr>
                <w:rFonts w:hint="eastAsia" w:ascii="Calibri" w:hAnsi="Calibri" w:cs="宋体"/>
                <w:color w:val="auto"/>
                <w:sz w:val="24"/>
                <w:lang w:val="en-US" w:eastAsia="zh-CN"/>
              </w:rPr>
              <w:t>，</w:t>
            </w:r>
            <w:r>
              <w:rPr>
                <w:rFonts w:hint="default" w:ascii="Calibri" w:hAnsi="Calibri" w:cs="宋体"/>
                <w:color w:val="auto"/>
                <w:sz w:val="24"/>
                <w:lang w:val="en-US" w:eastAsia="zh-CN"/>
              </w:rPr>
              <w:t>建成</w:t>
            </w:r>
            <w:r>
              <w:rPr>
                <w:rFonts w:hint="default" w:ascii="Calibri" w:hAnsi="Calibri" w:cs="宋体"/>
                <w:color w:val="auto"/>
                <w:sz w:val="24"/>
              </w:rPr>
              <w:t>完整棉花打包膜加工生产线</w:t>
            </w:r>
            <w:r>
              <w:rPr>
                <w:rFonts w:hint="default" w:ascii="Calibri" w:hAnsi="Calibri" w:cs="宋体"/>
                <w:color w:val="auto"/>
                <w:sz w:val="24"/>
                <w:lang w:val="en-US" w:eastAsia="zh-CN"/>
              </w:rPr>
              <w:t>。</w:t>
            </w:r>
            <w:r>
              <w:rPr>
                <w:rFonts w:hint="default" w:ascii="Calibri" w:hAnsi="Calibri" w:cs="宋体"/>
                <w:color w:val="auto"/>
                <w:sz w:val="24"/>
              </w:rPr>
              <w:t>本项目工程组成一览表见下表。</w:t>
            </w:r>
          </w:p>
          <w:p w14:paraId="66B4342B">
            <w:pPr>
              <w:spacing w:line="500" w:lineRule="exact"/>
              <w:jc w:val="center"/>
              <w:rPr>
                <w:rFonts w:hint="eastAsia" w:ascii="宋体" w:hAnsi="宋体" w:cs="宋体"/>
                <w:b/>
                <w:bCs/>
                <w:sz w:val="24"/>
              </w:rPr>
            </w:pPr>
            <w:r>
              <w:rPr>
                <w:rFonts w:hint="eastAsia" w:ascii="宋体" w:hAnsi="宋体" w:cs="宋体"/>
                <w:b/>
                <w:bCs/>
                <w:sz w:val="24"/>
              </w:rPr>
              <w:t>表</w:t>
            </w:r>
            <w:r>
              <w:rPr>
                <w:rFonts w:hint="eastAsia" w:ascii="宋体" w:hAnsi="宋体" w:cs="宋体"/>
                <w:b/>
                <w:bCs/>
                <w:sz w:val="24"/>
                <w:lang w:val="en-US" w:eastAsia="zh-CN"/>
              </w:rPr>
              <w:t>2-1</w:t>
            </w:r>
            <w:r>
              <w:rPr>
                <w:rFonts w:hint="eastAsia" w:ascii="宋体" w:hAnsi="宋体" w:cs="宋体"/>
                <w:b/>
                <w:bCs/>
                <w:sz w:val="24"/>
              </w:rPr>
              <w:t xml:space="preserve">  项目组成一览表</w:t>
            </w:r>
          </w:p>
          <w:tbl>
            <w:tblPr>
              <w:tblStyle w:val="24"/>
              <w:tblW w:w="837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Layout w:type="fixed"/>
              <w:tblCellMar>
                <w:top w:w="0" w:type="dxa"/>
                <w:left w:w="108" w:type="dxa"/>
                <w:bottom w:w="0" w:type="dxa"/>
                <w:right w:w="108" w:type="dxa"/>
              </w:tblCellMar>
            </w:tblPr>
            <w:tblGrid>
              <w:gridCol w:w="775"/>
              <w:gridCol w:w="1962"/>
              <w:gridCol w:w="4362"/>
              <w:gridCol w:w="1271"/>
            </w:tblGrid>
            <w:tr w14:paraId="0F239BA7">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2737" w:type="dxa"/>
                  <w:gridSpan w:val="2"/>
                  <w:noWrap w:val="0"/>
                  <w:vAlign w:val="center"/>
                </w:tcPr>
                <w:p w14:paraId="6D3C0904">
                  <w:pPr>
                    <w:pStyle w:val="49"/>
                    <w:spacing w:line="320" w:lineRule="exact"/>
                    <w:rPr>
                      <w:rFonts w:hint="default" w:ascii="Calibri" w:hAnsi="Calibri" w:cs="宋体"/>
                      <w:sz w:val="21"/>
                      <w:szCs w:val="21"/>
                    </w:rPr>
                  </w:pPr>
                  <w:r>
                    <w:rPr>
                      <w:rFonts w:hint="default" w:ascii="Calibri" w:hAnsi="Calibri" w:cs="宋体"/>
                      <w:sz w:val="21"/>
                      <w:szCs w:val="21"/>
                    </w:rPr>
                    <w:t>工程内容</w:t>
                  </w:r>
                </w:p>
              </w:tc>
              <w:tc>
                <w:tcPr>
                  <w:tcW w:w="4362" w:type="dxa"/>
                  <w:noWrap w:val="0"/>
                  <w:vAlign w:val="center"/>
                </w:tcPr>
                <w:p w14:paraId="3AFFAA85">
                  <w:pPr>
                    <w:pStyle w:val="49"/>
                    <w:spacing w:line="320" w:lineRule="exact"/>
                    <w:rPr>
                      <w:rFonts w:hint="default" w:ascii="Calibri" w:hAnsi="Calibri" w:cs="宋体"/>
                      <w:sz w:val="21"/>
                      <w:szCs w:val="21"/>
                    </w:rPr>
                  </w:pPr>
                  <w:r>
                    <w:rPr>
                      <w:rFonts w:hint="default" w:ascii="Calibri" w:hAnsi="Calibri" w:cs="宋体"/>
                      <w:sz w:val="21"/>
                      <w:szCs w:val="21"/>
                    </w:rPr>
                    <w:t>项目组成</w:t>
                  </w:r>
                </w:p>
              </w:tc>
              <w:tc>
                <w:tcPr>
                  <w:tcW w:w="1271" w:type="dxa"/>
                  <w:noWrap w:val="0"/>
                  <w:vAlign w:val="center"/>
                </w:tcPr>
                <w:p w14:paraId="1E9697FE">
                  <w:pPr>
                    <w:pStyle w:val="49"/>
                    <w:spacing w:line="320" w:lineRule="exact"/>
                    <w:rPr>
                      <w:rFonts w:hint="default" w:ascii="Calibri" w:hAnsi="Calibri" w:cs="宋体"/>
                      <w:sz w:val="21"/>
                      <w:szCs w:val="21"/>
                    </w:rPr>
                  </w:pPr>
                  <w:r>
                    <w:rPr>
                      <w:rFonts w:hint="default" w:ascii="Calibri" w:hAnsi="Calibri" w:cs="宋体"/>
                      <w:sz w:val="21"/>
                      <w:szCs w:val="21"/>
                    </w:rPr>
                    <w:t>备注</w:t>
                  </w:r>
                </w:p>
              </w:tc>
            </w:tr>
            <w:tr w14:paraId="261312E2">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206" w:hRule="atLeast"/>
                <w:jc w:val="center"/>
              </w:trPr>
              <w:tc>
                <w:tcPr>
                  <w:tcW w:w="775" w:type="dxa"/>
                  <w:noWrap w:val="0"/>
                  <w:vAlign w:val="center"/>
                </w:tcPr>
                <w:p w14:paraId="72D6F709">
                  <w:pPr>
                    <w:pStyle w:val="49"/>
                    <w:spacing w:line="320" w:lineRule="exact"/>
                    <w:rPr>
                      <w:rFonts w:hint="default" w:ascii="Calibri" w:hAnsi="Calibri" w:cs="宋体"/>
                      <w:sz w:val="21"/>
                      <w:szCs w:val="21"/>
                    </w:rPr>
                  </w:pPr>
                  <w:r>
                    <w:rPr>
                      <w:rFonts w:hint="default" w:ascii="Calibri" w:hAnsi="Calibri" w:cs="宋体"/>
                      <w:sz w:val="21"/>
                      <w:szCs w:val="21"/>
                    </w:rPr>
                    <w:t>主体工程</w:t>
                  </w:r>
                </w:p>
              </w:tc>
              <w:tc>
                <w:tcPr>
                  <w:tcW w:w="1962" w:type="dxa"/>
                  <w:noWrap w:val="0"/>
                  <w:vAlign w:val="center"/>
                </w:tcPr>
                <w:p w14:paraId="6CE4B54E">
                  <w:pPr>
                    <w:pStyle w:val="49"/>
                    <w:spacing w:line="320" w:lineRule="exact"/>
                    <w:rPr>
                      <w:rFonts w:hint="default" w:ascii="Calibri" w:hAnsi="Calibri" w:eastAsia="宋体" w:cs="宋体"/>
                      <w:color w:val="auto"/>
                      <w:sz w:val="21"/>
                      <w:szCs w:val="21"/>
                      <w:lang w:val="en-US" w:eastAsia="zh-CN"/>
                    </w:rPr>
                  </w:pPr>
                  <w:r>
                    <w:rPr>
                      <w:rFonts w:hint="eastAsia" w:ascii="Calibri" w:hAnsi="Calibri" w:eastAsia="宋体" w:cs="宋体"/>
                      <w:color w:val="auto"/>
                      <w:sz w:val="21"/>
                      <w:szCs w:val="21"/>
                      <w:lang w:val="en-US" w:eastAsia="zh-CN"/>
                    </w:rPr>
                    <w:t>打包膜生产线</w:t>
                  </w:r>
                </w:p>
              </w:tc>
              <w:tc>
                <w:tcPr>
                  <w:tcW w:w="4362" w:type="dxa"/>
                  <w:noWrap w:val="0"/>
                  <w:vAlign w:val="center"/>
                </w:tcPr>
                <w:p w14:paraId="311AA443">
                  <w:pPr>
                    <w:pStyle w:val="49"/>
                    <w:spacing w:line="320" w:lineRule="exact"/>
                    <w:rPr>
                      <w:rFonts w:hint="default" w:ascii="Calibri" w:hAnsi="Calibri" w:cs="宋体"/>
                      <w:color w:val="auto"/>
                      <w:sz w:val="21"/>
                      <w:szCs w:val="21"/>
                      <w:lang w:val="en-US" w:eastAsia="zh-CN"/>
                    </w:rPr>
                  </w:pPr>
                  <w:r>
                    <w:rPr>
                      <w:rFonts w:hint="eastAsia" w:ascii="Calibri" w:hAnsi="Calibri" w:cs="宋体"/>
                      <w:color w:val="auto"/>
                      <w:sz w:val="21"/>
                      <w:szCs w:val="21"/>
                      <w:lang w:val="en-US" w:eastAsia="zh-CN"/>
                    </w:rPr>
                    <w:t>依托空置车间三厂房，安装设备建成年产1.2万吨棉花打包膜生产线，建筑面积10056.6m</w:t>
                  </w:r>
                  <w:r>
                    <w:rPr>
                      <w:rFonts w:hint="eastAsia" w:ascii="Calibri" w:hAnsi="Calibri" w:cs="宋体"/>
                      <w:color w:val="auto"/>
                      <w:sz w:val="21"/>
                      <w:szCs w:val="21"/>
                      <w:vertAlign w:val="superscript"/>
                      <w:lang w:val="en-US" w:eastAsia="zh-CN"/>
                    </w:rPr>
                    <w:t>2</w:t>
                  </w:r>
                  <w:r>
                    <w:rPr>
                      <w:rFonts w:hint="eastAsia" w:ascii="Calibri" w:hAnsi="Calibri" w:cs="宋体"/>
                      <w:color w:val="auto"/>
                      <w:sz w:val="21"/>
                      <w:szCs w:val="21"/>
                      <w:lang w:val="en-US" w:eastAsia="zh-CN"/>
                    </w:rPr>
                    <w:t>，高19.5m，安装有安装吹膜机组、涂胶设备等成套设备及配套辅助生产设备。</w:t>
                  </w:r>
                </w:p>
              </w:tc>
              <w:tc>
                <w:tcPr>
                  <w:tcW w:w="1271" w:type="dxa"/>
                  <w:noWrap w:val="0"/>
                  <w:vAlign w:val="center"/>
                </w:tcPr>
                <w:p w14:paraId="1418BCB1">
                  <w:pPr>
                    <w:spacing w:line="320" w:lineRule="exact"/>
                    <w:jc w:val="center"/>
                    <w:rPr>
                      <w:rFonts w:hint="default" w:ascii="Calibri" w:hAnsi="Calibri" w:eastAsia="宋体" w:cs="宋体"/>
                      <w:color w:val="auto"/>
                      <w:sz w:val="21"/>
                      <w:szCs w:val="21"/>
                      <w:lang w:val="en-US" w:eastAsia="zh-CN"/>
                    </w:rPr>
                  </w:pPr>
                  <w:r>
                    <w:rPr>
                      <w:rFonts w:hint="eastAsia" w:ascii="Calibri" w:hAnsi="Calibri" w:eastAsia="宋体" w:cs="宋体"/>
                      <w:color w:val="auto"/>
                      <w:sz w:val="21"/>
                      <w:szCs w:val="21"/>
                      <w:lang w:val="en-US" w:eastAsia="zh-CN"/>
                    </w:rPr>
                    <w:t>依托</w:t>
                  </w:r>
                  <w:r>
                    <w:rPr>
                      <w:rFonts w:hint="eastAsia" w:ascii="Times New Roman" w:hAnsi="Times New Roman" w:eastAsia="宋体" w:cs="Times New Roman"/>
                      <w:color w:val="auto"/>
                      <w:sz w:val="21"/>
                      <w:szCs w:val="21"/>
                      <w:highlight w:val="none"/>
                      <w:lang w:val="en-US" w:eastAsia="zh-CN"/>
                    </w:rPr>
                    <w:t>现有</w:t>
                  </w:r>
                  <w:r>
                    <w:rPr>
                      <w:rFonts w:hint="eastAsia" w:cs="Times New Roman"/>
                      <w:color w:val="auto"/>
                      <w:sz w:val="21"/>
                      <w:szCs w:val="21"/>
                      <w:highlight w:val="none"/>
                      <w:lang w:val="en-US" w:eastAsia="zh-CN"/>
                    </w:rPr>
                    <w:t>厂房，设备已安装建成</w:t>
                  </w:r>
                </w:p>
              </w:tc>
            </w:tr>
            <w:tr w14:paraId="7B2B0F77">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05" w:hRule="atLeast"/>
                <w:jc w:val="center"/>
              </w:trPr>
              <w:tc>
                <w:tcPr>
                  <w:tcW w:w="775" w:type="dxa"/>
                  <w:vMerge w:val="restart"/>
                  <w:noWrap w:val="0"/>
                  <w:vAlign w:val="center"/>
                </w:tcPr>
                <w:p w14:paraId="183EDB5B">
                  <w:pPr>
                    <w:pStyle w:val="49"/>
                    <w:spacing w:line="320" w:lineRule="exact"/>
                    <w:rPr>
                      <w:rFonts w:hint="default" w:ascii="Calibri" w:hAnsi="Calibri"/>
                      <w:sz w:val="21"/>
                      <w:szCs w:val="21"/>
                    </w:rPr>
                  </w:pPr>
                  <w:r>
                    <w:rPr>
                      <w:rFonts w:hint="default" w:ascii="Calibri" w:hAnsi="Calibri"/>
                      <w:sz w:val="21"/>
                      <w:szCs w:val="21"/>
                    </w:rPr>
                    <w:t>储运工程</w:t>
                  </w:r>
                </w:p>
              </w:tc>
              <w:tc>
                <w:tcPr>
                  <w:tcW w:w="1962" w:type="dxa"/>
                  <w:noWrap w:val="0"/>
                  <w:vAlign w:val="center"/>
                </w:tcPr>
                <w:p w14:paraId="6BE15C99">
                  <w:pPr>
                    <w:pStyle w:val="49"/>
                    <w:spacing w:line="320" w:lineRule="exact"/>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原料堆存</w:t>
                  </w:r>
                </w:p>
              </w:tc>
              <w:tc>
                <w:tcPr>
                  <w:tcW w:w="4362" w:type="dxa"/>
                  <w:noWrap w:val="0"/>
                  <w:vAlign w:val="center"/>
                </w:tcPr>
                <w:p w14:paraId="6332C98C">
                  <w:pPr>
                    <w:pStyle w:val="49"/>
                    <w:spacing w:line="320" w:lineRule="exact"/>
                    <w:rPr>
                      <w:rFonts w:hint="default" w:ascii="Calibri" w:hAnsi="Calibri" w:eastAsia="宋体" w:cs="宋体"/>
                      <w:color w:val="auto"/>
                      <w:sz w:val="21"/>
                      <w:szCs w:val="21"/>
                      <w:vertAlign w:val="baseline"/>
                      <w:lang w:val="en-US" w:eastAsia="zh-CN"/>
                    </w:rPr>
                  </w:pPr>
                  <w:r>
                    <w:rPr>
                      <w:rFonts w:hint="default" w:ascii="Calibri" w:hAnsi="Calibri" w:eastAsia="宋体" w:cs="宋体"/>
                      <w:color w:val="auto"/>
                      <w:sz w:val="21"/>
                      <w:szCs w:val="21"/>
                      <w:vertAlign w:val="baseline"/>
                      <w:lang w:val="en-US" w:eastAsia="zh-CN"/>
                    </w:rPr>
                    <w:t>依托现有空置车间二厂房，仅作为原料仓储堆存使用，不布置生产设备，不开展生产作业</w:t>
                  </w:r>
                </w:p>
              </w:tc>
              <w:tc>
                <w:tcPr>
                  <w:tcW w:w="1271" w:type="dxa"/>
                  <w:noWrap w:val="0"/>
                  <w:vAlign w:val="center"/>
                </w:tcPr>
                <w:p w14:paraId="4E1D9A14">
                  <w:pPr>
                    <w:spacing w:line="320" w:lineRule="exact"/>
                    <w:jc w:val="center"/>
                    <w:rPr>
                      <w:rFonts w:hint="default" w:ascii="Calibri" w:hAnsi="Calibri" w:eastAsia="宋体" w:cs="宋体"/>
                      <w:color w:val="auto"/>
                      <w:sz w:val="21"/>
                      <w:szCs w:val="21"/>
                      <w:lang w:val="en-US" w:eastAsia="zh-CN"/>
                    </w:rPr>
                  </w:pPr>
                  <w:r>
                    <w:rPr>
                      <w:rFonts w:hint="eastAsia" w:ascii="Calibri" w:hAnsi="Calibri" w:eastAsia="宋体" w:cs="宋体"/>
                      <w:color w:val="auto"/>
                      <w:sz w:val="21"/>
                      <w:szCs w:val="21"/>
                      <w:lang w:val="en-US" w:eastAsia="zh-CN"/>
                    </w:rPr>
                    <w:t>依托</w:t>
                  </w:r>
                  <w:r>
                    <w:rPr>
                      <w:rFonts w:hint="eastAsia" w:ascii="Times New Roman" w:hAnsi="Times New Roman" w:eastAsia="宋体" w:cs="Times New Roman"/>
                      <w:color w:val="auto"/>
                      <w:sz w:val="21"/>
                      <w:szCs w:val="21"/>
                      <w:highlight w:val="none"/>
                      <w:lang w:val="en-US" w:eastAsia="zh-CN"/>
                    </w:rPr>
                    <w:t>现有</w:t>
                  </w:r>
                  <w:r>
                    <w:rPr>
                      <w:rFonts w:hint="eastAsia" w:cs="Times New Roman"/>
                      <w:color w:val="auto"/>
                      <w:sz w:val="21"/>
                      <w:szCs w:val="21"/>
                      <w:highlight w:val="none"/>
                      <w:lang w:val="en-US" w:eastAsia="zh-CN"/>
                    </w:rPr>
                    <w:t>厂房</w:t>
                  </w:r>
                </w:p>
              </w:tc>
            </w:tr>
            <w:tr w14:paraId="1963857D">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663D8601">
                  <w:pPr>
                    <w:pStyle w:val="49"/>
                    <w:spacing w:line="320" w:lineRule="exact"/>
                    <w:rPr>
                      <w:rFonts w:hint="default" w:ascii="Calibri" w:hAnsi="Calibri" w:cs="宋体"/>
                      <w:sz w:val="21"/>
                      <w:szCs w:val="21"/>
                    </w:rPr>
                  </w:pPr>
                </w:p>
              </w:tc>
              <w:tc>
                <w:tcPr>
                  <w:tcW w:w="1962" w:type="dxa"/>
                  <w:tcBorders>
                    <w:top w:val="single" w:color="auto" w:sz="4" w:space="0"/>
                  </w:tcBorders>
                  <w:noWrap w:val="0"/>
                  <w:vAlign w:val="center"/>
                </w:tcPr>
                <w:p w14:paraId="2E3BE5FC">
                  <w:pPr>
                    <w:pStyle w:val="49"/>
                    <w:spacing w:line="320" w:lineRule="exact"/>
                    <w:rPr>
                      <w:rFonts w:hint="default" w:ascii="Calibri" w:hAnsi="Calibri" w:eastAsia="宋体" w:cs="宋体"/>
                      <w:color w:val="auto"/>
                      <w:sz w:val="21"/>
                      <w:szCs w:val="21"/>
                      <w:lang w:val="en-US" w:eastAsia="zh-CN"/>
                    </w:rPr>
                  </w:pPr>
                  <w:r>
                    <w:rPr>
                      <w:rFonts w:hint="eastAsia" w:ascii="Calibri" w:hAnsi="Calibri" w:cs="宋体"/>
                      <w:color w:val="auto"/>
                      <w:sz w:val="21"/>
                      <w:szCs w:val="21"/>
                      <w:lang w:val="en-US" w:eastAsia="zh-CN"/>
                    </w:rPr>
                    <w:t>成品堆存</w:t>
                  </w:r>
                </w:p>
              </w:tc>
              <w:tc>
                <w:tcPr>
                  <w:tcW w:w="4362" w:type="dxa"/>
                  <w:noWrap w:val="0"/>
                  <w:vAlign w:val="center"/>
                </w:tcPr>
                <w:p w14:paraId="085C4251">
                  <w:pPr>
                    <w:pStyle w:val="49"/>
                    <w:spacing w:line="320" w:lineRule="exact"/>
                    <w:rPr>
                      <w:rFonts w:hint="default" w:ascii="Calibri" w:hAnsi="Calibri" w:cs="宋体"/>
                      <w:color w:val="auto"/>
                      <w:sz w:val="21"/>
                      <w:szCs w:val="21"/>
                    </w:rPr>
                  </w:pPr>
                  <w:r>
                    <w:rPr>
                      <w:rFonts w:hint="eastAsia" w:ascii="Calibri" w:hAnsi="Calibri" w:cs="宋体"/>
                      <w:color w:val="auto"/>
                      <w:sz w:val="21"/>
                      <w:szCs w:val="21"/>
                      <w:lang w:val="en-US" w:eastAsia="zh-CN"/>
                    </w:rPr>
                    <w:t>依托空置车间一厂房</w:t>
                  </w:r>
                  <w:r>
                    <w:rPr>
                      <w:rFonts w:hint="eastAsia" w:cs="宋体"/>
                      <w:color w:val="auto"/>
                      <w:sz w:val="21"/>
                      <w:szCs w:val="21"/>
                      <w:lang w:val="en-US" w:eastAsia="zh-CN"/>
                    </w:rPr>
                    <w:t>，</w:t>
                  </w:r>
                  <w:r>
                    <w:rPr>
                      <w:rFonts w:hint="default" w:ascii="Calibri" w:hAnsi="Calibri" w:eastAsia="宋体" w:cs="宋体"/>
                      <w:color w:val="auto"/>
                      <w:sz w:val="21"/>
                      <w:szCs w:val="21"/>
                      <w:vertAlign w:val="baseline"/>
                      <w:lang w:val="en-US" w:eastAsia="zh-CN"/>
                    </w:rPr>
                    <w:t>仅作为</w:t>
                  </w:r>
                  <w:r>
                    <w:rPr>
                      <w:rFonts w:hint="eastAsia" w:eastAsia="宋体" w:cs="宋体"/>
                      <w:color w:val="auto"/>
                      <w:sz w:val="21"/>
                      <w:szCs w:val="21"/>
                      <w:vertAlign w:val="baseline"/>
                      <w:lang w:val="en-US" w:eastAsia="zh-CN"/>
                    </w:rPr>
                    <w:t>成品</w:t>
                  </w:r>
                  <w:r>
                    <w:rPr>
                      <w:rFonts w:hint="default" w:ascii="Calibri" w:hAnsi="Calibri" w:eastAsia="宋体" w:cs="宋体"/>
                      <w:color w:val="auto"/>
                      <w:sz w:val="21"/>
                      <w:szCs w:val="21"/>
                      <w:vertAlign w:val="baseline"/>
                      <w:lang w:val="en-US" w:eastAsia="zh-CN"/>
                    </w:rPr>
                    <w:t>仓储堆存使用，不布置生产设备，不开展生产作业</w:t>
                  </w:r>
                </w:p>
              </w:tc>
              <w:tc>
                <w:tcPr>
                  <w:tcW w:w="1271" w:type="dxa"/>
                  <w:noWrap w:val="0"/>
                  <w:vAlign w:val="center"/>
                </w:tcPr>
                <w:p w14:paraId="70A91E4D">
                  <w:pPr>
                    <w:spacing w:line="320" w:lineRule="exact"/>
                    <w:jc w:val="center"/>
                    <w:rPr>
                      <w:rFonts w:hint="default" w:ascii="Calibri" w:hAnsi="Calibri" w:eastAsia="宋体" w:cs="宋体"/>
                      <w:color w:val="auto"/>
                      <w:sz w:val="21"/>
                      <w:szCs w:val="21"/>
                      <w:lang w:val="en-US" w:eastAsia="zh-CN"/>
                    </w:rPr>
                  </w:pPr>
                  <w:r>
                    <w:rPr>
                      <w:rFonts w:hint="eastAsia" w:ascii="Calibri" w:hAnsi="Calibri" w:eastAsia="宋体" w:cs="宋体"/>
                      <w:color w:val="auto"/>
                      <w:sz w:val="21"/>
                      <w:szCs w:val="21"/>
                      <w:lang w:val="en-US" w:eastAsia="zh-CN"/>
                    </w:rPr>
                    <w:t>依托</w:t>
                  </w:r>
                  <w:r>
                    <w:rPr>
                      <w:rFonts w:hint="eastAsia" w:ascii="Times New Roman" w:hAnsi="Times New Roman" w:eastAsia="宋体" w:cs="Times New Roman"/>
                      <w:color w:val="auto"/>
                      <w:sz w:val="21"/>
                      <w:szCs w:val="21"/>
                      <w:highlight w:val="none"/>
                      <w:lang w:val="en-US" w:eastAsia="zh-CN"/>
                    </w:rPr>
                    <w:t>现有</w:t>
                  </w:r>
                  <w:r>
                    <w:rPr>
                      <w:rFonts w:hint="eastAsia" w:cs="Times New Roman"/>
                      <w:color w:val="auto"/>
                      <w:sz w:val="21"/>
                      <w:szCs w:val="21"/>
                      <w:highlight w:val="none"/>
                      <w:lang w:val="en-US" w:eastAsia="zh-CN"/>
                    </w:rPr>
                    <w:t>厂房</w:t>
                  </w:r>
                </w:p>
              </w:tc>
            </w:tr>
            <w:tr w14:paraId="4CD4493C">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3A82B9DE">
                  <w:pPr>
                    <w:pStyle w:val="49"/>
                    <w:spacing w:line="320" w:lineRule="exact"/>
                    <w:rPr>
                      <w:rFonts w:hint="default" w:ascii="Calibri" w:hAnsi="Calibri" w:cs="宋体"/>
                      <w:sz w:val="21"/>
                      <w:szCs w:val="21"/>
                    </w:rPr>
                  </w:pPr>
                </w:p>
              </w:tc>
              <w:tc>
                <w:tcPr>
                  <w:tcW w:w="1962" w:type="dxa"/>
                  <w:tcBorders>
                    <w:top w:val="single" w:color="auto" w:sz="4" w:space="0"/>
                  </w:tcBorders>
                  <w:noWrap w:val="0"/>
                  <w:vAlign w:val="center"/>
                </w:tcPr>
                <w:p w14:paraId="1BB3DB32">
                  <w:pPr>
                    <w:pStyle w:val="49"/>
                    <w:spacing w:line="320" w:lineRule="exact"/>
                    <w:rPr>
                      <w:rFonts w:hint="default" w:ascii="Calibri" w:hAnsi="Calibri" w:eastAsia="宋体" w:cs="宋体"/>
                      <w:color w:val="auto"/>
                      <w:sz w:val="21"/>
                      <w:szCs w:val="21"/>
                      <w:lang w:val="en-US" w:eastAsia="zh-CN"/>
                    </w:rPr>
                  </w:pPr>
                  <w:r>
                    <w:rPr>
                      <w:rFonts w:hint="eastAsia" w:ascii="Calibri" w:hAnsi="Calibri" w:cs="宋体"/>
                      <w:color w:val="auto"/>
                      <w:sz w:val="21"/>
                      <w:szCs w:val="21"/>
                      <w:lang w:val="en-US" w:eastAsia="zh-CN"/>
                    </w:rPr>
                    <w:t>运输</w:t>
                  </w:r>
                </w:p>
              </w:tc>
              <w:tc>
                <w:tcPr>
                  <w:tcW w:w="4362" w:type="dxa"/>
                  <w:noWrap w:val="0"/>
                  <w:vAlign w:val="center"/>
                </w:tcPr>
                <w:p w14:paraId="7FFFB5BF">
                  <w:pPr>
                    <w:pStyle w:val="49"/>
                    <w:spacing w:line="320" w:lineRule="exact"/>
                    <w:rPr>
                      <w:rFonts w:hint="default" w:ascii="Calibri" w:hAnsi="Calibri" w:eastAsia="宋体" w:cs="宋体"/>
                      <w:color w:val="auto"/>
                      <w:sz w:val="21"/>
                      <w:szCs w:val="21"/>
                      <w:lang w:val="en-US" w:eastAsia="zh-CN"/>
                    </w:rPr>
                  </w:pPr>
                  <w:r>
                    <w:rPr>
                      <w:rFonts w:hint="eastAsia" w:ascii="Calibri" w:hAnsi="Calibri" w:cs="宋体"/>
                      <w:color w:val="auto"/>
                      <w:sz w:val="21"/>
                      <w:szCs w:val="21"/>
                      <w:lang w:val="en-US" w:eastAsia="zh-CN"/>
                    </w:rPr>
                    <w:t>厂内运输依靠内部叉车，厂外运输依靠社会运输车辆</w:t>
                  </w:r>
                </w:p>
              </w:tc>
              <w:tc>
                <w:tcPr>
                  <w:tcW w:w="1271" w:type="dxa"/>
                  <w:noWrap w:val="0"/>
                  <w:vAlign w:val="center"/>
                </w:tcPr>
                <w:p w14:paraId="4895C409">
                  <w:pPr>
                    <w:spacing w:line="320" w:lineRule="exact"/>
                    <w:jc w:val="center"/>
                    <w:rPr>
                      <w:rFonts w:hint="default" w:ascii="Calibri" w:hAnsi="Calibri" w:eastAsia="宋体" w:cs="宋体"/>
                      <w:color w:val="auto"/>
                      <w:sz w:val="21"/>
                      <w:szCs w:val="21"/>
                      <w:lang w:val="en-US" w:eastAsia="zh-CN"/>
                    </w:rPr>
                  </w:pPr>
                  <w:r>
                    <w:rPr>
                      <w:rFonts w:hint="eastAsia" w:ascii="Calibri" w:hAnsi="Calibri" w:eastAsia="宋体" w:cs="宋体"/>
                      <w:color w:val="auto"/>
                      <w:sz w:val="21"/>
                      <w:szCs w:val="21"/>
                      <w:lang w:val="en-US" w:eastAsia="zh-CN"/>
                    </w:rPr>
                    <w:t>/</w:t>
                  </w:r>
                </w:p>
              </w:tc>
            </w:tr>
            <w:tr w14:paraId="46FD6B4A">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restart"/>
                  <w:noWrap w:val="0"/>
                  <w:vAlign w:val="center"/>
                </w:tcPr>
                <w:p w14:paraId="290CE241">
                  <w:pPr>
                    <w:pStyle w:val="49"/>
                    <w:spacing w:line="320" w:lineRule="exact"/>
                    <w:rPr>
                      <w:rFonts w:hint="default" w:ascii="Calibri" w:hAnsi="Calibri" w:cs="宋体"/>
                      <w:sz w:val="21"/>
                      <w:szCs w:val="21"/>
                    </w:rPr>
                  </w:pPr>
                  <w:r>
                    <w:rPr>
                      <w:rFonts w:hint="default" w:ascii="Calibri" w:hAnsi="Calibri" w:cs="宋体"/>
                      <w:sz w:val="21"/>
                      <w:szCs w:val="21"/>
                    </w:rPr>
                    <w:t>辅助工程</w:t>
                  </w:r>
                </w:p>
              </w:tc>
              <w:tc>
                <w:tcPr>
                  <w:tcW w:w="1962" w:type="dxa"/>
                  <w:noWrap w:val="0"/>
                  <w:vAlign w:val="center"/>
                </w:tcPr>
                <w:p w14:paraId="09FD3AD0">
                  <w:pPr>
                    <w:pStyle w:val="49"/>
                    <w:spacing w:line="320" w:lineRule="exact"/>
                    <w:rPr>
                      <w:rFonts w:hint="default" w:ascii="Calibri" w:hAnsi="Calibri" w:eastAsia="宋体" w:cs="宋体"/>
                      <w:color w:val="auto"/>
                      <w:sz w:val="21"/>
                      <w:szCs w:val="21"/>
                      <w:lang w:eastAsia="zh-CN"/>
                    </w:rPr>
                  </w:pPr>
                  <w:r>
                    <w:rPr>
                      <w:rFonts w:hint="eastAsia" w:ascii="Calibri" w:hAnsi="Calibri" w:cs="宋体"/>
                      <w:color w:val="auto"/>
                      <w:sz w:val="21"/>
                      <w:szCs w:val="21"/>
                      <w:lang w:val="en-US" w:eastAsia="zh-CN"/>
                    </w:rPr>
                    <w:t>仓库</w:t>
                  </w:r>
                </w:p>
              </w:tc>
              <w:tc>
                <w:tcPr>
                  <w:tcW w:w="4362" w:type="dxa"/>
                  <w:noWrap w:val="0"/>
                  <w:vAlign w:val="center"/>
                </w:tcPr>
                <w:p w14:paraId="40432DDD">
                  <w:pPr>
                    <w:pStyle w:val="49"/>
                    <w:spacing w:line="320" w:lineRule="exact"/>
                    <w:rPr>
                      <w:rFonts w:hint="eastAsia" w:ascii="Calibri" w:hAnsi="Calibri" w:eastAsia="宋体" w:cs="宋体"/>
                      <w:color w:val="auto"/>
                      <w:sz w:val="21"/>
                      <w:szCs w:val="21"/>
                      <w:lang w:eastAsia="zh-CN"/>
                    </w:rPr>
                  </w:pPr>
                  <w:r>
                    <w:rPr>
                      <w:rFonts w:hint="eastAsia" w:ascii="Calibri" w:hAnsi="Calibri" w:cs="宋体"/>
                      <w:color w:val="auto"/>
                      <w:sz w:val="21"/>
                      <w:szCs w:val="21"/>
                      <w:lang w:val="en-US" w:eastAsia="zh-CN"/>
                    </w:rPr>
                    <w:t>建筑</w:t>
                  </w:r>
                  <w:r>
                    <w:rPr>
                      <w:rFonts w:hint="default" w:ascii="Calibri" w:hAnsi="Calibri" w:cs="宋体"/>
                      <w:color w:val="auto"/>
                      <w:sz w:val="21"/>
                      <w:szCs w:val="21"/>
                    </w:rPr>
                    <w:t>面积</w:t>
                  </w:r>
                  <w:r>
                    <w:rPr>
                      <w:rFonts w:hint="eastAsia" w:ascii="Calibri" w:hAnsi="Calibri" w:cs="宋体"/>
                      <w:color w:val="auto"/>
                      <w:sz w:val="21"/>
                      <w:szCs w:val="21"/>
                      <w:lang w:val="en-US" w:eastAsia="zh-CN"/>
                    </w:rPr>
                    <w:t>3567.45</w:t>
                  </w:r>
                  <w:r>
                    <w:rPr>
                      <w:rFonts w:hint="default" w:ascii="Calibri" w:hAnsi="Calibri" w:cs="宋体"/>
                      <w:color w:val="auto"/>
                      <w:sz w:val="21"/>
                      <w:szCs w:val="21"/>
                    </w:rPr>
                    <w:t>m</w:t>
                  </w:r>
                  <w:r>
                    <w:rPr>
                      <w:rFonts w:hint="default" w:ascii="Calibri" w:hAnsi="Calibri" w:cs="宋体"/>
                      <w:color w:val="auto"/>
                      <w:sz w:val="21"/>
                      <w:szCs w:val="21"/>
                      <w:vertAlign w:val="superscript"/>
                    </w:rPr>
                    <w:t>2</w:t>
                  </w:r>
                  <w:r>
                    <w:rPr>
                      <w:rFonts w:hint="default" w:ascii="Calibri" w:hAnsi="Calibri" w:cs="宋体"/>
                      <w:color w:val="auto"/>
                      <w:sz w:val="21"/>
                      <w:szCs w:val="21"/>
                    </w:rPr>
                    <w:t>，远期规划预留</w:t>
                  </w:r>
                  <w:r>
                    <w:rPr>
                      <w:rFonts w:hint="eastAsia" w:ascii="Calibri" w:hAnsi="Calibri" w:cs="宋体"/>
                      <w:color w:val="auto"/>
                      <w:sz w:val="21"/>
                      <w:szCs w:val="21"/>
                      <w:lang w:val="en-US" w:eastAsia="zh-CN"/>
                    </w:rPr>
                    <w:t>仓库，</w:t>
                  </w:r>
                  <w:r>
                    <w:rPr>
                      <w:rFonts w:hint="default" w:ascii="Calibri" w:hAnsi="Calibri" w:cs="宋体"/>
                      <w:color w:val="auto"/>
                      <w:sz w:val="21"/>
                      <w:szCs w:val="21"/>
                    </w:rPr>
                    <w:t>1层</w:t>
                  </w:r>
                  <w:r>
                    <w:rPr>
                      <w:rFonts w:hint="eastAsia" w:ascii="Calibri" w:hAnsi="Calibri" w:cs="宋体"/>
                      <w:color w:val="auto"/>
                      <w:sz w:val="21"/>
                      <w:szCs w:val="21"/>
                      <w:lang w:eastAsia="zh-CN"/>
                    </w:rPr>
                    <w:t>，</w:t>
                  </w:r>
                  <w:r>
                    <w:rPr>
                      <w:rFonts w:hint="eastAsia" w:ascii="Calibri" w:hAnsi="Calibri" w:cs="宋体"/>
                      <w:color w:val="auto"/>
                      <w:sz w:val="21"/>
                      <w:szCs w:val="21"/>
                      <w:lang w:val="en-US" w:eastAsia="zh-CN"/>
                    </w:rPr>
                    <w:t>高19.5m</w:t>
                  </w:r>
                </w:p>
              </w:tc>
              <w:tc>
                <w:tcPr>
                  <w:tcW w:w="1271" w:type="dxa"/>
                  <w:noWrap w:val="0"/>
                  <w:vAlign w:val="center"/>
                </w:tcPr>
                <w:p w14:paraId="5F1AA079">
                  <w:pPr>
                    <w:spacing w:line="320" w:lineRule="exact"/>
                    <w:jc w:val="center"/>
                    <w:rPr>
                      <w:rFonts w:hint="default" w:ascii="Calibri" w:hAnsi="Calibri" w:eastAsia="宋体" w:cs="宋体"/>
                      <w:color w:val="auto"/>
                      <w:sz w:val="21"/>
                      <w:szCs w:val="21"/>
                      <w:lang w:val="en-US" w:eastAsia="zh-CN"/>
                    </w:rPr>
                  </w:pPr>
                  <w:r>
                    <w:rPr>
                      <w:rFonts w:hint="default" w:ascii="Times New Roman" w:hAnsi="Times New Roman" w:eastAsia="宋体" w:cs="Times New Roman"/>
                      <w:color w:val="auto"/>
                      <w:sz w:val="21"/>
                      <w:szCs w:val="21"/>
                      <w:highlight w:val="none"/>
                    </w:rPr>
                    <w:t>新建</w:t>
                  </w:r>
                </w:p>
              </w:tc>
            </w:tr>
            <w:tr w14:paraId="0794A497">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3560385A">
                  <w:pPr>
                    <w:pStyle w:val="49"/>
                    <w:spacing w:line="320" w:lineRule="exact"/>
                    <w:rPr>
                      <w:rFonts w:hint="default" w:ascii="Calibri" w:hAnsi="Calibri" w:cs="宋体"/>
                      <w:sz w:val="21"/>
                      <w:szCs w:val="21"/>
                    </w:rPr>
                  </w:pPr>
                </w:p>
              </w:tc>
              <w:tc>
                <w:tcPr>
                  <w:tcW w:w="1962" w:type="dxa"/>
                  <w:noWrap w:val="0"/>
                  <w:vAlign w:val="center"/>
                </w:tcPr>
                <w:p w14:paraId="409425E5">
                  <w:pPr>
                    <w:pStyle w:val="49"/>
                    <w:spacing w:line="320" w:lineRule="exact"/>
                    <w:rPr>
                      <w:rFonts w:hint="default" w:ascii="Calibri" w:hAnsi="Calibri" w:cs="宋体"/>
                      <w:color w:val="auto"/>
                      <w:sz w:val="21"/>
                      <w:szCs w:val="21"/>
                      <w:lang w:val="en-US" w:eastAsia="zh-CN"/>
                    </w:rPr>
                  </w:pPr>
                  <w:r>
                    <w:rPr>
                      <w:rFonts w:hint="eastAsia" w:ascii="Calibri" w:hAnsi="Calibri" w:cs="宋体"/>
                      <w:color w:val="auto"/>
                      <w:sz w:val="21"/>
                      <w:szCs w:val="21"/>
                      <w:lang w:val="en-US" w:eastAsia="zh-CN"/>
                    </w:rPr>
                    <w:t>车间四</w:t>
                  </w:r>
                </w:p>
              </w:tc>
              <w:tc>
                <w:tcPr>
                  <w:tcW w:w="4362" w:type="dxa"/>
                  <w:noWrap w:val="0"/>
                  <w:vAlign w:val="center"/>
                </w:tcPr>
                <w:p w14:paraId="01AFF239">
                  <w:pPr>
                    <w:pStyle w:val="49"/>
                    <w:spacing w:line="320" w:lineRule="exact"/>
                    <w:rPr>
                      <w:rFonts w:hint="eastAsia" w:ascii="Calibri" w:hAnsi="Calibri" w:cs="宋体"/>
                      <w:color w:val="auto"/>
                      <w:sz w:val="21"/>
                      <w:szCs w:val="21"/>
                      <w:lang w:val="en-US" w:eastAsia="zh-CN"/>
                    </w:rPr>
                  </w:pPr>
                  <w:r>
                    <w:rPr>
                      <w:rFonts w:hint="eastAsia" w:ascii="Calibri" w:hAnsi="Calibri" w:cs="宋体"/>
                      <w:color w:val="auto"/>
                      <w:sz w:val="21"/>
                      <w:szCs w:val="21"/>
                      <w:lang w:val="en-US" w:eastAsia="zh-CN"/>
                    </w:rPr>
                    <w:t>远期规划预留厂房，本期工程不购置、不安装生产设备，后期根据市场需求另行规划其他塑料制品生产线，现阶段生产功能暂未明确。建筑面积10056.6m</w:t>
                  </w:r>
                  <w:r>
                    <w:rPr>
                      <w:rFonts w:hint="eastAsia" w:ascii="Calibri" w:hAnsi="Calibri" w:cs="宋体"/>
                      <w:color w:val="auto"/>
                      <w:sz w:val="21"/>
                      <w:szCs w:val="21"/>
                      <w:vertAlign w:val="superscript"/>
                      <w:lang w:val="en-US" w:eastAsia="zh-CN"/>
                    </w:rPr>
                    <w:t>2</w:t>
                  </w:r>
                  <w:r>
                    <w:rPr>
                      <w:rFonts w:hint="eastAsia" w:ascii="Calibri" w:hAnsi="Calibri" w:cs="宋体"/>
                      <w:color w:val="auto"/>
                      <w:sz w:val="21"/>
                      <w:szCs w:val="21"/>
                      <w:lang w:val="en-US" w:eastAsia="zh-CN"/>
                    </w:rPr>
                    <w:t>，高19.5m</w:t>
                  </w:r>
                </w:p>
              </w:tc>
              <w:tc>
                <w:tcPr>
                  <w:tcW w:w="1271" w:type="dxa"/>
                  <w:noWrap w:val="0"/>
                  <w:vAlign w:val="center"/>
                </w:tcPr>
                <w:p w14:paraId="339590E1">
                  <w:pPr>
                    <w:spacing w:line="320" w:lineRule="exact"/>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新建</w:t>
                  </w:r>
                </w:p>
              </w:tc>
            </w:tr>
            <w:tr w14:paraId="4B728C7C">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4CA3833F">
                  <w:pPr>
                    <w:pStyle w:val="49"/>
                    <w:spacing w:line="320" w:lineRule="exact"/>
                    <w:rPr>
                      <w:rFonts w:hint="default" w:ascii="Calibri" w:hAnsi="Calibri" w:cs="宋体"/>
                      <w:sz w:val="21"/>
                      <w:szCs w:val="21"/>
                    </w:rPr>
                  </w:pPr>
                </w:p>
              </w:tc>
              <w:tc>
                <w:tcPr>
                  <w:tcW w:w="1962" w:type="dxa"/>
                  <w:noWrap w:val="0"/>
                  <w:vAlign w:val="center"/>
                </w:tcPr>
                <w:p w14:paraId="05AA6B8C">
                  <w:pPr>
                    <w:pStyle w:val="49"/>
                    <w:spacing w:line="320" w:lineRule="exact"/>
                    <w:rPr>
                      <w:rFonts w:hint="default" w:ascii="Calibri" w:hAnsi="Calibri" w:cs="宋体"/>
                      <w:color w:val="auto"/>
                      <w:sz w:val="21"/>
                      <w:szCs w:val="21"/>
                      <w:lang w:val="en-US" w:eastAsia="zh-CN"/>
                    </w:rPr>
                  </w:pPr>
                  <w:r>
                    <w:rPr>
                      <w:rFonts w:hint="eastAsia" w:ascii="Calibri" w:hAnsi="Calibri" w:cs="宋体"/>
                      <w:color w:val="auto"/>
                      <w:sz w:val="21"/>
                      <w:szCs w:val="21"/>
                      <w:lang w:val="en-US" w:eastAsia="zh-CN"/>
                    </w:rPr>
                    <w:t>泵房</w:t>
                  </w:r>
                </w:p>
              </w:tc>
              <w:tc>
                <w:tcPr>
                  <w:tcW w:w="4362" w:type="dxa"/>
                  <w:noWrap w:val="0"/>
                  <w:vAlign w:val="center"/>
                </w:tcPr>
                <w:p w14:paraId="3807F364">
                  <w:pPr>
                    <w:pStyle w:val="49"/>
                    <w:spacing w:line="320" w:lineRule="exact"/>
                    <w:rPr>
                      <w:rFonts w:hint="default" w:ascii="Calibri" w:hAnsi="Calibri" w:eastAsia="宋体" w:cs="宋体"/>
                      <w:color w:val="auto"/>
                      <w:sz w:val="21"/>
                      <w:szCs w:val="21"/>
                      <w:lang w:val="en-US" w:eastAsia="zh-CN"/>
                    </w:rPr>
                  </w:pPr>
                  <w:r>
                    <w:rPr>
                      <w:rFonts w:hint="eastAsia" w:ascii="Calibri" w:hAnsi="Calibri" w:cs="宋体"/>
                      <w:color w:val="auto"/>
                      <w:sz w:val="21"/>
                      <w:szCs w:val="21"/>
                      <w:lang w:val="en-US" w:eastAsia="zh-CN"/>
                    </w:rPr>
                    <w:t>依托现有构筑物，新建泵房，建筑面积207.7m</w:t>
                  </w:r>
                  <w:r>
                    <w:rPr>
                      <w:rFonts w:hint="eastAsia" w:ascii="Calibri" w:hAnsi="Calibri" w:cs="宋体"/>
                      <w:color w:val="auto"/>
                      <w:sz w:val="21"/>
                      <w:szCs w:val="21"/>
                      <w:vertAlign w:val="superscript"/>
                      <w:lang w:val="en-US" w:eastAsia="zh-CN"/>
                    </w:rPr>
                    <w:t>2</w:t>
                  </w:r>
                  <w:r>
                    <w:rPr>
                      <w:rFonts w:hint="eastAsia" w:ascii="Calibri" w:hAnsi="Calibri" w:cs="宋体"/>
                      <w:color w:val="auto"/>
                      <w:sz w:val="21"/>
                      <w:szCs w:val="21"/>
                      <w:lang w:val="en-US" w:eastAsia="zh-CN"/>
                    </w:rPr>
                    <w:t>，1层</w:t>
                  </w:r>
                </w:p>
              </w:tc>
              <w:tc>
                <w:tcPr>
                  <w:tcW w:w="1271" w:type="dxa"/>
                  <w:noWrap w:val="0"/>
                  <w:vAlign w:val="center"/>
                </w:tcPr>
                <w:p w14:paraId="79B2BA04">
                  <w:pPr>
                    <w:spacing w:line="320" w:lineRule="exact"/>
                    <w:jc w:val="center"/>
                    <w:rPr>
                      <w:rFonts w:hint="default" w:ascii="Times New Roman" w:hAnsi="Times New Roman" w:eastAsia="宋体" w:cs="Times New Roman"/>
                      <w:color w:val="auto"/>
                      <w:sz w:val="21"/>
                      <w:szCs w:val="21"/>
                      <w:highlight w:val="none"/>
                      <w:lang w:val="en-US" w:eastAsia="zh-CN"/>
                    </w:rPr>
                  </w:pPr>
                  <w:r>
                    <w:rPr>
                      <w:rFonts w:hint="eastAsia" w:ascii="Calibri" w:hAnsi="Calibri" w:eastAsia="宋体" w:cs="宋体"/>
                      <w:color w:val="auto"/>
                      <w:sz w:val="21"/>
                      <w:szCs w:val="21"/>
                      <w:lang w:val="en-US" w:eastAsia="zh-CN"/>
                    </w:rPr>
                    <w:t>依托</w:t>
                  </w:r>
                  <w:r>
                    <w:rPr>
                      <w:rFonts w:hint="eastAsia" w:ascii="Times New Roman" w:hAnsi="Times New Roman" w:eastAsia="宋体" w:cs="Times New Roman"/>
                      <w:color w:val="auto"/>
                      <w:sz w:val="21"/>
                      <w:szCs w:val="21"/>
                      <w:highlight w:val="none"/>
                      <w:lang w:val="en-US" w:eastAsia="zh-CN"/>
                    </w:rPr>
                    <w:t>现有</w:t>
                  </w:r>
                  <w:r>
                    <w:rPr>
                      <w:rFonts w:hint="eastAsia" w:cs="Times New Roman"/>
                      <w:color w:val="auto"/>
                      <w:sz w:val="21"/>
                      <w:szCs w:val="21"/>
                      <w:highlight w:val="none"/>
                      <w:lang w:val="en-US" w:eastAsia="zh-CN"/>
                    </w:rPr>
                    <w:t>构筑物</w:t>
                  </w:r>
                </w:p>
              </w:tc>
            </w:tr>
            <w:tr w14:paraId="1B867B02">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4522961B">
                  <w:pPr>
                    <w:pStyle w:val="49"/>
                    <w:spacing w:line="320" w:lineRule="exact"/>
                    <w:rPr>
                      <w:rFonts w:hint="default" w:ascii="Calibri" w:hAnsi="Calibri" w:cs="宋体"/>
                      <w:sz w:val="21"/>
                      <w:szCs w:val="21"/>
                    </w:rPr>
                  </w:pPr>
                </w:p>
              </w:tc>
              <w:tc>
                <w:tcPr>
                  <w:tcW w:w="1962" w:type="dxa"/>
                  <w:noWrap w:val="0"/>
                  <w:vAlign w:val="center"/>
                </w:tcPr>
                <w:p w14:paraId="1DAA0EB1">
                  <w:pPr>
                    <w:pStyle w:val="49"/>
                    <w:spacing w:line="320" w:lineRule="exact"/>
                    <w:rPr>
                      <w:rFonts w:hint="default" w:ascii="Calibri" w:hAnsi="Calibri" w:eastAsia="宋体" w:cs="宋体"/>
                      <w:color w:val="auto"/>
                      <w:sz w:val="21"/>
                      <w:szCs w:val="21"/>
                      <w:lang w:val="en-US" w:eastAsia="zh-CN"/>
                    </w:rPr>
                  </w:pPr>
                  <w:r>
                    <w:rPr>
                      <w:rFonts w:hint="eastAsia" w:ascii="Calibri" w:hAnsi="Calibri" w:eastAsia="宋体" w:cs="宋体"/>
                      <w:color w:val="auto"/>
                      <w:sz w:val="21"/>
                      <w:szCs w:val="21"/>
                      <w:lang w:val="en-US" w:eastAsia="zh-CN"/>
                    </w:rPr>
                    <w:t>办公楼</w:t>
                  </w:r>
                </w:p>
              </w:tc>
              <w:tc>
                <w:tcPr>
                  <w:tcW w:w="4362" w:type="dxa"/>
                  <w:noWrap w:val="0"/>
                  <w:vAlign w:val="center"/>
                </w:tcPr>
                <w:p w14:paraId="156C1F19">
                  <w:pPr>
                    <w:pStyle w:val="49"/>
                    <w:spacing w:line="320" w:lineRule="exact"/>
                    <w:rPr>
                      <w:rFonts w:hint="default" w:ascii="Calibri" w:hAnsi="Calibri" w:eastAsia="宋体" w:cs="宋体"/>
                      <w:color w:val="auto"/>
                      <w:sz w:val="21"/>
                      <w:szCs w:val="21"/>
                      <w:lang w:val="en-US" w:eastAsia="zh-CN"/>
                    </w:rPr>
                  </w:pPr>
                  <w:r>
                    <w:rPr>
                      <w:rFonts w:hint="eastAsia" w:ascii="Calibri" w:hAnsi="Calibri" w:cs="宋体"/>
                      <w:color w:val="auto"/>
                      <w:sz w:val="21"/>
                      <w:szCs w:val="21"/>
                      <w:lang w:val="en-US" w:eastAsia="zh-CN"/>
                    </w:rPr>
                    <w:t>建筑</w:t>
                  </w:r>
                  <w:r>
                    <w:rPr>
                      <w:rFonts w:hint="default" w:ascii="Calibri" w:hAnsi="Calibri" w:cs="宋体"/>
                      <w:color w:val="auto"/>
                      <w:sz w:val="21"/>
                      <w:szCs w:val="21"/>
                    </w:rPr>
                    <w:t>面积</w:t>
                  </w:r>
                  <w:r>
                    <w:rPr>
                      <w:rFonts w:hint="eastAsia" w:ascii="Calibri" w:hAnsi="Calibri" w:cs="宋体"/>
                      <w:color w:val="auto"/>
                      <w:sz w:val="21"/>
                      <w:szCs w:val="21"/>
                      <w:lang w:val="en-US" w:eastAsia="zh-CN"/>
                    </w:rPr>
                    <w:t>13935.01</w:t>
                  </w:r>
                  <w:r>
                    <w:rPr>
                      <w:rFonts w:hint="default" w:ascii="Calibri" w:hAnsi="Calibri" w:cs="宋体"/>
                      <w:color w:val="auto"/>
                      <w:sz w:val="21"/>
                      <w:szCs w:val="21"/>
                    </w:rPr>
                    <w:t>m</w:t>
                  </w:r>
                  <w:r>
                    <w:rPr>
                      <w:rFonts w:hint="default" w:ascii="Calibri" w:hAnsi="Calibri" w:cs="宋体"/>
                      <w:color w:val="auto"/>
                      <w:sz w:val="21"/>
                      <w:szCs w:val="21"/>
                      <w:vertAlign w:val="superscript"/>
                    </w:rPr>
                    <w:t>2</w:t>
                  </w:r>
                  <w:r>
                    <w:rPr>
                      <w:rFonts w:hint="default" w:ascii="Calibri" w:hAnsi="Calibri" w:cs="宋体"/>
                      <w:color w:val="auto"/>
                      <w:sz w:val="21"/>
                      <w:szCs w:val="21"/>
                    </w:rPr>
                    <w:t>，</w:t>
                  </w:r>
                  <w:r>
                    <w:rPr>
                      <w:rFonts w:hint="eastAsia" w:ascii="Calibri" w:hAnsi="Calibri" w:cs="宋体"/>
                      <w:color w:val="auto"/>
                      <w:sz w:val="21"/>
                      <w:szCs w:val="21"/>
                      <w:lang w:val="en-US" w:eastAsia="zh-CN"/>
                    </w:rPr>
                    <w:t>9</w:t>
                  </w:r>
                  <w:r>
                    <w:rPr>
                      <w:rFonts w:hint="default" w:ascii="Calibri" w:hAnsi="Calibri" w:cs="宋体"/>
                      <w:color w:val="auto"/>
                      <w:sz w:val="21"/>
                      <w:szCs w:val="21"/>
                    </w:rPr>
                    <w:t>层</w:t>
                  </w:r>
                  <w:r>
                    <w:rPr>
                      <w:rFonts w:hint="eastAsia" w:ascii="Calibri" w:hAnsi="Calibri" w:cs="宋体"/>
                      <w:color w:val="auto"/>
                      <w:sz w:val="21"/>
                      <w:szCs w:val="21"/>
                      <w:lang w:eastAsia="zh-CN"/>
                    </w:rPr>
                    <w:t>，</w:t>
                  </w:r>
                  <w:r>
                    <w:rPr>
                      <w:rFonts w:hint="eastAsia" w:ascii="Calibri" w:hAnsi="Calibri" w:cs="宋体"/>
                      <w:color w:val="auto"/>
                      <w:sz w:val="21"/>
                      <w:szCs w:val="21"/>
                      <w:lang w:val="en-US" w:eastAsia="zh-CN"/>
                    </w:rPr>
                    <w:t>办公楼建成后，拆除现有生活办公彩钢房。</w:t>
                  </w:r>
                </w:p>
              </w:tc>
              <w:tc>
                <w:tcPr>
                  <w:tcW w:w="1271" w:type="dxa"/>
                  <w:noWrap w:val="0"/>
                  <w:vAlign w:val="center"/>
                </w:tcPr>
                <w:p w14:paraId="00CDF9A4">
                  <w:pPr>
                    <w:spacing w:line="320" w:lineRule="exact"/>
                    <w:jc w:val="center"/>
                    <w:rPr>
                      <w:rFonts w:hint="default" w:ascii="Calibri" w:hAnsi="Calibri" w:eastAsia="宋体" w:cs="宋体"/>
                      <w:color w:val="auto"/>
                      <w:sz w:val="21"/>
                      <w:szCs w:val="21"/>
                      <w:lang w:val="en-US" w:eastAsia="zh-CN"/>
                    </w:rPr>
                  </w:pPr>
                  <w:r>
                    <w:rPr>
                      <w:rFonts w:hint="default" w:ascii="Times New Roman" w:hAnsi="Times New Roman" w:eastAsia="宋体" w:cs="Times New Roman"/>
                      <w:color w:val="auto"/>
                      <w:sz w:val="21"/>
                      <w:szCs w:val="21"/>
                      <w:highlight w:val="none"/>
                    </w:rPr>
                    <w:t>新建</w:t>
                  </w:r>
                </w:p>
              </w:tc>
            </w:tr>
            <w:tr w14:paraId="5A327F7A">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2DF74248">
                  <w:pPr>
                    <w:pStyle w:val="49"/>
                    <w:spacing w:line="320" w:lineRule="exact"/>
                    <w:rPr>
                      <w:rFonts w:hint="default" w:ascii="Calibri" w:hAnsi="Calibri" w:cs="宋体"/>
                      <w:sz w:val="21"/>
                      <w:szCs w:val="21"/>
                    </w:rPr>
                  </w:pPr>
                </w:p>
              </w:tc>
              <w:tc>
                <w:tcPr>
                  <w:tcW w:w="1962" w:type="dxa"/>
                  <w:noWrap w:val="0"/>
                  <w:vAlign w:val="center"/>
                </w:tcPr>
                <w:p w14:paraId="6DFB9616">
                  <w:pPr>
                    <w:pStyle w:val="49"/>
                    <w:spacing w:line="320" w:lineRule="exact"/>
                    <w:rPr>
                      <w:rFonts w:hint="default" w:ascii="Calibri" w:hAnsi="Calibri" w:eastAsia="宋体" w:cs="宋体"/>
                      <w:color w:val="auto"/>
                      <w:sz w:val="21"/>
                      <w:szCs w:val="21"/>
                      <w:lang w:val="en-US" w:eastAsia="zh-CN"/>
                    </w:rPr>
                  </w:pPr>
                  <w:r>
                    <w:rPr>
                      <w:rFonts w:hint="default" w:ascii="Calibri" w:hAnsi="Calibri" w:eastAsia="宋体" w:cs="宋体"/>
                      <w:color w:val="auto"/>
                      <w:sz w:val="21"/>
                      <w:szCs w:val="21"/>
                      <w:lang w:val="en-US" w:eastAsia="zh-CN"/>
                    </w:rPr>
                    <w:t>生活办公彩钢房</w:t>
                  </w:r>
                </w:p>
              </w:tc>
              <w:tc>
                <w:tcPr>
                  <w:tcW w:w="4362" w:type="dxa"/>
                  <w:noWrap w:val="0"/>
                  <w:vAlign w:val="center"/>
                </w:tcPr>
                <w:p w14:paraId="1EAB7895">
                  <w:pPr>
                    <w:pStyle w:val="49"/>
                    <w:spacing w:line="320" w:lineRule="exact"/>
                    <w:rPr>
                      <w:rFonts w:hint="default" w:ascii="Calibri" w:hAnsi="Calibri" w:eastAsia="宋体" w:cs="宋体"/>
                      <w:color w:val="auto"/>
                      <w:sz w:val="21"/>
                      <w:szCs w:val="21"/>
                      <w:lang w:val="en-US" w:eastAsia="zh-CN"/>
                    </w:rPr>
                  </w:pPr>
                  <w:r>
                    <w:rPr>
                      <w:rFonts w:hint="eastAsia" w:ascii="Calibri" w:hAnsi="Calibri" w:cs="宋体"/>
                      <w:color w:val="auto"/>
                      <w:sz w:val="21"/>
                      <w:szCs w:val="21"/>
                      <w:lang w:val="en-US" w:eastAsia="zh-CN"/>
                    </w:rPr>
                    <w:t>现有职工生活食宿，建筑面积1667m</w:t>
                  </w:r>
                  <w:r>
                    <w:rPr>
                      <w:rFonts w:hint="eastAsia" w:ascii="Calibri" w:hAnsi="Calibri" w:cs="宋体"/>
                      <w:color w:val="auto"/>
                      <w:sz w:val="21"/>
                      <w:szCs w:val="21"/>
                      <w:vertAlign w:val="superscript"/>
                      <w:lang w:val="en-US" w:eastAsia="zh-CN"/>
                    </w:rPr>
                    <w:t>2</w:t>
                  </w:r>
                  <w:r>
                    <w:rPr>
                      <w:rFonts w:hint="eastAsia" w:ascii="Calibri" w:hAnsi="Calibri" w:cs="宋体"/>
                      <w:color w:val="auto"/>
                      <w:sz w:val="21"/>
                      <w:szCs w:val="21"/>
                      <w:lang w:val="en-US" w:eastAsia="zh-CN"/>
                    </w:rPr>
                    <w:t>，1层</w:t>
                  </w:r>
                </w:p>
              </w:tc>
              <w:tc>
                <w:tcPr>
                  <w:tcW w:w="1271" w:type="dxa"/>
                  <w:noWrap w:val="0"/>
                  <w:vAlign w:val="center"/>
                </w:tcPr>
                <w:p w14:paraId="0E35BC90">
                  <w:pPr>
                    <w:spacing w:line="320" w:lineRule="exact"/>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依托现有</w:t>
                  </w:r>
                  <w:r>
                    <w:rPr>
                      <w:rFonts w:hint="default" w:ascii="Calibri" w:hAnsi="Calibri" w:eastAsia="宋体" w:cs="宋体"/>
                      <w:color w:val="auto"/>
                      <w:sz w:val="21"/>
                      <w:szCs w:val="21"/>
                      <w:lang w:val="en-US" w:eastAsia="zh-CN"/>
                    </w:rPr>
                    <w:t>彩钢房</w:t>
                  </w:r>
                </w:p>
              </w:tc>
            </w:tr>
            <w:tr w14:paraId="7C62FA64">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1F996F69">
                  <w:pPr>
                    <w:pStyle w:val="49"/>
                    <w:spacing w:line="320" w:lineRule="exact"/>
                    <w:rPr>
                      <w:rFonts w:hint="default" w:ascii="Calibri" w:hAnsi="Calibri" w:cs="宋体"/>
                      <w:sz w:val="21"/>
                      <w:szCs w:val="21"/>
                    </w:rPr>
                  </w:pPr>
                </w:p>
              </w:tc>
              <w:tc>
                <w:tcPr>
                  <w:tcW w:w="1962" w:type="dxa"/>
                  <w:noWrap w:val="0"/>
                  <w:vAlign w:val="center"/>
                </w:tcPr>
                <w:p w14:paraId="1244E4E6">
                  <w:pPr>
                    <w:pStyle w:val="49"/>
                    <w:spacing w:line="320" w:lineRule="exact"/>
                    <w:rPr>
                      <w:rFonts w:hint="default" w:ascii="Calibri" w:hAnsi="Calibri" w:eastAsia="宋体" w:cs="宋体"/>
                      <w:color w:val="auto"/>
                      <w:sz w:val="21"/>
                      <w:szCs w:val="21"/>
                      <w:lang w:val="en-US" w:eastAsia="zh-CN"/>
                    </w:rPr>
                  </w:pPr>
                  <w:r>
                    <w:rPr>
                      <w:rFonts w:hint="eastAsia" w:ascii="Calibri" w:hAnsi="Calibri" w:eastAsia="宋体" w:cs="宋体"/>
                      <w:color w:val="auto"/>
                      <w:sz w:val="21"/>
                      <w:szCs w:val="21"/>
                      <w:lang w:val="en-US" w:eastAsia="zh-CN"/>
                    </w:rPr>
                    <w:t>门卫</w:t>
                  </w:r>
                </w:p>
              </w:tc>
              <w:tc>
                <w:tcPr>
                  <w:tcW w:w="4362" w:type="dxa"/>
                  <w:noWrap w:val="0"/>
                  <w:vAlign w:val="center"/>
                </w:tcPr>
                <w:p w14:paraId="5AA93068">
                  <w:pPr>
                    <w:pStyle w:val="49"/>
                    <w:spacing w:line="320" w:lineRule="exact"/>
                    <w:rPr>
                      <w:rFonts w:hint="default" w:ascii="Calibri" w:hAnsi="Calibri" w:cs="宋体"/>
                      <w:color w:val="auto"/>
                      <w:sz w:val="21"/>
                      <w:szCs w:val="21"/>
                      <w:lang w:val="en-US" w:eastAsia="zh-CN"/>
                    </w:rPr>
                  </w:pPr>
                  <w:r>
                    <w:rPr>
                      <w:rFonts w:hint="eastAsia" w:ascii="Calibri" w:hAnsi="Calibri" w:cs="宋体"/>
                      <w:color w:val="auto"/>
                      <w:sz w:val="21"/>
                      <w:szCs w:val="21"/>
                      <w:lang w:val="en-US" w:eastAsia="zh-CN"/>
                    </w:rPr>
                    <w:t>建筑面积30m</w:t>
                  </w:r>
                  <w:r>
                    <w:rPr>
                      <w:rFonts w:hint="eastAsia" w:ascii="Calibri" w:hAnsi="Calibri" w:cs="宋体"/>
                      <w:color w:val="auto"/>
                      <w:sz w:val="21"/>
                      <w:szCs w:val="21"/>
                      <w:vertAlign w:val="superscript"/>
                      <w:lang w:val="en-US" w:eastAsia="zh-CN"/>
                    </w:rPr>
                    <w:t>2</w:t>
                  </w:r>
                  <w:r>
                    <w:rPr>
                      <w:rFonts w:hint="eastAsia" w:ascii="Calibri" w:hAnsi="Calibri" w:cs="宋体"/>
                      <w:color w:val="auto"/>
                      <w:sz w:val="21"/>
                      <w:szCs w:val="21"/>
                      <w:lang w:val="en-US" w:eastAsia="zh-CN"/>
                    </w:rPr>
                    <w:t>，1层</w:t>
                  </w:r>
                </w:p>
              </w:tc>
              <w:tc>
                <w:tcPr>
                  <w:tcW w:w="1271" w:type="dxa"/>
                  <w:noWrap w:val="0"/>
                  <w:vAlign w:val="center"/>
                </w:tcPr>
                <w:p w14:paraId="5544B08B">
                  <w:pPr>
                    <w:spacing w:line="32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新建</w:t>
                  </w:r>
                </w:p>
              </w:tc>
            </w:tr>
            <w:tr w14:paraId="7116E958">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65D42752">
                  <w:pPr>
                    <w:pStyle w:val="49"/>
                    <w:spacing w:line="320" w:lineRule="exact"/>
                    <w:rPr>
                      <w:rFonts w:hint="default" w:ascii="Calibri" w:hAnsi="Calibri" w:cs="宋体"/>
                      <w:sz w:val="21"/>
                      <w:szCs w:val="21"/>
                    </w:rPr>
                  </w:pPr>
                </w:p>
              </w:tc>
              <w:tc>
                <w:tcPr>
                  <w:tcW w:w="1962" w:type="dxa"/>
                  <w:noWrap w:val="0"/>
                  <w:vAlign w:val="center"/>
                </w:tcPr>
                <w:p w14:paraId="4DB360C4">
                  <w:pPr>
                    <w:pStyle w:val="49"/>
                    <w:spacing w:line="320" w:lineRule="exact"/>
                    <w:rPr>
                      <w:rFonts w:hint="default" w:ascii="Calibri" w:hAnsi="Calibri" w:eastAsia="宋体" w:cs="宋体"/>
                      <w:color w:val="auto"/>
                      <w:sz w:val="21"/>
                      <w:szCs w:val="21"/>
                      <w:lang w:val="en-US" w:eastAsia="zh-CN"/>
                    </w:rPr>
                  </w:pPr>
                  <w:r>
                    <w:rPr>
                      <w:rFonts w:hint="eastAsia" w:ascii="Calibri" w:hAnsi="Calibri" w:cs="宋体"/>
                      <w:color w:val="auto"/>
                      <w:sz w:val="21"/>
                      <w:szCs w:val="21"/>
                      <w:lang w:val="en-US" w:eastAsia="zh-CN"/>
                    </w:rPr>
                    <w:t>消防水池</w:t>
                  </w:r>
                </w:p>
              </w:tc>
              <w:tc>
                <w:tcPr>
                  <w:tcW w:w="4362" w:type="dxa"/>
                  <w:noWrap w:val="0"/>
                  <w:vAlign w:val="center"/>
                </w:tcPr>
                <w:p w14:paraId="265B82B4">
                  <w:pPr>
                    <w:pStyle w:val="49"/>
                    <w:spacing w:line="320" w:lineRule="exact"/>
                    <w:rPr>
                      <w:rFonts w:hint="default" w:ascii="Calibri" w:hAnsi="Calibri" w:cs="宋体"/>
                      <w:bCs/>
                      <w:color w:val="auto"/>
                      <w:kern w:val="0"/>
                      <w:sz w:val="21"/>
                      <w:szCs w:val="21"/>
                      <w:vertAlign w:val="baseline"/>
                      <w:lang w:val="en-US" w:eastAsia="zh-CN" w:bidi="ar-SA"/>
                    </w:rPr>
                  </w:pPr>
                  <w:r>
                    <w:rPr>
                      <w:rFonts w:hint="eastAsia" w:ascii="Calibri" w:hAnsi="Calibri" w:cs="宋体"/>
                      <w:color w:val="auto"/>
                      <w:sz w:val="21"/>
                      <w:szCs w:val="21"/>
                      <w:vertAlign w:val="baseline"/>
                      <w:lang w:val="en-US" w:eastAsia="zh-CN"/>
                    </w:rPr>
                    <w:t>1座地下消防水池，建筑面积785m</w:t>
                  </w:r>
                  <w:r>
                    <w:rPr>
                      <w:rFonts w:hint="eastAsia" w:ascii="Calibri" w:hAnsi="Calibri" w:cs="宋体"/>
                      <w:color w:val="auto"/>
                      <w:sz w:val="21"/>
                      <w:szCs w:val="21"/>
                      <w:vertAlign w:val="superscript"/>
                      <w:lang w:val="en-US" w:eastAsia="zh-CN"/>
                    </w:rPr>
                    <w:t>2</w:t>
                  </w:r>
                  <w:r>
                    <w:rPr>
                      <w:rFonts w:hint="eastAsia" w:ascii="Calibri" w:hAnsi="Calibri" w:cs="宋体"/>
                      <w:color w:val="auto"/>
                      <w:sz w:val="21"/>
                      <w:szCs w:val="21"/>
                      <w:vertAlign w:val="baseline"/>
                      <w:lang w:val="en-US" w:eastAsia="zh-CN"/>
                    </w:rPr>
                    <w:t>，容积1000m</w:t>
                  </w:r>
                  <w:r>
                    <w:rPr>
                      <w:rFonts w:hint="eastAsia" w:ascii="Calibri" w:hAnsi="Calibri" w:cs="宋体"/>
                      <w:color w:val="auto"/>
                      <w:sz w:val="21"/>
                      <w:szCs w:val="21"/>
                      <w:vertAlign w:val="superscript"/>
                      <w:lang w:val="en-US" w:eastAsia="zh-CN"/>
                    </w:rPr>
                    <w:t>3</w:t>
                  </w:r>
                </w:p>
              </w:tc>
              <w:tc>
                <w:tcPr>
                  <w:tcW w:w="1271" w:type="dxa"/>
                  <w:noWrap w:val="0"/>
                  <w:vAlign w:val="center"/>
                </w:tcPr>
                <w:p w14:paraId="70401082">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Calibri" w:hAnsi="Calibri" w:cs="宋体"/>
                      <w:color w:val="auto"/>
                      <w:sz w:val="21"/>
                      <w:szCs w:val="21"/>
                      <w:vertAlign w:val="baseline"/>
                      <w:lang w:val="en-US" w:eastAsia="zh-CN"/>
                    </w:rPr>
                    <w:t>依托现有</w:t>
                  </w:r>
                </w:p>
              </w:tc>
            </w:tr>
            <w:tr w14:paraId="23E71592">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restart"/>
                  <w:noWrap w:val="0"/>
                  <w:vAlign w:val="center"/>
                </w:tcPr>
                <w:p w14:paraId="5FF52997">
                  <w:pPr>
                    <w:pStyle w:val="49"/>
                    <w:spacing w:line="320" w:lineRule="exact"/>
                    <w:rPr>
                      <w:rFonts w:hint="default" w:ascii="Calibri" w:hAnsi="Calibri" w:cs="宋体"/>
                      <w:sz w:val="21"/>
                      <w:szCs w:val="21"/>
                    </w:rPr>
                  </w:pPr>
                  <w:r>
                    <w:rPr>
                      <w:rFonts w:hint="default" w:ascii="Calibri" w:hAnsi="Calibri" w:cs="宋体"/>
                      <w:sz w:val="21"/>
                      <w:szCs w:val="21"/>
                    </w:rPr>
                    <w:t>公用</w:t>
                  </w:r>
                </w:p>
                <w:p w14:paraId="65183158">
                  <w:pPr>
                    <w:pStyle w:val="49"/>
                    <w:spacing w:line="320" w:lineRule="exact"/>
                    <w:rPr>
                      <w:rFonts w:hint="default" w:ascii="Calibri" w:hAnsi="Calibri" w:cs="宋体"/>
                      <w:sz w:val="21"/>
                      <w:szCs w:val="21"/>
                    </w:rPr>
                  </w:pPr>
                  <w:r>
                    <w:rPr>
                      <w:rFonts w:hint="default" w:ascii="Calibri" w:hAnsi="Calibri" w:cs="宋体"/>
                      <w:sz w:val="21"/>
                      <w:szCs w:val="21"/>
                    </w:rPr>
                    <w:t>工程</w:t>
                  </w:r>
                </w:p>
              </w:tc>
              <w:tc>
                <w:tcPr>
                  <w:tcW w:w="1962" w:type="dxa"/>
                  <w:noWrap w:val="0"/>
                  <w:vAlign w:val="center"/>
                </w:tcPr>
                <w:p w14:paraId="5754FC86">
                  <w:pPr>
                    <w:pStyle w:val="49"/>
                    <w:spacing w:line="320" w:lineRule="exact"/>
                    <w:rPr>
                      <w:rFonts w:hint="default" w:ascii="Calibri" w:hAnsi="Calibri" w:cs="宋体"/>
                      <w:sz w:val="21"/>
                      <w:szCs w:val="21"/>
                    </w:rPr>
                  </w:pPr>
                  <w:r>
                    <w:rPr>
                      <w:rFonts w:hint="default" w:ascii="Calibri" w:hAnsi="Calibri" w:cs="宋体"/>
                      <w:sz w:val="21"/>
                      <w:szCs w:val="21"/>
                    </w:rPr>
                    <w:t>给水系统</w:t>
                  </w:r>
                </w:p>
              </w:tc>
              <w:tc>
                <w:tcPr>
                  <w:tcW w:w="4362" w:type="dxa"/>
                  <w:noWrap w:val="0"/>
                  <w:vAlign w:val="center"/>
                </w:tcPr>
                <w:p w14:paraId="05C6C6B4">
                  <w:pPr>
                    <w:pStyle w:val="49"/>
                    <w:spacing w:line="320" w:lineRule="exact"/>
                    <w:rPr>
                      <w:rFonts w:hint="default" w:ascii="Calibri" w:hAnsi="Calibri" w:eastAsia="宋体" w:cs="宋体"/>
                      <w:sz w:val="21"/>
                      <w:szCs w:val="21"/>
                      <w:lang w:val="en-US" w:eastAsia="zh-CN"/>
                    </w:rPr>
                  </w:pPr>
                  <w:r>
                    <w:rPr>
                      <w:rFonts w:hint="eastAsia" w:ascii="Calibri" w:hAnsi="Calibri" w:cs="宋体"/>
                      <w:sz w:val="21"/>
                      <w:szCs w:val="21"/>
                      <w:lang w:val="en-US" w:eastAsia="zh-CN"/>
                    </w:rPr>
                    <w:t>依托现有厂区给水管网</w:t>
                  </w:r>
                </w:p>
              </w:tc>
              <w:tc>
                <w:tcPr>
                  <w:tcW w:w="1271" w:type="dxa"/>
                  <w:noWrap w:val="0"/>
                  <w:vAlign w:val="center"/>
                </w:tcPr>
                <w:p w14:paraId="22FF60D8">
                  <w:pPr>
                    <w:spacing w:line="320" w:lineRule="exact"/>
                    <w:jc w:val="center"/>
                    <w:rPr>
                      <w:rFonts w:hint="default" w:ascii="Calibri" w:hAnsi="Calibri" w:cs="宋体"/>
                      <w:sz w:val="21"/>
                      <w:szCs w:val="21"/>
                    </w:rPr>
                  </w:pPr>
                  <w:r>
                    <w:rPr>
                      <w:rFonts w:hint="eastAsia" w:ascii="Times New Roman" w:hAnsi="Times New Roman" w:eastAsia="宋体" w:cs="Times New Roman"/>
                      <w:color w:val="auto"/>
                      <w:sz w:val="21"/>
                      <w:szCs w:val="21"/>
                      <w:highlight w:val="none"/>
                      <w:lang w:val="en-US" w:eastAsia="zh-CN"/>
                    </w:rPr>
                    <w:t>依托现有</w:t>
                  </w:r>
                </w:p>
              </w:tc>
            </w:tr>
            <w:tr w14:paraId="247992EC">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404B80B1">
                  <w:pPr>
                    <w:pStyle w:val="49"/>
                    <w:spacing w:line="320" w:lineRule="exact"/>
                    <w:rPr>
                      <w:rFonts w:hint="default" w:ascii="Calibri" w:hAnsi="Calibri" w:cs="宋体"/>
                      <w:sz w:val="21"/>
                      <w:szCs w:val="21"/>
                    </w:rPr>
                  </w:pPr>
                </w:p>
              </w:tc>
              <w:tc>
                <w:tcPr>
                  <w:tcW w:w="1962" w:type="dxa"/>
                  <w:noWrap w:val="0"/>
                  <w:vAlign w:val="center"/>
                </w:tcPr>
                <w:p w14:paraId="67359A85">
                  <w:pPr>
                    <w:pStyle w:val="49"/>
                    <w:spacing w:line="320" w:lineRule="exact"/>
                    <w:rPr>
                      <w:rFonts w:hint="default" w:ascii="Calibri" w:hAnsi="Calibri" w:cs="宋体"/>
                      <w:sz w:val="21"/>
                      <w:szCs w:val="21"/>
                    </w:rPr>
                  </w:pPr>
                  <w:r>
                    <w:rPr>
                      <w:rFonts w:hint="default" w:ascii="Calibri" w:hAnsi="Calibri" w:cs="宋体"/>
                      <w:sz w:val="21"/>
                      <w:szCs w:val="21"/>
                    </w:rPr>
                    <w:t>排水系统</w:t>
                  </w:r>
                </w:p>
              </w:tc>
              <w:tc>
                <w:tcPr>
                  <w:tcW w:w="4362" w:type="dxa"/>
                  <w:noWrap w:val="0"/>
                  <w:vAlign w:val="center"/>
                </w:tcPr>
                <w:p w14:paraId="705D84CD">
                  <w:pPr>
                    <w:pStyle w:val="49"/>
                    <w:spacing w:line="320" w:lineRule="exact"/>
                    <w:rPr>
                      <w:rFonts w:hint="default" w:ascii="Calibri" w:hAnsi="Calibri" w:cs="宋体"/>
                      <w:sz w:val="21"/>
                      <w:szCs w:val="21"/>
                    </w:rPr>
                  </w:pPr>
                  <w:r>
                    <w:rPr>
                      <w:rFonts w:hint="eastAsia" w:ascii="Calibri" w:hAnsi="Calibri" w:cs="宋体"/>
                      <w:sz w:val="21"/>
                      <w:szCs w:val="21"/>
                      <w:lang w:val="en-US" w:eastAsia="zh-CN"/>
                    </w:rPr>
                    <w:t>依托现有厂区</w:t>
                  </w:r>
                  <w:r>
                    <w:rPr>
                      <w:rFonts w:hint="default" w:ascii="Calibri" w:hAnsi="Calibri" w:cs="宋体"/>
                      <w:sz w:val="21"/>
                      <w:szCs w:val="21"/>
                      <w:lang w:eastAsia="zh-CN"/>
                    </w:rPr>
                    <w:t>排水管网</w:t>
                  </w:r>
                </w:p>
              </w:tc>
              <w:tc>
                <w:tcPr>
                  <w:tcW w:w="1271" w:type="dxa"/>
                  <w:noWrap w:val="0"/>
                  <w:vAlign w:val="center"/>
                </w:tcPr>
                <w:p w14:paraId="5BA799A5">
                  <w:pPr>
                    <w:spacing w:line="320" w:lineRule="exact"/>
                    <w:jc w:val="center"/>
                    <w:rPr>
                      <w:rFonts w:hint="default" w:ascii="Calibri" w:hAnsi="Calibri" w:cs="宋体"/>
                      <w:sz w:val="21"/>
                      <w:szCs w:val="21"/>
                    </w:rPr>
                  </w:pPr>
                  <w:r>
                    <w:rPr>
                      <w:rFonts w:hint="eastAsia" w:ascii="Times New Roman" w:hAnsi="Times New Roman" w:eastAsia="宋体" w:cs="Times New Roman"/>
                      <w:color w:val="auto"/>
                      <w:sz w:val="21"/>
                      <w:szCs w:val="21"/>
                      <w:highlight w:val="none"/>
                      <w:lang w:val="en-US" w:eastAsia="zh-CN"/>
                    </w:rPr>
                    <w:t>依托现有</w:t>
                  </w:r>
                </w:p>
              </w:tc>
            </w:tr>
            <w:tr w14:paraId="6A408051">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4AC2404A">
                  <w:pPr>
                    <w:pStyle w:val="49"/>
                    <w:spacing w:line="320" w:lineRule="exact"/>
                    <w:rPr>
                      <w:rFonts w:hint="default" w:ascii="Calibri" w:hAnsi="Calibri" w:cs="宋体"/>
                      <w:sz w:val="21"/>
                      <w:szCs w:val="21"/>
                    </w:rPr>
                  </w:pPr>
                </w:p>
              </w:tc>
              <w:tc>
                <w:tcPr>
                  <w:tcW w:w="1962" w:type="dxa"/>
                  <w:noWrap w:val="0"/>
                  <w:vAlign w:val="center"/>
                </w:tcPr>
                <w:p w14:paraId="194F4705">
                  <w:pPr>
                    <w:pStyle w:val="49"/>
                    <w:spacing w:line="320" w:lineRule="exact"/>
                    <w:rPr>
                      <w:rFonts w:hint="default" w:ascii="Calibri" w:hAnsi="Calibri" w:cs="宋体"/>
                      <w:sz w:val="21"/>
                      <w:szCs w:val="21"/>
                    </w:rPr>
                  </w:pPr>
                  <w:r>
                    <w:rPr>
                      <w:rFonts w:hint="default" w:ascii="Calibri" w:hAnsi="Calibri" w:cs="宋体"/>
                      <w:sz w:val="21"/>
                      <w:szCs w:val="21"/>
                    </w:rPr>
                    <w:t>供电系统</w:t>
                  </w:r>
                </w:p>
              </w:tc>
              <w:tc>
                <w:tcPr>
                  <w:tcW w:w="4362" w:type="dxa"/>
                  <w:noWrap w:val="0"/>
                  <w:vAlign w:val="center"/>
                </w:tcPr>
                <w:p w14:paraId="565F0C1A">
                  <w:pPr>
                    <w:pStyle w:val="49"/>
                    <w:spacing w:line="320" w:lineRule="exact"/>
                    <w:rPr>
                      <w:rFonts w:hint="default" w:ascii="Calibri" w:hAnsi="Calibri" w:eastAsia="宋体" w:cs="宋体"/>
                      <w:sz w:val="21"/>
                      <w:szCs w:val="21"/>
                      <w:lang w:eastAsia="zh-CN"/>
                    </w:rPr>
                  </w:pPr>
                  <w:r>
                    <w:rPr>
                      <w:rFonts w:hint="eastAsia" w:ascii="Calibri" w:hAnsi="Calibri" w:cs="宋体"/>
                      <w:sz w:val="21"/>
                      <w:szCs w:val="21"/>
                      <w:lang w:val="en-US" w:eastAsia="zh-CN"/>
                    </w:rPr>
                    <w:t>依托现有厂区</w:t>
                  </w:r>
                  <w:r>
                    <w:rPr>
                      <w:rFonts w:hint="default" w:ascii="Calibri" w:hAnsi="Calibri" w:cs="宋体"/>
                      <w:sz w:val="21"/>
                      <w:szCs w:val="21"/>
                      <w:lang w:eastAsia="zh-CN"/>
                    </w:rPr>
                    <w:t>市政电网</w:t>
                  </w:r>
                </w:p>
              </w:tc>
              <w:tc>
                <w:tcPr>
                  <w:tcW w:w="1271" w:type="dxa"/>
                  <w:noWrap w:val="0"/>
                  <w:vAlign w:val="center"/>
                </w:tcPr>
                <w:p w14:paraId="163C4861">
                  <w:pPr>
                    <w:spacing w:line="320" w:lineRule="exact"/>
                    <w:jc w:val="center"/>
                    <w:rPr>
                      <w:rFonts w:hint="default" w:ascii="Calibri" w:hAnsi="Calibri" w:cs="宋体"/>
                      <w:sz w:val="21"/>
                      <w:szCs w:val="21"/>
                    </w:rPr>
                  </w:pPr>
                  <w:r>
                    <w:rPr>
                      <w:rFonts w:hint="eastAsia" w:ascii="Times New Roman" w:hAnsi="Times New Roman" w:eastAsia="宋体" w:cs="Times New Roman"/>
                      <w:color w:val="auto"/>
                      <w:sz w:val="21"/>
                      <w:szCs w:val="21"/>
                      <w:highlight w:val="none"/>
                      <w:lang w:val="en-US" w:eastAsia="zh-CN"/>
                    </w:rPr>
                    <w:t>依托现有</w:t>
                  </w:r>
                </w:p>
              </w:tc>
            </w:tr>
            <w:tr w14:paraId="414939BA">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954" w:hRule="atLeast"/>
                <w:jc w:val="center"/>
              </w:trPr>
              <w:tc>
                <w:tcPr>
                  <w:tcW w:w="775" w:type="dxa"/>
                  <w:vMerge w:val="continue"/>
                  <w:noWrap w:val="0"/>
                  <w:vAlign w:val="center"/>
                </w:tcPr>
                <w:p w14:paraId="6C6FB035">
                  <w:pPr>
                    <w:pStyle w:val="49"/>
                    <w:spacing w:line="320" w:lineRule="exact"/>
                    <w:rPr>
                      <w:rFonts w:hint="default" w:ascii="Calibri" w:hAnsi="Calibri" w:cs="宋体"/>
                      <w:sz w:val="21"/>
                      <w:szCs w:val="21"/>
                    </w:rPr>
                  </w:pPr>
                </w:p>
              </w:tc>
              <w:tc>
                <w:tcPr>
                  <w:tcW w:w="1962" w:type="dxa"/>
                  <w:noWrap w:val="0"/>
                  <w:vAlign w:val="center"/>
                </w:tcPr>
                <w:p w14:paraId="6EADB322">
                  <w:pPr>
                    <w:pStyle w:val="49"/>
                    <w:spacing w:line="320" w:lineRule="exact"/>
                    <w:rPr>
                      <w:rFonts w:hint="default" w:ascii="Calibri" w:hAnsi="Calibri" w:cs="宋体"/>
                      <w:sz w:val="21"/>
                      <w:szCs w:val="21"/>
                    </w:rPr>
                  </w:pPr>
                  <w:r>
                    <w:rPr>
                      <w:rFonts w:hint="default" w:ascii="Calibri" w:hAnsi="Calibri" w:cs="宋体"/>
                      <w:sz w:val="21"/>
                      <w:szCs w:val="21"/>
                    </w:rPr>
                    <w:t>供暖系统</w:t>
                  </w:r>
                </w:p>
              </w:tc>
              <w:tc>
                <w:tcPr>
                  <w:tcW w:w="4362" w:type="dxa"/>
                  <w:noWrap w:val="0"/>
                  <w:vAlign w:val="center"/>
                </w:tcPr>
                <w:p w14:paraId="24CD1AE2">
                  <w:pPr>
                    <w:pStyle w:val="49"/>
                    <w:spacing w:line="320" w:lineRule="exact"/>
                    <w:rPr>
                      <w:rFonts w:hint="default" w:ascii="Calibri" w:hAnsi="Calibri"/>
                      <w:sz w:val="21"/>
                      <w:szCs w:val="21"/>
                    </w:rPr>
                  </w:pPr>
                  <w:r>
                    <w:rPr>
                      <w:rFonts w:hint="eastAsia" w:ascii="Calibri" w:hAnsi="Calibri"/>
                      <w:color w:val="auto"/>
                      <w:sz w:val="21"/>
                      <w:szCs w:val="21"/>
                      <w:lang w:val="en-US" w:eastAsia="zh-CN"/>
                    </w:rPr>
                    <w:t>生产工艺供热全部采用电加热（吹膜挤出、涂胶烘干烘箱均为电加热，无燃料燃烧烟气）。生活</w:t>
                  </w:r>
                  <w:r>
                    <w:rPr>
                      <w:rFonts w:hint="default" w:ascii="Calibri" w:hAnsi="Calibri"/>
                      <w:color w:val="auto"/>
                      <w:sz w:val="21"/>
                      <w:szCs w:val="21"/>
                    </w:rPr>
                    <w:t>采用电暖供暖</w:t>
                  </w:r>
                </w:p>
              </w:tc>
              <w:tc>
                <w:tcPr>
                  <w:tcW w:w="1271" w:type="dxa"/>
                  <w:noWrap w:val="0"/>
                  <w:vAlign w:val="center"/>
                </w:tcPr>
                <w:p w14:paraId="61047C2A">
                  <w:pPr>
                    <w:spacing w:line="320" w:lineRule="exact"/>
                    <w:jc w:val="center"/>
                    <w:rPr>
                      <w:rFonts w:hint="eastAsia" w:ascii="Calibri" w:hAnsi="Calibri" w:eastAsia="宋体" w:cs="宋体"/>
                      <w:sz w:val="21"/>
                      <w:szCs w:val="21"/>
                      <w:lang w:eastAsia="zh-CN"/>
                    </w:rPr>
                  </w:pPr>
                  <w:r>
                    <w:rPr>
                      <w:rFonts w:hint="eastAsia" w:cs="Times New Roman"/>
                      <w:color w:val="auto"/>
                      <w:sz w:val="21"/>
                      <w:szCs w:val="21"/>
                      <w:highlight w:val="none"/>
                      <w:lang w:val="en-US" w:eastAsia="zh-CN"/>
                    </w:rPr>
                    <w:t>/</w:t>
                  </w:r>
                </w:p>
              </w:tc>
            </w:tr>
            <w:tr w14:paraId="6356D356">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90" w:hRule="atLeast"/>
                <w:jc w:val="center"/>
              </w:trPr>
              <w:tc>
                <w:tcPr>
                  <w:tcW w:w="775" w:type="dxa"/>
                  <w:vMerge w:val="restart"/>
                  <w:noWrap w:val="0"/>
                  <w:vAlign w:val="center"/>
                </w:tcPr>
                <w:p w14:paraId="523E8A27">
                  <w:pPr>
                    <w:pStyle w:val="49"/>
                    <w:spacing w:line="320" w:lineRule="exact"/>
                    <w:rPr>
                      <w:rFonts w:hint="default" w:ascii="Calibri" w:hAnsi="Calibri"/>
                      <w:sz w:val="21"/>
                      <w:szCs w:val="21"/>
                    </w:rPr>
                  </w:pPr>
                  <w:r>
                    <w:rPr>
                      <w:rFonts w:hint="default" w:ascii="Calibri" w:hAnsi="Calibri"/>
                      <w:sz w:val="21"/>
                      <w:szCs w:val="21"/>
                    </w:rPr>
                    <w:t>环保工程</w:t>
                  </w:r>
                </w:p>
              </w:tc>
              <w:tc>
                <w:tcPr>
                  <w:tcW w:w="1962" w:type="dxa"/>
                  <w:noWrap w:val="0"/>
                  <w:vAlign w:val="center"/>
                </w:tcPr>
                <w:p w14:paraId="2C4A8910">
                  <w:pPr>
                    <w:pStyle w:val="49"/>
                    <w:spacing w:line="320" w:lineRule="exact"/>
                    <w:rPr>
                      <w:rFonts w:hint="default" w:ascii="Calibri" w:hAnsi="Calibri" w:cs="宋体"/>
                      <w:sz w:val="21"/>
                      <w:szCs w:val="21"/>
                    </w:rPr>
                  </w:pPr>
                  <w:r>
                    <w:rPr>
                      <w:rFonts w:hint="default" w:ascii="Calibri" w:hAnsi="Calibri" w:cs="宋体"/>
                      <w:sz w:val="21"/>
                      <w:szCs w:val="21"/>
                    </w:rPr>
                    <w:t>废气</w:t>
                  </w:r>
                </w:p>
              </w:tc>
              <w:tc>
                <w:tcPr>
                  <w:tcW w:w="4362" w:type="dxa"/>
                  <w:noWrap w:val="0"/>
                  <w:vAlign w:val="center"/>
                </w:tcPr>
                <w:p w14:paraId="00197B9B">
                  <w:pPr>
                    <w:pStyle w:val="49"/>
                    <w:spacing w:line="320" w:lineRule="exact"/>
                    <w:rPr>
                      <w:rFonts w:hint="eastAsia" w:ascii="Calibri" w:hAnsi="Calibri" w:cs="宋体"/>
                      <w:sz w:val="21"/>
                      <w:szCs w:val="21"/>
                      <w:lang w:val="en-US" w:eastAsia="zh-CN"/>
                    </w:rPr>
                  </w:pPr>
                  <w:r>
                    <w:rPr>
                      <w:rFonts w:hint="eastAsia" w:ascii="Calibri" w:hAnsi="Calibri" w:cs="宋体"/>
                      <w:sz w:val="21"/>
                      <w:szCs w:val="21"/>
                      <w:lang w:val="en-US" w:eastAsia="zh-CN"/>
                    </w:rPr>
                    <w:t>吹膜、涂胶烘干工序产生的废气经集气罩收集后通过“活性炭吸附/脱附+催化燃烧（热源采用电加热）”装置处理后通过20m排气筒（DA001）排放，废气排放口位于车间三屋顶；</w:t>
                  </w:r>
                </w:p>
                <w:p w14:paraId="637678F8">
                  <w:pPr>
                    <w:pStyle w:val="49"/>
                    <w:spacing w:line="320" w:lineRule="exact"/>
                    <w:rPr>
                      <w:rFonts w:hint="default" w:ascii="Calibri" w:hAnsi="Calibri" w:cs="宋体"/>
                      <w:sz w:val="21"/>
                      <w:szCs w:val="21"/>
                      <w:lang w:val="en-US" w:eastAsia="zh-CN"/>
                    </w:rPr>
                  </w:pPr>
                  <w:r>
                    <w:rPr>
                      <w:rFonts w:hint="eastAsia" w:ascii="Calibri" w:hAnsi="Calibri" w:cs="宋体"/>
                      <w:sz w:val="21"/>
                      <w:szCs w:val="21"/>
                      <w:lang w:val="en-US" w:eastAsia="zh-CN"/>
                    </w:rPr>
                    <w:t>油烟废气经净化效率在75%以上的油烟净化装置处理后通过办公楼屋顶排气筒排放。</w:t>
                  </w:r>
                </w:p>
              </w:tc>
              <w:tc>
                <w:tcPr>
                  <w:tcW w:w="1271" w:type="dxa"/>
                  <w:noWrap w:val="0"/>
                  <w:vAlign w:val="center"/>
                </w:tcPr>
                <w:p w14:paraId="43148F44">
                  <w:pPr>
                    <w:pStyle w:val="49"/>
                    <w:spacing w:line="320" w:lineRule="exact"/>
                    <w:rPr>
                      <w:rFonts w:hint="default" w:ascii="Calibri" w:hAnsi="Calibri" w:cs="宋体"/>
                      <w:sz w:val="21"/>
                      <w:szCs w:val="21"/>
                    </w:rPr>
                  </w:pPr>
                  <w:r>
                    <w:rPr>
                      <w:rFonts w:hint="eastAsia" w:ascii="Calibri" w:hAnsi="Calibri" w:cs="宋体"/>
                      <w:sz w:val="21"/>
                      <w:szCs w:val="21"/>
                      <w:lang w:val="en-US" w:eastAsia="zh-CN"/>
                    </w:rPr>
                    <w:t>新建</w:t>
                  </w:r>
                </w:p>
              </w:tc>
            </w:tr>
            <w:tr w14:paraId="2F3EF834">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113DE243">
                  <w:pPr>
                    <w:pStyle w:val="49"/>
                    <w:spacing w:line="320" w:lineRule="exact"/>
                    <w:rPr>
                      <w:rFonts w:hint="default" w:ascii="Calibri" w:hAnsi="Calibri" w:cs="宋体"/>
                      <w:sz w:val="21"/>
                      <w:szCs w:val="21"/>
                    </w:rPr>
                  </w:pPr>
                </w:p>
              </w:tc>
              <w:tc>
                <w:tcPr>
                  <w:tcW w:w="1962" w:type="dxa"/>
                  <w:noWrap w:val="0"/>
                  <w:vAlign w:val="center"/>
                </w:tcPr>
                <w:p w14:paraId="062D9603">
                  <w:pPr>
                    <w:spacing w:line="300" w:lineRule="atLeast"/>
                    <w:jc w:val="center"/>
                    <w:rPr>
                      <w:rFonts w:hint="default" w:ascii="Calibri" w:hAnsi="Calibri" w:cs="宋体"/>
                      <w:sz w:val="21"/>
                      <w:szCs w:val="21"/>
                    </w:rPr>
                  </w:pPr>
                  <w:r>
                    <w:rPr>
                      <w:rFonts w:hint="default" w:ascii="Calibri" w:hAnsi="Calibri" w:cs="宋体"/>
                      <w:sz w:val="21"/>
                      <w:szCs w:val="21"/>
                    </w:rPr>
                    <w:t>废水</w:t>
                  </w:r>
                </w:p>
              </w:tc>
              <w:tc>
                <w:tcPr>
                  <w:tcW w:w="4362" w:type="dxa"/>
                  <w:noWrap w:val="0"/>
                  <w:vAlign w:val="center"/>
                </w:tcPr>
                <w:p w14:paraId="420D0702">
                  <w:pPr>
                    <w:spacing w:line="300" w:lineRule="atLeast"/>
                    <w:jc w:val="center"/>
                    <w:rPr>
                      <w:rFonts w:hint="default" w:ascii="Calibri" w:hAnsi="Calibri" w:eastAsia="宋体" w:cs="宋体"/>
                      <w:sz w:val="21"/>
                      <w:szCs w:val="21"/>
                      <w:lang w:val="en-US" w:eastAsia="zh-CN"/>
                    </w:rPr>
                  </w:pPr>
                  <w:r>
                    <w:rPr>
                      <w:rFonts w:hint="eastAsia" w:ascii="Calibri" w:hAnsi="Calibri" w:cs="宋体"/>
                      <w:sz w:val="21"/>
                      <w:szCs w:val="21"/>
                      <w:lang w:val="en-US" w:eastAsia="zh-CN"/>
                    </w:rPr>
                    <w:t>生活污水新建化粪池（20m</w:t>
                  </w:r>
                  <w:r>
                    <w:rPr>
                      <w:rFonts w:hint="eastAsia" w:ascii="Calibri" w:hAnsi="Calibri" w:cs="宋体"/>
                      <w:sz w:val="21"/>
                      <w:szCs w:val="21"/>
                      <w:vertAlign w:val="superscript"/>
                      <w:lang w:val="en-US" w:eastAsia="zh-CN"/>
                    </w:rPr>
                    <w:t>3</w:t>
                  </w:r>
                  <w:r>
                    <w:rPr>
                      <w:rFonts w:hint="eastAsia" w:ascii="Calibri" w:hAnsi="Calibri" w:cs="宋体"/>
                      <w:sz w:val="21"/>
                      <w:szCs w:val="21"/>
                      <w:lang w:val="en-US" w:eastAsia="zh-CN"/>
                    </w:rPr>
                    <w:t>）预处理后经厂区污水管网收集，最终进入轮台县新城区生活污水处理厂处理。废水排放口位于生活办公彩钢房后侧。</w:t>
                  </w:r>
                </w:p>
              </w:tc>
              <w:tc>
                <w:tcPr>
                  <w:tcW w:w="1271" w:type="dxa"/>
                  <w:noWrap w:val="0"/>
                  <w:vAlign w:val="center"/>
                </w:tcPr>
                <w:p w14:paraId="3C020EE8">
                  <w:pPr>
                    <w:pStyle w:val="49"/>
                    <w:spacing w:line="320" w:lineRule="exact"/>
                    <w:rPr>
                      <w:rFonts w:hint="default" w:ascii="Calibri" w:hAnsi="Calibri" w:cs="宋体"/>
                      <w:sz w:val="21"/>
                      <w:szCs w:val="21"/>
                      <w:lang w:val="en-US"/>
                    </w:rPr>
                  </w:pPr>
                  <w:r>
                    <w:rPr>
                      <w:rFonts w:hint="eastAsia" w:ascii="Calibri" w:hAnsi="Calibri" w:cs="宋体"/>
                      <w:sz w:val="21"/>
                      <w:szCs w:val="21"/>
                      <w:lang w:val="en-US" w:eastAsia="zh-CN"/>
                    </w:rPr>
                    <w:t>依托现有</w:t>
                  </w:r>
                </w:p>
              </w:tc>
            </w:tr>
            <w:tr w14:paraId="4838390A">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6F13750F">
                  <w:pPr>
                    <w:pStyle w:val="49"/>
                    <w:spacing w:line="320" w:lineRule="exact"/>
                    <w:rPr>
                      <w:rFonts w:hint="default" w:ascii="Calibri" w:hAnsi="Calibri" w:cs="宋体"/>
                      <w:sz w:val="21"/>
                      <w:szCs w:val="21"/>
                    </w:rPr>
                  </w:pPr>
                </w:p>
              </w:tc>
              <w:tc>
                <w:tcPr>
                  <w:tcW w:w="1962" w:type="dxa"/>
                  <w:noWrap w:val="0"/>
                  <w:vAlign w:val="center"/>
                </w:tcPr>
                <w:p w14:paraId="1E631E6A">
                  <w:pPr>
                    <w:spacing w:line="300" w:lineRule="atLeast"/>
                    <w:jc w:val="center"/>
                    <w:rPr>
                      <w:rFonts w:hint="default" w:ascii="Calibri" w:hAnsi="Calibri" w:cs="宋体"/>
                      <w:sz w:val="21"/>
                      <w:szCs w:val="21"/>
                    </w:rPr>
                  </w:pPr>
                  <w:r>
                    <w:rPr>
                      <w:rFonts w:hint="default" w:ascii="Calibri" w:hAnsi="Calibri" w:cs="宋体"/>
                      <w:sz w:val="21"/>
                      <w:szCs w:val="21"/>
                    </w:rPr>
                    <w:t>固废</w:t>
                  </w:r>
                </w:p>
              </w:tc>
              <w:tc>
                <w:tcPr>
                  <w:tcW w:w="4362" w:type="dxa"/>
                  <w:noWrap w:val="0"/>
                  <w:vAlign w:val="center"/>
                </w:tcPr>
                <w:p w14:paraId="080A34F6">
                  <w:pPr>
                    <w:spacing w:line="300" w:lineRule="atLeast"/>
                    <w:jc w:val="center"/>
                    <w:rPr>
                      <w:rFonts w:hint="default" w:ascii="Calibri" w:hAnsi="Calibri"/>
                      <w:sz w:val="21"/>
                      <w:szCs w:val="21"/>
                    </w:rPr>
                  </w:pPr>
                  <w:r>
                    <w:rPr>
                      <w:rFonts w:hint="default" w:ascii="Calibri" w:hAnsi="Calibri" w:eastAsia="宋体" w:cs="Calibri"/>
                      <w:color w:val="auto"/>
                      <w:sz w:val="21"/>
                      <w:szCs w:val="21"/>
                    </w:rPr>
                    <w:t>垃圾桶、垃圾箱，一般固废</w:t>
                  </w:r>
                  <w:r>
                    <w:rPr>
                      <w:rFonts w:hint="eastAsia" w:ascii="Times New Roman" w:hAnsi="Times New Roman" w:cs="Times New Roman"/>
                      <w:color w:val="auto"/>
                      <w:sz w:val="21"/>
                      <w:szCs w:val="21"/>
                      <w:lang w:val="en-US" w:eastAsia="zh-CN"/>
                    </w:rPr>
                    <w:t>贮存库</w:t>
                  </w:r>
                  <w:r>
                    <w:rPr>
                      <w:rFonts w:hint="default" w:ascii="Calibri" w:hAnsi="Calibri" w:eastAsia="宋体" w:cs="Calibri"/>
                      <w:color w:val="auto"/>
                      <w:sz w:val="21"/>
                      <w:szCs w:val="21"/>
                    </w:rPr>
                    <w:t>（</w:t>
                  </w:r>
                  <w:r>
                    <w:rPr>
                      <w:rFonts w:hint="eastAsia" w:ascii="Calibri" w:hAnsi="Calibri" w:cs="Calibri"/>
                      <w:color w:val="auto"/>
                      <w:sz w:val="21"/>
                      <w:szCs w:val="21"/>
                      <w:lang w:val="en-US" w:eastAsia="zh-CN"/>
                    </w:rPr>
                    <w:t>5</w:t>
                  </w:r>
                  <w:r>
                    <w:rPr>
                      <w:rFonts w:hint="default" w:ascii="Calibri" w:hAnsi="Calibri" w:eastAsia="宋体" w:cs="Calibri"/>
                      <w:color w:val="auto"/>
                      <w:sz w:val="21"/>
                      <w:szCs w:val="21"/>
                    </w:rPr>
                    <w:t>0m</w:t>
                  </w:r>
                  <w:r>
                    <w:rPr>
                      <w:rFonts w:hint="default" w:ascii="Calibri" w:hAnsi="Calibri" w:eastAsia="宋体" w:cs="Calibri"/>
                      <w:color w:val="auto"/>
                      <w:sz w:val="21"/>
                      <w:szCs w:val="21"/>
                      <w:vertAlign w:val="superscript"/>
                    </w:rPr>
                    <w:t>2</w:t>
                  </w:r>
                  <w:r>
                    <w:rPr>
                      <w:rFonts w:hint="default" w:ascii="Calibri" w:hAnsi="Calibri" w:eastAsia="宋体" w:cs="Calibri"/>
                      <w:color w:val="auto"/>
                      <w:sz w:val="21"/>
                      <w:szCs w:val="21"/>
                    </w:rPr>
                    <w:t>）、危险废物</w:t>
                  </w:r>
                  <w:r>
                    <w:rPr>
                      <w:rFonts w:hint="eastAsia" w:ascii="Times New Roman" w:hAnsi="Times New Roman" w:cs="Times New Roman"/>
                      <w:color w:val="auto"/>
                      <w:sz w:val="21"/>
                      <w:szCs w:val="21"/>
                      <w:lang w:val="en-US" w:eastAsia="zh-CN"/>
                    </w:rPr>
                    <w:t>贮存库</w:t>
                  </w:r>
                  <w:r>
                    <w:rPr>
                      <w:rFonts w:hint="default" w:ascii="Calibri" w:hAnsi="Calibri" w:eastAsia="宋体" w:cs="Calibri"/>
                      <w:color w:val="auto"/>
                      <w:sz w:val="21"/>
                      <w:szCs w:val="21"/>
                    </w:rPr>
                    <w:t>（</w:t>
                  </w:r>
                  <w:r>
                    <w:rPr>
                      <w:rFonts w:hint="eastAsia" w:ascii="Calibri" w:hAnsi="Calibri" w:cs="Calibri"/>
                      <w:color w:val="auto"/>
                      <w:sz w:val="21"/>
                      <w:szCs w:val="21"/>
                      <w:lang w:val="en-US" w:eastAsia="zh-CN"/>
                    </w:rPr>
                    <w:t>5</w:t>
                  </w:r>
                  <w:r>
                    <w:rPr>
                      <w:rFonts w:hint="default" w:ascii="Calibri" w:hAnsi="Calibri" w:eastAsia="宋体" w:cs="Calibri"/>
                      <w:color w:val="auto"/>
                      <w:sz w:val="21"/>
                      <w:szCs w:val="21"/>
                      <w:lang w:val="en-US" w:eastAsia="zh-CN"/>
                    </w:rPr>
                    <w:t>0</w:t>
                  </w:r>
                  <w:r>
                    <w:rPr>
                      <w:rFonts w:hint="default" w:ascii="Calibri" w:hAnsi="Calibri" w:eastAsia="宋体" w:cs="Calibri"/>
                      <w:color w:val="auto"/>
                      <w:sz w:val="21"/>
                      <w:szCs w:val="21"/>
                    </w:rPr>
                    <w:t>m</w:t>
                  </w:r>
                  <w:r>
                    <w:rPr>
                      <w:rFonts w:hint="default" w:ascii="Calibri" w:hAnsi="Calibri" w:eastAsia="宋体" w:cs="Calibri"/>
                      <w:color w:val="auto"/>
                      <w:sz w:val="21"/>
                      <w:szCs w:val="21"/>
                      <w:vertAlign w:val="superscript"/>
                    </w:rPr>
                    <w:t>2</w:t>
                  </w:r>
                  <w:r>
                    <w:rPr>
                      <w:rFonts w:hint="default" w:ascii="Calibri" w:hAnsi="Calibri" w:eastAsia="宋体" w:cs="Calibri"/>
                      <w:color w:val="auto"/>
                      <w:sz w:val="21"/>
                      <w:szCs w:val="21"/>
                    </w:rPr>
                    <w:t>）</w:t>
                  </w:r>
                </w:p>
              </w:tc>
              <w:tc>
                <w:tcPr>
                  <w:tcW w:w="1271" w:type="dxa"/>
                  <w:noWrap w:val="0"/>
                  <w:vAlign w:val="center"/>
                </w:tcPr>
                <w:p w14:paraId="550A482D">
                  <w:pPr>
                    <w:pStyle w:val="49"/>
                    <w:spacing w:line="320" w:lineRule="exact"/>
                    <w:rPr>
                      <w:rFonts w:hint="default" w:ascii="Calibri" w:hAnsi="Calibri" w:cs="宋体"/>
                      <w:sz w:val="21"/>
                      <w:szCs w:val="21"/>
                    </w:rPr>
                  </w:pPr>
                  <w:r>
                    <w:rPr>
                      <w:rFonts w:hint="eastAsia" w:ascii="Calibri" w:hAnsi="Calibri" w:cs="宋体"/>
                      <w:sz w:val="21"/>
                      <w:szCs w:val="21"/>
                      <w:lang w:val="en-US" w:eastAsia="zh-CN"/>
                    </w:rPr>
                    <w:t>新建</w:t>
                  </w:r>
                </w:p>
              </w:tc>
            </w:tr>
            <w:tr w14:paraId="194B9D68">
              <w:tblPrEx>
                <w:tblBorders>
                  <w:top w:val="single" w:color="auto" w:sz="8" w:space="0"/>
                  <w:left w:val="single" w:color="auto" w:sz="8" w:space="0"/>
                  <w:bottom w:val="single" w:color="auto" w:sz="8" w:space="0"/>
                  <w:right w:val="single" w:color="auto" w:sz="8" w:space="0"/>
                  <w:insideH w:val="single" w:color="auto" w:sz="8" w:space="0"/>
                  <w:insideV w:val="single" w:color="auto" w:sz="2" w:space="0"/>
                </w:tblBorders>
                <w:tblCellMar>
                  <w:top w:w="0" w:type="dxa"/>
                  <w:left w:w="108" w:type="dxa"/>
                  <w:bottom w:w="0" w:type="dxa"/>
                  <w:right w:w="108" w:type="dxa"/>
                </w:tblCellMar>
              </w:tblPrEx>
              <w:trPr>
                <w:trHeight w:val="340" w:hRule="atLeast"/>
                <w:jc w:val="center"/>
              </w:trPr>
              <w:tc>
                <w:tcPr>
                  <w:tcW w:w="775" w:type="dxa"/>
                  <w:vMerge w:val="continue"/>
                  <w:noWrap w:val="0"/>
                  <w:vAlign w:val="center"/>
                </w:tcPr>
                <w:p w14:paraId="6DBDBB83">
                  <w:pPr>
                    <w:pStyle w:val="49"/>
                    <w:spacing w:line="320" w:lineRule="exact"/>
                    <w:rPr>
                      <w:rFonts w:hint="default" w:ascii="Calibri" w:hAnsi="Calibri" w:cs="宋体"/>
                      <w:sz w:val="21"/>
                      <w:szCs w:val="21"/>
                    </w:rPr>
                  </w:pPr>
                </w:p>
              </w:tc>
              <w:tc>
                <w:tcPr>
                  <w:tcW w:w="1962" w:type="dxa"/>
                  <w:noWrap w:val="0"/>
                  <w:vAlign w:val="center"/>
                </w:tcPr>
                <w:p w14:paraId="5391BD1C">
                  <w:pPr>
                    <w:spacing w:line="300" w:lineRule="atLeast"/>
                    <w:jc w:val="center"/>
                    <w:rPr>
                      <w:rFonts w:hint="eastAsia" w:ascii="Calibri" w:hAnsi="Calibri" w:eastAsia="宋体" w:cs="宋体"/>
                      <w:sz w:val="21"/>
                      <w:szCs w:val="21"/>
                      <w:lang w:val="en-US" w:eastAsia="zh-CN"/>
                    </w:rPr>
                  </w:pPr>
                  <w:r>
                    <w:rPr>
                      <w:rFonts w:hint="eastAsia" w:ascii="Calibri" w:hAnsi="Calibri" w:cs="宋体"/>
                      <w:sz w:val="21"/>
                      <w:szCs w:val="21"/>
                      <w:lang w:val="en-US" w:eastAsia="zh-CN"/>
                    </w:rPr>
                    <w:t>噪声</w:t>
                  </w:r>
                </w:p>
              </w:tc>
              <w:tc>
                <w:tcPr>
                  <w:tcW w:w="4362" w:type="dxa"/>
                  <w:noWrap w:val="0"/>
                  <w:vAlign w:val="center"/>
                </w:tcPr>
                <w:p w14:paraId="04FCFC96">
                  <w:pPr>
                    <w:spacing w:line="300" w:lineRule="atLeast"/>
                    <w:jc w:val="center"/>
                    <w:rPr>
                      <w:rFonts w:hint="default" w:ascii="Calibri" w:hAnsi="Calibri" w:eastAsia="宋体"/>
                      <w:color w:val="0000FF"/>
                      <w:sz w:val="21"/>
                      <w:szCs w:val="21"/>
                      <w:lang w:val="en-US" w:eastAsia="zh-CN"/>
                    </w:rPr>
                  </w:pPr>
                  <w:r>
                    <w:rPr>
                      <w:rFonts w:hint="default" w:ascii="Calibri" w:hAnsi="Calibri" w:eastAsia="宋体"/>
                      <w:color w:val="auto"/>
                      <w:sz w:val="21"/>
                      <w:szCs w:val="21"/>
                      <w:lang w:val="en-US" w:eastAsia="zh-CN"/>
                    </w:rPr>
                    <w:t>低噪声设备、厂房隔声、基础减振等</w:t>
                  </w:r>
                </w:p>
              </w:tc>
              <w:tc>
                <w:tcPr>
                  <w:tcW w:w="1271" w:type="dxa"/>
                  <w:noWrap w:val="0"/>
                  <w:vAlign w:val="center"/>
                </w:tcPr>
                <w:p w14:paraId="478FD9BA">
                  <w:pPr>
                    <w:pStyle w:val="49"/>
                    <w:spacing w:line="320" w:lineRule="exact"/>
                    <w:rPr>
                      <w:rFonts w:hint="default" w:ascii="Calibri" w:hAnsi="Calibri" w:cs="宋体"/>
                      <w:sz w:val="21"/>
                      <w:szCs w:val="21"/>
                    </w:rPr>
                  </w:pPr>
                  <w:r>
                    <w:rPr>
                      <w:rFonts w:hint="default" w:ascii="Calibri" w:hAnsi="Calibri" w:cs="宋体"/>
                      <w:sz w:val="21"/>
                      <w:szCs w:val="21"/>
                    </w:rPr>
                    <w:t>/</w:t>
                  </w:r>
                </w:p>
              </w:tc>
            </w:tr>
          </w:tbl>
          <w:p w14:paraId="77D49283">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4"/>
              </w:rPr>
            </w:pPr>
            <w:r>
              <w:rPr>
                <w:rFonts w:hint="eastAsia"/>
                <w:b/>
                <w:bCs/>
                <w:sz w:val="24"/>
                <w:lang w:val="en-US" w:eastAsia="zh-CN"/>
              </w:rPr>
              <w:t>五</w:t>
            </w:r>
            <w:r>
              <w:rPr>
                <w:rFonts w:hint="eastAsia"/>
                <w:b/>
                <w:bCs/>
                <w:sz w:val="24"/>
              </w:rPr>
              <w:t>、</w:t>
            </w:r>
            <w:r>
              <w:rPr>
                <w:b/>
                <w:bCs/>
                <w:sz w:val="24"/>
              </w:rPr>
              <w:t>产品方案</w:t>
            </w:r>
          </w:p>
          <w:p w14:paraId="58DB5F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sz w:val="24"/>
              </w:rPr>
              <w:t>本项目产品主要为采棉机专用打包膜，</w:t>
            </w:r>
            <w:r>
              <w:rPr>
                <w:sz w:val="24"/>
              </w:rPr>
              <w:t>产品方案</w:t>
            </w:r>
            <w:r>
              <w:rPr>
                <w:rFonts w:hint="eastAsia"/>
                <w:sz w:val="24"/>
                <w:lang w:eastAsia="zh-CN"/>
              </w:rPr>
              <w:t>见表</w:t>
            </w:r>
            <w:r>
              <w:rPr>
                <w:rFonts w:hint="eastAsia"/>
                <w:sz w:val="24"/>
                <w:lang w:val="en-US" w:eastAsia="zh-CN"/>
              </w:rPr>
              <w:t>2-2</w:t>
            </w:r>
            <w:r>
              <w:rPr>
                <w:sz w:val="24"/>
              </w:rPr>
              <w:t>。</w:t>
            </w:r>
          </w:p>
          <w:p w14:paraId="19A51D52">
            <w:pPr>
              <w:spacing w:line="520" w:lineRule="exact"/>
              <w:ind w:firstLine="482" w:firstLineChars="200"/>
              <w:jc w:val="center"/>
              <w:rPr>
                <w:b/>
                <w:sz w:val="24"/>
              </w:rPr>
            </w:pPr>
            <w:r>
              <w:rPr>
                <w:b/>
                <w:sz w:val="24"/>
              </w:rPr>
              <w:t>表</w:t>
            </w:r>
            <w:r>
              <w:rPr>
                <w:rFonts w:hint="eastAsia"/>
                <w:b/>
                <w:sz w:val="24"/>
                <w:lang w:val="en-US" w:eastAsia="zh-CN"/>
              </w:rPr>
              <w:t>2-2</w:t>
            </w:r>
            <w:r>
              <w:rPr>
                <w:rFonts w:hint="eastAsia"/>
                <w:b/>
                <w:sz w:val="24"/>
              </w:rPr>
              <w:t xml:space="preserve">    </w:t>
            </w:r>
            <w:r>
              <w:rPr>
                <w:b/>
                <w:sz w:val="24"/>
              </w:rPr>
              <w:t>项目产品方案</w:t>
            </w:r>
          </w:p>
          <w:tbl>
            <w:tblPr>
              <w:tblStyle w:val="24"/>
              <w:tblW w:w="8370"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55"/>
              <w:gridCol w:w="2755"/>
              <w:gridCol w:w="933"/>
              <w:gridCol w:w="2223"/>
              <w:gridCol w:w="1204"/>
            </w:tblGrid>
            <w:tr w14:paraId="3E4F0C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12" w:hRule="atLeast"/>
              </w:trPr>
              <w:tc>
                <w:tcPr>
                  <w:tcW w:w="1255" w:type="dxa"/>
                  <w:tcBorders>
                    <w:bottom w:val="single" w:color="auto" w:sz="4" w:space="0"/>
                  </w:tcBorders>
                  <w:noWrap w:val="0"/>
                  <w:vAlign w:val="center"/>
                </w:tcPr>
                <w:p w14:paraId="377C9067">
                  <w:pPr>
                    <w:adjustRightInd w:val="0"/>
                    <w:snapToGrid w:val="0"/>
                    <w:ind w:right="-1"/>
                    <w:contextualSpacing/>
                    <w:jc w:val="center"/>
                    <w:rPr>
                      <w:rFonts w:hint="default" w:ascii="Times New Roman" w:hAnsi="Times New Roman" w:eastAsia="宋体" w:cs="Times New Roman"/>
                      <w:szCs w:val="21"/>
                    </w:rPr>
                  </w:pPr>
                  <w:r>
                    <w:rPr>
                      <w:rFonts w:hint="default" w:ascii="Times New Roman" w:hAnsi="Times New Roman" w:eastAsia="宋体" w:cs="Times New Roman"/>
                      <w:szCs w:val="21"/>
                    </w:rPr>
                    <w:t>产品名称</w:t>
                  </w:r>
                </w:p>
              </w:tc>
              <w:tc>
                <w:tcPr>
                  <w:tcW w:w="2755" w:type="dxa"/>
                  <w:tcBorders>
                    <w:bottom w:val="single" w:color="auto" w:sz="4" w:space="0"/>
                    <w:right w:val="single" w:color="auto" w:sz="4" w:space="0"/>
                  </w:tcBorders>
                  <w:noWrap w:val="0"/>
                  <w:vAlign w:val="center"/>
                </w:tcPr>
                <w:p w14:paraId="4F22CE16">
                  <w:pPr>
                    <w:adjustRightInd w:val="0"/>
                    <w:snapToGrid w:val="0"/>
                    <w:ind w:right="-1"/>
                    <w:contextualSpacing/>
                    <w:jc w:val="center"/>
                    <w:rPr>
                      <w:rFonts w:hint="default" w:ascii="Times New Roman" w:hAnsi="Times New Roman" w:eastAsia="宋体" w:cs="Times New Roman"/>
                      <w:szCs w:val="21"/>
                    </w:rPr>
                  </w:pPr>
                  <w:r>
                    <w:rPr>
                      <w:rFonts w:hint="default" w:ascii="Times New Roman" w:hAnsi="Times New Roman" w:eastAsia="宋体" w:cs="Times New Roman"/>
                      <w:szCs w:val="21"/>
                      <w:lang w:eastAsia="zh-CN"/>
                    </w:rPr>
                    <w:t>产品</w:t>
                  </w:r>
                  <w:r>
                    <w:rPr>
                      <w:rFonts w:hint="default" w:ascii="Times New Roman" w:hAnsi="Times New Roman" w:eastAsia="宋体" w:cs="Times New Roman"/>
                      <w:szCs w:val="21"/>
                    </w:rPr>
                    <w:t>规格</w:t>
                  </w:r>
                </w:p>
              </w:tc>
              <w:tc>
                <w:tcPr>
                  <w:tcW w:w="933" w:type="dxa"/>
                  <w:tcBorders>
                    <w:left w:val="single" w:color="auto" w:sz="4" w:space="0"/>
                    <w:bottom w:val="single" w:color="auto" w:sz="4" w:space="0"/>
                    <w:right w:val="single" w:color="auto" w:sz="4" w:space="0"/>
                  </w:tcBorders>
                  <w:noWrap w:val="0"/>
                  <w:vAlign w:val="center"/>
                </w:tcPr>
                <w:p w14:paraId="11A69F47">
                  <w:pPr>
                    <w:adjustRightInd w:val="0"/>
                    <w:snapToGrid w:val="0"/>
                    <w:ind w:right="-1"/>
                    <w:contextualSpacing/>
                    <w:jc w:val="center"/>
                    <w:rPr>
                      <w:rFonts w:hint="default" w:ascii="Times New Roman" w:hAnsi="Times New Roman" w:eastAsia="宋体" w:cs="Times New Roman"/>
                      <w:szCs w:val="21"/>
                      <w:lang w:eastAsia="zh-CN"/>
                    </w:rPr>
                  </w:pPr>
                  <w:r>
                    <w:rPr>
                      <w:rFonts w:hint="default" w:ascii="Times New Roman" w:hAnsi="Times New Roman" w:eastAsia="宋体" w:cs="Times New Roman"/>
                      <w:szCs w:val="21"/>
                      <w:lang w:val="en-US" w:eastAsia="zh-CN"/>
                    </w:rPr>
                    <w:t>生产能力</w:t>
                  </w:r>
                  <w:r>
                    <w:rPr>
                      <w:rFonts w:hint="default"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t</w:t>
                  </w:r>
                  <w:r>
                    <w:rPr>
                      <w:rFonts w:hint="default" w:ascii="Times New Roman" w:hAnsi="Times New Roman" w:eastAsia="宋体" w:cs="Times New Roman"/>
                      <w:szCs w:val="21"/>
                    </w:rPr>
                    <w:t>/a</w:t>
                  </w:r>
                  <w:r>
                    <w:rPr>
                      <w:rFonts w:hint="default" w:ascii="Times New Roman" w:hAnsi="Times New Roman" w:eastAsia="宋体" w:cs="Times New Roman"/>
                      <w:szCs w:val="21"/>
                      <w:lang w:eastAsia="zh-CN"/>
                    </w:rPr>
                    <w:t>）</w:t>
                  </w:r>
                </w:p>
              </w:tc>
              <w:tc>
                <w:tcPr>
                  <w:tcW w:w="2223" w:type="dxa"/>
                  <w:tcBorders>
                    <w:bottom w:val="single" w:color="auto" w:sz="4" w:space="0"/>
                  </w:tcBorders>
                  <w:noWrap w:val="0"/>
                  <w:vAlign w:val="center"/>
                </w:tcPr>
                <w:p w14:paraId="34DB9461">
                  <w:pPr>
                    <w:adjustRightInd w:val="0"/>
                    <w:snapToGrid w:val="0"/>
                    <w:ind w:right="-1"/>
                    <w:contextualSpacing/>
                    <w:jc w:val="center"/>
                    <w:rPr>
                      <w:rFonts w:hint="default" w:ascii="Times New Roman" w:hAnsi="Times New Roman" w:eastAsia="宋体" w:cs="Times New Roman"/>
                      <w:szCs w:val="21"/>
                    </w:rPr>
                  </w:pPr>
                  <w:r>
                    <w:rPr>
                      <w:rFonts w:hint="default" w:ascii="Times New Roman" w:hAnsi="Times New Roman" w:eastAsia="宋体" w:cs="Times New Roman"/>
                      <w:szCs w:val="21"/>
                    </w:rPr>
                    <w:t>质量标准</w:t>
                  </w:r>
                </w:p>
              </w:tc>
              <w:tc>
                <w:tcPr>
                  <w:tcW w:w="1204" w:type="dxa"/>
                  <w:tcBorders>
                    <w:bottom w:val="single" w:color="auto" w:sz="4" w:space="0"/>
                  </w:tcBorders>
                  <w:noWrap w:val="0"/>
                  <w:vAlign w:val="center"/>
                </w:tcPr>
                <w:p w14:paraId="21E298EA">
                  <w:pPr>
                    <w:adjustRightInd w:val="0"/>
                    <w:snapToGrid w:val="0"/>
                    <w:ind w:right="-1"/>
                    <w:contextualSpacing/>
                    <w:jc w:val="center"/>
                    <w:rPr>
                      <w:rFonts w:hint="default" w:ascii="Times New Roman" w:hAnsi="Times New Roman" w:eastAsia="宋体" w:cs="Times New Roman"/>
                      <w:szCs w:val="21"/>
                    </w:rPr>
                  </w:pPr>
                  <w:r>
                    <w:rPr>
                      <w:rFonts w:hint="default" w:ascii="Times New Roman" w:hAnsi="Times New Roman" w:eastAsia="宋体" w:cs="Times New Roman"/>
                      <w:szCs w:val="21"/>
                    </w:rPr>
                    <w:t>年运行</w:t>
                  </w:r>
                  <w:r>
                    <w:rPr>
                      <w:rFonts w:hint="default" w:ascii="Times New Roman" w:hAnsi="Times New Roman" w:eastAsia="宋体" w:cs="Times New Roman"/>
                      <w:szCs w:val="21"/>
                      <w:lang w:eastAsia="zh-CN"/>
                    </w:rPr>
                    <w:t>天数、</w:t>
                  </w:r>
                  <w:r>
                    <w:rPr>
                      <w:rFonts w:hint="default" w:ascii="Times New Roman" w:hAnsi="Times New Roman" w:eastAsia="宋体" w:cs="Times New Roman"/>
                      <w:szCs w:val="21"/>
                    </w:rPr>
                    <w:t>时数h/a</w:t>
                  </w:r>
                </w:p>
              </w:tc>
            </w:tr>
            <w:tr w14:paraId="000B8F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12" w:hRule="atLeast"/>
              </w:trPr>
              <w:tc>
                <w:tcPr>
                  <w:tcW w:w="1255" w:type="dxa"/>
                  <w:noWrap w:val="0"/>
                  <w:vAlign w:val="center"/>
                </w:tcPr>
                <w:p w14:paraId="0D6F5D37">
                  <w:pPr>
                    <w:adjustRightInd w:val="0"/>
                    <w:snapToGrid w:val="0"/>
                    <w:ind w:right="-1"/>
                    <w:contextualSpacing/>
                    <w:jc w:val="center"/>
                    <w:rPr>
                      <w:rFonts w:hint="default" w:ascii="Times New Roman" w:hAnsi="Times New Roman" w:eastAsia="宋体" w:cs="Times New Roman"/>
                      <w:szCs w:val="21"/>
                      <w:lang w:eastAsia="zh-CN"/>
                    </w:rPr>
                  </w:pPr>
                  <w:r>
                    <w:rPr>
                      <w:rFonts w:hint="default" w:ascii="Times New Roman" w:hAnsi="Times New Roman" w:eastAsia="宋体" w:cs="Times New Roman"/>
                      <w:szCs w:val="21"/>
                      <w:lang w:eastAsia="zh-CN"/>
                    </w:rPr>
                    <w:t>采棉机专用打包膜</w:t>
                  </w:r>
                </w:p>
              </w:tc>
              <w:tc>
                <w:tcPr>
                  <w:tcW w:w="2755" w:type="dxa"/>
                  <w:tcBorders>
                    <w:right w:val="single" w:color="auto" w:sz="4" w:space="0"/>
                  </w:tcBorders>
                  <w:noWrap w:val="0"/>
                  <w:vAlign w:val="center"/>
                </w:tcPr>
                <w:p w14:paraId="748013C9">
                  <w:pPr>
                    <w:adjustRightInd w:val="0"/>
                    <w:snapToGrid w:val="0"/>
                    <w:ind w:right="-1"/>
                    <w:contextualSpacing/>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厚度：0.02mm～0.05mm</w:t>
                  </w:r>
                </w:p>
                <w:p w14:paraId="62BEE2E4">
                  <w:pPr>
                    <w:adjustRightInd w:val="0"/>
                    <w:snapToGrid w:val="0"/>
                    <w:ind w:right="-1"/>
                    <w:contextualSpacing/>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宽度：1000mm～2</w:t>
                  </w:r>
                  <w:r>
                    <w:rPr>
                      <w:rFonts w:hint="eastAsia" w:cs="Times New Roman"/>
                      <w:szCs w:val="21"/>
                      <w:lang w:val="en-US" w:eastAsia="zh-CN"/>
                    </w:rPr>
                    <w:t>7</w:t>
                  </w:r>
                  <w:r>
                    <w:rPr>
                      <w:rFonts w:hint="default" w:ascii="Times New Roman" w:hAnsi="Times New Roman" w:eastAsia="宋体" w:cs="Times New Roman"/>
                      <w:szCs w:val="21"/>
                      <w:lang w:val="en-US" w:eastAsia="zh-CN"/>
                    </w:rPr>
                    <w:t>00mm</w:t>
                  </w:r>
                </w:p>
              </w:tc>
              <w:tc>
                <w:tcPr>
                  <w:tcW w:w="933" w:type="dxa"/>
                  <w:tcBorders>
                    <w:left w:val="single" w:color="auto" w:sz="4" w:space="0"/>
                    <w:right w:val="single" w:color="auto" w:sz="4" w:space="0"/>
                  </w:tcBorders>
                  <w:noWrap w:val="0"/>
                  <w:vAlign w:val="center"/>
                </w:tcPr>
                <w:p w14:paraId="399B020A">
                  <w:pPr>
                    <w:adjustRightInd w:val="0"/>
                    <w:snapToGrid w:val="0"/>
                    <w:ind w:right="-1"/>
                    <w:contextualSpacing/>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12000</w:t>
                  </w:r>
                </w:p>
              </w:tc>
              <w:tc>
                <w:tcPr>
                  <w:tcW w:w="2223" w:type="dxa"/>
                  <w:noWrap w:val="0"/>
                  <w:vAlign w:val="center"/>
                </w:tcPr>
                <w:p w14:paraId="14F1C221">
                  <w:pPr>
                    <w:adjustRightInd w:val="0"/>
                    <w:snapToGrid w:val="0"/>
                    <w:ind w:right="-1"/>
                    <w:contextualSpacing/>
                    <w:jc w:val="center"/>
                    <w:rPr>
                      <w:rFonts w:hint="default" w:ascii="Times New Roman" w:hAnsi="Times New Roman" w:eastAsia="宋体" w:cs="Times New Roman"/>
                      <w:szCs w:val="21"/>
                    </w:rPr>
                  </w:pPr>
                  <w:r>
                    <w:rPr>
                      <w:rFonts w:hint="default" w:ascii="Times New Roman" w:hAnsi="Times New Roman" w:eastAsia="宋体" w:cs="Times New Roman"/>
                      <w:szCs w:val="21"/>
                    </w:rPr>
                    <w:t>《机采籽棉用聚乙烯包装膜》（GH/T1491—2025）</w:t>
                  </w:r>
                </w:p>
              </w:tc>
              <w:tc>
                <w:tcPr>
                  <w:tcW w:w="1204" w:type="dxa"/>
                  <w:noWrap w:val="0"/>
                  <w:vAlign w:val="center"/>
                </w:tcPr>
                <w:p w14:paraId="49431698">
                  <w:pPr>
                    <w:adjustRightInd w:val="0"/>
                    <w:snapToGrid w:val="0"/>
                    <w:ind w:right="-1"/>
                    <w:contextualSpacing/>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300</w:t>
                  </w:r>
                  <w:r>
                    <w:rPr>
                      <w:rFonts w:hint="default" w:ascii="Times New Roman" w:hAnsi="Times New Roman" w:eastAsia="宋体" w:cs="Times New Roman"/>
                      <w:szCs w:val="21"/>
                      <w:lang w:val="en-US" w:eastAsia="zh-CN"/>
                    </w:rPr>
                    <w:t>天、</w:t>
                  </w:r>
                  <w:r>
                    <w:rPr>
                      <w:rFonts w:hint="eastAsia" w:ascii="Times New Roman" w:hAnsi="Times New Roman" w:cs="Times New Roman"/>
                      <w:sz w:val="21"/>
                      <w:szCs w:val="21"/>
                      <w:lang w:val="en-US" w:eastAsia="zh-CN"/>
                    </w:rPr>
                    <w:t>2400</w:t>
                  </w:r>
                  <w:r>
                    <w:rPr>
                      <w:rFonts w:hint="default" w:ascii="Times New Roman" w:hAnsi="Times New Roman" w:eastAsia="宋体" w:cs="Times New Roman"/>
                      <w:szCs w:val="21"/>
                      <w:lang w:val="en-US" w:eastAsia="zh-CN"/>
                    </w:rPr>
                    <w:t>小时</w:t>
                  </w:r>
                </w:p>
              </w:tc>
            </w:tr>
          </w:tbl>
          <w:p w14:paraId="06BB0E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b/>
                <w:bCs/>
                <w:sz w:val="24"/>
                <w:lang w:val="en-US" w:eastAsia="zh-CN"/>
              </w:rPr>
            </w:pPr>
            <w:r>
              <w:rPr>
                <w:rFonts w:hint="eastAsia"/>
                <w:b/>
                <w:bCs/>
                <w:sz w:val="24"/>
                <w:lang w:val="en-US" w:eastAsia="zh-CN"/>
              </w:rPr>
              <w:t>六</w:t>
            </w:r>
            <w:r>
              <w:rPr>
                <w:rFonts w:hint="eastAsia"/>
                <w:b/>
                <w:bCs/>
                <w:sz w:val="24"/>
              </w:rPr>
              <w:t>、主要生产设施</w:t>
            </w:r>
          </w:p>
          <w:p w14:paraId="32FB3E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rPr>
            </w:pPr>
            <w:r>
              <w:rPr>
                <w:rFonts w:hint="eastAsia" w:ascii="宋体" w:hAnsi="宋体" w:cs="宋体"/>
                <w:b w:val="0"/>
                <w:bCs w:val="0"/>
                <w:sz w:val="24"/>
              </w:rPr>
              <w:t>本项目主要</w:t>
            </w:r>
            <w:r>
              <w:rPr>
                <w:rFonts w:hint="eastAsia" w:ascii="宋体" w:hAnsi="宋体" w:cs="宋体"/>
                <w:b w:val="0"/>
                <w:bCs w:val="0"/>
                <w:sz w:val="24"/>
                <w:lang w:eastAsia="zh-CN"/>
              </w:rPr>
              <w:t>生产</w:t>
            </w:r>
            <w:r>
              <w:rPr>
                <w:rFonts w:hint="eastAsia" w:ascii="宋体" w:hAnsi="宋体" w:cs="宋体"/>
                <w:b w:val="0"/>
                <w:bCs w:val="0"/>
                <w:sz w:val="24"/>
              </w:rPr>
              <w:t>设施</w:t>
            </w:r>
            <w:r>
              <w:rPr>
                <w:rFonts w:hint="eastAsia" w:ascii="宋体" w:hAnsi="宋体" w:cs="宋体"/>
                <w:b w:val="0"/>
                <w:bCs w:val="0"/>
                <w:sz w:val="24"/>
                <w:lang w:eastAsia="zh-CN"/>
              </w:rPr>
              <w:t>见表</w:t>
            </w:r>
            <w:r>
              <w:rPr>
                <w:rFonts w:hint="eastAsia" w:ascii="宋体" w:hAnsi="宋体" w:cs="宋体"/>
                <w:b w:val="0"/>
                <w:bCs w:val="0"/>
                <w:sz w:val="24"/>
                <w:lang w:val="en-US" w:eastAsia="zh-CN"/>
              </w:rPr>
              <w:t>2-3</w:t>
            </w:r>
            <w:r>
              <w:rPr>
                <w:rFonts w:hint="eastAsia"/>
                <w:b w:val="0"/>
                <w:bCs w:val="0"/>
              </w:rPr>
              <w:t>。</w:t>
            </w:r>
          </w:p>
          <w:p w14:paraId="11572120">
            <w:pPr>
              <w:spacing w:line="520" w:lineRule="exact"/>
              <w:ind w:firstLine="482" w:firstLineChars="200"/>
              <w:jc w:val="center"/>
              <w:rPr>
                <w:rFonts w:hint="eastAsia" w:ascii="宋体" w:hAnsi="宋体" w:cs="宋体"/>
                <w:b/>
                <w:bCs/>
                <w:sz w:val="24"/>
              </w:rPr>
            </w:pPr>
            <w:r>
              <w:rPr>
                <w:rFonts w:hint="eastAsia" w:ascii="宋体" w:hAnsi="宋体" w:cs="宋体"/>
                <w:b/>
                <w:bCs/>
                <w:sz w:val="24"/>
              </w:rPr>
              <w:t>表</w:t>
            </w:r>
            <w:r>
              <w:rPr>
                <w:rFonts w:hint="eastAsia" w:ascii="宋体" w:hAnsi="宋体" w:cs="宋体"/>
                <w:b/>
                <w:bCs/>
                <w:sz w:val="24"/>
                <w:lang w:val="en-US" w:eastAsia="zh-CN"/>
              </w:rPr>
              <w:t xml:space="preserve">2-3 </w:t>
            </w:r>
            <w:r>
              <w:rPr>
                <w:rFonts w:hint="eastAsia" w:ascii="宋体" w:hAnsi="宋体" w:cs="宋体"/>
                <w:b/>
                <w:bCs/>
                <w:sz w:val="24"/>
              </w:rPr>
              <w:t xml:space="preserve"> 主要生产设施一览表</w:t>
            </w:r>
          </w:p>
          <w:tbl>
            <w:tblPr>
              <w:tblStyle w:val="24"/>
              <w:tblW w:w="83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030"/>
              <w:gridCol w:w="896"/>
              <w:gridCol w:w="1113"/>
              <w:gridCol w:w="1978"/>
              <w:gridCol w:w="433"/>
              <w:gridCol w:w="517"/>
              <w:gridCol w:w="1558"/>
            </w:tblGrid>
            <w:tr w14:paraId="37C0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58" w:type="dxa"/>
                  <w:noWrap w:val="0"/>
                  <w:vAlign w:val="center"/>
                </w:tcPr>
                <w:p w14:paraId="290B65AE">
                  <w:pPr>
                    <w:adjustRightInd w:val="0"/>
                    <w:snapToGrid w:val="0"/>
                    <w:ind w:right="-1"/>
                    <w:contextualSpacing/>
                    <w:jc w:val="center"/>
                    <w:rPr>
                      <w:sz w:val="21"/>
                      <w:szCs w:val="21"/>
                    </w:rPr>
                  </w:pPr>
                  <w:r>
                    <w:rPr>
                      <w:sz w:val="21"/>
                      <w:szCs w:val="21"/>
                    </w:rPr>
                    <w:t>序号</w:t>
                  </w:r>
                </w:p>
              </w:tc>
              <w:tc>
                <w:tcPr>
                  <w:tcW w:w="1030" w:type="dxa"/>
                  <w:noWrap w:val="0"/>
                  <w:vAlign w:val="center"/>
                </w:tcPr>
                <w:p w14:paraId="3A6DA333">
                  <w:pPr>
                    <w:adjustRightInd w:val="0"/>
                    <w:snapToGrid w:val="0"/>
                    <w:ind w:right="-1"/>
                    <w:contextualSpacing/>
                    <w:jc w:val="center"/>
                    <w:rPr>
                      <w:sz w:val="21"/>
                      <w:szCs w:val="21"/>
                    </w:rPr>
                  </w:pPr>
                  <w:r>
                    <w:rPr>
                      <w:sz w:val="21"/>
                      <w:szCs w:val="21"/>
                    </w:rPr>
                    <w:t>主要生产单元</w:t>
                  </w:r>
                </w:p>
              </w:tc>
              <w:tc>
                <w:tcPr>
                  <w:tcW w:w="896" w:type="dxa"/>
                  <w:noWrap w:val="0"/>
                  <w:vAlign w:val="center"/>
                </w:tcPr>
                <w:p w14:paraId="658C4AEE">
                  <w:pPr>
                    <w:adjustRightInd w:val="0"/>
                    <w:snapToGrid w:val="0"/>
                    <w:ind w:right="-1"/>
                    <w:contextualSpacing/>
                    <w:jc w:val="center"/>
                    <w:rPr>
                      <w:sz w:val="21"/>
                      <w:szCs w:val="21"/>
                    </w:rPr>
                  </w:pPr>
                  <w:r>
                    <w:rPr>
                      <w:sz w:val="21"/>
                      <w:szCs w:val="21"/>
                    </w:rPr>
                    <w:t>主要工艺</w:t>
                  </w:r>
                </w:p>
              </w:tc>
              <w:tc>
                <w:tcPr>
                  <w:tcW w:w="1113" w:type="dxa"/>
                  <w:noWrap w:val="0"/>
                  <w:vAlign w:val="center"/>
                </w:tcPr>
                <w:p w14:paraId="0CCC002A">
                  <w:pPr>
                    <w:adjustRightInd w:val="0"/>
                    <w:snapToGrid w:val="0"/>
                    <w:ind w:right="-1"/>
                    <w:contextualSpacing/>
                    <w:jc w:val="center"/>
                    <w:rPr>
                      <w:sz w:val="21"/>
                      <w:szCs w:val="21"/>
                    </w:rPr>
                  </w:pPr>
                  <w:r>
                    <w:rPr>
                      <w:sz w:val="21"/>
                      <w:szCs w:val="21"/>
                    </w:rPr>
                    <w:t>名称</w:t>
                  </w:r>
                </w:p>
              </w:tc>
              <w:tc>
                <w:tcPr>
                  <w:tcW w:w="1978" w:type="dxa"/>
                  <w:noWrap w:val="0"/>
                  <w:vAlign w:val="center"/>
                </w:tcPr>
                <w:p w14:paraId="1BA5A0F0">
                  <w:pPr>
                    <w:adjustRightInd w:val="0"/>
                    <w:snapToGrid w:val="0"/>
                    <w:ind w:right="-1"/>
                    <w:contextualSpacing/>
                    <w:jc w:val="center"/>
                    <w:rPr>
                      <w:sz w:val="21"/>
                      <w:szCs w:val="21"/>
                    </w:rPr>
                  </w:pPr>
                  <w:r>
                    <w:rPr>
                      <w:sz w:val="21"/>
                      <w:szCs w:val="21"/>
                    </w:rPr>
                    <w:t>技术规格</w:t>
                  </w:r>
                </w:p>
              </w:tc>
              <w:tc>
                <w:tcPr>
                  <w:tcW w:w="433" w:type="dxa"/>
                  <w:noWrap w:val="0"/>
                  <w:vAlign w:val="center"/>
                </w:tcPr>
                <w:p w14:paraId="5A26F9FE">
                  <w:pPr>
                    <w:adjustRightInd w:val="0"/>
                    <w:snapToGrid w:val="0"/>
                    <w:ind w:right="-1"/>
                    <w:contextualSpacing/>
                    <w:jc w:val="center"/>
                    <w:rPr>
                      <w:sz w:val="21"/>
                      <w:szCs w:val="21"/>
                    </w:rPr>
                  </w:pPr>
                  <w:r>
                    <w:rPr>
                      <w:sz w:val="21"/>
                      <w:szCs w:val="21"/>
                    </w:rPr>
                    <w:t>单位</w:t>
                  </w:r>
                </w:p>
              </w:tc>
              <w:tc>
                <w:tcPr>
                  <w:tcW w:w="517" w:type="dxa"/>
                  <w:noWrap w:val="0"/>
                  <w:vAlign w:val="center"/>
                </w:tcPr>
                <w:p w14:paraId="6034A3AF">
                  <w:pPr>
                    <w:adjustRightInd w:val="0"/>
                    <w:snapToGrid w:val="0"/>
                    <w:ind w:right="-1"/>
                    <w:contextualSpacing/>
                    <w:jc w:val="center"/>
                    <w:rPr>
                      <w:sz w:val="21"/>
                      <w:szCs w:val="21"/>
                    </w:rPr>
                  </w:pPr>
                  <w:r>
                    <w:rPr>
                      <w:sz w:val="21"/>
                      <w:szCs w:val="21"/>
                    </w:rPr>
                    <w:t>数量</w:t>
                  </w:r>
                </w:p>
              </w:tc>
              <w:tc>
                <w:tcPr>
                  <w:tcW w:w="1558" w:type="dxa"/>
                  <w:noWrap w:val="0"/>
                  <w:vAlign w:val="center"/>
                </w:tcPr>
                <w:p w14:paraId="6B5F7704">
                  <w:pPr>
                    <w:adjustRightInd w:val="0"/>
                    <w:snapToGrid w:val="0"/>
                    <w:ind w:right="-1"/>
                    <w:contextualSpacing/>
                    <w:jc w:val="center"/>
                    <w:rPr>
                      <w:sz w:val="21"/>
                      <w:szCs w:val="21"/>
                    </w:rPr>
                  </w:pPr>
                  <w:r>
                    <w:rPr>
                      <w:sz w:val="21"/>
                      <w:szCs w:val="21"/>
                    </w:rPr>
                    <w:t>备注</w:t>
                  </w:r>
                </w:p>
              </w:tc>
            </w:tr>
            <w:tr w14:paraId="0D45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58" w:type="dxa"/>
                  <w:noWrap w:val="0"/>
                  <w:vAlign w:val="center"/>
                </w:tcPr>
                <w:p w14:paraId="021659F6">
                  <w:pPr>
                    <w:adjustRightInd w:val="0"/>
                    <w:snapToGrid w:val="0"/>
                    <w:ind w:right="-1"/>
                    <w:contextualSpacing/>
                    <w:jc w:val="center"/>
                    <w:rPr>
                      <w:rFonts w:hint="default" w:eastAsia="宋体"/>
                      <w:sz w:val="21"/>
                      <w:szCs w:val="21"/>
                      <w:lang w:val="en-US" w:eastAsia="zh-CN"/>
                    </w:rPr>
                  </w:pPr>
                  <w:r>
                    <w:rPr>
                      <w:rFonts w:hint="eastAsia"/>
                      <w:sz w:val="21"/>
                      <w:szCs w:val="21"/>
                      <w:lang w:val="en-US" w:eastAsia="zh-CN"/>
                    </w:rPr>
                    <w:t>1</w:t>
                  </w:r>
                </w:p>
              </w:tc>
              <w:tc>
                <w:tcPr>
                  <w:tcW w:w="1030" w:type="dxa"/>
                  <w:noWrap w:val="0"/>
                  <w:vAlign w:val="center"/>
                </w:tcPr>
                <w:p w14:paraId="3235C90E">
                  <w:pPr>
                    <w:adjustRightInd w:val="0"/>
                    <w:snapToGrid w:val="0"/>
                    <w:ind w:right="-1"/>
                    <w:contextualSpacing/>
                    <w:jc w:val="center"/>
                    <w:rPr>
                      <w:rFonts w:hint="default" w:eastAsia="宋体"/>
                      <w:sz w:val="21"/>
                      <w:szCs w:val="21"/>
                      <w:lang w:val="en-US" w:eastAsia="zh-CN"/>
                    </w:rPr>
                  </w:pPr>
                  <w:r>
                    <w:rPr>
                      <w:rFonts w:hint="eastAsia"/>
                      <w:sz w:val="21"/>
                      <w:szCs w:val="21"/>
                      <w:lang w:val="en-US" w:eastAsia="zh-CN"/>
                    </w:rPr>
                    <w:t>吹塑膜工艺</w:t>
                  </w:r>
                </w:p>
              </w:tc>
              <w:tc>
                <w:tcPr>
                  <w:tcW w:w="896" w:type="dxa"/>
                  <w:noWrap w:val="0"/>
                  <w:vAlign w:val="center"/>
                </w:tcPr>
                <w:p w14:paraId="67A1C250">
                  <w:pPr>
                    <w:adjustRightInd w:val="0"/>
                    <w:snapToGrid w:val="0"/>
                    <w:ind w:right="-1"/>
                    <w:contextualSpacing/>
                    <w:jc w:val="center"/>
                    <w:rPr>
                      <w:rFonts w:hint="default" w:eastAsia="宋体"/>
                      <w:sz w:val="21"/>
                      <w:szCs w:val="21"/>
                      <w:lang w:val="en-US" w:eastAsia="zh-CN"/>
                    </w:rPr>
                  </w:pPr>
                  <w:r>
                    <w:rPr>
                      <w:rFonts w:hint="eastAsia" w:eastAsia="宋体"/>
                      <w:sz w:val="21"/>
                      <w:szCs w:val="21"/>
                      <w:lang w:val="en-US" w:eastAsia="zh-CN"/>
                    </w:rPr>
                    <w:t>挤出成型</w:t>
                  </w:r>
                </w:p>
              </w:tc>
              <w:tc>
                <w:tcPr>
                  <w:tcW w:w="1113" w:type="dxa"/>
                  <w:noWrap w:val="0"/>
                  <w:vAlign w:val="center"/>
                </w:tcPr>
                <w:p w14:paraId="4A7DA6B3">
                  <w:pPr>
                    <w:adjustRightInd w:val="0"/>
                    <w:snapToGrid w:val="0"/>
                    <w:ind w:right="-1"/>
                    <w:contextualSpacing/>
                    <w:jc w:val="center"/>
                    <w:rPr>
                      <w:rFonts w:hint="default"/>
                      <w:sz w:val="21"/>
                      <w:szCs w:val="21"/>
                      <w:lang w:val="en-US"/>
                    </w:rPr>
                  </w:pPr>
                  <w:r>
                    <w:rPr>
                      <w:rFonts w:hint="eastAsia"/>
                      <w:sz w:val="21"/>
                      <w:szCs w:val="21"/>
                      <w:lang w:val="en-US" w:eastAsia="zh-CN"/>
                    </w:rPr>
                    <w:t>三层共挤吹膜机</w:t>
                  </w:r>
                </w:p>
              </w:tc>
              <w:tc>
                <w:tcPr>
                  <w:tcW w:w="1978" w:type="dxa"/>
                  <w:noWrap w:val="0"/>
                  <w:vAlign w:val="center"/>
                </w:tcPr>
                <w:p w14:paraId="44B34579">
                  <w:pPr>
                    <w:adjustRightInd w:val="0"/>
                    <w:snapToGrid w:val="0"/>
                    <w:ind w:right="-1"/>
                    <w:contextualSpacing/>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JS3-3200型</w:t>
                  </w:r>
                </w:p>
              </w:tc>
              <w:tc>
                <w:tcPr>
                  <w:tcW w:w="433" w:type="dxa"/>
                  <w:noWrap w:val="0"/>
                  <w:vAlign w:val="center"/>
                </w:tcPr>
                <w:p w14:paraId="774DD2D1">
                  <w:pPr>
                    <w:adjustRightInd w:val="0"/>
                    <w:snapToGrid w:val="0"/>
                    <w:ind w:right="-1"/>
                    <w:contextualSpacing/>
                    <w:jc w:val="center"/>
                    <w:rPr>
                      <w:rFonts w:hint="default" w:eastAsia="宋体"/>
                      <w:sz w:val="21"/>
                      <w:szCs w:val="21"/>
                      <w:lang w:val="en-US" w:eastAsia="zh-CN"/>
                    </w:rPr>
                  </w:pPr>
                  <w:r>
                    <w:rPr>
                      <w:rFonts w:hint="eastAsia" w:eastAsia="宋体"/>
                      <w:sz w:val="21"/>
                      <w:szCs w:val="21"/>
                      <w:lang w:val="en-US" w:eastAsia="zh-CN"/>
                    </w:rPr>
                    <w:t>台</w:t>
                  </w:r>
                </w:p>
              </w:tc>
              <w:tc>
                <w:tcPr>
                  <w:tcW w:w="517" w:type="dxa"/>
                  <w:noWrap w:val="0"/>
                  <w:vAlign w:val="center"/>
                </w:tcPr>
                <w:p w14:paraId="29FB1420">
                  <w:pPr>
                    <w:adjustRightInd w:val="0"/>
                    <w:snapToGrid w:val="0"/>
                    <w:ind w:right="-1"/>
                    <w:contextualSpacing/>
                    <w:jc w:val="center"/>
                    <w:rPr>
                      <w:rFonts w:hint="default" w:eastAsia="宋体"/>
                      <w:sz w:val="21"/>
                      <w:szCs w:val="21"/>
                      <w:lang w:val="en-US" w:eastAsia="zh-CN"/>
                    </w:rPr>
                  </w:pPr>
                  <w:r>
                    <w:rPr>
                      <w:rFonts w:hint="eastAsia"/>
                      <w:sz w:val="21"/>
                      <w:szCs w:val="21"/>
                      <w:lang w:val="en-US" w:eastAsia="zh-CN"/>
                    </w:rPr>
                    <w:t>6</w:t>
                  </w:r>
                </w:p>
              </w:tc>
              <w:tc>
                <w:tcPr>
                  <w:tcW w:w="1558" w:type="dxa"/>
                  <w:noWrap w:val="0"/>
                  <w:vAlign w:val="center"/>
                </w:tcPr>
                <w:p w14:paraId="7C46CD86">
                  <w:pPr>
                    <w:adjustRightInd w:val="0"/>
                    <w:snapToGrid w:val="0"/>
                    <w:ind w:right="-1"/>
                    <w:contextualSpacing/>
                    <w:jc w:val="center"/>
                    <w:rPr>
                      <w:rFonts w:hint="eastAsia" w:eastAsia="宋体"/>
                      <w:sz w:val="21"/>
                      <w:szCs w:val="21"/>
                      <w:lang w:val="en-US" w:eastAsia="zh-CN"/>
                    </w:rPr>
                  </w:pPr>
                  <w:r>
                    <w:rPr>
                      <w:rFonts w:hint="eastAsia"/>
                      <w:sz w:val="21"/>
                      <w:szCs w:val="21"/>
                      <w:lang w:val="en-US" w:eastAsia="zh-CN"/>
                    </w:rPr>
                    <w:t>/</w:t>
                  </w:r>
                </w:p>
              </w:tc>
            </w:tr>
            <w:tr w14:paraId="670E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58" w:type="dxa"/>
                  <w:noWrap w:val="0"/>
                  <w:vAlign w:val="center"/>
                </w:tcPr>
                <w:p w14:paraId="71A46B02">
                  <w:pPr>
                    <w:adjustRightInd w:val="0"/>
                    <w:snapToGrid w:val="0"/>
                    <w:ind w:right="-1" w:rightChars="0"/>
                    <w:contextualSpacing/>
                    <w:jc w:val="center"/>
                    <w:rPr>
                      <w:rFonts w:hint="eastAsia" w:eastAsia="宋体"/>
                      <w:sz w:val="21"/>
                      <w:szCs w:val="21"/>
                      <w:lang w:val="en-US" w:eastAsia="zh-CN"/>
                    </w:rPr>
                  </w:pPr>
                  <w:r>
                    <w:rPr>
                      <w:rFonts w:hint="eastAsia"/>
                      <w:sz w:val="21"/>
                      <w:szCs w:val="21"/>
                      <w:lang w:val="en-US" w:eastAsia="zh-CN"/>
                    </w:rPr>
                    <w:t>2</w:t>
                  </w:r>
                </w:p>
              </w:tc>
              <w:tc>
                <w:tcPr>
                  <w:tcW w:w="1030" w:type="dxa"/>
                  <w:noWrap w:val="0"/>
                  <w:vAlign w:val="center"/>
                </w:tcPr>
                <w:p w14:paraId="1B1F2248">
                  <w:pPr>
                    <w:adjustRightInd w:val="0"/>
                    <w:snapToGrid w:val="0"/>
                    <w:ind w:right="-1"/>
                    <w:contextualSpacing/>
                    <w:jc w:val="center"/>
                    <w:rPr>
                      <w:rFonts w:hint="default" w:eastAsia="宋体"/>
                      <w:sz w:val="21"/>
                      <w:szCs w:val="21"/>
                      <w:lang w:val="en-US" w:eastAsia="zh-CN"/>
                    </w:rPr>
                  </w:pPr>
                  <w:r>
                    <w:rPr>
                      <w:rFonts w:hint="eastAsia"/>
                      <w:sz w:val="21"/>
                      <w:szCs w:val="21"/>
                      <w:lang w:val="en-US" w:eastAsia="zh-CN"/>
                    </w:rPr>
                    <w:t>涂胶工序</w:t>
                  </w:r>
                </w:p>
              </w:tc>
              <w:tc>
                <w:tcPr>
                  <w:tcW w:w="896" w:type="dxa"/>
                  <w:noWrap w:val="0"/>
                  <w:vAlign w:val="center"/>
                </w:tcPr>
                <w:p w14:paraId="171AC73F">
                  <w:pPr>
                    <w:adjustRightInd w:val="0"/>
                    <w:snapToGrid w:val="0"/>
                    <w:ind w:right="-1"/>
                    <w:contextualSpacing/>
                    <w:jc w:val="center"/>
                    <w:rPr>
                      <w:rFonts w:hint="eastAsia"/>
                      <w:sz w:val="21"/>
                      <w:szCs w:val="21"/>
                    </w:rPr>
                  </w:pPr>
                  <w:r>
                    <w:rPr>
                      <w:rFonts w:hint="eastAsia"/>
                      <w:sz w:val="21"/>
                      <w:szCs w:val="21"/>
                      <w:lang w:val="en-US" w:eastAsia="zh-CN"/>
                    </w:rPr>
                    <w:t>涂胶</w:t>
                  </w:r>
                </w:p>
              </w:tc>
              <w:tc>
                <w:tcPr>
                  <w:tcW w:w="1113" w:type="dxa"/>
                  <w:noWrap w:val="0"/>
                  <w:vAlign w:val="center"/>
                </w:tcPr>
                <w:p w14:paraId="4C9B768A">
                  <w:pPr>
                    <w:adjustRightInd w:val="0"/>
                    <w:snapToGrid w:val="0"/>
                    <w:ind w:right="-1"/>
                    <w:contextualSpacing/>
                    <w:jc w:val="center"/>
                    <w:rPr>
                      <w:rFonts w:hint="eastAsia" w:eastAsia="宋体"/>
                      <w:sz w:val="21"/>
                      <w:szCs w:val="21"/>
                      <w:lang w:eastAsia="zh-CN"/>
                    </w:rPr>
                  </w:pPr>
                  <w:r>
                    <w:rPr>
                      <w:rFonts w:hint="eastAsia"/>
                      <w:sz w:val="21"/>
                      <w:szCs w:val="21"/>
                      <w:lang w:val="en-US" w:eastAsia="zh-CN"/>
                    </w:rPr>
                    <w:t>涂胶机</w:t>
                  </w:r>
                </w:p>
              </w:tc>
              <w:tc>
                <w:tcPr>
                  <w:tcW w:w="1978" w:type="dxa"/>
                  <w:noWrap w:val="0"/>
                  <w:vAlign w:val="center"/>
                </w:tcPr>
                <w:p w14:paraId="5A081C19">
                  <w:pPr>
                    <w:adjustRightInd w:val="0"/>
                    <w:snapToGrid w:val="0"/>
                    <w:ind w:right="-1"/>
                    <w:contextualSpacing/>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烘箱电加热，温度50~150℃可调；烘箱长度约6m，分2个温区独立控温；进出口设软帘围挡</w:t>
                  </w:r>
                </w:p>
              </w:tc>
              <w:tc>
                <w:tcPr>
                  <w:tcW w:w="433" w:type="dxa"/>
                  <w:noWrap w:val="0"/>
                  <w:vAlign w:val="center"/>
                </w:tcPr>
                <w:p w14:paraId="763CE8E6">
                  <w:pPr>
                    <w:adjustRightInd w:val="0"/>
                    <w:snapToGrid w:val="0"/>
                    <w:ind w:right="-1"/>
                    <w:contextualSpacing/>
                    <w:jc w:val="center"/>
                    <w:rPr>
                      <w:sz w:val="21"/>
                      <w:szCs w:val="21"/>
                    </w:rPr>
                  </w:pPr>
                  <w:r>
                    <w:rPr>
                      <w:sz w:val="21"/>
                      <w:szCs w:val="21"/>
                    </w:rPr>
                    <w:t>台</w:t>
                  </w:r>
                </w:p>
              </w:tc>
              <w:tc>
                <w:tcPr>
                  <w:tcW w:w="517" w:type="dxa"/>
                  <w:noWrap w:val="0"/>
                  <w:vAlign w:val="center"/>
                </w:tcPr>
                <w:p w14:paraId="214E11D7">
                  <w:pPr>
                    <w:adjustRightInd w:val="0"/>
                    <w:snapToGrid w:val="0"/>
                    <w:ind w:right="-1"/>
                    <w:contextualSpacing/>
                    <w:jc w:val="center"/>
                    <w:rPr>
                      <w:rFonts w:hint="eastAsia" w:eastAsia="宋体"/>
                      <w:sz w:val="21"/>
                      <w:szCs w:val="21"/>
                      <w:lang w:eastAsia="zh-CN"/>
                    </w:rPr>
                  </w:pPr>
                  <w:r>
                    <w:rPr>
                      <w:rFonts w:hint="eastAsia"/>
                      <w:sz w:val="21"/>
                      <w:szCs w:val="21"/>
                      <w:lang w:val="en-US" w:eastAsia="zh-CN"/>
                    </w:rPr>
                    <w:t>3</w:t>
                  </w:r>
                </w:p>
              </w:tc>
              <w:tc>
                <w:tcPr>
                  <w:tcW w:w="1558" w:type="dxa"/>
                  <w:noWrap w:val="0"/>
                  <w:vAlign w:val="center"/>
                </w:tcPr>
                <w:p w14:paraId="1C41BA39">
                  <w:pPr>
                    <w:adjustRightInd w:val="0"/>
                    <w:snapToGrid w:val="0"/>
                    <w:ind w:right="-1"/>
                    <w:contextualSpacing/>
                    <w:jc w:val="center"/>
                    <w:rPr>
                      <w:rFonts w:hint="eastAsia" w:eastAsia="宋体"/>
                      <w:sz w:val="21"/>
                      <w:szCs w:val="21"/>
                      <w:lang w:eastAsia="zh-CN"/>
                    </w:rPr>
                  </w:pPr>
                  <w:r>
                    <w:rPr>
                      <w:rFonts w:hint="eastAsia"/>
                      <w:sz w:val="21"/>
                      <w:szCs w:val="21"/>
                      <w:lang w:val="en-US" w:eastAsia="zh-CN"/>
                    </w:rPr>
                    <w:t>/</w:t>
                  </w:r>
                </w:p>
              </w:tc>
            </w:tr>
            <w:tr w14:paraId="549E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58" w:type="dxa"/>
                  <w:noWrap w:val="0"/>
                  <w:vAlign w:val="center"/>
                </w:tcPr>
                <w:p w14:paraId="485CD2FF">
                  <w:pPr>
                    <w:adjustRightInd w:val="0"/>
                    <w:snapToGrid w:val="0"/>
                    <w:ind w:right="-1" w:rightChars="0"/>
                    <w:contextualSpacing/>
                    <w:jc w:val="center"/>
                    <w:rPr>
                      <w:rFonts w:hint="default"/>
                      <w:sz w:val="21"/>
                      <w:szCs w:val="21"/>
                      <w:lang w:val="en-US" w:eastAsia="zh-CN"/>
                    </w:rPr>
                  </w:pPr>
                  <w:r>
                    <w:rPr>
                      <w:rFonts w:hint="eastAsia"/>
                      <w:sz w:val="21"/>
                      <w:szCs w:val="21"/>
                      <w:lang w:val="en-US" w:eastAsia="zh-CN"/>
                    </w:rPr>
                    <w:t>3</w:t>
                  </w:r>
                </w:p>
              </w:tc>
              <w:tc>
                <w:tcPr>
                  <w:tcW w:w="1030" w:type="dxa"/>
                  <w:vMerge w:val="restart"/>
                  <w:noWrap w:val="0"/>
                  <w:vAlign w:val="center"/>
                </w:tcPr>
                <w:p w14:paraId="771081B3">
                  <w:pPr>
                    <w:adjustRightInd w:val="0"/>
                    <w:snapToGrid w:val="0"/>
                    <w:ind w:right="-1"/>
                    <w:contextualSpacing/>
                    <w:jc w:val="center"/>
                    <w:rPr>
                      <w:rFonts w:hint="default"/>
                      <w:sz w:val="21"/>
                      <w:szCs w:val="21"/>
                      <w:lang w:val="en-US" w:eastAsia="zh-CN"/>
                    </w:rPr>
                  </w:pPr>
                  <w:r>
                    <w:rPr>
                      <w:rFonts w:hint="eastAsia"/>
                      <w:sz w:val="21"/>
                      <w:szCs w:val="21"/>
                      <w:lang w:val="en-US" w:eastAsia="zh-CN"/>
                    </w:rPr>
                    <w:t>后道加工</w:t>
                  </w:r>
                </w:p>
              </w:tc>
              <w:tc>
                <w:tcPr>
                  <w:tcW w:w="896" w:type="dxa"/>
                  <w:noWrap w:val="0"/>
                  <w:vAlign w:val="center"/>
                </w:tcPr>
                <w:p w14:paraId="2BD8E3E6">
                  <w:pPr>
                    <w:adjustRightInd w:val="0"/>
                    <w:snapToGrid w:val="0"/>
                    <w:ind w:right="-1"/>
                    <w:contextualSpacing/>
                    <w:jc w:val="center"/>
                    <w:rPr>
                      <w:rFonts w:hint="default"/>
                      <w:sz w:val="21"/>
                      <w:szCs w:val="21"/>
                      <w:lang w:val="en-US" w:eastAsia="zh-CN"/>
                    </w:rPr>
                  </w:pPr>
                  <w:r>
                    <w:rPr>
                      <w:rFonts w:hint="eastAsia"/>
                      <w:sz w:val="21"/>
                      <w:szCs w:val="21"/>
                      <w:lang w:val="en-US" w:eastAsia="zh-CN"/>
                    </w:rPr>
                    <w:t>扣合</w:t>
                  </w:r>
                </w:p>
              </w:tc>
              <w:tc>
                <w:tcPr>
                  <w:tcW w:w="1113" w:type="dxa"/>
                  <w:noWrap w:val="0"/>
                  <w:vAlign w:val="center"/>
                </w:tcPr>
                <w:p w14:paraId="774B0C82">
                  <w:pPr>
                    <w:adjustRightInd w:val="0"/>
                    <w:snapToGrid w:val="0"/>
                    <w:ind w:right="-1"/>
                    <w:contextualSpacing/>
                    <w:jc w:val="center"/>
                    <w:rPr>
                      <w:rFonts w:hint="default"/>
                      <w:sz w:val="21"/>
                      <w:szCs w:val="21"/>
                      <w:lang w:val="en-US" w:eastAsia="zh-CN"/>
                    </w:rPr>
                  </w:pPr>
                  <w:r>
                    <w:rPr>
                      <w:rFonts w:hint="eastAsia"/>
                      <w:sz w:val="21"/>
                      <w:szCs w:val="21"/>
                      <w:lang w:val="en-US" w:eastAsia="zh-CN"/>
                    </w:rPr>
                    <w:t>扣子机</w:t>
                  </w:r>
                </w:p>
              </w:tc>
              <w:tc>
                <w:tcPr>
                  <w:tcW w:w="1978" w:type="dxa"/>
                  <w:noWrap w:val="0"/>
                  <w:vAlign w:val="center"/>
                </w:tcPr>
                <w:p w14:paraId="62431CDC">
                  <w:pPr>
                    <w:adjustRightInd w:val="0"/>
                    <w:snapToGrid w:val="0"/>
                    <w:ind w:right="-1"/>
                    <w:contextualSpacing/>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功率0.75kW；气压 0.3~0.8MPa</w:t>
                  </w:r>
                </w:p>
              </w:tc>
              <w:tc>
                <w:tcPr>
                  <w:tcW w:w="433" w:type="dxa"/>
                  <w:noWrap w:val="0"/>
                  <w:vAlign w:val="center"/>
                </w:tcPr>
                <w:p w14:paraId="46F0565D">
                  <w:pPr>
                    <w:adjustRightInd w:val="0"/>
                    <w:snapToGrid w:val="0"/>
                    <w:ind w:right="-1"/>
                    <w:contextualSpacing/>
                    <w:jc w:val="center"/>
                    <w:rPr>
                      <w:rFonts w:hint="eastAsia" w:eastAsia="宋体"/>
                      <w:sz w:val="21"/>
                      <w:szCs w:val="21"/>
                      <w:lang w:val="en-US" w:eastAsia="zh-CN"/>
                    </w:rPr>
                  </w:pPr>
                  <w:r>
                    <w:rPr>
                      <w:rFonts w:hint="eastAsia"/>
                      <w:sz w:val="21"/>
                      <w:szCs w:val="21"/>
                      <w:lang w:val="en-US" w:eastAsia="zh-CN"/>
                    </w:rPr>
                    <w:t>台</w:t>
                  </w:r>
                </w:p>
              </w:tc>
              <w:tc>
                <w:tcPr>
                  <w:tcW w:w="517" w:type="dxa"/>
                  <w:noWrap w:val="0"/>
                  <w:vAlign w:val="center"/>
                </w:tcPr>
                <w:p w14:paraId="2074F06E">
                  <w:pPr>
                    <w:adjustRightInd w:val="0"/>
                    <w:snapToGrid w:val="0"/>
                    <w:ind w:right="-1"/>
                    <w:contextualSpacing/>
                    <w:jc w:val="center"/>
                    <w:rPr>
                      <w:rFonts w:hint="default"/>
                      <w:sz w:val="21"/>
                      <w:szCs w:val="21"/>
                      <w:lang w:val="en-US" w:eastAsia="zh-CN"/>
                    </w:rPr>
                  </w:pPr>
                  <w:r>
                    <w:rPr>
                      <w:rFonts w:hint="eastAsia"/>
                      <w:sz w:val="21"/>
                      <w:szCs w:val="21"/>
                      <w:lang w:val="en-US" w:eastAsia="zh-CN"/>
                    </w:rPr>
                    <w:t>12</w:t>
                  </w:r>
                </w:p>
              </w:tc>
              <w:tc>
                <w:tcPr>
                  <w:tcW w:w="1558" w:type="dxa"/>
                  <w:noWrap w:val="0"/>
                  <w:vAlign w:val="center"/>
                </w:tcPr>
                <w:p w14:paraId="2BEA0110">
                  <w:pPr>
                    <w:adjustRightInd w:val="0"/>
                    <w:snapToGrid w:val="0"/>
                    <w:ind w:right="-1"/>
                    <w:contextualSpacing/>
                    <w:jc w:val="center"/>
                    <w:rPr>
                      <w:rFonts w:hint="default"/>
                      <w:sz w:val="21"/>
                      <w:szCs w:val="21"/>
                      <w:lang w:val="en-US" w:eastAsia="zh-CN"/>
                    </w:rPr>
                  </w:pPr>
                  <w:r>
                    <w:rPr>
                      <w:rFonts w:hint="eastAsia"/>
                      <w:sz w:val="21"/>
                      <w:szCs w:val="21"/>
                      <w:lang w:val="en-US" w:eastAsia="zh-CN"/>
                    </w:rPr>
                    <w:t>/</w:t>
                  </w:r>
                </w:p>
              </w:tc>
            </w:tr>
            <w:tr w14:paraId="7E5F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58" w:type="dxa"/>
                  <w:noWrap w:val="0"/>
                  <w:vAlign w:val="center"/>
                </w:tcPr>
                <w:p w14:paraId="69FF6FE6">
                  <w:pPr>
                    <w:adjustRightInd w:val="0"/>
                    <w:snapToGrid w:val="0"/>
                    <w:ind w:right="-1" w:rightChars="0"/>
                    <w:contextualSpacing/>
                    <w:jc w:val="center"/>
                    <w:rPr>
                      <w:rFonts w:hint="default"/>
                      <w:sz w:val="21"/>
                      <w:szCs w:val="21"/>
                      <w:lang w:val="en-US" w:eastAsia="zh-CN"/>
                    </w:rPr>
                  </w:pPr>
                  <w:r>
                    <w:rPr>
                      <w:rFonts w:hint="eastAsia"/>
                      <w:sz w:val="21"/>
                      <w:szCs w:val="21"/>
                      <w:lang w:val="en-US" w:eastAsia="zh-CN"/>
                    </w:rPr>
                    <w:t>4</w:t>
                  </w:r>
                </w:p>
              </w:tc>
              <w:tc>
                <w:tcPr>
                  <w:tcW w:w="1030" w:type="dxa"/>
                  <w:vMerge w:val="continue"/>
                  <w:noWrap w:val="0"/>
                  <w:vAlign w:val="center"/>
                </w:tcPr>
                <w:p w14:paraId="198261ED">
                  <w:pPr>
                    <w:adjustRightInd w:val="0"/>
                    <w:snapToGrid w:val="0"/>
                    <w:ind w:right="-1"/>
                    <w:contextualSpacing/>
                    <w:jc w:val="center"/>
                    <w:rPr>
                      <w:rFonts w:hint="eastAsia"/>
                      <w:sz w:val="21"/>
                      <w:szCs w:val="21"/>
                    </w:rPr>
                  </w:pPr>
                </w:p>
              </w:tc>
              <w:tc>
                <w:tcPr>
                  <w:tcW w:w="896" w:type="dxa"/>
                  <w:noWrap w:val="0"/>
                  <w:vAlign w:val="center"/>
                </w:tcPr>
                <w:p w14:paraId="55F10E71">
                  <w:pPr>
                    <w:adjustRightInd w:val="0"/>
                    <w:snapToGrid w:val="0"/>
                    <w:ind w:right="-1"/>
                    <w:contextualSpacing/>
                    <w:jc w:val="center"/>
                    <w:rPr>
                      <w:rFonts w:hint="default" w:eastAsia="宋体"/>
                      <w:sz w:val="21"/>
                      <w:szCs w:val="21"/>
                      <w:lang w:val="en-US" w:eastAsia="zh-CN"/>
                    </w:rPr>
                  </w:pPr>
                  <w:r>
                    <w:rPr>
                      <w:rFonts w:hint="eastAsia"/>
                      <w:sz w:val="21"/>
                      <w:szCs w:val="21"/>
                      <w:lang w:val="en-US" w:eastAsia="zh-CN"/>
                    </w:rPr>
                    <w:t>分割</w:t>
                  </w:r>
                </w:p>
              </w:tc>
              <w:tc>
                <w:tcPr>
                  <w:tcW w:w="1113" w:type="dxa"/>
                  <w:noWrap w:val="0"/>
                  <w:vAlign w:val="center"/>
                </w:tcPr>
                <w:p w14:paraId="7FB0E384">
                  <w:pPr>
                    <w:adjustRightInd w:val="0"/>
                    <w:snapToGrid w:val="0"/>
                    <w:ind w:right="-1"/>
                    <w:contextualSpacing/>
                    <w:jc w:val="center"/>
                    <w:rPr>
                      <w:rFonts w:hint="eastAsia" w:eastAsia="宋体"/>
                      <w:sz w:val="21"/>
                      <w:szCs w:val="21"/>
                      <w:lang w:val="en-US" w:eastAsia="zh-CN"/>
                    </w:rPr>
                  </w:pPr>
                  <w:r>
                    <w:rPr>
                      <w:rFonts w:hint="eastAsia"/>
                      <w:sz w:val="21"/>
                      <w:szCs w:val="21"/>
                      <w:lang w:val="en-US" w:eastAsia="zh-CN"/>
                    </w:rPr>
                    <w:t>后道分切机</w:t>
                  </w:r>
                </w:p>
              </w:tc>
              <w:tc>
                <w:tcPr>
                  <w:tcW w:w="1978" w:type="dxa"/>
                  <w:noWrap w:val="0"/>
                  <w:vAlign w:val="center"/>
                </w:tcPr>
                <w:p w14:paraId="05CFCA11">
                  <w:pPr>
                    <w:adjustRightInd w:val="0"/>
                    <w:snapToGrid w:val="0"/>
                    <w:ind w:right="-1"/>
                    <w:contextualSpacing/>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有效分切幅宽1600mm；分切速度 50~300m/min；最小分切宽度50mm</w:t>
                  </w:r>
                </w:p>
              </w:tc>
              <w:tc>
                <w:tcPr>
                  <w:tcW w:w="433" w:type="dxa"/>
                  <w:noWrap w:val="0"/>
                  <w:vAlign w:val="center"/>
                </w:tcPr>
                <w:p w14:paraId="2A8AF7C0">
                  <w:pPr>
                    <w:adjustRightInd w:val="0"/>
                    <w:snapToGrid w:val="0"/>
                    <w:ind w:right="-1"/>
                    <w:contextualSpacing/>
                    <w:jc w:val="center"/>
                    <w:rPr>
                      <w:rFonts w:hint="default" w:eastAsia="宋体"/>
                      <w:sz w:val="21"/>
                      <w:szCs w:val="21"/>
                      <w:lang w:val="en-US" w:eastAsia="zh-CN"/>
                    </w:rPr>
                  </w:pPr>
                  <w:r>
                    <w:rPr>
                      <w:rFonts w:hint="eastAsia"/>
                      <w:sz w:val="21"/>
                      <w:szCs w:val="21"/>
                      <w:lang w:val="en-US" w:eastAsia="zh-CN"/>
                    </w:rPr>
                    <w:t>台</w:t>
                  </w:r>
                </w:p>
              </w:tc>
              <w:tc>
                <w:tcPr>
                  <w:tcW w:w="517" w:type="dxa"/>
                  <w:noWrap w:val="0"/>
                  <w:vAlign w:val="center"/>
                </w:tcPr>
                <w:p w14:paraId="2C50E3B7">
                  <w:pPr>
                    <w:adjustRightInd w:val="0"/>
                    <w:snapToGrid w:val="0"/>
                    <w:ind w:right="-1"/>
                    <w:contextualSpacing/>
                    <w:jc w:val="center"/>
                    <w:rPr>
                      <w:rFonts w:hint="default"/>
                      <w:sz w:val="21"/>
                      <w:szCs w:val="21"/>
                      <w:lang w:val="en-US" w:eastAsia="zh-CN"/>
                    </w:rPr>
                  </w:pPr>
                  <w:r>
                    <w:rPr>
                      <w:rFonts w:hint="eastAsia"/>
                      <w:sz w:val="21"/>
                      <w:szCs w:val="21"/>
                      <w:lang w:val="en-US" w:eastAsia="zh-CN"/>
                    </w:rPr>
                    <w:t>12</w:t>
                  </w:r>
                </w:p>
              </w:tc>
              <w:tc>
                <w:tcPr>
                  <w:tcW w:w="1558" w:type="dxa"/>
                  <w:noWrap w:val="0"/>
                  <w:vAlign w:val="center"/>
                </w:tcPr>
                <w:p w14:paraId="799326BC">
                  <w:pPr>
                    <w:adjustRightInd w:val="0"/>
                    <w:snapToGrid w:val="0"/>
                    <w:ind w:right="-1"/>
                    <w:contextualSpacing/>
                    <w:jc w:val="center"/>
                    <w:rPr>
                      <w:rFonts w:hint="eastAsia" w:eastAsia="宋体"/>
                      <w:sz w:val="21"/>
                      <w:szCs w:val="21"/>
                      <w:lang w:val="en-US" w:eastAsia="zh-CN"/>
                    </w:rPr>
                  </w:pPr>
                  <w:r>
                    <w:rPr>
                      <w:rFonts w:hint="eastAsia"/>
                      <w:sz w:val="21"/>
                      <w:szCs w:val="21"/>
                      <w:lang w:val="en-US" w:eastAsia="zh-CN"/>
                    </w:rPr>
                    <w:t>/</w:t>
                  </w:r>
                </w:p>
              </w:tc>
            </w:tr>
            <w:tr w14:paraId="0357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58" w:type="dxa"/>
                  <w:noWrap w:val="0"/>
                  <w:vAlign w:val="center"/>
                </w:tcPr>
                <w:p w14:paraId="39DB7B87">
                  <w:pPr>
                    <w:adjustRightInd w:val="0"/>
                    <w:snapToGrid w:val="0"/>
                    <w:ind w:right="-1" w:rightChars="0"/>
                    <w:contextualSpacing/>
                    <w:jc w:val="center"/>
                    <w:rPr>
                      <w:rFonts w:hint="default"/>
                      <w:sz w:val="21"/>
                      <w:szCs w:val="21"/>
                      <w:lang w:val="en-US" w:eastAsia="zh-CN"/>
                    </w:rPr>
                  </w:pPr>
                  <w:r>
                    <w:rPr>
                      <w:rFonts w:hint="eastAsia"/>
                      <w:sz w:val="21"/>
                      <w:szCs w:val="21"/>
                      <w:lang w:val="en-US" w:eastAsia="zh-CN"/>
                    </w:rPr>
                    <w:t>5</w:t>
                  </w:r>
                </w:p>
              </w:tc>
              <w:tc>
                <w:tcPr>
                  <w:tcW w:w="1030" w:type="dxa"/>
                  <w:vMerge w:val="continue"/>
                  <w:noWrap w:val="0"/>
                  <w:vAlign w:val="center"/>
                </w:tcPr>
                <w:p w14:paraId="5463B9E8">
                  <w:pPr>
                    <w:adjustRightInd w:val="0"/>
                    <w:snapToGrid w:val="0"/>
                    <w:ind w:right="-1"/>
                    <w:contextualSpacing/>
                    <w:jc w:val="center"/>
                    <w:rPr>
                      <w:rFonts w:hint="eastAsia"/>
                      <w:sz w:val="21"/>
                      <w:szCs w:val="21"/>
                    </w:rPr>
                  </w:pPr>
                </w:p>
              </w:tc>
              <w:tc>
                <w:tcPr>
                  <w:tcW w:w="896" w:type="dxa"/>
                  <w:noWrap w:val="0"/>
                  <w:vAlign w:val="center"/>
                </w:tcPr>
                <w:p w14:paraId="6F91D446">
                  <w:pPr>
                    <w:adjustRightInd w:val="0"/>
                    <w:snapToGrid w:val="0"/>
                    <w:ind w:right="-1"/>
                    <w:contextualSpacing/>
                    <w:jc w:val="center"/>
                    <w:rPr>
                      <w:rFonts w:hint="default"/>
                      <w:sz w:val="21"/>
                      <w:szCs w:val="21"/>
                      <w:lang w:val="en-US" w:eastAsia="zh-CN"/>
                    </w:rPr>
                  </w:pPr>
                  <w:r>
                    <w:rPr>
                      <w:rFonts w:hint="eastAsia"/>
                      <w:sz w:val="21"/>
                      <w:szCs w:val="21"/>
                      <w:lang w:val="en-US" w:eastAsia="zh-CN"/>
                    </w:rPr>
                    <w:t>整平</w:t>
                  </w:r>
                </w:p>
              </w:tc>
              <w:tc>
                <w:tcPr>
                  <w:tcW w:w="1113" w:type="dxa"/>
                  <w:noWrap w:val="0"/>
                  <w:vAlign w:val="center"/>
                </w:tcPr>
                <w:p w14:paraId="7D88AFFB">
                  <w:pPr>
                    <w:adjustRightInd w:val="0"/>
                    <w:snapToGrid w:val="0"/>
                    <w:ind w:right="-1"/>
                    <w:contextualSpacing/>
                    <w:jc w:val="center"/>
                    <w:rPr>
                      <w:rFonts w:hint="default"/>
                      <w:sz w:val="21"/>
                      <w:szCs w:val="21"/>
                      <w:lang w:val="en-US" w:eastAsia="zh-CN"/>
                    </w:rPr>
                  </w:pPr>
                  <w:r>
                    <w:rPr>
                      <w:rFonts w:hint="eastAsia"/>
                      <w:sz w:val="21"/>
                      <w:szCs w:val="21"/>
                      <w:lang w:val="en-US" w:eastAsia="zh-CN"/>
                    </w:rPr>
                    <w:t>全自动AB膜机</w:t>
                  </w:r>
                </w:p>
              </w:tc>
              <w:tc>
                <w:tcPr>
                  <w:tcW w:w="1978" w:type="dxa"/>
                  <w:noWrap w:val="0"/>
                  <w:vAlign w:val="center"/>
                </w:tcPr>
                <w:p w14:paraId="64E215F6">
                  <w:pPr>
                    <w:adjustRightInd w:val="0"/>
                    <w:snapToGrid w:val="0"/>
                    <w:ind w:right="-1"/>
                    <w:contextualSpacing/>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20~80m/min；自动张力控制；配电晕处理单元</w:t>
                  </w:r>
                </w:p>
              </w:tc>
              <w:tc>
                <w:tcPr>
                  <w:tcW w:w="433" w:type="dxa"/>
                  <w:noWrap w:val="0"/>
                  <w:vAlign w:val="center"/>
                </w:tcPr>
                <w:p w14:paraId="0B5820FE">
                  <w:pPr>
                    <w:adjustRightInd w:val="0"/>
                    <w:snapToGrid w:val="0"/>
                    <w:ind w:right="-1"/>
                    <w:contextualSpacing/>
                    <w:jc w:val="center"/>
                    <w:rPr>
                      <w:rFonts w:hint="default"/>
                      <w:sz w:val="21"/>
                      <w:szCs w:val="21"/>
                      <w:lang w:val="en-US" w:eastAsia="zh-CN"/>
                    </w:rPr>
                  </w:pPr>
                  <w:r>
                    <w:rPr>
                      <w:rFonts w:hint="eastAsia"/>
                      <w:sz w:val="21"/>
                      <w:szCs w:val="21"/>
                      <w:lang w:val="en-US" w:eastAsia="zh-CN"/>
                    </w:rPr>
                    <w:t>台</w:t>
                  </w:r>
                </w:p>
              </w:tc>
              <w:tc>
                <w:tcPr>
                  <w:tcW w:w="517" w:type="dxa"/>
                  <w:noWrap w:val="0"/>
                  <w:vAlign w:val="center"/>
                </w:tcPr>
                <w:p w14:paraId="0D418613">
                  <w:pPr>
                    <w:adjustRightInd w:val="0"/>
                    <w:snapToGrid w:val="0"/>
                    <w:ind w:right="-1"/>
                    <w:contextualSpacing/>
                    <w:jc w:val="center"/>
                    <w:rPr>
                      <w:rFonts w:hint="default"/>
                      <w:sz w:val="21"/>
                      <w:szCs w:val="21"/>
                      <w:lang w:val="en-US" w:eastAsia="zh-CN"/>
                    </w:rPr>
                  </w:pPr>
                  <w:r>
                    <w:rPr>
                      <w:rFonts w:hint="eastAsia"/>
                      <w:sz w:val="21"/>
                      <w:szCs w:val="21"/>
                      <w:lang w:val="en-US" w:eastAsia="zh-CN"/>
                    </w:rPr>
                    <w:t>10</w:t>
                  </w:r>
                </w:p>
              </w:tc>
              <w:tc>
                <w:tcPr>
                  <w:tcW w:w="1558" w:type="dxa"/>
                  <w:noWrap w:val="0"/>
                  <w:vAlign w:val="center"/>
                </w:tcPr>
                <w:p w14:paraId="116567BB">
                  <w:pPr>
                    <w:adjustRightInd w:val="0"/>
                    <w:snapToGrid w:val="0"/>
                    <w:ind w:right="-1"/>
                    <w:contextualSpacing/>
                    <w:jc w:val="center"/>
                    <w:rPr>
                      <w:rFonts w:hint="default"/>
                      <w:sz w:val="21"/>
                      <w:szCs w:val="21"/>
                      <w:lang w:val="en-US" w:eastAsia="zh-CN"/>
                    </w:rPr>
                  </w:pPr>
                  <w:r>
                    <w:rPr>
                      <w:rFonts w:hint="eastAsia"/>
                      <w:sz w:val="21"/>
                      <w:szCs w:val="21"/>
                      <w:lang w:val="en-US" w:eastAsia="zh-CN"/>
                    </w:rPr>
                    <w:t>/</w:t>
                  </w:r>
                </w:p>
              </w:tc>
            </w:tr>
            <w:tr w14:paraId="6BA9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58" w:type="dxa"/>
                  <w:noWrap w:val="0"/>
                  <w:vAlign w:val="center"/>
                </w:tcPr>
                <w:p w14:paraId="769CB187">
                  <w:pPr>
                    <w:adjustRightInd w:val="0"/>
                    <w:snapToGrid w:val="0"/>
                    <w:ind w:right="-1" w:rightChars="0"/>
                    <w:contextualSpacing/>
                    <w:jc w:val="center"/>
                    <w:rPr>
                      <w:rFonts w:hint="default"/>
                      <w:sz w:val="21"/>
                      <w:szCs w:val="21"/>
                      <w:lang w:val="en-US" w:eastAsia="zh-CN"/>
                    </w:rPr>
                  </w:pPr>
                  <w:r>
                    <w:rPr>
                      <w:rFonts w:hint="eastAsia"/>
                      <w:sz w:val="21"/>
                      <w:szCs w:val="21"/>
                      <w:lang w:val="en-US" w:eastAsia="zh-CN"/>
                    </w:rPr>
                    <w:t>6</w:t>
                  </w:r>
                </w:p>
              </w:tc>
              <w:tc>
                <w:tcPr>
                  <w:tcW w:w="1030" w:type="dxa"/>
                  <w:vMerge w:val="continue"/>
                  <w:noWrap w:val="0"/>
                  <w:vAlign w:val="center"/>
                </w:tcPr>
                <w:p w14:paraId="0B7C455D">
                  <w:pPr>
                    <w:adjustRightInd w:val="0"/>
                    <w:snapToGrid w:val="0"/>
                    <w:ind w:right="-1"/>
                    <w:contextualSpacing/>
                    <w:jc w:val="center"/>
                    <w:rPr>
                      <w:rFonts w:hint="eastAsia"/>
                      <w:sz w:val="21"/>
                      <w:szCs w:val="21"/>
                    </w:rPr>
                  </w:pPr>
                </w:p>
              </w:tc>
              <w:tc>
                <w:tcPr>
                  <w:tcW w:w="896" w:type="dxa"/>
                  <w:noWrap w:val="0"/>
                  <w:vAlign w:val="center"/>
                </w:tcPr>
                <w:p w14:paraId="20F994D9">
                  <w:pPr>
                    <w:adjustRightInd w:val="0"/>
                    <w:snapToGrid w:val="0"/>
                    <w:ind w:right="-1"/>
                    <w:contextualSpacing/>
                    <w:jc w:val="center"/>
                    <w:rPr>
                      <w:rFonts w:hint="default"/>
                      <w:sz w:val="21"/>
                      <w:szCs w:val="21"/>
                      <w:lang w:val="en-US" w:eastAsia="zh-CN"/>
                    </w:rPr>
                  </w:pPr>
                  <w:r>
                    <w:rPr>
                      <w:rFonts w:hint="eastAsia"/>
                      <w:sz w:val="21"/>
                      <w:szCs w:val="21"/>
                      <w:lang w:val="en-US" w:eastAsia="zh-CN"/>
                    </w:rPr>
                    <w:t>打包</w:t>
                  </w:r>
                </w:p>
              </w:tc>
              <w:tc>
                <w:tcPr>
                  <w:tcW w:w="1113" w:type="dxa"/>
                  <w:noWrap w:val="0"/>
                  <w:vAlign w:val="center"/>
                </w:tcPr>
                <w:p w14:paraId="7B883E31">
                  <w:pPr>
                    <w:adjustRightInd w:val="0"/>
                    <w:snapToGrid w:val="0"/>
                    <w:ind w:right="-1"/>
                    <w:contextualSpacing/>
                    <w:jc w:val="center"/>
                    <w:rPr>
                      <w:rFonts w:hint="default"/>
                      <w:sz w:val="21"/>
                      <w:szCs w:val="21"/>
                      <w:lang w:val="en-US" w:eastAsia="zh-CN"/>
                    </w:rPr>
                  </w:pPr>
                  <w:r>
                    <w:rPr>
                      <w:rFonts w:hint="eastAsia"/>
                      <w:sz w:val="21"/>
                      <w:szCs w:val="21"/>
                      <w:lang w:val="en-US" w:eastAsia="zh-CN"/>
                    </w:rPr>
                    <w:t>打包机</w:t>
                  </w:r>
                </w:p>
              </w:tc>
              <w:tc>
                <w:tcPr>
                  <w:tcW w:w="1978" w:type="dxa"/>
                  <w:noWrap w:val="0"/>
                  <w:vAlign w:val="center"/>
                </w:tcPr>
                <w:p w14:paraId="227E4DA3">
                  <w:pPr>
                    <w:adjustRightInd w:val="0"/>
                    <w:snapToGrid w:val="0"/>
                    <w:ind w:right="-1"/>
                    <w:contextualSpacing/>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半自动打包；适用膜卷直径≤800mm；功率2.2kW</w:t>
                  </w:r>
                </w:p>
              </w:tc>
              <w:tc>
                <w:tcPr>
                  <w:tcW w:w="433" w:type="dxa"/>
                  <w:noWrap w:val="0"/>
                  <w:vAlign w:val="center"/>
                </w:tcPr>
                <w:p w14:paraId="6E44C3D0">
                  <w:pPr>
                    <w:adjustRightInd w:val="0"/>
                    <w:snapToGrid w:val="0"/>
                    <w:ind w:right="-1"/>
                    <w:contextualSpacing/>
                    <w:jc w:val="center"/>
                    <w:rPr>
                      <w:rFonts w:hint="default"/>
                      <w:sz w:val="21"/>
                      <w:szCs w:val="21"/>
                      <w:lang w:val="en-US" w:eastAsia="zh-CN"/>
                    </w:rPr>
                  </w:pPr>
                  <w:r>
                    <w:rPr>
                      <w:rFonts w:hint="eastAsia"/>
                      <w:sz w:val="21"/>
                      <w:szCs w:val="21"/>
                      <w:lang w:val="en-US" w:eastAsia="zh-CN"/>
                    </w:rPr>
                    <w:t>台</w:t>
                  </w:r>
                </w:p>
              </w:tc>
              <w:tc>
                <w:tcPr>
                  <w:tcW w:w="517" w:type="dxa"/>
                  <w:noWrap w:val="0"/>
                  <w:vAlign w:val="center"/>
                </w:tcPr>
                <w:p w14:paraId="2CDAB467">
                  <w:pPr>
                    <w:adjustRightInd w:val="0"/>
                    <w:snapToGrid w:val="0"/>
                    <w:ind w:right="-1"/>
                    <w:contextualSpacing/>
                    <w:jc w:val="center"/>
                    <w:rPr>
                      <w:rFonts w:hint="default"/>
                      <w:sz w:val="21"/>
                      <w:szCs w:val="21"/>
                      <w:lang w:val="en-US" w:eastAsia="zh-CN"/>
                    </w:rPr>
                  </w:pPr>
                  <w:r>
                    <w:rPr>
                      <w:rFonts w:hint="eastAsia"/>
                      <w:sz w:val="21"/>
                      <w:szCs w:val="21"/>
                      <w:lang w:val="en-US" w:eastAsia="zh-CN"/>
                    </w:rPr>
                    <w:t>1</w:t>
                  </w:r>
                </w:p>
              </w:tc>
              <w:tc>
                <w:tcPr>
                  <w:tcW w:w="1558" w:type="dxa"/>
                  <w:noWrap w:val="0"/>
                  <w:vAlign w:val="center"/>
                </w:tcPr>
                <w:p w14:paraId="61355CD5">
                  <w:pPr>
                    <w:adjustRightInd w:val="0"/>
                    <w:snapToGrid w:val="0"/>
                    <w:ind w:right="-1"/>
                    <w:contextualSpacing/>
                    <w:jc w:val="center"/>
                    <w:rPr>
                      <w:rFonts w:hint="eastAsia"/>
                      <w:sz w:val="21"/>
                      <w:szCs w:val="21"/>
                      <w:lang w:val="en-US" w:eastAsia="zh-CN"/>
                    </w:rPr>
                  </w:pPr>
                </w:p>
              </w:tc>
            </w:tr>
            <w:tr w14:paraId="4528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58" w:type="dxa"/>
                  <w:noWrap w:val="0"/>
                  <w:vAlign w:val="center"/>
                </w:tcPr>
                <w:p w14:paraId="64EB8B52">
                  <w:pPr>
                    <w:adjustRightInd w:val="0"/>
                    <w:snapToGrid w:val="0"/>
                    <w:ind w:right="-1" w:rightChars="0"/>
                    <w:contextualSpacing/>
                    <w:jc w:val="center"/>
                    <w:rPr>
                      <w:rFonts w:hint="default" w:eastAsia="宋体"/>
                      <w:sz w:val="21"/>
                      <w:szCs w:val="21"/>
                      <w:lang w:val="en-US" w:eastAsia="zh-CN"/>
                    </w:rPr>
                  </w:pPr>
                  <w:r>
                    <w:rPr>
                      <w:rFonts w:hint="eastAsia"/>
                      <w:sz w:val="21"/>
                      <w:szCs w:val="21"/>
                      <w:lang w:val="en-US" w:eastAsia="zh-CN"/>
                    </w:rPr>
                    <w:t>7</w:t>
                  </w:r>
                </w:p>
              </w:tc>
              <w:tc>
                <w:tcPr>
                  <w:tcW w:w="1030" w:type="dxa"/>
                  <w:noWrap w:val="0"/>
                  <w:vAlign w:val="center"/>
                </w:tcPr>
                <w:p w14:paraId="1ACC4549">
                  <w:pPr>
                    <w:adjustRightInd w:val="0"/>
                    <w:snapToGrid w:val="0"/>
                    <w:ind w:right="-1"/>
                    <w:contextualSpacing/>
                    <w:jc w:val="center"/>
                    <w:rPr>
                      <w:rFonts w:hint="eastAsia" w:eastAsia="宋体"/>
                      <w:sz w:val="21"/>
                      <w:szCs w:val="21"/>
                      <w:lang w:eastAsia="zh-CN"/>
                    </w:rPr>
                  </w:pPr>
                  <w:r>
                    <w:rPr>
                      <w:rFonts w:hint="eastAsia"/>
                      <w:sz w:val="21"/>
                      <w:szCs w:val="21"/>
                      <w:lang w:eastAsia="zh-CN"/>
                    </w:rPr>
                    <w:t>公用单元</w:t>
                  </w:r>
                </w:p>
              </w:tc>
              <w:tc>
                <w:tcPr>
                  <w:tcW w:w="896" w:type="dxa"/>
                  <w:noWrap w:val="0"/>
                  <w:vAlign w:val="center"/>
                </w:tcPr>
                <w:p w14:paraId="0E951B68">
                  <w:pPr>
                    <w:adjustRightInd w:val="0"/>
                    <w:snapToGrid w:val="0"/>
                    <w:ind w:right="-1"/>
                    <w:contextualSpacing/>
                    <w:jc w:val="center"/>
                    <w:rPr>
                      <w:rFonts w:hint="eastAsia"/>
                      <w:sz w:val="21"/>
                      <w:szCs w:val="21"/>
                    </w:rPr>
                  </w:pPr>
                  <w:r>
                    <w:rPr>
                      <w:rFonts w:hint="eastAsia"/>
                      <w:sz w:val="21"/>
                      <w:szCs w:val="21"/>
                    </w:rPr>
                    <w:t>辅助</w:t>
                  </w:r>
                </w:p>
                <w:p w14:paraId="2C6087EF">
                  <w:pPr>
                    <w:adjustRightInd w:val="0"/>
                    <w:snapToGrid w:val="0"/>
                    <w:ind w:right="-1"/>
                    <w:contextualSpacing/>
                    <w:jc w:val="center"/>
                    <w:rPr>
                      <w:rFonts w:hint="eastAsia" w:eastAsia="宋体"/>
                      <w:sz w:val="21"/>
                      <w:szCs w:val="21"/>
                      <w:lang w:eastAsia="zh-CN"/>
                    </w:rPr>
                  </w:pPr>
                  <w:r>
                    <w:rPr>
                      <w:rFonts w:hint="eastAsia"/>
                      <w:sz w:val="21"/>
                      <w:szCs w:val="21"/>
                      <w:lang w:eastAsia="zh-CN"/>
                    </w:rPr>
                    <w:t>系统</w:t>
                  </w:r>
                </w:p>
              </w:tc>
              <w:tc>
                <w:tcPr>
                  <w:tcW w:w="1113" w:type="dxa"/>
                  <w:noWrap w:val="0"/>
                  <w:vAlign w:val="center"/>
                </w:tcPr>
                <w:p w14:paraId="03402BFD">
                  <w:pPr>
                    <w:adjustRightInd w:val="0"/>
                    <w:snapToGrid w:val="0"/>
                    <w:ind w:right="-1"/>
                    <w:contextualSpacing/>
                    <w:jc w:val="center"/>
                    <w:rPr>
                      <w:rFonts w:hint="eastAsia" w:eastAsia="宋体"/>
                      <w:sz w:val="21"/>
                      <w:szCs w:val="21"/>
                      <w:lang w:eastAsia="zh-CN"/>
                    </w:rPr>
                  </w:pPr>
                  <w:r>
                    <w:rPr>
                      <w:rFonts w:hint="eastAsia"/>
                      <w:sz w:val="21"/>
                      <w:szCs w:val="21"/>
                      <w:lang w:val="en-US" w:eastAsia="zh-CN"/>
                    </w:rPr>
                    <w:t>叉车</w:t>
                  </w:r>
                </w:p>
              </w:tc>
              <w:tc>
                <w:tcPr>
                  <w:tcW w:w="1978" w:type="dxa"/>
                  <w:noWrap w:val="0"/>
                  <w:vAlign w:val="center"/>
                </w:tcPr>
                <w:p w14:paraId="3EB89B57">
                  <w:pPr>
                    <w:adjustRightInd w:val="0"/>
                    <w:snapToGrid w:val="0"/>
                    <w:ind w:right="-1"/>
                    <w:contextualSpacing/>
                    <w:jc w:val="center"/>
                    <w:rPr>
                      <w:sz w:val="21"/>
                      <w:szCs w:val="21"/>
                    </w:rPr>
                  </w:pPr>
                  <w:r>
                    <w:rPr>
                      <w:rFonts w:hint="eastAsia"/>
                      <w:sz w:val="21"/>
                      <w:szCs w:val="21"/>
                    </w:rPr>
                    <w:t>额定载重3t；最大起升高度3m</w:t>
                  </w:r>
                </w:p>
              </w:tc>
              <w:tc>
                <w:tcPr>
                  <w:tcW w:w="433" w:type="dxa"/>
                  <w:noWrap w:val="0"/>
                  <w:vAlign w:val="center"/>
                </w:tcPr>
                <w:p w14:paraId="7DFAF527">
                  <w:pPr>
                    <w:adjustRightInd w:val="0"/>
                    <w:snapToGrid w:val="0"/>
                    <w:ind w:right="-1"/>
                    <w:contextualSpacing/>
                    <w:jc w:val="center"/>
                    <w:rPr>
                      <w:rFonts w:hint="eastAsia" w:eastAsia="宋体"/>
                      <w:sz w:val="21"/>
                      <w:szCs w:val="21"/>
                      <w:lang w:eastAsia="zh-CN"/>
                    </w:rPr>
                  </w:pPr>
                  <w:r>
                    <w:rPr>
                      <w:rFonts w:hint="eastAsia"/>
                      <w:sz w:val="21"/>
                      <w:szCs w:val="21"/>
                      <w:lang w:val="en-US" w:eastAsia="zh-CN"/>
                    </w:rPr>
                    <w:t>台</w:t>
                  </w:r>
                </w:p>
              </w:tc>
              <w:tc>
                <w:tcPr>
                  <w:tcW w:w="517" w:type="dxa"/>
                  <w:noWrap w:val="0"/>
                  <w:vAlign w:val="center"/>
                </w:tcPr>
                <w:p w14:paraId="32E99A14">
                  <w:pPr>
                    <w:adjustRightInd w:val="0"/>
                    <w:snapToGrid w:val="0"/>
                    <w:ind w:right="-1"/>
                    <w:contextualSpacing/>
                    <w:jc w:val="center"/>
                    <w:rPr>
                      <w:rFonts w:hint="eastAsia" w:eastAsia="宋体"/>
                      <w:sz w:val="21"/>
                      <w:szCs w:val="21"/>
                      <w:lang w:eastAsia="zh-CN"/>
                    </w:rPr>
                  </w:pPr>
                  <w:r>
                    <w:rPr>
                      <w:rFonts w:hint="eastAsia"/>
                      <w:sz w:val="21"/>
                      <w:szCs w:val="21"/>
                      <w:lang w:val="en-US" w:eastAsia="zh-CN"/>
                    </w:rPr>
                    <w:t>3</w:t>
                  </w:r>
                </w:p>
              </w:tc>
              <w:tc>
                <w:tcPr>
                  <w:tcW w:w="1558" w:type="dxa"/>
                  <w:noWrap w:val="0"/>
                  <w:vAlign w:val="center"/>
                </w:tcPr>
                <w:p w14:paraId="784D7C05">
                  <w:pPr>
                    <w:adjustRightInd w:val="0"/>
                    <w:snapToGrid w:val="0"/>
                    <w:ind w:right="-1"/>
                    <w:contextualSpacing/>
                    <w:jc w:val="center"/>
                    <w:rPr>
                      <w:rFonts w:hint="eastAsia" w:eastAsia="宋体"/>
                      <w:sz w:val="21"/>
                      <w:szCs w:val="21"/>
                      <w:lang w:eastAsia="zh-CN"/>
                    </w:rPr>
                  </w:pPr>
                  <w:r>
                    <w:rPr>
                      <w:rFonts w:hint="eastAsia"/>
                      <w:sz w:val="21"/>
                      <w:szCs w:val="21"/>
                      <w:lang w:val="en-US" w:eastAsia="zh-CN"/>
                    </w:rPr>
                    <w:t>/</w:t>
                  </w:r>
                </w:p>
              </w:tc>
            </w:tr>
          </w:tbl>
          <w:p w14:paraId="286E09A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bCs/>
                <w:sz w:val="24"/>
              </w:rPr>
            </w:pPr>
            <w:r>
              <w:rPr>
                <w:rFonts w:hint="eastAsia"/>
                <w:b/>
                <w:sz w:val="24"/>
                <w:lang w:val="en-US" w:eastAsia="zh-CN"/>
              </w:rPr>
              <w:t>七</w:t>
            </w:r>
            <w:r>
              <w:rPr>
                <w:rFonts w:hint="eastAsia"/>
                <w:b/>
                <w:sz w:val="24"/>
                <w:lang w:eastAsia="zh-CN"/>
              </w:rPr>
              <w:t>、</w:t>
            </w:r>
            <w:r>
              <w:rPr>
                <w:rFonts w:hint="eastAsia" w:ascii="宋体" w:hAnsi="宋体" w:cs="宋体"/>
                <w:b/>
                <w:bCs/>
                <w:sz w:val="24"/>
              </w:rPr>
              <w:t>主要原辅材料和能源消耗</w:t>
            </w:r>
          </w:p>
          <w:p w14:paraId="56FEBF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rPr>
            </w:pPr>
            <w:r>
              <w:rPr>
                <w:rFonts w:hint="eastAsia" w:ascii="宋体" w:hAnsi="宋体" w:cs="宋体"/>
                <w:sz w:val="24"/>
              </w:rPr>
              <w:t>本项目所需主要原辅材料、能源消耗及来源见</w:t>
            </w:r>
            <w:r>
              <w:rPr>
                <w:rFonts w:hint="eastAsia" w:ascii="宋体" w:hAnsi="宋体" w:cs="宋体"/>
                <w:sz w:val="24"/>
                <w:lang w:eastAsia="zh-CN"/>
              </w:rPr>
              <w:t>表</w:t>
            </w:r>
            <w:r>
              <w:rPr>
                <w:rFonts w:hint="eastAsia" w:ascii="宋体" w:hAnsi="宋体" w:cs="宋体"/>
                <w:sz w:val="24"/>
                <w:lang w:val="en-US" w:eastAsia="zh-CN"/>
              </w:rPr>
              <w:t>2-4</w:t>
            </w:r>
            <w:r>
              <w:rPr>
                <w:rFonts w:hint="eastAsia" w:ascii="宋体" w:hAnsi="宋体" w:cs="宋体"/>
                <w:sz w:val="24"/>
              </w:rPr>
              <w:t>。</w:t>
            </w:r>
          </w:p>
          <w:p w14:paraId="6405DB61">
            <w:pPr>
              <w:pStyle w:val="56"/>
              <w:jc w:val="center"/>
              <w:rPr>
                <w:b/>
                <w:bCs w:val="0"/>
              </w:rPr>
            </w:pPr>
            <w:r>
              <w:rPr>
                <w:rFonts w:hint="eastAsia" w:hAnsi="宋体"/>
                <w:b/>
                <w:bCs w:val="0"/>
              </w:rPr>
              <w:t>表</w:t>
            </w:r>
            <w:r>
              <w:rPr>
                <w:rFonts w:hint="eastAsia" w:hAnsi="宋体"/>
                <w:b/>
                <w:bCs w:val="0"/>
                <w:lang w:val="en-US" w:eastAsia="zh-CN"/>
              </w:rPr>
              <w:t>2-4</w:t>
            </w:r>
            <w:r>
              <w:rPr>
                <w:rFonts w:hint="eastAsia" w:hAnsi="宋体"/>
                <w:b/>
                <w:bCs w:val="0"/>
              </w:rPr>
              <w:t xml:space="preserve"> </w:t>
            </w:r>
            <w:r>
              <w:rPr>
                <w:rFonts w:hint="eastAsia" w:hAnsi="宋体"/>
                <w:b/>
                <w:bCs w:val="0"/>
                <w:lang w:val="en-US" w:eastAsia="zh-CN"/>
              </w:rPr>
              <w:t xml:space="preserve"> </w:t>
            </w:r>
            <w:r>
              <w:rPr>
                <w:rFonts w:hint="eastAsia" w:hAnsi="宋体"/>
                <w:b/>
                <w:bCs w:val="0"/>
              </w:rPr>
              <w:t xml:space="preserve"> 项目主要原辅材料、能源消耗和来源一览表</w:t>
            </w:r>
          </w:p>
          <w:tbl>
            <w:tblPr>
              <w:tblStyle w:val="24"/>
              <w:tblW w:w="8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805"/>
              <w:gridCol w:w="1705"/>
              <w:gridCol w:w="967"/>
              <w:gridCol w:w="969"/>
              <w:gridCol w:w="1145"/>
              <w:gridCol w:w="2097"/>
            </w:tblGrid>
            <w:tr w14:paraId="06BA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4AA47E8C">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序号</w:t>
                  </w:r>
                </w:p>
              </w:tc>
              <w:tc>
                <w:tcPr>
                  <w:tcW w:w="805" w:type="dxa"/>
                  <w:noWrap w:val="0"/>
                  <w:vAlign w:val="center"/>
                </w:tcPr>
                <w:p w14:paraId="1F70CEC5">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名称</w:t>
                  </w:r>
                </w:p>
              </w:tc>
              <w:tc>
                <w:tcPr>
                  <w:tcW w:w="1705" w:type="dxa"/>
                  <w:noWrap w:val="0"/>
                  <w:vAlign w:val="center"/>
                </w:tcPr>
                <w:p w14:paraId="7C44C502">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名称</w:t>
                  </w:r>
                </w:p>
              </w:tc>
              <w:tc>
                <w:tcPr>
                  <w:tcW w:w="967" w:type="dxa"/>
                  <w:noWrap w:val="0"/>
                  <w:vAlign w:val="center"/>
                </w:tcPr>
                <w:p w14:paraId="2A694956">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单位</w:t>
                  </w:r>
                </w:p>
              </w:tc>
              <w:tc>
                <w:tcPr>
                  <w:tcW w:w="969" w:type="dxa"/>
                  <w:noWrap w:val="0"/>
                  <w:vAlign w:val="center"/>
                </w:tcPr>
                <w:p w14:paraId="053EC057">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年耗量</w:t>
                  </w:r>
                </w:p>
              </w:tc>
              <w:tc>
                <w:tcPr>
                  <w:tcW w:w="1145" w:type="dxa"/>
                  <w:noWrap w:val="0"/>
                  <w:vAlign w:val="center"/>
                </w:tcPr>
                <w:p w14:paraId="1E681A40">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来源</w:t>
                  </w:r>
                </w:p>
              </w:tc>
              <w:tc>
                <w:tcPr>
                  <w:tcW w:w="2097" w:type="dxa"/>
                  <w:noWrap w:val="0"/>
                  <w:vAlign w:val="center"/>
                </w:tcPr>
                <w:p w14:paraId="212243B7">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备注</w:t>
                  </w:r>
                </w:p>
              </w:tc>
            </w:tr>
            <w:tr w14:paraId="7DED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223D9EA0">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1</w:t>
                  </w:r>
                </w:p>
              </w:tc>
              <w:tc>
                <w:tcPr>
                  <w:tcW w:w="805" w:type="dxa"/>
                  <w:vMerge w:val="restart"/>
                  <w:noWrap w:val="0"/>
                  <w:vAlign w:val="center"/>
                </w:tcPr>
                <w:p w14:paraId="3F69DFCB">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 w:val="0"/>
                      <w:bCs/>
                      <w:sz w:val="21"/>
                      <w:szCs w:val="21"/>
                      <w:lang w:eastAsia="zh-CN"/>
                    </w:rPr>
                  </w:pPr>
                  <w:r>
                    <w:rPr>
                      <w:rFonts w:hint="eastAsia" w:ascii="Times New Roman" w:hAnsi="Times New Roman" w:cs="Times New Roman"/>
                      <w:b w:val="0"/>
                      <w:bCs/>
                      <w:sz w:val="21"/>
                      <w:szCs w:val="21"/>
                      <w:lang w:val="en-US" w:eastAsia="zh-CN"/>
                    </w:rPr>
                    <w:t>打包膜</w:t>
                  </w:r>
                </w:p>
              </w:tc>
              <w:tc>
                <w:tcPr>
                  <w:tcW w:w="1705" w:type="dxa"/>
                  <w:noWrap w:val="0"/>
                  <w:vAlign w:val="center"/>
                </w:tcPr>
                <w:p w14:paraId="3A7101E8">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聚乙烯颗粒</w:t>
                  </w:r>
                </w:p>
              </w:tc>
              <w:tc>
                <w:tcPr>
                  <w:tcW w:w="967" w:type="dxa"/>
                  <w:noWrap w:val="0"/>
                  <w:vAlign w:val="center"/>
                </w:tcPr>
                <w:p w14:paraId="59C36BF3">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t/a</w:t>
                  </w:r>
                </w:p>
              </w:tc>
              <w:tc>
                <w:tcPr>
                  <w:tcW w:w="969" w:type="dxa"/>
                  <w:noWrap w:val="0"/>
                  <w:vAlign w:val="center"/>
                </w:tcPr>
                <w:p w14:paraId="15B252FA">
                  <w:pPr>
                    <w:keepNext w:val="0"/>
                    <w:keepLines w:val="0"/>
                    <w:widowControl/>
                    <w:suppressLineNumbers w:val="0"/>
                    <w:jc w:val="center"/>
                    <w:textAlignment w:val="center"/>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11000</w:t>
                  </w:r>
                </w:p>
              </w:tc>
              <w:tc>
                <w:tcPr>
                  <w:tcW w:w="1145" w:type="dxa"/>
                  <w:noWrap w:val="0"/>
                  <w:vAlign w:val="center"/>
                </w:tcPr>
                <w:p w14:paraId="32C5E3D1">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外购</w:t>
                  </w:r>
                </w:p>
              </w:tc>
              <w:tc>
                <w:tcPr>
                  <w:tcW w:w="2097" w:type="dxa"/>
                  <w:noWrap w:val="0"/>
                  <w:vAlign w:val="center"/>
                </w:tcPr>
                <w:p w14:paraId="0A566895">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固态，包装袋储存</w:t>
                  </w:r>
                </w:p>
              </w:tc>
            </w:tr>
            <w:tr w14:paraId="6BEE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19A85730">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2</w:t>
                  </w:r>
                </w:p>
              </w:tc>
              <w:tc>
                <w:tcPr>
                  <w:tcW w:w="805" w:type="dxa"/>
                  <w:vMerge w:val="continue"/>
                  <w:noWrap w:val="0"/>
                  <w:vAlign w:val="center"/>
                </w:tcPr>
                <w:p w14:paraId="46A54CDE">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p>
              </w:tc>
              <w:tc>
                <w:tcPr>
                  <w:tcW w:w="1705" w:type="dxa"/>
                  <w:noWrap w:val="0"/>
                  <w:vAlign w:val="center"/>
                </w:tcPr>
                <w:p w14:paraId="57955AED">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PE色母颗粒</w:t>
                  </w:r>
                </w:p>
              </w:tc>
              <w:tc>
                <w:tcPr>
                  <w:tcW w:w="967" w:type="dxa"/>
                  <w:noWrap w:val="0"/>
                  <w:vAlign w:val="center"/>
                </w:tcPr>
                <w:p w14:paraId="2EE493BE">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eastAsia" w:ascii="Times New Roman" w:hAnsi="Times New Roman" w:cs="Times New Roman"/>
                      <w:b w:val="0"/>
                      <w:bCs/>
                      <w:sz w:val="21"/>
                      <w:szCs w:val="21"/>
                      <w:lang w:val="en-US" w:eastAsia="zh-CN"/>
                    </w:rPr>
                    <w:t>t/a</w:t>
                  </w:r>
                </w:p>
              </w:tc>
              <w:tc>
                <w:tcPr>
                  <w:tcW w:w="969" w:type="dxa"/>
                  <w:noWrap w:val="0"/>
                  <w:vAlign w:val="center"/>
                </w:tcPr>
                <w:p w14:paraId="4F399639">
                  <w:pPr>
                    <w:keepNext w:val="0"/>
                    <w:keepLines w:val="0"/>
                    <w:widowControl/>
                    <w:suppressLineNumbers w:val="0"/>
                    <w:jc w:val="center"/>
                    <w:textAlignment w:val="center"/>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1145" w:type="dxa"/>
                  <w:noWrap w:val="0"/>
                  <w:vAlign w:val="center"/>
                </w:tcPr>
                <w:p w14:paraId="59B1B3F8">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eastAsia" w:ascii="Times New Roman" w:hAnsi="Times New Roman" w:cs="Times New Roman"/>
                      <w:b w:val="0"/>
                      <w:bCs/>
                      <w:sz w:val="21"/>
                      <w:szCs w:val="21"/>
                      <w:lang w:val="en-US" w:eastAsia="zh-CN"/>
                    </w:rPr>
                    <w:t>外购</w:t>
                  </w:r>
                </w:p>
              </w:tc>
              <w:tc>
                <w:tcPr>
                  <w:tcW w:w="2097" w:type="dxa"/>
                  <w:noWrap w:val="0"/>
                  <w:vAlign w:val="center"/>
                </w:tcPr>
                <w:p w14:paraId="41FCC2CE">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eastAsia" w:ascii="Times New Roman" w:hAnsi="Times New Roman" w:cs="Times New Roman"/>
                      <w:b w:val="0"/>
                      <w:bCs/>
                      <w:sz w:val="21"/>
                      <w:szCs w:val="21"/>
                      <w:lang w:val="en-US" w:eastAsia="zh-CN"/>
                    </w:rPr>
                    <w:t>固态，包装袋储存</w:t>
                  </w:r>
                </w:p>
              </w:tc>
            </w:tr>
            <w:tr w14:paraId="77EA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7" w:type="dxa"/>
                  <w:noWrap w:val="0"/>
                  <w:vAlign w:val="center"/>
                </w:tcPr>
                <w:p w14:paraId="08E23E40">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3</w:t>
                  </w:r>
                </w:p>
              </w:tc>
              <w:tc>
                <w:tcPr>
                  <w:tcW w:w="805" w:type="dxa"/>
                  <w:vMerge w:val="continue"/>
                  <w:noWrap w:val="0"/>
                  <w:vAlign w:val="center"/>
                </w:tcPr>
                <w:p w14:paraId="4123F81D">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p>
              </w:tc>
              <w:tc>
                <w:tcPr>
                  <w:tcW w:w="1705" w:type="dxa"/>
                  <w:noWrap w:val="0"/>
                  <w:vAlign w:val="center"/>
                </w:tcPr>
                <w:p w14:paraId="4720C312">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抗老化剂母粒</w:t>
                  </w:r>
                </w:p>
              </w:tc>
              <w:tc>
                <w:tcPr>
                  <w:tcW w:w="967" w:type="dxa"/>
                  <w:noWrap w:val="0"/>
                  <w:vAlign w:val="center"/>
                </w:tcPr>
                <w:p w14:paraId="314DC7B4">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eastAsia" w:ascii="Times New Roman" w:hAnsi="Times New Roman" w:cs="Times New Roman"/>
                      <w:b w:val="0"/>
                      <w:bCs/>
                      <w:sz w:val="21"/>
                      <w:szCs w:val="21"/>
                      <w:lang w:val="en-US" w:eastAsia="zh-CN"/>
                    </w:rPr>
                    <w:t>t/a</w:t>
                  </w:r>
                </w:p>
              </w:tc>
              <w:tc>
                <w:tcPr>
                  <w:tcW w:w="969" w:type="dxa"/>
                  <w:noWrap w:val="0"/>
                  <w:vAlign w:val="center"/>
                </w:tcPr>
                <w:p w14:paraId="6D773A97">
                  <w:pPr>
                    <w:keepNext w:val="0"/>
                    <w:keepLines w:val="0"/>
                    <w:widowControl/>
                    <w:suppressLineNumbers w:val="0"/>
                    <w:jc w:val="center"/>
                    <w:textAlignment w:val="center"/>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145" w:type="dxa"/>
                  <w:noWrap w:val="0"/>
                  <w:vAlign w:val="center"/>
                </w:tcPr>
                <w:p w14:paraId="1698B1FE">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eastAsia" w:ascii="Times New Roman" w:hAnsi="Times New Roman" w:cs="Times New Roman"/>
                      <w:b w:val="0"/>
                      <w:bCs/>
                      <w:sz w:val="21"/>
                      <w:szCs w:val="21"/>
                      <w:lang w:val="en-US" w:eastAsia="zh-CN"/>
                    </w:rPr>
                    <w:t>外购</w:t>
                  </w:r>
                </w:p>
              </w:tc>
              <w:tc>
                <w:tcPr>
                  <w:tcW w:w="2097" w:type="dxa"/>
                  <w:noWrap w:val="0"/>
                  <w:vAlign w:val="center"/>
                </w:tcPr>
                <w:p w14:paraId="3DAF267C">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eastAsia" w:ascii="Times New Roman" w:hAnsi="Times New Roman" w:cs="Times New Roman"/>
                      <w:b w:val="0"/>
                      <w:bCs/>
                      <w:sz w:val="21"/>
                      <w:szCs w:val="21"/>
                      <w:lang w:val="en-US" w:eastAsia="zh-CN"/>
                    </w:rPr>
                    <w:t>固态，包装袋储存</w:t>
                  </w:r>
                </w:p>
              </w:tc>
            </w:tr>
            <w:tr w14:paraId="534A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2236B33F">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 w:val="0"/>
                      <w:bCs/>
                      <w:sz w:val="21"/>
                      <w:szCs w:val="21"/>
                      <w:lang w:eastAsia="zh-CN"/>
                    </w:rPr>
                  </w:pPr>
                  <w:r>
                    <w:rPr>
                      <w:rFonts w:hint="eastAsia" w:ascii="Times New Roman" w:hAnsi="Times New Roman" w:cs="Times New Roman"/>
                      <w:b w:val="0"/>
                      <w:bCs/>
                      <w:sz w:val="21"/>
                      <w:szCs w:val="21"/>
                      <w:lang w:val="en-US" w:eastAsia="zh-CN"/>
                    </w:rPr>
                    <w:t>4</w:t>
                  </w:r>
                </w:p>
              </w:tc>
              <w:tc>
                <w:tcPr>
                  <w:tcW w:w="805" w:type="dxa"/>
                  <w:vMerge w:val="continue"/>
                  <w:noWrap w:val="0"/>
                  <w:vAlign w:val="center"/>
                </w:tcPr>
                <w:p w14:paraId="61460B72">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p>
              </w:tc>
              <w:tc>
                <w:tcPr>
                  <w:tcW w:w="1705" w:type="dxa"/>
                  <w:noWrap w:val="0"/>
                  <w:vAlign w:val="center"/>
                </w:tcPr>
                <w:p w14:paraId="38BD718E">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离型膜</w:t>
                  </w:r>
                </w:p>
              </w:tc>
              <w:tc>
                <w:tcPr>
                  <w:tcW w:w="967" w:type="dxa"/>
                  <w:noWrap w:val="0"/>
                  <w:vAlign w:val="center"/>
                </w:tcPr>
                <w:p w14:paraId="014A64FC">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t/a</w:t>
                  </w:r>
                </w:p>
              </w:tc>
              <w:tc>
                <w:tcPr>
                  <w:tcW w:w="969" w:type="dxa"/>
                  <w:noWrap w:val="0"/>
                  <w:vAlign w:val="center"/>
                </w:tcPr>
                <w:p w14:paraId="3D47400E">
                  <w:pPr>
                    <w:keepNext w:val="0"/>
                    <w:keepLines w:val="0"/>
                    <w:widowControl/>
                    <w:suppressLineNumbers w:val="0"/>
                    <w:jc w:val="center"/>
                    <w:textAlignment w:val="center"/>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145" w:type="dxa"/>
                  <w:noWrap w:val="0"/>
                  <w:vAlign w:val="center"/>
                </w:tcPr>
                <w:p w14:paraId="20854417">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eastAsia" w:ascii="Times New Roman" w:hAnsi="Times New Roman" w:cs="Times New Roman"/>
                      <w:b w:val="0"/>
                      <w:bCs/>
                      <w:sz w:val="21"/>
                      <w:szCs w:val="21"/>
                      <w:lang w:val="en-US" w:eastAsia="zh-CN"/>
                    </w:rPr>
                    <w:t>外购</w:t>
                  </w:r>
                </w:p>
              </w:tc>
              <w:tc>
                <w:tcPr>
                  <w:tcW w:w="2097" w:type="dxa"/>
                  <w:noWrap w:val="0"/>
                  <w:vAlign w:val="center"/>
                </w:tcPr>
                <w:p w14:paraId="71AE790B">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纸芯卷装</w:t>
                  </w:r>
                </w:p>
              </w:tc>
            </w:tr>
            <w:tr w14:paraId="0CBC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264C212A">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5</w:t>
                  </w:r>
                </w:p>
              </w:tc>
              <w:tc>
                <w:tcPr>
                  <w:tcW w:w="805" w:type="dxa"/>
                  <w:vMerge w:val="continue"/>
                  <w:noWrap w:val="0"/>
                  <w:vAlign w:val="center"/>
                </w:tcPr>
                <w:p w14:paraId="5F58E3EA">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sz w:val="21"/>
                      <w:szCs w:val="21"/>
                      <w:lang w:val="en-US" w:eastAsia="zh-CN"/>
                    </w:rPr>
                  </w:pPr>
                </w:p>
              </w:tc>
              <w:tc>
                <w:tcPr>
                  <w:tcW w:w="1705" w:type="dxa"/>
                  <w:noWrap w:val="0"/>
                  <w:vAlign w:val="center"/>
                </w:tcPr>
                <w:p w14:paraId="4C22FC4D">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PPA加工助剂</w:t>
                  </w:r>
                </w:p>
              </w:tc>
              <w:tc>
                <w:tcPr>
                  <w:tcW w:w="967" w:type="dxa"/>
                  <w:noWrap w:val="0"/>
                  <w:vAlign w:val="center"/>
                </w:tcPr>
                <w:p w14:paraId="721911CA">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t/a</w:t>
                  </w:r>
                </w:p>
              </w:tc>
              <w:tc>
                <w:tcPr>
                  <w:tcW w:w="969" w:type="dxa"/>
                  <w:noWrap w:val="0"/>
                  <w:vAlign w:val="center"/>
                </w:tcPr>
                <w:p w14:paraId="285D8174">
                  <w:pPr>
                    <w:keepNext w:val="0"/>
                    <w:keepLines w:val="0"/>
                    <w:widowControl/>
                    <w:suppressLineNumbers w:val="0"/>
                    <w:jc w:val="center"/>
                    <w:textAlignment w:val="center"/>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1145" w:type="dxa"/>
                  <w:noWrap w:val="0"/>
                  <w:vAlign w:val="center"/>
                </w:tcPr>
                <w:p w14:paraId="39ED8EC4">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外购</w:t>
                  </w:r>
                </w:p>
              </w:tc>
              <w:tc>
                <w:tcPr>
                  <w:tcW w:w="2097" w:type="dxa"/>
                  <w:noWrap w:val="0"/>
                  <w:vAlign w:val="center"/>
                </w:tcPr>
                <w:p w14:paraId="1EF36CF9">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固态，包装袋储存</w:t>
                  </w:r>
                </w:p>
              </w:tc>
            </w:tr>
            <w:tr w14:paraId="4CF1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4415411F">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6</w:t>
                  </w:r>
                </w:p>
              </w:tc>
              <w:tc>
                <w:tcPr>
                  <w:tcW w:w="805" w:type="dxa"/>
                  <w:vMerge w:val="continue"/>
                  <w:noWrap w:val="0"/>
                  <w:vAlign w:val="center"/>
                </w:tcPr>
                <w:p w14:paraId="1801A603">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p>
              </w:tc>
              <w:tc>
                <w:tcPr>
                  <w:tcW w:w="1705" w:type="dxa"/>
                  <w:noWrap w:val="0"/>
                  <w:vAlign w:val="center"/>
                </w:tcPr>
                <w:p w14:paraId="28E8F73A">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R001增韧母粒</w:t>
                  </w:r>
                </w:p>
              </w:tc>
              <w:tc>
                <w:tcPr>
                  <w:tcW w:w="967" w:type="dxa"/>
                  <w:noWrap w:val="0"/>
                  <w:vAlign w:val="center"/>
                </w:tcPr>
                <w:p w14:paraId="609C1399">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t/a</w:t>
                  </w:r>
                </w:p>
              </w:tc>
              <w:tc>
                <w:tcPr>
                  <w:tcW w:w="969" w:type="dxa"/>
                  <w:noWrap w:val="0"/>
                  <w:vAlign w:val="center"/>
                </w:tcPr>
                <w:p w14:paraId="14724394">
                  <w:pPr>
                    <w:keepNext w:val="0"/>
                    <w:keepLines w:val="0"/>
                    <w:widowControl/>
                    <w:suppressLineNumbers w:val="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145" w:type="dxa"/>
                  <w:noWrap w:val="0"/>
                  <w:vAlign w:val="center"/>
                </w:tcPr>
                <w:p w14:paraId="56999608">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外购</w:t>
                  </w:r>
                </w:p>
              </w:tc>
              <w:tc>
                <w:tcPr>
                  <w:tcW w:w="2097" w:type="dxa"/>
                  <w:noWrap w:val="0"/>
                  <w:vAlign w:val="center"/>
                </w:tcPr>
                <w:p w14:paraId="6E935EFF">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固态，包装袋储存</w:t>
                  </w:r>
                </w:p>
              </w:tc>
            </w:tr>
            <w:tr w14:paraId="7EA7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180F73CA">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lang w:val="en-US" w:eastAsia="zh-CN"/>
                    </w:rPr>
                  </w:pPr>
                  <w:r>
                    <w:rPr>
                      <w:rFonts w:hint="eastAsia" w:ascii="Times New Roman" w:hAnsi="Times New Roman" w:cs="Times New Roman"/>
                      <w:b w:val="0"/>
                      <w:bCs/>
                      <w:sz w:val="21"/>
                      <w:szCs w:val="21"/>
                      <w:lang w:val="en-US" w:eastAsia="zh-CN"/>
                    </w:rPr>
                    <w:t>7</w:t>
                  </w:r>
                </w:p>
              </w:tc>
              <w:tc>
                <w:tcPr>
                  <w:tcW w:w="805" w:type="dxa"/>
                  <w:vMerge w:val="continue"/>
                  <w:noWrap w:val="0"/>
                  <w:vAlign w:val="center"/>
                </w:tcPr>
                <w:p w14:paraId="41FE8135">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p>
              </w:tc>
              <w:tc>
                <w:tcPr>
                  <w:tcW w:w="1705" w:type="dxa"/>
                  <w:noWrap w:val="0"/>
                  <w:vAlign w:val="center"/>
                </w:tcPr>
                <w:p w14:paraId="1CCE050A">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消泡母粒</w:t>
                  </w:r>
                </w:p>
              </w:tc>
              <w:tc>
                <w:tcPr>
                  <w:tcW w:w="967" w:type="dxa"/>
                  <w:noWrap w:val="0"/>
                  <w:vAlign w:val="center"/>
                </w:tcPr>
                <w:p w14:paraId="7EE792F6">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t/a</w:t>
                  </w:r>
                </w:p>
              </w:tc>
              <w:tc>
                <w:tcPr>
                  <w:tcW w:w="969" w:type="dxa"/>
                  <w:noWrap w:val="0"/>
                  <w:vAlign w:val="center"/>
                </w:tcPr>
                <w:p w14:paraId="4D9D3C8E">
                  <w:pPr>
                    <w:keepNext w:val="0"/>
                    <w:keepLines w:val="0"/>
                    <w:widowControl/>
                    <w:suppressLineNumbers w:val="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1145" w:type="dxa"/>
                  <w:noWrap w:val="0"/>
                  <w:vAlign w:val="center"/>
                </w:tcPr>
                <w:p w14:paraId="051D7288">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外购</w:t>
                  </w:r>
                </w:p>
              </w:tc>
              <w:tc>
                <w:tcPr>
                  <w:tcW w:w="2097" w:type="dxa"/>
                  <w:noWrap w:val="0"/>
                  <w:vAlign w:val="center"/>
                </w:tcPr>
                <w:p w14:paraId="26288588">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固态，包装袋储存</w:t>
                  </w:r>
                </w:p>
              </w:tc>
            </w:tr>
            <w:tr w14:paraId="52C4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5ABA47D6">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lang w:val="en-US" w:eastAsia="zh-CN"/>
                    </w:rPr>
                  </w:pPr>
                  <w:r>
                    <w:rPr>
                      <w:rFonts w:hint="eastAsia" w:ascii="Times New Roman" w:hAnsi="Times New Roman" w:cs="Times New Roman"/>
                      <w:b w:val="0"/>
                      <w:bCs/>
                      <w:sz w:val="21"/>
                      <w:szCs w:val="21"/>
                      <w:lang w:val="en-US" w:eastAsia="zh-CN"/>
                    </w:rPr>
                    <w:t>8</w:t>
                  </w:r>
                </w:p>
              </w:tc>
              <w:tc>
                <w:tcPr>
                  <w:tcW w:w="805" w:type="dxa"/>
                  <w:vMerge w:val="continue"/>
                  <w:noWrap w:val="0"/>
                  <w:vAlign w:val="center"/>
                </w:tcPr>
                <w:p w14:paraId="401BE644">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p>
              </w:tc>
              <w:tc>
                <w:tcPr>
                  <w:tcW w:w="1705" w:type="dxa"/>
                  <w:noWrap w:val="0"/>
                  <w:vAlign w:val="center"/>
                </w:tcPr>
                <w:p w14:paraId="0C57A19C">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增粘母粒</w:t>
                  </w:r>
                </w:p>
              </w:tc>
              <w:tc>
                <w:tcPr>
                  <w:tcW w:w="967" w:type="dxa"/>
                  <w:noWrap w:val="0"/>
                  <w:vAlign w:val="center"/>
                </w:tcPr>
                <w:p w14:paraId="756D0DDD">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t/a</w:t>
                  </w:r>
                </w:p>
              </w:tc>
              <w:tc>
                <w:tcPr>
                  <w:tcW w:w="969" w:type="dxa"/>
                  <w:noWrap w:val="0"/>
                  <w:vAlign w:val="center"/>
                </w:tcPr>
                <w:p w14:paraId="478226C9">
                  <w:pPr>
                    <w:keepNext w:val="0"/>
                    <w:keepLines w:val="0"/>
                    <w:widowControl/>
                    <w:suppressLineNumbers w:val="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1145" w:type="dxa"/>
                  <w:noWrap w:val="0"/>
                  <w:vAlign w:val="center"/>
                </w:tcPr>
                <w:p w14:paraId="5AF222CA">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外购</w:t>
                  </w:r>
                </w:p>
              </w:tc>
              <w:tc>
                <w:tcPr>
                  <w:tcW w:w="2097" w:type="dxa"/>
                  <w:noWrap w:val="0"/>
                  <w:vAlign w:val="center"/>
                </w:tcPr>
                <w:p w14:paraId="7E2FCBF9">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固态，包装袋储存</w:t>
                  </w:r>
                </w:p>
              </w:tc>
            </w:tr>
            <w:tr w14:paraId="563B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6A77301B">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lang w:val="en-US" w:eastAsia="zh-CN"/>
                    </w:rPr>
                  </w:pPr>
                  <w:r>
                    <w:rPr>
                      <w:rFonts w:hint="eastAsia" w:ascii="Times New Roman" w:hAnsi="Times New Roman" w:cs="Times New Roman"/>
                      <w:b w:val="0"/>
                      <w:bCs/>
                      <w:sz w:val="21"/>
                      <w:szCs w:val="21"/>
                      <w:lang w:val="en-US" w:eastAsia="zh-CN"/>
                    </w:rPr>
                    <w:t>9</w:t>
                  </w:r>
                </w:p>
              </w:tc>
              <w:tc>
                <w:tcPr>
                  <w:tcW w:w="805" w:type="dxa"/>
                  <w:vMerge w:val="continue"/>
                  <w:noWrap w:val="0"/>
                  <w:vAlign w:val="center"/>
                </w:tcPr>
                <w:p w14:paraId="5B104579">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p>
              </w:tc>
              <w:tc>
                <w:tcPr>
                  <w:tcW w:w="1705" w:type="dxa"/>
                  <w:noWrap w:val="0"/>
                  <w:vAlign w:val="center"/>
                </w:tcPr>
                <w:p w14:paraId="2427E879">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水性丙烯酸压敏胶乳液</w:t>
                  </w:r>
                </w:p>
              </w:tc>
              <w:tc>
                <w:tcPr>
                  <w:tcW w:w="967" w:type="dxa"/>
                  <w:noWrap w:val="0"/>
                  <w:vAlign w:val="center"/>
                </w:tcPr>
                <w:p w14:paraId="549F5EF4">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t/a</w:t>
                  </w:r>
                </w:p>
              </w:tc>
              <w:tc>
                <w:tcPr>
                  <w:tcW w:w="969" w:type="dxa"/>
                  <w:noWrap w:val="0"/>
                  <w:vAlign w:val="center"/>
                </w:tcPr>
                <w:p w14:paraId="4E3EF62E">
                  <w:pPr>
                    <w:keepNext w:val="0"/>
                    <w:keepLines w:val="0"/>
                    <w:widowControl/>
                    <w:suppressLineNumbers w:val="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1145" w:type="dxa"/>
                  <w:noWrap w:val="0"/>
                  <w:vAlign w:val="center"/>
                </w:tcPr>
                <w:p w14:paraId="2F166E86">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外购</w:t>
                  </w:r>
                </w:p>
              </w:tc>
              <w:tc>
                <w:tcPr>
                  <w:tcW w:w="2097" w:type="dxa"/>
                  <w:noWrap w:val="0"/>
                  <w:vAlign w:val="center"/>
                </w:tcPr>
                <w:p w14:paraId="314DD069">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液态，密封塑料桶储存</w:t>
                  </w:r>
                </w:p>
              </w:tc>
            </w:tr>
            <w:tr w14:paraId="20F4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3C4EDADB">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lang w:val="en-US" w:eastAsia="zh-CN"/>
                    </w:rPr>
                  </w:pPr>
                  <w:r>
                    <w:rPr>
                      <w:rFonts w:hint="eastAsia" w:ascii="Times New Roman" w:hAnsi="Times New Roman" w:cs="Times New Roman"/>
                      <w:b w:val="0"/>
                      <w:bCs/>
                      <w:sz w:val="21"/>
                      <w:szCs w:val="21"/>
                      <w:lang w:val="en-US" w:eastAsia="zh-CN"/>
                    </w:rPr>
                    <w:t>10</w:t>
                  </w:r>
                </w:p>
              </w:tc>
              <w:tc>
                <w:tcPr>
                  <w:tcW w:w="805" w:type="dxa"/>
                  <w:vMerge w:val="continue"/>
                  <w:noWrap w:val="0"/>
                  <w:vAlign w:val="center"/>
                </w:tcPr>
                <w:p w14:paraId="3A7E01A6">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sz w:val="21"/>
                      <w:szCs w:val="21"/>
                    </w:rPr>
                  </w:pPr>
                </w:p>
              </w:tc>
              <w:tc>
                <w:tcPr>
                  <w:tcW w:w="1705" w:type="dxa"/>
                  <w:noWrap w:val="0"/>
                  <w:vAlign w:val="center"/>
                </w:tcPr>
                <w:p w14:paraId="47E7FA70">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双面胶</w:t>
                  </w:r>
                </w:p>
              </w:tc>
              <w:tc>
                <w:tcPr>
                  <w:tcW w:w="967" w:type="dxa"/>
                  <w:noWrap w:val="0"/>
                  <w:vAlign w:val="center"/>
                </w:tcPr>
                <w:p w14:paraId="68E32FE4">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t/a</w:t>
                  </w:r>
                </w:p>
              </w:tc>
              <w:tc>
                <w:tcPr>
                  <w:tcW w:w="969" w:type="dxa"/>
                  <w:noWrap w:val="0"/>
                  <w:vAlign w:val="center"/>
                </w:tcPr>
                <w:p w14:paraId="6ED97D27">
                  <w:pPr>
                    <w:keepNext w:val="0"/>
                    <w:keepLines w:val="0"/>
                    <w:widowControl/>
                    <w:suppressLineNumbers w:val="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145" w:type="dxa"/>
                  <w:noWrap w:val="0"/>
                  <w:vAlign w:val="center"/>
                </w:tcPr>
                <w:p w14:paraId="281687AF">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sz w:val="21"/>
                      <w:szCs w:val="21"/>
                      <w:lang w:val="en-US" w:eastAsia="zh-CN"/>
                    </w:rPr>
                    <w:t>外购</w:t>
                  </w:r>
                </w:p>
              </w:tc>
              <w:tc>
                <w:tcPr>
                  <w:tcW w:w="2097" w:type="dxa"/>
                  <w:noWrap w:val="0"/>
                  <w:vAlign w:val="center"/>
                </w:tcPr>
                <w:p w14:paraId="14B9B32B">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纸芯卷装</w:t>
                  </w:r>
                </w:p>
              </w:tc>
            </w:tr>
            <w:tr w14:paraId="4334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261C29BC">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11</w:t>
                  </w:r>
                </w:p>
              </w:tc>
              <w:tc>
                <w:tcPr>
                  <w:tcW w:w="805" w:type="dxa"/>
                  <w:vMerge w:val="restart"/>
                  <w:noWrap w:val="0"/>
                  <w:vAlign w:val="center"/>
                </w:tcPr>
                <w:p w14:paraId="0278E539">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资源、能源</w:t>
                  </w:r>
                </w:p>
              </w:tc>
              <w:tc>
                <w:tcPr>
                  <w:tcW w:w="1705" w:type="dxa"/>
                  <w:noWrap w:val="0"/>
                  <w:vAlign w:val="center"/>
                </w:tcPr>
                <w:p w14:paraId="1294F658">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用水</w:t>
                  </w:r>
                </w:p>
              </w:tc>
              <w:tc>
                <w:tcPr>
                  <w:tcW w:w="967" w:type="dxa"/>
                  <w:noWrap w:val="0"/>
                  <w:vAlign w:val="center"/>
                </w:tcPr>
                <w:p w14:paraId="1F031EC1">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m</w:t>
                  </w:r>
                  <w:r>
                    <w:rPr>
                      <w:rFonts w:hint="default" w:ascii="Times New Roman" w:hAnsi="Times New Roman" w:cs="Times New Roman"/>
                      <w:b w:val="0"/>
                      <w:bCs/>
                      <w:color w:val="auto"/>
                      <w:sz w:val="21"/>
                      <w:szCs w:val="21"/>
                      <w:vertAlign w:val="superscript"/>
                    </w:rPr>
                    <w:t>3</w:t>
                  </w:r>
                  <w:r>
                    <w:rPr>
                      <w:rFonts w:hint="default" w:ascii="Times New Roman" w:hAnsi="Times New Roman" w:cs="Times New Roman"/>
                      <w:b w:val="0"/>
                      <w:bCs/>
                      <w:color w:val="auto"/>
                      <w:sz w:val="21"/>
                      <w:szCs w:val="21"/>
                    </w:rPr>
                    <w:t>/a</w:t>
                  </w:r>
                </w:p>
              </w:tc>
              <w:tc>
                <w:tcPr>
                  <w:tcW w:w="969" w:type="dxa"/>
                  <w:noWrap w:val="0"/>
                  <w:vAlign w:val="center"/>
                </w:tcPr>
                <w:p w14:paraId="4707B127">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4200</w:t>
                  </w:r>
                </w:p>
              </w:tc>
              <w:tc>
                <w:tcPr>
                  <w:tcW w:w="1145" w:type="dxa"/>
                  <w:noWrap w:val="0"/>
                  <w:vAlign w:val="center"/>
                </w:tcPr>
                <w:p w14:paraId="686A2F99">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市政管网供给</w:t>
                  </w:r>
                </w:p>
              </w:tc>
              <w:tc>
                <w:tcPr>
                  <w:tcW w:w="2097" w:type="dxa"/>
                  <w:noWrap w:val="0"/>
                  <w:vAlign w:val="center"/>
                </w:tcPr>
                <w:p w14:paraId="6C28B467">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lang w:val="en-US"/>
                    </w:rPr>
                  </w:pPr>
                  <w:r>
                    <w:rPr>
                      <w:rFonts w:hint="eastAsia" w:ascii="Times New Roman" w:hAnsi="Times New Roman" w:cs="Times New Roman"/>
                      <w:b w:val="0"/>
                      <w:bCs/>
                      <w:color w:val="auto"/>
                      <w:sz w:val="21"/>
                      <w:szCs w:val="21"/>
                      <w:lang w:val="en-US" w:eastAsia="zh-CN"/>
                    </w:rPr>
                    <w:t>/</w:t>
                  </w:r>
                </w:p>
              </w:tc>
            </w:tr>
            <w:tr w14:paraId="4ABF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748F6094">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12</w:t>
                  </w:r>
                </w:p>
              </w:tc>
              <w:tc>
                <w:tcPr>
                  <w:tcW w:w="805" w:type="dxa"/>
                  <w:vMerge w:val="continue"/>
                  <w:noWrap w:val="0"/>
                  <w:vAlign w:val="center"/>
                </w:tcPr>
                <w:p w14:paraId="30EDF396">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p>
              </w:tc>
              <w:tc>
                <w:tcPr>
                  <w:tcW w:w="1705" w:type="dxa"/>
                  <w:noWrap w:val="0"/>
                  <w:vAlign w:val="center"/>
                </w:tcPr>
                <w:p w14:paraId="3D0E6F00">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用电</w:t>
                  </w:r>
                </w:p>
              </w:tc>
              <w:tc>
                <w:tcPr>
                  <w:tcW w:w="967" w:type="dxa"/>
                  <w:noWrap w:val="0"/>
                  <w:vAlign w:val="center"/>
                </w:tcPr>
                <w:p w14:paraId="61BDB04F">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eastAsia" w:ascii="Times New Roman" w:hAnsi="Times New Roman" w:cs="Times New Roman"/>
                      <w:b w:val="0"/>
                      <w:bCs/>
                      <w:color w:val="auto"/>
                      <w:sz w:val="21"/>
                      <w:szCs w:val="21"/>
                      <w:lang w:val="en-US" w:eastAsia="zh-CN"/>
                    </w:rPr>
                    <w:t>万</w:t>
                  </w:r>
                  <w:r>
                    <w:rPr>
                      <w:rFonts w:hint="default" w:ascii="Times New Roman" w:hAnsi="Times New Roman" w:cs="Times New Roman"/>
                      <w:b w:val="0"/>
                      <w:bCs/>
                      <w:color w:val="auto"/>
                      <w:sz w:val="21"/>
                      <w:szCs w:val="21"/>
                    </w:rPr>
                    <w:t>kWh/a</w:t>
                  </w:r>
                </w:p>
              </w:tc>
              <w:tc>
                <w:tcPr>
                  <w:tcW w:w="969" w:type="dxa"/>
                  <w:noWrap w:val="0"/>
                  <w:vAlign w:val="center"/>
                </w:tcPr>
                <w:p w14:paraId="265DCAFE">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270</w:t>
                  </w:r>
                </w:p>
              </w:tc>
              <w:tc>
                <w:tcPr>
                  <w:tcW w:w="1145" w:type="dxa"/>
                  <w:noWrap w:val="0"/>
                  <w:vAlign w:val="center"/>
                </w:tcPr>
                <w:p w14:paraId="008B1C74">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当地市政电网提供</w:t>
                  </w:r>
                </w:p>
              </w:tc>
              <w:tc>
                <w:tcPr>
                  <w:tcW w:w="2097" w:type="dxa"/>
                  <w:noWrap w:val="0"/>
                  <w:vAlign w:val="center"/>
                </w:tcPr>
                <w:p w14:paraId="0C750262">
                  <w:pPr>
                    <w:pStyle w:val="56"/>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w:t>
                  </w:r>
                </w:p>
              </w:tc>
            </w:tr>
          </w:tbl>
          <w:p w14:paraId="08B01F3B">
            <w:pPr>
              <w:spacing w:line="360" w:lineRule="auto"/>
              <w:ind w:firstLine="480" w:firstLineChars="200"/>
              <w:rPr>
                <w:rFonts w:hint="eastAsia"/>
                <w:sz w:val="24"/>
              </w:rPr>
            </w:pPr>
            <w:r>
              <w:rPr>
                <w:rFonts w:hint="eastAsia"/>
                <w:sz w:val="24"/>
              </w:rPr>
              <w:t>原辅材料性质：</w:t>
            </w:r>
          </w:p>
          <w:p w14:paraId="125AE396">
            <w:pPr>
              <w:spacing w:line="360" w:lineRule="auto"/>
              <w:ind w:firstLine="480" w:firstLineChars="200"/>
              <w:rPr>
                <w:rFonts w:hint="eastAsia" w:eastAsia="宋体"/>
                <w:sz w:val="24"/>
                <w:lang w:eastAsia="zh-CN"/>
              </w:rPr>
            </w:pPr>
            <w:r>
              <w:rPr>
                <w:rFonts w:hint="eastAsia"/>
                <w:sz w:val="24"/>
              </w:rPr>
              <w:t>聚乙烯</w:t>
            </w:r>
            <w:r>
              <w:rPr>
                <w:rFonts w:hint="eastAsia"/>
                <w:sz w:val="24"/>
                <w:lang w:val="en-US" w:eastAsia="zh-CN"/>
              </w:rPr>
              <w:t>颗粒</w:t>
            </w:r>
            <w:r>
              <w:rPr>
                <w:rFonts w:hint="eastAsia"/>
                <w:sz w:val="24"/>
                <w:lang w:eastAsia="zh-CN"/>
              </w:rPr>
              <w:t>：</w:t>
            </w:r>
            <w:r>
              <w:rPr>
                <w:rFonts w:hint="eastAsia"/>
                <w:sz w:val="24"/>
              </w:rPr>
              <w:t>属于线性低密度聚烯烃树脂，广泛用于塑料薄膜挤出成型行业。本项目所用聚乙烯为乳白色圆柱颗粒，无味，常温下化学性质稳定，耐酸碱、耐低温，不溶于水；熔融加工温度区间165~195℃，高温熔融时仅释放少量低分子烃类物质，物料不易燃爆，产品不含增塑剂、重金属、PVC等有害组分，正常使用不会对操作人员造成明显健康损害，不属于危险化学品，是通用绿色塑料基材</w:t>
            </w:r>
            <w:r>
              <w:rPr>
                <w:rFonts w:hint="eastAsia"/>
                <w:sz w:val="24"/>
                <w:lang w:eastAsia="zh-CN"/>
              </w:rPr>
              <w:t>。</w:t>
            </w:r>
          </w:p>
          <w:p w14:paraId="6A79F1A4">
            <w:pPr>
              <w:spacing w:line="360" w:lineRule="auto"/>
              <w:ind w:firstLine="480" w:firstLineChars="200"/>
              <w:rPr>
                <w:rFonts w:hint="eastAsia"/>
                <w:sz w:val="24"/>
              </w:rPr>
            </w:pPr>
            <w:r>
              <w:rPr>
                <w:rFonts w:hint="eastAsia"/>
                <w:sz w:val="24"/>
              </w:rPr>
              <w:t>PE色母</w:t>
            </w:r>
            <w:r>
              <w:rPr>
                <w:rFonts w:hint="eastAsia"/>
                <w:sz w:val="24"/>
                <w:lang w:val="en-US" w:eastAsia="zh-CN"/>
              </w:rPr>
              <w:t>颗粒</w:t>
            </w:r>
            <w:r>
              <w:rPr>
                <w:rFonts w:hint="eastAsia"/>
                <w:sz w:val="24"/>
                <w:lang w:eastAsia="zh-CN"/>
              </w:rPr>
              <w:t>：</w:t>
            </w:r>
            <w:r>
              <w:rPr>
                <w:rFonts w:hint="eastAsia"/>
                <w:sz w:val="24"/>
              </w:rPr>
              <w:t>是聚乙烯载体复配有机颜料、分散剂制成的着色功能母料，主要用于调节打包膜外观颜色，广泛应用于各类塑料吹膜制品加工。本项目所用PE色母为均匀彩色固体颗粒，无刺激性异味，常温不溶于水，日晒不易掉色析出。</w:t>
            </w:r>
          </w:p>
          <w:p w14:paraId="3BB4DA5E">
            <w:pPr>
              <w:spacing w:line="360" w:lineRule="auto"/>
              <w:ind w:firstLine="480" w:firstLineChars="200"/>
              <w:rPr>
                <w:sz w:val="24"/>
              </w:rPr>
            </w:pPr>
            <w:r>
              <w:rPr>
                <w:rFonts w:hint="eastAsia"/>
                <w:sz w:val="24"/>
                <w:lang w:val="en-US" w:eastAsia="zh-CN"/>
              </w:rPr>
              <w:t>抗老化剂母粒</w:t>
            </w:r>
            <w:r>
              <w:rPr>
                <w:rFonts w:hint="eastAsia"/>
                <w:sz w:val="24"/>
                <w:lang w:eastAsia="zh-CN"/>
              </w:rPr>
              <w:t>：</w:t>
            </w:r>
            <w:r>
              <w:rPr>
                <w:rFonts w:hint="eastAsia"/>
                <w:sz w:val="24"/>
              </w:rPr>
              <w:t>以聚乙烯为载体，复配受阻胺光稳定剂、酚类抗氧剂的功能改性辅料，用于提升打包膜户外耐紫外线、耐老化性能。本项目抗老化母粒为灰白色固体颗粒，无味、不溶于水，常温理化性质稳定；熔融加工区间165~195℃，可有效吸收紫外线延缓塑料开裂</w:t>
            </w:r>
            <w:r>
              <w:rPr>
                <w:rFonts w:hint="eastAsia"/>
                <w:sz w:val="24"/>
                <w:lang w:eastAsia="zh-CN"/>
              </w:rPr>
              <w:t>。</w:t>
            </w:r>
          </w:p>
          <w:p w14:paraId="3D62839C">
            <w:pPr>
              <w:spacing w:line="360" w:lineRule="auto"/>
              <w:ind w:firstLine="480" w:firstLineChars="200"/>
              <w:rPr>
                <w:sz w:val="24"/>
              </w:rPr>
            </w:pPr>
            <w:r>
              <w:rPr>
                <w:rFonts w:hint="eastAsia"/>
                <w:sz w:val="24"/>
              </w:rPr>
              <w:t>离型膜</w:t>
            </w:r>
            <w:r>
              <w:rPr>
                <w:rFonts w:hint="eastAsia"/>
                <w:sz w:val="24"/>
                <w:lang w:eastAsia="zh-CN"/>
              </w:rPr>
              <w:t>：</w:t>
            </w:r>
            <w:r>
              <w:rPr>
                <w:rFonts w:hint="eastAsia"/>
                <w:sz w:val="24"/>
              </w:rPr>
              <w:t>单面涂布硅油层的PE塑料卷材，主要用作涂布工序胶层隔离载体、扣子机双面胶承载基材，普遍配套压敏胶类保护膜生产线使用。本项目离型膜为透明柔性塑料卷材，表面光滑不粘胶，无异味、不溶于水，常温下硅油涂层几乎无挥发，化学惰性强，不与水性胶发生化学反应</w:t>
            </w:r>
            <w:r>
              <w:rPr>
                <w:sz w:val="24"/>
              </w:rPr>
              <w:t>。</w:t>
            </w:r>
          </w:p>
          <w:p w14:paraId="4C0A67BD">
            <w:pPr>
              <w:spacing w:line="360" w:lineRule="auto"/>
              <w:ind w:firstLine="480" w:firstLineChars="200"/>
              <w:rPr>
                <w:rFonts w:hint="eastAsia" w:eastAsia="宋体"/>
                <w:sz w:val="24"/>
                <w:lang w:eastAsia="zh-CN"/>
              </w:rPr>
            </w:pPr>
            <w:r>
              <w:rPr>
                <w:rFonts w:hint="eastAsia"/>
                <w:sz w:val="24"/>
              </w:rPr>
              <w:t>PPA加工助剂</w:t>
            </w:r>
            <w:r>
              <w:rPr>
                <w:rFonts w:hint="eastAsia"/>
                <w:sz w:val="24"/>
                <w:lang w:eastAsia="zh-CN"/>
              </w:rPr>
              <w:t>：</w:t>
            </w:r>
            <w:r>
              <w:rPr>
                <w:rFonts w:hint="eastAsia"/>
                <w:sz w:val="24"/>
              </w:rPr>
              <w:t>含聚乙烯的吹膜专用改性母料，用于消除吹膜模头积碳、改善熔体流动性、减少膜面鱼眼缺陷，是薄膜制造行业通用加工辅料。本项目PPA助剂为乳白色光滑圆柱颗粒，无味、不溶于水，常温稳定无析出；熔融适配温度170~190℃，与聚乙烯相容性优异</w:t>
            </w:r>
            <w:r>
              <w:rPr>
                <w:rFonts w:hint="eastAsia"/>
                <w:sz w:val="24"/>
                <w:lang w:eastAsia="zh-CN"/>
              </w:rPr>
              <w:t>。</w:t>
            </w:r>
          </w:p>
          <w:p w14:paraId="349F8207">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rPr>
              <w:t>R001增韧母粒</w:t>
            </w:r>
            <w:r>
              <w:rPr>
                <w:rFonts w:hint="eastAsia" w:ascii="宋体" w:hAnsi="宋体" w:eastAsia="宋体" w:cs="宋体"/>
                <w:sz w:val="24"/>
                <w:szCs w:val="24"/>
                <w:lang w:eastAsia="zh-CN"/>
              </w:rPr>
              <w:t>：</w:t>
            </w:r>
            <w:r>
              <w:rPr>
                <w:rFonts w:ascii="宋体" w:hAnsi="宋体" w:eastAsia="宋体" w:cs="宋体"/>
                <w:sz w:val="24"/>
                <w:szCs w:val="24"/>
              </w:rPr>
              <w:t>LLDPE载体复配POE聚烯烃弹性体的低温增韧辅料，用于提升打包膜低温抗穿刺、抗拉伸性能。本产品为半透明弹性塑料颗粒，无异味、不溶于水，低温韧性突出，-40℃不易脆裂；熔融加工区间165~195℃，高温仅释放少量烃类挥发物</w:t>
            </w:r>
            <w:r>
              <w:rPr>
                <w:rFonts w:hint="eastAsia" w:ascii="宋体" w:hAnsi="宋体" w:eastAsia="宋体" w:cs="宋体"/>
                <w:sz w:val="24"/>
                <w:szCs w:val="24"/>
                <w:lang w:eastAsia="zh-CN"/>
              </w:rPr>
              <w:t>。</w:t>
            </w:r>
          </w:p>
          <w:p w14:paraId="74C27637">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消泡母粒</w:t>
            </w:r>
            <w:r>
              <w:rPr>
                <w:rFonts w:hint="eastAsia" w:ascii="宋体" w:hAnsi="宋体" w:eastAsia="宋体" w:cs="宋体"/>
                <w:sz w:val="24"/>
                <w:szCs w:val="24"/>
                <w:lang w:eastAsia="zh-CN"/>
              </w:rPr>
              <w:t>：</w:t>
            </w:r>
            <w:r>
              <w:rPr>
                <w:rFonts w:hint="eastAsia" w:ascii="宋体" w:hAnsi="宋体" w:eastAsia="宋体" w:cs="宋体"/>
                <w:sz w:val="24"/>
                <w:szCs w:val="24"/>
              </w:rPr>
              <w:t>聚乙烯载体复配吸水无机盐、润滑分散剂的专用功能母料，用于吸收塑料熔体内部微量水汽，消除成品膜面气泡瑕疵，适配各类吹膜、涂布生产线。本项目消泡母粒为白色实心颗粒，无味、干燥稳定、不溶于水；160~195℃加工温度下可充分发挥吸水消泡作用</w:t>
            </w:r>
            <w:r>
              <w:rPr>
                <w:rFonts w:hint="eastAsia" w:ascii="宋体" w:hAnsi="宋体" w:eastAsia="宋体" w:cs="宋体"/>
                <w:sz w:val="24"/>
                <w:szCs w:val="24"/>
                <w:lang w:eastAsia="zh-CN"/>
              </w:rPr>
              <w:t>。</w:t>
            </w:r>
          </w:p>
          <w:p w14:paraId="37CAD282">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增粘母粒</w:t>
            </w:r>
            <w:r>
              <w:rPr>
                <w:rFonts w:hint="eastAsia" w:ascii="宋体" w:hAnsi="宋体" w:eastAsia="宋体" w:cs="宋体"/>
                <w:sz w:val="24"/>
                <w:szCs w:val="24"/>
                <w:lang w:eastAsia="zh-CN"/>
              </w:rPr>
              <w:t>：</w:t>
            </w:r>
            <w:r>
              <w:rPr>
                <w:rFonts w:hint="eastAsia" w:ascii="宋体" w:hAnsi="宋体" w:eastAsia="宋体" w:cs="宋体"/>
                <w:sz w:val="24"/>
                <w:szCs w:val="24"/>
              </w:rPr>
              <w:t>以聚乙烯为载体、复配低分子聚异丁烯的自粘功能母料，用于赋予打包膜基础自粘性能，保障棉包缠绕捆扎后不易松脱，是缠绕膜行业专用粘性改性辅料。本物料为淡黄色固体颗粒</w:t>
            </w:r>
            <w:r>
              <w:rPr>
                <w:rFonts w:hint="eastAsia" w:ascii="宋体" w:hAnsi="宋体" w:cs="宋体"/>
                <w:sz w:val="24"/>
                <w:szCs w:val="24"/>
                <w:lang w:eastAsia="zh-CN"/>
              </w:rPr>
              <w:t>，有</w:t>
            </w:r>
            <w:r>
              <w:rPr>
                <w:rFonts w:hint="eastAsia" w:ascii="宋体" w:hAnsi="宋体" w:eastAsia="宋体" w:cs="宋体"/>
                <w:sz w:val="24"/>
                <w:szCs w:val="24"/>
              </w:rPr>
              <w:t>轻微油脂气味，常温不溶于水，高温165~195℃熔融后低分子组分缓慢迁移至膜面形成粘性</w:t>
            </w:r>
            <w:r>
              <w:rPr>
                <w:rFonts w:hint="eastAsia" w:ascii="宋体" w:hAnsi="宋体" w:cs="宋体"/>
                <w:sz w:val="24"/>
                <w:szCs w:val="24"/>
                <w:lang w:eastAsia="zh-CN"/>
              </w:rPr>
              <w:t>。</w:t>
            </w:r>
          </w:p>
          <w:p w14:paraId="4DCA56CC">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水性丙烯酸压敏胶乳液</w:t>
            </w:r>
            <w:r>
              <w:rPr>
                <w:rFonts w:hint="eastAsia" w:ascii="宋体" w:hAnsi="宋体" w:eastAsia="宋体" w:cs="宋体"/>
                <w:sz w:val="24"/>
                <w:szCs w:val="24"/>
                <w:lang w:eastAsia="zh-CN"/>
              </w:rPr>
              <w:t>：</w:t>
            </w:r>
            <w:r>
              <w:rPr>
                <w:rFonts w:hint="eastAsia" w:ascii="宋体" w:hAnsi="宋体" w:eastAsia="宋体" w:cs="宋体"/>
                <w:sz w:val="24"/>
                <w:szCs w:val="24"/>
              </w:rPr>
              <w:t>薄膜涂布专用自粘胶料，以去离子水为分散介质，丙烯酸酯高分子为有效成膜物质，配套少量成膜助剂、润湿剂，广泛用于PE保护膜、打包膜</w:t>
            </w:r>
            <w:r>
              <w:rPr>
                <w:rFonts w:hint="eastAsia" w:ascii="宋体" w:hAnsi="宋体" w:eastAsia="宋体" w:cs="宋体"/>
                <w:sz w:val="24"/>
                <w:szCs w:val="24"/>
                <w:lang w:val="en-US" w:eastAsia="zh-CN"/>
              </w:rPr>
              <w:t>涂胶</w:t>
            </w:r>
            <w:r>
              <w:rPr>
                <w:rFonts w:hint="eastAsia" w:ascii="宋体" w:hAnsi="宋体" w:eastAsia="宋体" w:cs="宋体"/>
                <w:sz w:val="24"/>
                <w:szCs w:val="24"/>
              </w:rPr>
              <w:t>加工。本项目胶液为乳白色</w:t>
            </w:r>
            <w:r>
              <w:rPr>
                <w:rFonts w:hint="eastAsia" w:ascii="宋体" w:hAnsi="宋体" w:cs="宋体"/>
                <w:sz w:val="24"/>
                <w:szCs w:val="24"/>
                <w:lang w:eastAsia="zh-CN"/>
              </w:rPr>
              <w:t>黏稠</w:t>
            </w:r>
            <w:r>
              <w:rPr>
                <w:rFonts w:hint="eastAsia" w:ascii="宋体" w:hAnsi="宋体" w:eastAsia="宋体" w:cs="宋体"/>
                <w:sz w:val="24"/>
                <w:szCs w:val="24"/>
              </w:rPr>
              <w:t>液体</w:t>
            </w:r>
            <w:r>
              <w:rPr>
                <w:rFonts w:hint="eastAsia" w:ascii="宋体" w:hAnsi="宋体" w:cs="宋体"/>
                <w:sz w:val="24"/>
                <w:szCs w:val="24"/>
                <w:lang w:eastAsia="zh-CN"/>
              </w:rPr>
              <w:t>，有</w:t>
            </w:r>
            <w:r>
              <w:rPr>
                <w:rFonts w:hint="eastAsia" w:ascii="宋体" w:hAnsi="宋体" w:eastAsia="宋体" w:cs="宋体"/>
                <w:sz w:val="24"/>
                <w:szCs w:val="24"/>
              </w:rPr>
              <w:t>轻微淡酯味，不易燃、不易爆，密封塑料桶盛装，常温避光防冻储存、汽车运输安全；产品不含甲醛、甲苯、二甲苯等强挥发性溶剂，符合低VOC</w:t>
            </w:r>
            <w:r>
              <w:rPr>
                <w:rFonts w:hint="eastAsia" w:ascii="宋体" w:hAnsi="宋体" w:eastAsia="宋体" w:cs="宋体"/>
                <w:sz w:val="24"/>
                <w:szCs w:val="24"/>
                <w:lang w:val="en-US" w:eastAsia="zh-CN"/>
              </w:rPr>
              <w:t>s</w:t>
            </w:r>
            <w:r>
              <w:rPr>
                <w:rFonts w:hint="eastAsia" w:ascii="宋体" w:hAnsi="宋体" w:eastAsia="宋体" w:cs="宋体"/>
                <w:sz w:val="24"/>
                <w:szCs w:val="24"/>
              </w:rPr>
              <w:t>环保要求</w:t>
            </w:r>
            <w:r>
              <w:rPr>
                <w:rFonts w:hint="eastAsia" w:ascii="宋体" w:hAnsi="宋体" w:cs="宋体"/>
                <w:sz w:val="24"/>
                <w:szCs w:val="24"/>
                <w:lang w:eastAsia="zh-CN"/>
              </w:rPr>
              <w:t>。</w:t>
            </w:r>
          </w:p>
          <w:p w14:paraId="52AAF692">
            <w:pPr>
              <w:spacing w:line="360" w:lineRule="auto"/>
              <w:ind w:firstLine="480" w:firstLineChars="200"/>
              <w:rPr>
                <w:rFonts w:hint="eastAsia" w:eastAsia="宋体"/>
                <w:sz w:val="24"/>
                <w:lang w:val="en-US" w:eastAsia="zh-CN"/>
              </w:rPr>
            </w:pPr>
            <w:r>
              <w:rPr>
                <w:rFonts w:hint="eastAsia" w:ascii="宋体" w:hAnsi="宋体" w:eastAsia="宋体" w:cs="宋体"/>
                <w:sz w:val="24"/>
                <w:szCs w:val="24"/>
              </w:rPr>
              <w:t>双面胶</w:t>
            </w:r>
            <w:r>
              <w:rPr>
                <w:rFonts w:hint="eastAsia" w:ascii="宋体" w:hAnsi="宋体" w:eastAsia="宋体" w:cs="宋体"/>
                <w:sz w:val="24"/>
                <w:szCs w:val="24"/>
                <w:lang w:eastAsia="zh-CN"/>
              </w:rPr>
              <w:t>：</w:t>
            </w:r>
            <w:r>
              <w:rPr>
                <w:rFonts w:hint="eastAsia" w:ascii="宋体" w:hAnsi="宋体" w:eastAsia="宋体" w:cs="宋体"/>
                <w:sz w:val="24"/>
                <w:szCs w:val="24"/>
              </w:rPr>
              <w:t>以离型膜为载体、单面涂布水性压敏胶的卷材耗材，用于扣子预制、成品打包膜贴标固定，是塑料包装成品配套通用辅料。本项目双面胶为分幅纸芯卷装胶带，常温固态、无刺激性异味，不溶于水，常温储存几乎无有机组分挥发；物料不易燃易爆，纸箱封装储运便捷，不含甲醛、重金属等有害物质</w:t>
            </w:r>
            <w:r>
              <w:rPr>
                <w:rFonts w:hint="eastAsia" w:ascii="宋体" w:hAnsi="宋体" w:eastAsia="宋体" w:cs="宋体"/>
                <w:sz w:val="24"/>
                <w:szCs w:val="24"/>
                <w:lang w:eastAsia="zh-CN"/>
              </w:rPr>
              <w:t>。</w:t>
            </w:r>
          </w:p>
          <w:p w14:paraId="1C4F251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sz w:val="24"/>
                <w:lang w:val="en-US" w:eastAsia="zh-CN"/>
              </w:rPr>
            </w:pPr>
            <w:r>
              <w:rPr>
                <w:rFonts w:hint="eastAsia" w:cs="Times New Roman"/>
                <w:b/>
                <w:sz w:val="24"/>
                <w:lang w:val="en-US" w:eastAsia="zh-CN"/>
              </w:rPr>
              <w:t>八</w:t>
            </w:r>
            <w:r>
              <w:rPr>
                <w:rFonts w:hint="eastAsia" w:ascii="Times New Roman" w:hAnsi="Times New Roman" w:eastAsia="宋体" w:cs="Times New Roman"/>
                <w:b/>
                <w:sz w:val="24"/>
                <w:lang w:val="en-US" w:eastAsia="zh-CN"/>
              </w:rPr>
              <w:t>、公用工程</w:t>
            </w:r>
          </w:p>
          <w:p w14:paraId="22E39813">
            <w:pPr>
              <w:spacing w:line="360" w:lineRule="auto"/>
              <w:ind w:firstLine="480" w:firstLineChars="200"/>
              <w:rPr>
                <w:rFonts w:hint="default" w:eastAsia="宋体"/>
                <w:color w:val="auto"/>
                <w:sz w:val="24"/>
                <w:lang w:val="en-US" w:eastAsia="zh-CN"/>
              </w:rPr>
            </w:pPr>
            <w:r>
              <w:rPr>
                <w:rFonts w:hint="eastAsia"/>
                <w:color w:val="auto"/>
                <w:sz w:val="24"/>
                <w:lang w:val="en-US" w:eastAsia="zh-CN"/>
              </w:rPr>
              <w:t>1.供排水</w:t>
            </w:r>
          </w:p>
          <w:p w14:paraId="6372FC1C">
            <w:pPr>
              <w:spacing w:line="360" w:lineRule="auto"/>
              <w:ind w:firstLine="480" w:firstLineChars="200"/>
              <w:rPr>
                <w:rFonts w:hint="eastAsia" w:eastAsia="宋体"/>
                <w:color w:val="auto"/>
                <w:sz w:val="24"/>
                <w:lang w:val="en-US" w:eastAsia="zh-CN"/>
              </w:rPr>
            </w:pPr>
            <w:r>
              <w:rPr>
                <w:rFonts w:hint="eastAsia"/>
                <w:color w:val="auto"/>
                <w:sz w:val="24"/>
              </w:rPr>
              <w:t>①生活用水：</w:t>
            </w:r>
            <w:r>
              <w:rPr>
                <w:rFonts w:hint="eastAsia"/>
                <w:color w:val="auto"/>
                <w:sz w:val="24"/>
                <w:lang w:val="en-US" w:eastAsia="zh-CN"/>
              </w:rPr>
              <w:t>本</w:t>
            </w:r>
            <w:r>
              <w:rPr>
                <w:rFonts w:hint="eastAsia"/>
                <w:color w:val="auto"/>
                <w:sz w:val="24"/>
              </w:rPr>
              <w:t>项目劳动定员</w:t>
            </w:r>
            <w:r>
              <w:rPr>
                <w:rFonts w:hint="eastAsia"/>
                <w:color w:val="auto"/>
                <w:sz w:val="24"/>
                <w:lang w:val="en-US" w:eastAsia="zh-CN"/>
              </w:rPr>
              <w:t>140</w:t>
            </w:r>
            <w:r>
              <w:rPr>
                <w:rFonts w:hint="eastAsia"/>
                <w:color w:val="auto"/>
                <w:sz w:val="24"/>
              </w:rPr>
              <w:t>人，设有员工食堂和洗浴，全根据《新疆维吾尔自治区工业和生活用水定额》（新政办发〔2007〕105号）</w:t>
            </w:r>
            <w:r>
              <w:rPr>
                <w:rFonts w:hint="eastAsia"/>
                <w:color w:val="auto"/>
                <w:sz w:val="24"/>
                <w:lang w:val="en-US" w:eastAsia="zh-CN"/>
              </w:rPr>
              <w:t>，项目生活用水量按每人每天100L计</w:t>
            </w:r>
            <w:r>
              <w:rPr>
                <w:rFonts w:hint="eastAsia"/>
                <w:color w:val="auto"/>
                <w:sz w:val="24"/>
              </w:rPr>
              <w:t>，则生活用水量为</w:t>
            </w:r>
            <w:r>
              <w:rPr>
                <w:rFonts w:hint="eastAsia"/>
                <w:color w:val="auto"/>
                <w:sz w:val="24"/>
                <w:lang w:val="en-US" w:eastAsia="zh-CN"/>
              </w:rPr>
              <w:t>14</w:t>
            </w:r>
            <w:r>
              <w:rPr>
                <w:rFonts w:hint="eastAsia"/>
                <w:color w:val="auto"/>
                <w:sz w:val="24"/>
              </w:rPr>
              <w:t>m</w:t>
            </w:r>
            <w:r>
              <w:rPr>
                <w:rFonts w:hint="eastAsia"/>
                <w:color w:val="auto"/>
                <w:sz w:val="24"/>
                <w:vertAlign w:val="superscript"/>
              </w:rPr>
              <w:t>3</w:t>
            </w:r>
            <w:r>
              <w:rPr>
                <w:rFonts w:hint="eastAsia"/>
                <w:color w:val="auto"/>
                <w:sz w:val="24"/>
              </w:rPr>
              <w:t>/d（</w:t>
            </w:r>
            <w:r>
              <w:rPr>
                <w:rFonts w:hint="eastAsia"/>
                <w:color w:val="auto"/>
                <w:sz w:val="24"/>
                <w:lang w:val="en-US" w:eastAsia="zh-CN"/>
              </w:rPr>
              <w:t>4200</w:t>
            </w:r>
            <w:r>
              <w:rPr>
                <w:rFonts w:hint="eastAsia"/>
                <w:color w:val="auto"/>
                <w:sz w:val="24"/>
              </w:rPr>
              <w:t>m</w:t>
            </w:r>
            <w:r>
              <w:rPr>
                <w:rFonts w:hint="eastAsia"/>
                <w:color w:val="auto"/>
                <w:sz w:val="24"/>
                <w:vertAlign w:val="superscript"/>
              </w:rPr>
              <w:t>3</w:t>
            </w:r>
            <w:r>
              <w:rPr>
                <w:rFonts w:hint="eastAsia"/>
                <w:color w:val="auto"/>
                <w:sz w:val="24"/>
              </w:rPr>
              <w:t>/a）。排水系数按0.8计，则生活污水排放量约为</w:t>
            </w:r>
            <w:r>
              <w:rPr>
                <w:rFonts w:hint="eastAsia"/>
                <w:color w:val="auto"/>
                <w:sz w:val="24"/>
                <w:lang w:val="en-US" w:eastAsia="zh-CN"/>
              </w:rPr>
              <w:t>11.2</w:t>
            </w:r>
            <w:r>
              <w:rPr>
                <w:rFonts w:hint="eastAsia"/>
                <w:color w:val="auto"/>
                <w:sz w:val="24"/>
              </w:rPr>
              <w:t>m</w:t>
            </w:r>
            <w:r>
              <w:rPr>
                <w:rFonts w:hint="eastAsia"/>
                <w:color w:val="auto"/>
                <w:sz w:val="24"/>
                <w:vertAlign w:val="superscript"/>
              </w:rPr>
              <w:t>3</w:t>
            </w:r>
            <w:r>
              <w:rPr>
                <w:rFonts w:hint="eastAsia"/>
                <w:color w:val="auto"/>
                <w:sz w:val="24"/>
              </w:rPr>
              <w:t>/d（</w:t>
            </w:r>
            <w:r>
              <w:rPr>
                <w:rFonts w:hint="eastAsia"/>
                <w:color w:val="auto"/>
                <w:sz w:val="24"/>
                <w:lang w:val="en-US" w:eastAsia="zh-CN"/>
              </w:rPr>
              <w:t>3360</w:t>
            </w:r>
            <w:r>
              <w:rPr>
                <w:rFonts w:hint="eastAsia"/>
                <w:color w:val="auto"/>
                <w:sz w:val="24"/>
              </w:rPr>
              <w:t>m</w:t>
            </w:r>
            <w:r>
              <w:rPr>
                <w:rFonts w:hint="eastAsia"/>
                <w:color w:val="auto"/>
                <w:sz w:val="24"/>
                <w:vertAlign w:val="superscript"/>
              </w:rPr>
              <w:t>3</w:t>
            </w:r>
            <w:r>
              <w:rPr>
                <w:rFonts w:hint="eastAsia"/>
                <w:color w:val="auto"/>
                <w:sz w:val="24"/>
              </w:rPr>
              <w:t>/a）。经化粪池</w:t>
            </w:r>
            <w:r>
              <w:rPr>
                <w:rFonts w:hint="eastAsia"/>
                <w:color w:val="auto"/>
                <w:sz w:val="24"/>
                <w:lang w:eastAsia="zh-CN"/>
              </w:rPr>
              <w:t>（</w:t>
            </w:r>
            <w:r>
              <w:rPr>
                <w:rFonts w:hint="eastAsia"/>
                <w:color w:val="auto"/>
                <w:sz w:val="24"/>
                <w:lang w:val="en-US" w:eastAsia="zh-CN"/>
              </w:rPr>
              <w:t>20m</w:t>
            </w:r>
            <w:r>
              <w:rPr>
                <w:rFonts w:hint="eastAsia"/>
                <w:color w:val="auto"/>
                <w:sz w:val="24"/>
                <w:vertAlign w:val="superscript"/>
                <w:lang w:val="en-US" w:eastAsia="zh-CN"/>
              </w:rPr>
              <w:t>3</w:t>
            </w:r>
            <w:r>
              <w:rPr>
                <w:rFonts w:hint="eastAsia"/>
                <w:color w:val="auto"/>
                <w:sz w:val="24"/>
                <w:lang w:eastAsia="zh-CN"/>
              </w:rPr>
              <w:t>）</w:t>
            </w:r>
            <w:r>
              <w:rPr>
                <w:rFonts w:hint="eastAsia"/>
                <w:color w:val="auto"/>
                <w:sz w:val="24"/>
              </w:rPr>
              <w:t>预处理后</w:t>
            </w:r>
            <w:r>
              <w:rPr>
                <w:rFonts w:hint="eastAsia"/>
                <w:color w:val="auto"/>
                <w:sz w:val="24"/>
                <w:lang w:val="en-US" w:eastAsia="zh-CN"/>
              </w:rPr>
              <w:t>排入园区管网最终进入轮台县新城区生活污水处理厂处理。</w:t>
            </w:r>
          </w:p>
          <w:p w14:paraId="5B47025F">
            <w:pPr>
              <w:spacing w:line="360" w:lineRule="auto"/>
              <w:ind w:firstLine="480" w:firstLineChars="200"/>
              <w:rPr>
                <w:rFonts w:hint="default" w:eastAsia="宋体"/>
                <w:color w:val="auto"/>
                <w:sz w:val="24"/>
                <w:lang w:val="en-US" w:eastAsia="zh-CN"/>
              </w:rPr>
            </w:pPr>
            <w:r>
              <w:rPr>
                <w:rFonts w:hint="eastAsia"/>
                <w:color w:val="auto"/>
                <w:sz w:val="24"/>
                <w:lang w:val="en-US" w:eastAsia="zh-CN"/>
              </w:rPr>
              <w:t>2.供电</w:t>
            </w:r>
          </w:p>
          <w:p w14:paraId="72B34BEB">
            <w:pPr>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由市政国家电网接入，</w:t>
            </w:r>
            <w:r>
              <w:rPr>
                <w:rFonts w:hint="default" w:ascii="Times New Roman" w:hAnsi="Times New Roman" w:cs="Times New Roman"/>
                <w:sz w:val="24"/>
              </w:rPr>
              <w:t>用来满足工程的需求</w:t>
            </w:r>
            <w:r>
              <w:rPr>
                <w:rFonts w:hint="eastAsia" w:ascii="Times New Roman" w:hAnsi="Times New Roman" w:cs="Times New Roman"/>
                <w:sz w:val="24"/>
                <w:lang w:eastAsia="zh-CN"/>
              </w:rPr>
              <w:t>。</w:t>
            </w:r>
          </w:p>
          <w:p w14:paraId="4C6F3989">
            <w:pPr>
              <w:spacing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lang w:val="en-US" w:eastAsia="zh-CN"/>
              </w:rPr>
              <w:t>.供热</w:t>
            </w:r>
          </w:p>
          <w:p w14:paraId="65A00700">
            <w:pPr>
              <w:spacing w:line="360" w:lineRule="auto"/>
              <w:ind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w:t>
            </w:r>
            <w:r>
              <w:rPr>
                <w:rFonts w:hint="eastAsia" w:ascii="Times New Roman" w:hAnsi="Times New Roman" w:eastAsia="宋体" w:cs="Times New Roman"/>
                <w:color w:val="auto"/>
                <w:sz w:val="24"/>
                <w:lang w:val="en-US" w:eastAsia="zh-CN"/>
              </w:rPr>
              <w:t>生产</w:t>
            </w:r>
            <w:r>
              <w:rPr>
                <w:rFonts w:hint="eastAsia" w:cs="Times New Roman"/>
                <w:color w:val="auto"/>
                <w:sz w:val="24"/>
                <w:lang w:val="en-US" w:eastAsia="zh-CN"/>
              </w:rPr>
              <w:t>采用</w:t>
            </w:r>
            <w:r>
              <w:rPr>
                <w:rFonts w:hint="eastAsia" w:ascii="Times New Roman" w:hAnsi="Times New Roman" w:eastAsia="宋体" w:cs="Times New Roman"/>
                <w:color w:val="auto"/>
                <w:sz w:val="24"/>
                <w:lang w:val="en-US" w:eastAsia="zh-CN"/>
              </w:rPr>
              <w:t>电加热，生活采用电采暖提供。</w:t>
            </w:r>
          </w:p>
          <w:p w14:paraId="6A034CB7">
            <w:pPr>
              <w:numPr>
                <w:ilvl w:val="0"/>
                <w:numId w:val="0"/>
              </w:numPr>
              <w:spacing w:line="520" w:lineRule="exact"/>
              <w:rPr>
                <w:rFonts w:hint="eastAsia"/>
                <w:b/>
                <w:color w:val="auto"/>
                <w:sz w:val="24"/>
              </w:rPr>
            </w:pPr>
            <w:r>
              <w:rPr>
                <w:rFonts w:hint="eastAsia"/>
                <w:b/>
                <w:color w:val="auto"/>
                <w:sz w:val="24"/>
                <w:lang w:val="en-US" w:eastAsia="zh-CN"/>
              </w:rPr>
              <w:t>九</w:t>
            </w:r>
            <w:r>
              <w:rPr>
                <w:rFonts w:hint="eastAsia"/>
                <w:b/>
                <w:color w:val="auto"/>
                <w:sz w:val="24"/>
                <w:lang w:eastAsia="zh-CN"/>
              </w:rPr>
              <w:t>、</w:t>
            </w:r>
            <w:r>
              <w:rPr>
                <w:rFonts w:hint="eastAsia"/>
                <w:b/>
                <w:color w:val="auto"/>
                <w:sz w:val="24"/>
              </w:rPr>
              <w:t>厂区平面布置</w:t>
            </w:r>
          </w:p>
          <w:p w14:paraId="1AC639BA">
            <w:pPr>
              <w:spacing w:line="520" w:lineRule="exact"/>
              <w:ind w:firstLine="480" w:firstLineChars="200"/>
            </w:pPr>
            <w:r>
              <w:rPr>
                <w:rFonts w:hint="eastAsia" w:ascii="Times New Roman" w:hAnsi="Times New Roman" w:eastAsia="宋体" w:cs="Times New Roman"/>
                <w:color w:val="auto"/>
                <w:sz w:val="24"/>
                <w:lang w:eastAsia="zh-CN"/>
              </w:rPr>
              <w:t>本项目设</w:t>
            </w:r>
            <w:r>
              <w:rPr>
                <w:rFonts w:hint="eastAsia"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eastAsia="zh-CN"/>
              </w:rPr>
              <w:t>处出入口，西侧为主入口，紧邻沙漠公路供办公人员、小型车辆通行；厂区南侧设置生产区出入口，专供货运运输车辆进出；厂区设有车间一、车间二、车间三、车间四（</w:t>
            </w:r>
            <w:r>
              <w:rPr>
                <w:rFonts w:hint="eastAsia" w:ascii="Times New Roman" w:hAnsi="Times New Roman" w:eastAsia="宋体" w:cs="Times New Roman"/>
                <w:color w:val="auto"/>
                <w:sz w:val="24"/>
                <w:lang w:val="en-US" w:eastAsia="zh-CN"/>
              </w:rPr>
              <w:t>拟建</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办公楼</w:t>
            </w:r>
            <w:r>
              <w:rPr>
                <w:rFonts w:hint="eastAsia" w:ascii="Times New Roman" w:hAnsi="Times New Roman" w:eastAsia="宋体" w:cs="Times New Roman"/>
                <w:color w:val="auto"/>
                <w:sz w:val="24"/>
                <w:lang w:eastAsia="zh-CN"/>
              </w:rPr>
              <w:t>、拟建仓库、配套仓储区、消防水池等建构筑物；其中拟建仓库位于厂区最北侧，各生产车间集中布置于厂区中部及南部。办公楼布置于厂区西北侧、主入口东侧，便于</w:t>
            </w:r>
            <w:r>
              <w:rPr>
                <w:rFonts w:hint="eastAsia" w:ascii="Times New Roman" w:hAnsi="Times New Roman" w:eastAsia="宋体" w:cs="Times New Roman"/>
                <w:color w:val="auto"/>
                <w:sz w:val="24"/>
                <w:lang w:val="en-US" w:eastAsia="zh-CN"/>
              </w:rPr>
              <w:t>职工</w:t>
            </w:r>
            <w:r>
              <w:rPr>
                <w:rFonts w:hint="eastAsia" w:ascii="Times New Roman" w:hAnsi="Times New Roman" w:eastAsia="宋体" w:cs="Times New Roman"/>
                <w:color w:val="auto"/>
                <w:sz w:val="24"/>
                <w:lang w:eastAsia="zh-CN"/>
              </w:rPr>
              <w:t>人员进出；厂区内道路形成环形通道，串联各生产、仓储建筑，物流与人流路线相对分离。厂区内功能分区明确，基本符合《工业企业总平面设计规范》（GB50187-2012）和《工业企业设计卫生标准》（GBZ1-2010）的规定。</w:t>
            </w:r>
            <w:r>
              <w:rPr>
                <w:rFonts w:hint="eastAsia"/>
                <w:color w:val="auto"/>
                <w:sz w:val="24"/>
              </w:rPr>
              <w:t>详见</w:t>
            </w:r>
            <w:r>
              <w:rPr>
                <w:rFonts w:hint="eastAsia"/>
                <w:color w:val="auto"/>
                <w:sz w:val="24"/>
                <w:lang w:val="en-US" w:eastAsia="zh-CN"/>
              </w:rPr>
              <w:t>《附图3项目</w:t>
            </w:r>
            <w:r>
              <w:rPr>
                <w:rFonts w:hint="eastAsia"/>
                <w:color w:val="auto"/>
                <w:sz w:val="24"/>
                <w:lang w:eastAsia="zh-CN"/>
              </w:rPr>
              <w:t>平面布置</w:t>
            </w:r>
            <w:r>
              <w:rPr>
                <w:rFonts w:hint="eastAsia"/>
                <w:color w:val="auto"/>
                <w:sz w:val="24"/>
                <w:lang w:val="en-US" w:eastAsia="zh-CN"/>
              </w:rPr>
              <w:t>图》</w:t>
            </w:r>
            <w:r>
              <w:rPr>
                <w:rFonts w:hint="eastAsia"/>
                <w:color w:val="auto"/>
                <w:sz w:val="24"/>
              </w:rPr>
              <w:t>。</w:t>
            </w:r>
          </w:p>
          <w:p w14:paraId="0A772A86">
            <w:pPr>
              <w:spacing w:line="520" w:lineRule="exact"/>
              <w:rPr>
                <w:rFonts w:hint="default" w:ascii="Times New Roman" w:hAnsi="Times New Roman" w:cs="Times New Roman"/>
                <w:b/>
                <w:bCs/>
                <w:sz w:val="24"/>
              </w:rPr>
            </w:pPr>
            <w:r>
              <w:rPr>
                <w:rFonts w:hint="eastAsia" w:cs="Times New Roman"/>
                <w:b/>
                <w:bCs/>
                <w:sz w:val="24"/>
                <w:lang w:val="en-US" w:eastAsia="zh-CN"/>
              </w:rPr>
              <w:t>十</w:t>
            </w:r>
            <w:r>
              <w:rPr>
                <w:rFonts w:hint="default" w:ascii="Times New Roman" w:hAnsi="Times New Roman" w:cs="Times New Roman"/>
                <w:b/>
                <w:bCs/>
                <w:sz w:val="24"/>
              </w:rPr>
              <w:t>、劳动定员及工作制度</w:t>
            </w:r>
          </w:p>
          <w:p w14:paraId="714C49D8">
            <w:pPr>
              <w:spacing w:line="520" w:lineRule="exact"/>
              <w:ind w:firstLine="480" w:firstLineChars="200"/>
              <w:rPr>
                <w:rFonts w:hint="eastAsia" w:ascii="宋体" w:hAnsi="宋体" w:eastAsia="宋体" w:cs="宋体"/>
                <w:bCs/>
                <w:szCs w:val="21"/>
                <w:lang w:val="en-US" w:eastAsia="zh-CN"/>
              </w:rPr>
            </w:pPr>
            <w:r>
              <w:rPr>
                <w:rFonts w:hint="default" w:ascii="Times New Roman" w:hAnsi="Times New Roman" w:cs="Times New Roman"/>
                <w:color w:val="000000"/>
                <w:sz w:val="24"/>
              </w:rPr>
              <w:t>本项目劳动定员</w:t>
            </w:r>
            <w:r>
              <w:rPr>
                <w:rFonts w:hint="eastAsia" w:ascii="Times New Roman" w:hAnsi="Times New Roman" w:cs="Times New Roman"/>
                <w:color w:val="000000"/>
                <w:sz w:val="24"/>
                <w:lang w:val="en-US" w:eastAsia="zh-CN"/>
              </w:rPr>
              <w:t>140</w:t>
            </w:r>
            <w:r>
              <w:rPr>
                <w:rFonts w:hint="default" w:ascii="Times New Roman" w:hAnsi="Times New Roman" w:cs="Times New Roman"/>
                <w:color w:val="000000"/>
                <w:sz w:val="24"/>
              </w:rPr>
              <w:t>人，项目年生产期约</w:t>
            </w:r>
            <w:r>
              <w:rPr>
                <w:rFonts w:hint="eastAsia" w:ascii="Times New Roman" w:hAnsi="Times New Roman" w:cs="Times New Roman"/>
                <w:color w:val="000000"/>
                <w:sz w:val="24"/>
                <w:lang w:val="en-US" w:eastAsia="zh-CN"/>
              </w:rPr>
              <w:t>300</w:t>
            </w:r>
            <w:r>
              <w:rPr>
                <w:rFonts w:hint="default" w:ascii="Times New Roman" w:hAnsi="Times New Roman" w:cs="Times New Roman"/>
                <w:color w:val="000000"/>
                <w:sz w:val="24"/>
              </w:rPr>
              <w:t>天，生产期生产制度实行1班工作制，每天工作8小时，职工在厂内</w:t>
            </w:r>
            <w:r>
              <w:rPr>
                <w:rFonts w:hint="default" w:ascii="Times New Roman" w:hAnsi="Times New Roman" w:cs="Times New Roman"/>
                <w:sz w:val="24"/>
              </w:rPr>
              <w:t>食宿。</w:t>
            </w:r>
          </w:p>
        </w:tc>
      </w:tr>
      <w:tr w14:paraId="5A1C94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449" w:type="dxa"/>
            <w:noWrap w:val="0"/>
            <w:vAlign w:val="center"/>
          </w:tcPr>
          <w:p w14:paraId="7937E7B2">
            <w:pPr>
              <w:pStyle w:val="21"/>
              <w:adjustRightInd w:val="0"/>
              <w:snapToGrid w:val="0"/>
              <w:spacing w:before="0" w:beforeAutospacing="0" w:after="0" w:afterAutospacing="0"/>
              <w:jc w:val="center"/>
              <w:rPr>
                <w:rFonts w:cs="宋体"/>
                <w:sz w:val="21"/>
                <w:szCs w:val="21"/>
              </w:rPr>
            </w:pPr>
            <w:r>
              <w:rPr>
                <w:rFonts w:hint="eastAsia" w:cs="宋体"/>
                <w:sz w:val="21"/>
                <w:szCs w:val="21"/>
              </w:rPr>
              <w:t>工艺流程和产排污环节</w:t>
            </w:r>
          </w:p>
        </w:tc>
        <w:tc>
          <w:tcPr>
            <w:tcW w:w="8609" w:type="dxa"/>
            <w:noWrap w:val="0"/>
            <w:vAlign w:val="top"/>
          </w:tcPr>
          <w:p w14:paraId="45B21485">
            <w:pPr>
              <w:keepNext w:val="0"/>
              <w:keepLines w:val="0"/>
              <w:pageBreakBefore w:val="0"/>
              <w:widowControl w:val="0"/>
              <w:kinsoku/>
              <w:wordWrap/>
              <w:overflowPunct/>
              <w:topLinePunct w:val="0"/>
              <w:autoSpaceDE/>
              <w:autoSpaceDN/>
              <w:bidi w:val="0"/>
              <w:adjustRightInd/>
              <w:snapToGrid/>
              <w:spacing w:line="520" w:lineRule="exact"/>
              <w:textAlignment w:val="auto"/>
              <w:rPr>
                <w:b/>
                <w:sz w:val="24"/>
              </w:rPr>
            </w:pPr>
            <w:bookmarkStart w:id="1" w:name="OLE_LINK41"/>
            <w:bookmarkStart w:id="2" w:name="OLE_LINK6"/>
            <w:r>
              <w:rPr>
                <w:b/>
                <w:sz w:val="28"/>
                <w:szCs w:val="28"/>
              </w:rPr>
              <w:t>工艺流程简述</w:t>
            </w:r>
            <w:r>
              <w:rPr>
                <w:b/>
                <w:sz w:val="24"/>
              </w:rPr>
              <w:t>：</w:t>
            </w:r>
          </w:p>
          <w:p w14:paraId="4C549725">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default" w:ascii="宋体" w:hAnsi="宋体" w:eastAsia="宋体" w:cs="宋体"/>
                <w:b/>
                <w:sz w:val="24"/>
                <w:lang w:val="en-US" w:eastAsia="zh-CN"/>
              </w:rPr>
            </w:pPr>
            <w:r>
              <w:rPr>
                <w:rFonts w:hint="eastAsia" w:ascii="宋体" w:hAnsi="宋体" w:eastAsia="宋体" w:cs="宋体"/>
                <w:b/>
                <w:sz w:val="24"/>
                <w:lang w:val="en-US" w:eastAsia="zh-CN"/>
              </w:rPr>
              <w:t>1.施工期工艺流程及产污环节图</w:t>
            </w:r>
          </w:p>
          <w:p w14:paraId="35FDA38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kern w:val="0"/>
                <w:sz w:val="24"/>
              </w:rPr>
            </w:pPr>
            <w:r>
              <w:rPr>
                <w:rFonts w:hint="default" w:ascii="宋体" w:hAnsi="宋体" w:eastAsia="宋体" w:cs="宋体"/>
                <w:kern w:val="0"/>
                <w:sz w:val="24"/>
              </w:rPr>
              <w:t>本项目</w:t>
            </w:r>
            <w:r>
              <w:rPr>
                <w:rFonts w:hint="eastAsia" w:ascii="宋体" w:hAnsi="宋体" w:eastAsia="宋体" w:cs="宋体"/>
                <w:kern w:val="0"/>
                <w:sz w:val="24"/>
                <w:lang w:val="en-US" w:eastAsia="zh-CN"/>
              </w:rPr>
              <w:t>施工期</w:t>
            </w:r>
            <w:r>
              <w:rPr>
                <w:rFonts w:hint="default" w:ascii="宋体" w:hAnsi="宋体" w:eastAsia="宋体" w:cs="宋体"/>
                <w:kern w:val="0"/>
                <w:sz w:val="24"/>
              </w:rPr>
              <w:t>建设内容为</w:t>
            </w: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新建</w:t>
            </w:r>
            <w:r>
              <w:rPr>
                <w:rFonts w:hint="eastAsia" w:ascii="Times New Roman" w:hAnsi="Times New Roman" w:eastAsia="宋体" w:cs="Times New Roman"/>
                <w:color w:val="auto"/>
                <w:sz w:val="24"/>
                <w:lang w:eastAsia="zh-CN"/>
              </w:rPr>
              <w:t>车间四，</w:t>
            </w:r>
            <w:r>
              <w:rPr>
                <w:rFonts w:hint="eastAsia" w:ascii="Times New Roman" w:hAnsi="Times New Roman" w:eastAsia="宋体" w:cs="Times New Roman"/>
                <w:color w:val="auto"/>
                <w:sz w:val="24"/>
                <w:lang w:val="en-US" w:eastAsia="zh-CN"/>
              </w:rPr>
              <w:t>仓库，办公楼</w:t>
            </w:r>
            <w:r>
              <w:rPr>
                <w:rFonts w:hint="eastAsia" w:ascii="宋体" w:hAnsi="宋体" w:eastAsia="宋体" w:cs="宋体"/>
                <w:kern w:val="0"/>
                <w:sz w:val="24"/>
                <w:lang w:val="en-US" w:eastAsia="zh-CN"/>
              </w:rPr>
              <w:t>等</w:t>
            </w:r>
            <w:r>
              <w:rPr>
                <w:rFonts w:hint="default" w:ascii="宋体" w:hAnsi="宋体" w:eastAsia="宋体" w:cs="宋体"/>
                <w:kern w:val="0"/>
                <w:sz w:val="24"/>
              </w:rPr>
              <w:t>。施工期的污染主要为工程在建设过程中产生的扬尘、运输车辆及施工机械尾气、固体废物、废水及噪声，施工工艺流程及各阶段主要污染物产生情况见</w:t>
            </w:r>
            <w:r>
              <w:rPr>
                <w:rFonts w:hint="eastAsia" w:ascii="宋体" w:hAnsi="宋体" w:eastAsia="宋体" w:cs="宋体"/>
                <w:kern w:val="0"/>
                <w:sz w:val="24"/>
                <w:lang w:val="en-US" w:eastAsia="zh-CN"/>
              </w:rPr>
              <w:t>下图</w:t>
            </w:r>
            <w:r>
              <w:rPr>
                <w:rFonts w:hint="default" w:ascii="宋体" w:hAnsi="宋体" w:eastAsia="宋体" w:cs="宋体"/>
                <w:kern w:val="0"/>
                <w:sz w:val="24"/>
              </w:rPr>
              <w:t>。</w:t>
            </w:r>
          </w:p>
          <w:p w14:paraId="2848C959">
            <w:pPr>
              <w:jc w:val="center"/>
              <w:rPr>
                <w:rFonts w:hint="default" w:ascii="Times New Roman" w:hAnsi="Times New Roman" w:cs="Times New Roman"/>
                <w:color w:val="auto"/>
                <w:highlight w:val="none"/>
              </w:rPr>
            </w:pPr>
          </w:p>
          <w:p w14:paraId="5912DB15">
            <w:pPr>
              <w:jc w:val="center"/>
              <w:rPr>
                <w:rFonts w:hint="default" w:ascii="Times New Roman" w:hAnsi="Times New Roman" w:cs="Times New Roman"/>
                <w:b/>
                <w:bCs/>
                <w:color w:val="auto"/>
                <w:highlight w:val="none"/>
              </w:rPr>
            </w:pPr>
            <w:r>
              <w:rPr>
                <w:color w:val="auto"/>
              </w:rPr>
              <w:object>
                <v:shape id="_x0000_i1025" o:spt="75" type="#_x0000_t75" style="height:57.85pt;width:386.1pt;" o:ole="t" filled="f" o:preferrelative="t" stroked="f" coordsize="21600,21600">
                  <v:path/>
                  <v:fill on="f" focussize="0,0"/>
                  <v:stroke on="f"/>
                  <v:imagedata r:id="rId8" o:title=""/>
                  <o:lock v:ext="edit" aspectratio="f"/>
                  <w10:wrap type="none"/>
                  <w10:anchorlock/>
                </v:shape>
                <o:OLEObject Type="Embed" ProgID="Visio.Drawing.11" ShapeID="_x0000_i1025" DrawAspect="Content" ObjectID="_1468075725" r:id="rId7">
                  <o:LockedField>false</o:LockedField>
                </o:OLEObject>
              </w:object>
            </w:r>
          </w:p>
          <w:p w14:paraId="0C24C8DA">
            <w:pPr>
              <w:spacing w:line="240" w:lineRule="auto"/>
              <w:jc w:val="center"/>
              <w:rPr>
                <w:rFonts w:hint="default" w:ascii="Times New Roman" w:hAnsi="Times New Roman" w:cs="Times New Roman"/>
                <w:b/>
                <w:bCs/>
                <w:color w:val="auto"/>
                <w:sz w:val="24"/>
                <w:szCs w:val="24"/>
                <w:highlight w:val="none"/>
              </w:rPr>
            </w:pPr>
          </w:p>
          <w:p w14:paraId="303395F6">
            <w:pPr>
              <w:spacing w:line="24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图</w:t>
            </w:r>
            <w:r>
              <w:rPr>
                <w:rFonts w:hint="eastAsia" w:ascii="Times New Roman" w:hAnsi="Times New Roman" w:cs="Times New Roman"/>
                <w:b/>
                <w:bCs/>
                <w:color w:val="auto"/>
                <w:sz w:val="24"/>
                <w:szCs w:val="24"/>
                <w:highlight w:val="none"/>
                <w:lang w:val="en-US" w:eastAsia="zh-CN"/>
              </w:rPr>
              <w:t>2-2</w:t>
            </w:r>
            <w:r>
              <w:rPr>
                <w:rFonts w:hint="eastAsia" w:cs="Times New Roman"/>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rPr>
              <w:t>施工期工艺流程及排污环节图</w:t>
            </w:r>
          </w:p>
          <w:p w14:paraId="1B0B0B23">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r>
              <w:rPr>
                <w:rFonts w:hint="eastAsia" w:ascii="宋体" w:hAnsi="宋体" w:cs="宋体"/>
                <w:b/>
                <w:sz w:val="24"/>
                <w:lang w:val="en-US" w:eastAsia="zh-CN"/>
              </w:rPr>
              <w:t>2.</w:t>
            </w:r>
            <w:r>
              <w:rPr>
                <w:rFonts w:hint="eastAsia" w:ascii="宋体" w:hAnsi="宋体" w:cs="宋体"/>
                <w:b/>
                <w:sz w:val="24"/>
              </w:rPr>
              <w:t>运营期生产工艺流程及产污环节见下图</w:t>
            </w:r>
            <w:r>
              <w:rPr>
                <w:rFonts w:hint="eastAsia" w:ascii="宋体" w:hAnsi="宋体" w:cs="宋体"/>
                <w:b/>
                <w:sz w:val="24"/>
                <w:lang w:val="en-US" w:eastAsia="zh-CN"/>
              </w:rPr>
              <w:t>。</w:t>
            </w:r>
          </w:p>
          <w:p w14:paraId="33812748">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1802BD91">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48C95B5B">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667C6CFC">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35098C5F">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421D2D1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438FC471">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282CF349">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1B7BC9FB">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1EADE57E">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sz w:val="24"/>
                <w:lang w:val="en-US" w:eastAsia="zh-CN"/>
              </w:rPr>
            </w:pPr>
          </w:p>
          <w:p w14:paraId="727CE31F">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宋体" w:cs="宋体"/>
                <w:b/>
                <w:sz w:val="24"/>
                <w:lang w:val="en-US" w:eastAsia="zh-CN"/>
              </w:rPr>
            </w:pPr>
            <w:r>
              <w:rPr>
                <w:rFonts w:hint="eastAsia" w:ascii="宋体" w:hAnsi="宋体" w:cs="宋体"/>
                <w:b/>
                <w:sz w:val="24"/>
                <w:lang w:val="en-US" w:eastAsia="zh-CN"/>
              </w:rPr>
              <w:t xml:space="preserve"> </w:t>
            </w:r>
          </w:p>
          <w:p w14:paraId="549F3C71">
            <w:pPr>
              <w:rPr>
                <w:rFonts w:hint="eastAsia" w:ascii="宋体" w:hAnsi="宋体" w:cs="宋体"/>
                <w:b/>
                <w:sz w:val="24"/>
              </w:rPr>
            </w:pPr>
            <w:r>
              <w:rPr>
                <w:rFonts w:hint="eastAsia" w:ascii="宋体" w:hAnsi="宋体" w:eastAsia="宋体" w:cs="宋体"/>
                <w:b/>
                <w:sz w:val="24"/>
                <w:lang w:eastAsia="zh-CN"/>
              </w:rPr>
              <w:drawing>
                <wp:inline distT="0" distB="0" distL="114300" distR="114300">
                  <wp:extent cx="5320665" cy="5277485"/>
                  <wp:effectExtent l="0" t="0" r="0" b="0"/>
                  <wp:docPr id="8" name="ECB019B1-382A-4266-B25C-5B523AA43C14-1" descr="C:/Users/MyPC/AppData/Local/Temp/wps.uwpLWI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CB019B1-382A-4266-B25C-5B523AA43C14-1" descr="C:/Users/MyPC/AppData/Local/Temp/wps.uwpLWIwps"/>
                          <pic:cNvPicPr>
                            <a:picLocks noChangeAspect="1"/>
                          </pic:cNvPicPr>
                        </pic:nvPicPr>
                        <pic:blipFill>
                          <a:blip r:embed="rId9"/>
                          <a:stretch>
                            <a:fillRect/>
                          </a:stretch>
                        </pic:blipFill>
                        <pic:spPr>
                          <a:xfrm>
                            <a:off x="0" y="0"/>
                            <a:ext cx="5320665" cy="5277485"/>
                          </a:xfrm>
                          <a:prstGeom prst="rect">
                            <a:avLst/>
                          </a:prstGeom>
                          <a:noFill/>
                          <a:ln>
                            <a:noFill/>
                          </a:ln>
                        </pic:spPr>
                      </pic:pic>
                    </a:graphicData>
                  </a:graphic>
                </wp:inline>
              </w:drawing>
            </w:r>
          </w:p>
          <w:p w14:paraId="254F1E16">
            <w:pPr>
              <w:spacing w:line="520" w:lineRule="exact"/>
              <w:jc w:val="center"/>
              <w:rPr>
                <w:b/>
                <w:sz w:val="24"/>
              </w:rPr>
            </w:pPr>
            <w:r>
              <w:rPr>
                <w:b/>
                <w:sz w:val="24"/>
              </w:rPr>
              <w:t>图</w:t>
            </w:r>
            <w:r>
              <w:rPr>
                <w:rFonts w:hint="eastAsia"/>
                <w:b/>
                <w:sz w:val="24"/>
                <w:lang w:val="en-US" w:eastAsia="zh-CN"/>
              </w:rPr>
              <w:t>2-</w:t>
            </w:r>
            <w:r>
              <w:rPr>
                <w:rFonts w:hint="eastAsia"/>
                <w:b/>
                <w:sz w:val="24"/>
              </w:rPr>
              <w:t xml:space="preserve">3    </w:t>
            </w:r>
            <w:r>
              <w:rPr>
                <w:b/>
                <w:sz w:val="24"/>
              </w:rPr>
              <w:t>工艺流程及产污环节图</w:t>
            </w:r>
          </w:p>
          <w:bookmarkEnd w:id="1"/>
          <w:bookmarkEnd w:id="2"/>
          <w:p w14:paraId="182468DE">
            <w:pPr>
              <w:spacing w:line="520" w:lineRule="exact"/>
              <w:ind w:firstLine="482" w:firstLineChars="200"/>
              <w:rPr>
                <w:rFonts w:hint="eastAsia" w:ascii="宋体" w:hAnsi="宋体" w:cs="宋体"/>
                <w:kern w:val="0"/>
                <w:sz w:val="24"/>
              </w:rPr>
            </w:pPr>
            <w:r>
              <w:rPr>
                <w:rFonts w:hint="eastAsia" w:ascii="宋体" w:hAnsi="宋体" w:cs="宋体"/>
                <w:b/>
                <w:sz w:val="24"/>
              </w:rPr>
              <w:t>1.生产工艺流程简述：</w:t>
            </w:r>
          </w:p>
          <w:p w14:paraId="11E84F80">
            <w:pPr>
              <w:widowControl/>
              <w:spacing w:line="520" w:lineRule="exact"/>
              <w:ind w:firstLine="480" w:firstLineChars="200"/>
              <w:jc w:val="left"/>
              <w:rPr>
                <w:rFonts w:hint="eastAsia" w:ascii="宋体" w:hAnsi="宋体" w:cs="宋体"/>
                <w:kern w:val="0"/>
                <w:sz w:val="24"/>
              </w:rPr>
            </w:pPr>
            <w:r>
              <w:rPr>
                <w:rFonts w:hint="eastAsia" w:ascii="宋体" w:hAnsi="宋体" w:cs="宋体"/>
                <w:kern w:val="0"/>
                <w:sz w:val="24"/>
              </w:rPr>
              <w:t>①投料</w:t>
            </w:r>
          </w:p>
          <w:p w14:paraId="2697F74A">
            <w:pPr>
              <w:widowControl/>
              <w:spacing w:line="520" w:lineRule="exact"/>
              <w:ind w:firstLine="480" w:firstLineChars="200"/>
              <w:jc w:val="left"/>
              <w:rPr>
                <w:rFonts w:hint="eastAsia" w:ascii="宋体" w:hAnsi="宋体" w:cs="宋体"/>
                <w:kern w:val="0"/>
                <w:sz w:val="24"/>
              </w:rPr>
            </w:pPr>
            <w:r>
              <w:rPr>
                <w:rFonts w:hint="eastAsia" w:ascii="宋体" w:hAnsi="宋体" w:cs="宋体"/>
                <w:kern w:val="0"/>
                <w:sz w:val="24"/>
              </w:rPr>
              <w:t>将聚乙烯、PE色母、抗老化剂、PPA加工助剂、R001增韧母粒、消泡母粒、增粘母粒等颗粒原辅材料人工计量配比后投入吹膜机料斗，依靠挤出螺杆完成物料共混。</w:t>
            </w:r>
            <w:r>
              <w:rPr>
                <w:rFonts w:hint="eastAsia" w:ascii="宋体" w:hAnsi="宋体" w:cs="宋体"/>
                <w:kern w:val="0"/>
                <w:sz w:val="24"/>
                <w:lang w:val="en-US" w:eastAsia="zh-CN"/>
              </w:rPr>
              <w:t>该工序人工投料过程产生无组织塑料粉尘</w:t>
            </w:r>
            <w:r>
              <w:rPr>
                <w:rFonts w:hint="eastAsia" w:ascii="宋体" w:hAnsi="宋体" w:cs="宋体"/>
                <w:kern w:val="0"/>
                <w:sz w:val="24"/>
                <w:lang w:eastAsia="zh-CN"/>
              </w:rPr>
              <w:t>、</w:t>
            </w:r>
            <w:r>
              <w:rPr>
                <w:rFonts w:hint="eastAsia" w:ascii="宋体" w:hAnsi="宋体" w:cs="宋体"/>
                <w:kern w:val="0"/>
                <w:sz w:val="24"/>
                <w:lang w:val="en-US" w:eastAsia="zh-CN"/>
              </w:rPr>
              <w:t>人工操作叉车机械噪声</w:t>
            </w:r>
            <w:r>
              <w:rPr>
                <w:rFonts w:hint="eastAsia" w:ascii="宋体" w:hAnsi="宋体" w:cs="宋体"/>
                <w:kern w:val="0"/>
                <w:sz w:val="24"/>
                <w:lang w:eastAsia="zh-CN"/>
              </w:rPr>
              <w:t>。</w:t>
            </w:r>
          </w:p>
          <w:p w14:paraId="3C1A4DCE">
            <w:pPr>
              <w:widowControl/>
              <w:spacing w:line="520" w:lineRule="exact"/>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②</w:t>
            </w:r>
            <w:r>
              <w:rPr>
                <w:rFonts w:hint="eastAsia" w:ascii="宋体" w:hAnsi="宋体" w:cs="宋体"/>
                <w:kern w:val="0"/>
                <w:sz w:val="24"/>
                <w:lang w:val="en-US" w:eastAsia="zh-CN"/>
              </w:rPr>
              <w:t>吹膜</w:t>
            </w:r>
          </w:p>
          <w:p w14:paraId="6FED1B62">
            <w:pPr>
              <w:widowControl/>
              <w:spacing w:line="520" w:lineRule="exact"/>
              <w:ind w:firstLine="480" w:firstLineChars="200"/>
              <w:jc w:val="left"/>
              <w:rPr>
                <w:rFonts w:hint="eastAsia" w:ascii="宋体" w:hAnsi="宋体" w:cs="宋体"/>
                <w:kern w:val="0"/>
                <w:sz w:val="24"/>
              </w:rPr>
            </w:pPr>
            <w:r>
              <w:rPr>
                <w:rFonts w:hint="eastAsia" w:ascii="宋体" w:hAnsi="宋体" w:cs="宋体"/>
                <w:kern w:val="0"/>
                <w:sz w:val="24"/>
              </w:rPr>
              <w:t>投入的各类颗粒物料在吹膜机内165℃</w:t>
            </w:r>
            <w:r>
              <w:rPr>
                <w:rFonts w:hint="eastAsia" w:ascii="宋体" w:hAnsi="宋体" w:cs="宋体"/>
                <w:kern w:val="0"/>
                <w:sz w:val="24"/>
                <w:lang w:val="en-US" w:eastAsia="zh-CN"/>
              </w:rPr>
              <w:t>-</w:t>
            </w:r>
            <w:r>
              <w:rPr>
                <w:rFonts w:hint="eastAsia" w:ascii="宋体" w:hAnsi="宋体" w:cs="宋体"/>
                <w:kern w:val="0"/>
                <w:sz w:val="24"/>
              </w:rPr>
              <w:t>195℃高温熔融塑化，经螺杆剪切实现物料均匀共混，通过模头挤出管状膜坯，经风冷定型后收卷得到PE光膜母卷。</w:t>
            </w:r>
            <w:r>
              <w:rPr>
                <w:rFonts w:hint="eastAsia" w:ascii="宋体" w:hAnsi="宋体" w:cs="宋体"/>
                <w:kern w:val="0"/>
                <w:sz w:val="24"/>
                <w:lang w:val="en-US" w:eastAsia="zh-CN"/>
              </w:rPr>
              <w:t>项目热源为电加热。</w:t>
            </w:r>
            <w:r>
              <w:rPr>
                <w:rFonts w:hint="eastAsia" w:ascii="宋体" w:hAnsi="宋体" w:cs="宋体"/>
                <w:kern w:val="0"/>
                <w:sz w:val="24"/>
                <w:lang w:eastAsia="zh-CN"/>
              </w:rPr>
              <w:t>该</w:t>
            </w:r>
            <w:r>
              <w:rPr>
                <w:rFonts w:hint="eastAsia" w:ascii="宋体" w:hAnsi="宋体" w:cs="宋体"/>
                <w:kern w:val="0"/>
                <w:sz w:val="24"/>
                <w:lang w:val="en-US" w:eastAsia="zh-CN"/>
              </w:rPr>
              <w:t>工序</w:t>
            </w:r>
            <w:r>
              <w:rPr>
                <w:rFonts w:hint="eastAsia" w:ascii="宋体" w:hAnsi="宋体" w:cs="宋体"/>
                <w:kern w:val="0"/>
                <w:sz w:val="24"/>
              </w:rPr>
              <w:t>会产生PE及各类功能母粒高温熔融挥发产生非甲烷总烃、臭气，</w:t>
            </w:r>
            <w:r>
              <w:rPr>
                <w:rFonts w:hint="eastAsia" w:ascii="宋体" w:hAnsi="宋体" w:cs="宋体"/>
                <w:kern w:val="0"/>
                <w:sz w:val="24"/>
                <w:lang w:val="en-US" w:eastAsia="zh-CN"/>
              </w:rPr>
              <w:t>设备运转产生的</w:t>
            </w:r>
            <w:r>
              <w:rPr>
                <w:rFonts w:hint="eastAsia" w:ascii="宋体" w:hAnsi="宋体" w:cs="宋体"/>
                <w:kern w:val="0"/>
                <w:sz w:val="24"/>
                <w:lang w:eastAsia="zh-CN"/>
              </w:rPr>
              <w:t>噪声</w:t>
            </w:r>
            <w:r>
              <w:rPr>
                <w:rFonts w:hint="eastAsia" w:ascii="宋体" w:hAnsi="宋体" w:cs="宋体"/>
                <w:kern w:val="0"/>
                <w:sz w:val="24"/>
                <w:lang w:val="en-US" w:eastAsia="zh-CN"/>
              </w:rPr>
              <w:t>以及固废废膜边角料</w:t>
            </w:r>
            <w:r>
              <w:rPr>
                <w:rFonts w:hint="eastAsia" w:ascii="宋体" w:hAnsi="宋体" w:cs="宋体"/>
                <w:kern w:val="0"/>
                <w:sz w:val="24"/>
              </w:rPr>
              <w:t>。</w:t>
            </w:r>
          </w:p>
          <w:p w14:paraId="30426ED2">
            <w:pPr>
              <w:widowControl/>
              <w:spacing w:line="520" w:lineRule="exact"/>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③</w:t>
            </w:r>
            <w:r>
              <w:rPr>
                <w:rFonts w:hint="eastAsia" w:ascii="宋体" w:hAnsi="宋体" w:cs="宋体"/>
                <w:kern w:val="0"/>
                <w:sz w:val="24"/>
                <w:lang w:val="en-US" w:eastAsia="zh-CN"/>
              </w:rPr>
              <w:t>涂胶烘干</w:t>
            </w:r>
          </w:p>
          <w:p w14:paraId="6CA79715">
            <w:pPr>
              <w:widowControl/>
              <w:spacing w:line="520" w:lineRule="exact"/>
              <w:ind w:firstLine="480" w:firstLineChars="200"/>
              <w:jc w:val="left"/>
              <w:rPr>
                <w:rFonts w:hint="default" w:ascii="宋体" w:hAnsi="宋体" w:cs="宋体"/>
                <w:kern w:val="0"/>
                <w:sz w:val="24"/>
                <w:lang w:val="en-US"/>
              </w:rPr>
            </w:pPr>
            <w:r>
              <w:rPr>
                <w:rFonts w:hint="eastAsia" w:ascii="宋体" w:hAnsi="宋体" w:cs="宋体"/>
                <w:kern w:val="0"/>
                <w:sz w:val="24"/>
              </w:rPr>
              <w:t>热熔挤出得到的光膜母卷送入</w:t>
            </w:r>
            <w:r>
              <w:rPr>
                <w:rFonts w:hint="eastAsia" w:ascii="宋体" w:hAnsi="宋体" w:cs="宋体"/>
                <w:kern w:val="0"/>
                <w:sz w:val="24"/>
                <w:lang w:val="en-US" w:eastAsia="zh-CN"/>
              </w:rPr>
              <w:t>涂胶</w:t>
            </w:r>
            <w:r>
              <w:rPr>
                <w:rFonts w:hint="eastAsia" w:ascii="宋体" w:hAnsi="宋体" w:cs="宋体"/>
                <w:kern w:val="0"/>
                <w:sz w:val="24"/>
              </w:rPr>
              <w:t>机，同步添加水性丙烯酸压敏胶乳液；薄膜先经电晕活化提升附着力，</w:t>
            </w:r>
            <w:r>
              <w:rPr>
                <w:rFonts w:hint="eastAsia" w:ascii="宋体" w:hAnsi="宋体" w:cs="宋体"/>
                <w:kern w:val="0"/>
                <w:sz w:val="24"/>
                <w:lang w:val="en-US" w:eastAsia="zh-CN"/>
              </w:rPr>
              <w:t>上胶</w:t>
            </w:r>
            <w:r>
              <w:rPr>
                <w:rFonts w:hint="eastAsia" w:ascii="宋体" w:hAnsi="宋体" w:cs="宋体"/>
                <w:kern w:val="0"/>
                <w:sz w:val="24"/>
              </w:rPr>
              <w:t>后进入</w:t>
            </w:r>
            <w:r>
              <w:rPr>
                <w:rFonts w:hint="eastAsia" w:ascii="宋体" w:hAnsi="宋体" w:cs="宋体"/>
                <w:kern w:val="0"/>
                <w:sz w:val="24"/>
                <w:lang w:val="en-US" w:eastAsia="zh-CN"/>
              </w:rPr>
              <w:t>涂胶机密闭</w:t>
            </w:r>
            <w:r>
              <w:rPr>
                <w:rFonts w:hint="eastAsia" w:ascii="宋体" w:hAnsi="宋体" w:cs="宋体"/>
                <w:kern w:val="0"/>
                <w:sz w:val="24"/>
              </w:rPr>
              <w:t>烘箱</w:t>
            </w:r>
            <w:r>
              <w:rPr>
                <w:rFonts w:hint="eastAsia" w:ascii="宋体" w:hAnsi="宋体" w:cs="宋体"/>
                <w:kern w:val="0"/>
                <w:sz w:val="24"/>
                <w:lang w:val="en-US" w:eastAsia="zh-CN"/>
              </w:rPr>
              <w:t>内</w:t>
            </w:r>
            <w:r>
              <w:rPr>
                <w:rFonts w:hint="eastAsia" w:ascii="宋体" w:hAnsi="宋体" w:cs="宋体"/>
                <w:kern w:val="0"/>
                <w:sz w:val="24"/>
              </w:rPr>
              <w:t>80</w:t>
            </w:r>
            <w:r>
              <w:rPr>
                <w:rFonts w:hint="eastAsia" w:ascii="宋体" w:hAnsi="宋体" w:cs="宋体"/>
                <w:kern w:val="0"/>
                <w:sz w:val="24"/>
                <w:lang w:val="en-US" w:eastAsia="zh-CN"/>
              </w:rPr>
              <w:t>-</w:t>
            </w:r>
            <w:r>
              <w:rPr>
                <w:rFonts w:hint="eastAsia" w:ascii="宋体" w:hAnsi="宋体" w:cs="宋体"/>
                <w:kern w:val="0"/>
                <w:sz w:val="24"/>
              </w:rPr>
              <w:t>120℃加热烘干，水分蒸发、胶层固化，收卷得到带粘性涂胶膜半成品。</w:t>
            </w:r>
            <w:r>
              <w:rPr>
                <w:rFonts w:hint="eastAsia" w:ascii="宋体" w:hAnsi="宋体" w:cs="宋体"/>
                <w:kern w:val="0"/>
                <w:sz w:val="24"/>
                <w:lang w:val="en-US" w:eastAsia="zh-CN"/>
              </w:rPr>
              <w:t>项目热源为电加热。</w:t>
            </w:r>
            <w:r>
              <w:rPr>
                <w:rFonts w:hint="eastAsia" w:ascii="宋体" w:hAnsi="宋体" w:cs="宋体"/>
                <w:kern w:val="0"/>
                <w:sz w:val="24"/>
                <w:lang w:eastAsia="zh-CN"/>
              </w:rPr>
              <w:t>该</w:t>
            </w:r>
            <w:r>
              <w:rPr>
                <w:rFonts w:hint="eastAsia" w:ascii="宋体" w:hAnsi="宋体" w:cs="宋体"/>
                <w:kern w:val="0"/>
                <w:sz w:val="24"/>
                <w:lang w:val="en-US" w:eastAsia="zh-CN"/>
              </w:rPr>
              <w:t>工序</w:t>
            </w:r>
            <w:r>
              <w:rPr>
                <w:rFonts w:hint="eastAsia" w:ascii="宋体" w:hAnsi="宋体" w:cs="宋体"/>
                <w:kern w:val="0"/>
                <w:sz w:val="24"/>
              </w:rPr>
              <w:t>会产生非甲烷总烃、臭气，</w:t>
            </w:r>
            <w:r>
              <w:rPr>
                <w:rFonts w:hint="eastAsia" w:ascii="宋体" w:hAnsi="宋体" w:cs="宋体"/>
                <w:kern w:val="0"/>
                <w:sz w:val="24"/>
                <w:lang w:val="en-US" w:eastAsia="zh-CN"/>
              </w:rPr>
              <w:t>设备运转产生的</w:t>
            </w:r>
            <w:r>
              <w:rPr>
                <w:rFonts w:hint="eastAsia" w:ascii="宋体" w:hAnsi="宋体" w:cs="宋体"/>
                <w:kern w:val="0"/>
                <w:sz w:val="24"/>
                <w:lang w:eastAsia="zh-CN"/>
              </w:rPr>
              <w:t>噪声</w:t>
            </w:r>
            <w:r>
              <w:rPr>
                <w:rFonts w:hint="eastAsia" w:ascii="宋体" w:hAnsi="宋体" w:cs="宋体"/>
                <w:kern w:val="0"/>
                <w:sz w:val="24"/>
                <w:lang w:val="en-US" w:eastAsia="zh-CN"/>
              </w:rPr>
              <w:t>以及固废废膜边角料。</w:t>
            </w:r>
          </w:p>
          <w:p w14:paraId="46925821">
            <w:pPr>
              <w:widowControl/>
              <w:spacing w:line="520" w:lineRule="exact"/>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④</w:t>
            </w:r>
            <w:r>
              <w:rPr>
                <w:rFonts w:hint="eastAsia" w:ascii="宋体" w:hAnsi="宋体" w:cs="宋体"/>
                <w:kern w:val="0"/>
                <w:sz w:val="24"/>
                <w:lang w:val="en-US" w:eastAsia="zh-CN"/>
              </w:rPr>
              <w:t>扣子预制</w:t>
            </w:r>
          </w:p>
          <w:p w14:paraId="30206568">
            <w:pPr>
              <w:widowControl/>
              <w:spacing w:line="520" w:lineRule="exact"/>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外购离型膜、双面胶为原料，送入扣子机裁切加工，预制打包膜配套拼接扣子，加工完成后转运至分切装配工序备用。</w:t>
            </w:r>
            <w:r>
              <w:rPr>
                <w:rFonts w:hint="eastAsia" w:ascii="宋体" w:hAnsi="宋体" w:cs="宋体"/>
                <w:kern w:val="0"/>
                <w:sz w:val="24"/>
                <w:lang w:eastAsia="zh-CN"/>
              </w:rPr>
              <w:t>该</w:t>
            </w:r>
            <w:r>
              <w:rPr>
                <w:rFonts w:hint="eastAsia" w:ascii="宋体" w:hAnsi="宋体" w:cs="宋体"/>
                <w:kern w:val="0"/>
                <w:sz w:val="24"/>
                <w:lang w:val="en-US" w:eastAsia="zh-CN"/>
              </w:rPr>
              <w:t>工序</w:t>
            </w:r>
            <w:r>
              <w:rPr>
                <w:rFonts w:hint="eastAsia" w:ascii="宋体" w:hAnsi="宋体" w:cs="宋体"/>
                <w:kern w:val="0"/>
                <w:sz w:val="24"/>
              </w:rPr>
              <w:t>会产生</w:t>
            </w:r>
            <w:r>
              <w:rPr>
                <w:rFonts w:hint="eastAsia" w:ascii="宋体" w:hAnsi="宋体" w:cs="宋体"/>
                <w:kern w:val="0"/>
                <w:sz w:val="24"/>
                <w:lang w:val="en-US" w:eastAsia="zh-CN"/>
              </w:rPr>
              <w:t>设备运行噪声和固废废离型膜、废双面胶。</w:t>
            </w:r>
          </w:p>
          <w:p w14:paraId="0D59CFE9">
            <w:pPr>
              <w:widowControl/>
              <w:spacing w:line="520" w:lineRule="exact"/>
              <w:ind w:firstLine="480" w:firstLineChars="200"/>
              <w:jc w:val="left"/>
              <w:rPr>
                <w:rFonts w:hint="eastAsia" w:ascii="宋体" w:hAnsi="宋体" w:cs="宋体"/>
                <w:kern w:val="0"/>
                <w:sz w:val="24"/>
              </w:rPr>
            </w:pPr>
            <w:r>
              <w:rPr>
                <w:rFonts w:hint="eastAsia" w:ascii="宋体" w:hAnsi="宋体" w:cs="宋体"/>
                <w:kern w:val="0"/>
                <w:sz w:val="24"/>
              </w:rPr>
              <w:t>⑤分切、扣子装配</w:t>
            </w:r>
          </w:p>
          <w:p w14:paraId="355429EC">
            <w:pPr>
              <w:widowControl/>
              <w:spacing w:line="520" w:lineRule="exact"/>
              <w:ind w:firstLine="480" w:firstLineChars="200"/>
              <w:jc w:val="left"/>
              <w:rPr>
                <w:rFonts w:hint="default" w:ascii="宋体" w:hAnsi="宋体" w:cs="宋体"/>
                <w:kern w:val="0"/>
                <w:sz w:val="24"/>
                <w:lang w:val="en-US"/>
              </w:rPr>
            </w:pPr>
            <w:r>
              <w:rPr>
                <w:rFonts w:ascii="宋体" w:hAnsi="宋体" w:eastAsia="宋体" w:cs="宋体"/>
                <w:sz w:val="24"/>
                <w:szCs w:val="24"/>
              </w:rPr>
              <w:t>涂胶半成品母卷送入后道分切机，按成品规格分切、纸芯管初步复卷，同步将预制拼接扣子粘贴装配在膜卷上，粘贴产品标签</w:t>
            </w:r>
            <w:r>
              <w:rPr>
                <w:rFonts w:hint="eastAsia" w:ascii="宋体" w:hAnsi="宋体" w:cs="宋体"/>
                <w:kern w:val="0"/>
                <w:sz w:val="24"/>
              </w:rPr>
              <w:t>。</w:t>
            </w:r>
            <w:r>
              <w:rPr>
                <w:rFonts w:hint="eastAsia" w:ascii="宋体" w:hAnsi="宋体" w:cs="宋体"/>
                <w:kern w:val="0"/>
                <w:sz w:val="24"/>
                <w:lang w:eastAsia="zh-CN"/>
              </w:rPr>
              <w:t>该</w:t>
            </w:r>
            <w:r>
              <w:rPr>
                <w:rFonts w:hint="eastAsia" w:ascii="宋体" w:hAnsi="宋体" w:cs="宋体"/>
                <w:kern w:val="0"/>
                <w:sz w:val="24"/>
                <w:lang w:val="en-US" w:eastAsia="zh-CN"/>
              </w:rPr>
              <w:t>工序</w:t>
            </w:r>
            <w:r>
              <w:rPr>
                <w:rFonts w:hint="eastAsia" w:ascii="宋体" w:hAnsi="宋体" w:cs="宋体"/>
                <w:kern w:val="0"/>
                <w:sz w:val="24"/>
              </w:rPr>
              <w:t>会产生</w:t>
            </w:r>
            <w:r>
              <w:rPr>
                <w:rFonts w:hint="eastAsia" w:ascii="宋体" w:hAnsi="宋体" w:cs="宋体"/>
                <w:kern w:val="0"/>
                <w:sz w:val="24"/>
                <w:lang w:val="en-US" w:eastAsia="zh-CN"/>
              </w:rPr>
              <w:t>设备运行噪声和固废废膜边角料、废纸芯管。</w:t>
            </w:r>
          </w:p>
          <w:p w14:paraId="48AE544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⑥定型收卷</w:t>
            </w:r>
          </w:p>
          <w:p w14:paraId="56AC3C9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完成分切、扣子装配的半成品膜卷送入全自动AB膜机，进行双层膜复合、膜面整平、张力校正、成品定型收卷，加工完成后得到合格棉花打包膜成品，转运入库。</w:t>
            </w:r>
            <w:r>
              <w:rPr>
                <w:rFonts w:hint="eastAsia" w:ascii="宋体" w:hAnsi="宋体" w:cs="宋体"/>
                <w:kern w:val="0"/>
                <w:sz w:val="24"/>
                <w:lang w:eastAsia="zh-CN"/>
              </w:rPr>
              <w:t>该</w:t>
            </w:r>
            <w:r>
              <w:rPr>
                <w:rFonts w:hint="eastAsia" w:ascii="宋体" w:hAnsi="宋体" w:cs="宋体"/>
                <w:kern w:val="0"/>
                <w:sz w:val="24"/>
                <w:lang w:val="en-US" w:eastAsia="zh-CN"/>
              </w:rPr>
              <w:t>工序</w:t>
            </w:r>
            <w:r>
              <w:rPr>
                <w:rFonts w:hint="eastAsia" w:ascii="宋体" w:hAnsi="宋体" w:cs="宋体"/>
                <w:kern w:val="0"/>
                <w:sz w:val="24"/>
              </w:rPr>
              <w:t>会产生</w:t>
            </w:r>
            <w:r>
              <w:rPr>
                <w:rFonts w:hint="eastAsia" w:ascii="宋体" w:hAnsi="宋体" w:cs="宋体"/>
                <w:kern w:val="0"/>
                <w:sz w:val="24"/>
                <w:lang w:val="en-US" w:eastAsia="zh-CN"/>
              </w:rPr>
              <w:t>设备运行噪声和固废废膜边角料。</w:t>
            </w:r>
          </w:p>
          <w:p w14:paraId="05AFE1E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⑦成品入库</w:t>
            </w:r>
          </w:p>
          <w:p w14:paraId="59067359">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kern w:val="0"/>
                <w:sz w:val="24"/>
                <w:lang w:val="en-US" w:eastAsia="zh-CN"/>
              </w:rPr>
            </w:pPr>
            <w:r>
              <w:rPr>
                <w:rFonts w:ascii="宋体" w:hAnsi="宋体" w:eastAsia="宋体" w:cs="宋体"/>
                <w:sz w:val="24"/>
                <w:szCs w:val="24"/>
              </w:rPr>
              <w:t>定型收卷后的成品膜卷经简易外包装，转运至成品仓库分区储存</w:t>
            </w:r>
            <w:r>
              <w:rPr>
                <w:rFonts w:hint="eastAsia" w:ascii="宋体" w:hAnsi="宋体" w:eastAsia="宋体" w:cs="宋体"/>
                <w:sz w:val="24"/>
                <w:szCs w:val="24"/>
                <w:lang w:val="en-US" w:eastAsia="zh-CN"/>
              </w:rPr>
              <w:t>外售。</w:t>
            </w:r>
          </w:p>
          <w:p w14:paraId="701653F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kern w:val="0"/>
                <w:sz w:val="24"/>
              </w:rPr>
            </w:pPr>
            <w:r>
              <w:rPr>
                <w:rFonts w:hint="eastAsia" w:ascii="宋体" w:hAnsi="宋体" w:eastAsia="宋体" w:cs="宋体"/>
                <w:kern w:val="0"/>
                <w:sz w:val="24"/>
                <w:lang w:val="en-US" w:eastAsia="zh-CN"/>
              </w:rPr>
              <w:t>3.</w:t>
            </w:r>
            <w:r>
              <w:rPr>
                <w:rFonts w:hint="default" w:ascii="宋体" w:hAnsi="宋体" w:eastAsia="宋体" w:cs="宋体"/>
                <w:kern w:val="0"/>
                <w:sz w:val="24"/>
              </w:rPr>
              <w:t>主要污染工序</w:t>
            </w:r>
          </w:p>
          <w:p w14:paraId="39DB5DA7">
            <w:pPr>
              <w:widowControl/>
              <w:spacing w:line="520" w:lineRule="exact"/>
              <w:ind w:firstLine="480" w:firstLineChars="200"/>
              <w:jc w:val="left"/>
              <w:rPr>
                <w:rFonts w:hint="default" w:ascii="宋体" w:hAnsi="宋体" w:eastAsia="宋体" w:cs="宋体"/>
                <w:kern w:val="0"/>
                <w:sz w:val="24"/>
              </w:rPr>
            </w:pPr>
            <w:r>
              <w:rPr>
                <w:rFonts w:hint="default" w:ascii="宋体" w:hAnsi="宋体" w:eastAsia="宋体" w:cs="宋体"/>
                <w:kern w:val="0"/>
                <w:sz w:val="24"/>
              </w:rPr>
              <w:t>项目运营期主要污染工序见表</w:t>
            </w:r>
            <w:r>
              <w:rPr>
                <w:rFonts w:hint="eastAsia" w:ascii="宋体" w:hAnsi="宋体" w:eastAsia="宋体" w:cs="宋体"/>
                <w:kern w:val="0"/>
                <w:sz w:val="24"/>
                <w:lang w:val="en-US" w:eastAsia="zh-CN"/>
              </w:rPr>
              <w:t>2-5</w:t>
            </w:r>
            <w:r>
              <w:rPr>
                <w:rFonts w:hint="default" w:ascii="宋体" w:hAnsi="宋体" w:eastAsia="宋体" w:cs="宋体"/>
                <w:kern w:val="0"/>
                <w:sz w:val="24"/>
              </w:rPr>
              <w:t>。</w:t>
            </w:r>
          </w:p>
          <w:p w14:paraId="4880A0B0">
            <w:pPr>
              <w:widowControl/>
              <w:spacing w:line="520" w:lineRule="exact"/>
              <w:jc w:val="center"/>
              <w:rPr>
                <w:rFonts w:hint="default" w:ascii="宋体" w:hAnsi="宋体" w:eastAsia="宋体" w:cs="宋体"/>
                <w:b/>
                <w:bCs/>
                <w:kern w:val="0"/>
                <w:sz w:val="24"/>
              </w:rPr>
            </w:pPr>
            <w:r>
              <w:rPr>
                <w:rFonts w:hint="default" w:ascii="宋体" w:hAnsi="宋体" w:eastAsia="宋体" w:cs="宋体"/>
                <w:b/>
                <w:bCs/>
                <w:kern w:val="0"/>
                <w:sz w:val="24"/>
              </w:rPr>
              <w:t>表2-</w:t>
            </w:r>
            <w:r>
              <w:rPr>
                <w:rFonts w:hint="eastAsia" w:ascii="宋体" w:hAnsi="宋体" w:eastAsia="宋体" w:cs="宋体"/>
                <w:b/>
                <w:bCs/>
                <w:kern w:val="0"/>
                <w:sz w:val="24"/>
                <w:lang w:val="en-US" w:eastAsia="zh-CN"/>
              </w:rPr>
              <w:t xml:space="preserve">5 </w:t>
            </w:r>
            <w:r>
              <w:rPr>
                <w:rFonts w:hint="default" w:ascii="宋体" w:hAnsi="宋体" w:eastAsia="宋体" w:cs="宋体"/>
                <w:b/>
                <w:bCs/>
                <w:kern w:val="0"/>
                <w:sz w:val="24"/>
              </w:rPr>
              <w:t xml:space="preserve">  运营期主要污染工序汇总表</w:t>
            </w:r>
          </w:p>
          <w:tbl>
            <w:tblPr>
              <w:tblStyle w:val="24"/>
              <w:tblW w:w="83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5"/>
              <w:gridCol w:w="876"/>
              <w:gridCol w:w="1316"/>
              <w:gridCol w:w="1311"/>
              <w:gridCol w:w="3430"/>
              <w:gridCol w:w="702"/>
            </w:tblGrid>
            <w:tr w14:paraId="746F44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35" w:type="dxa"/>
                  <w:tcBorders>
                    <w:tl2br w:val="nil"/>
                    <w:tr2bl w:val="nil"/>
                  </w:tcBorders>
                  <w:noWrap w:val="0"/>
                  <w:vAlign w:val="center"/>
                </w:tcPr>
                <w:p w14:paraId="346F2E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污染类别</w:t>
                  </w:r>
                </w:p>
              </w:tc>
              <w:tc>
                <w:tcPr>
                  <w:tcW w:w="876" w:type="dxa"/>
                  <w:tcBorders>
                    <w:tl2br w:val="nil"/>
                    <w:tr2bl w:val="nil"/>
                  </w:tcBorders>
                  <w:noWrap w:val="0"/>
                  <w:vAlign w:val="center"/>
                </w:tcPr>
                <w:p w14:paraId="2AEB72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生产线名称</w:t>
                  </w:r>
                </w:p>
              </w:tc>
              <w:tc>
                <w:tcPr>
                  <w:tcW w:w="1316" w:type="dxa"/>
                  <w:tcBorders>
                    <w:tl2br w:val="nil"/>
                    <w:tr2bl w:val="nil"/>
                  </w:tcBorders>
                  <w:noWrap w:val="0"/>
                  <w:vAlign w:val="center"/>
                </w:tcPr>
                <w:p w14:paraId="1AFB15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排污环节</w:t>
                  </w:r>
                </w:p>
              </w:tc>
              <w:tc>
                <w:tcPr>
                  <w:tcW w:w="1311" w:type="dxa"/>
                  <w:tcBorders>
                    <w:tl2br w:val="nil"/>
                    <w:tr2bl w:val="nil"/>
                  </w:tcBorders>
                  <w:noWrap w:val="0"/>
                  <w:vAlign w:val="center"/>
                </w:tcPr>
                <w:p w14:paraId="20C3D9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3430" w:type="dxa"/>
                  <w:tcBorders>
                    <w:tl2br w:val="nil"/>
                    <w:tr2bl w:val="nil"/>
                  </w:tcBorders>
                  <w:noWrap w:val="0"/>
                  <w:vAlign w:val="center"/>
                </w:tcPr>
                <w:p w14:paraId="2A05F7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排放去向及治理措施</w:t>
                  </w:r>
                </w:p>
              </w:tc>
              <w:tc>
                <w:tcPr>
                  <w:tcW w:w="702" w:type="dxa"/>
                  <w:tcBorders>
                    <w:tl2br w:val="nil"/>
                    <w:tr2bl w:val="nil"/>
                  </w:tcBorders>
                  <w:noWrap w:val="0"/>
                  <w:vAlign w:val="center"/>
                </w:tcPr>
                <w:p w14:paraId="578593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排放方式</w:t>
                  </w:r>
                </w:p>
              </w:tc>
            </w:tr>
            <w:tr w14:paraId="75C34B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35" w:type="dxa"/>
                  <w:vMerge w:val="restart"/>
                  <w:tcBorders>
                    <w:tl2br w:val="nil"/>
                    <w:tr2bl w:val="nil"/>
                  </w:tcBorders>
                  <w:noWrap w:val="0"/>
                  <w:vAlign w:val="center"/>
                </w:tcPr>
                <w:p w14:paraId="5F8378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废气</w:t>
                  </w:r>
                </w:p>
              </w:tc>
              <w:tc>
                <w:tcPr>
                  <w:tcW w:w="876" w:type="dxa"/>
                  <w:vMerge w:val="restart"/>
                  <w:tcBorders>
                    <w:tl2br w:val="nil"/>
                    <w:tr2bl w:val="nil"/>
                  </w:tcBorders>
                  <w:noWrap w:val="0"/>
                  <w:vAlign w:val="center"/>
                </w:tcPr>
                <w:p w14:paraId="77CA73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打包膜生产线</w:t>
                  </w:r>
                </w:p>
              </w:tc>
              <w:tc>
                <w:tcPr>
                  <w:tcW w:w="1316" w:type="dxa"/>
                  <w:tcBorders>
                    <w:tl2br w:val="nil"/>
                    <w:tr2bl w:val="nil"/>
                  </w:tcBorders>
                  <w:noWrap w:val="0"/>
                  <w:vAlign w:val="center"/>
                </w:tcPr>
                <w:p w14:paraId="2338DD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投料</w:t>
                  </w:r>
                </w:p>
              </w:tc>
              <w:tc>
                <w:tcPr>
                  <w:tcW w:w="1311" w:type="dxa"/>
                  <w:tcBorders>
                    <w:tl2br w:val="nil"/>
                    <w:tr2bl w:val="nil"/>
                  </w:tcBorders>
                  <w:noWrap w:val="0"/>
                  <w:vAlign w:val="center"/>
                </w:tcPr>
                <w:p w14:paraId="53C72D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3430" w:type="dxa"/>
                  <w:tcBorders>
                    <w:tl2br w:val="nil"/>
                    <w:tr2bl w:val="nil"/>
                  </w:tcBorders>
                  <w:noWrap w:val="0"/>
                  <w:vAlign w:val="center"/>
                </w:tcPr>
                <w:p w14:paraId="47DFE6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投料口</w:t>
                  </w:r>
                  <w:r>
                    <w:rPr>
                      <w:rFonts w:hint="eastAsia" w:ascii="Times New Roman" w:hAnsi="Times New Roman" w:cs="Times New Roman"/>
                      <w:color w:val="auto"/>
                      <w:sz w:val="21"/>
                      <w:szCs w:val="21"/>
                      <w:highlight w:val="none"/>
                      <w:lang w:val="en-US" w:eastAsia="zh-CN"/>
                    </w:rPr>
                    <w:t>进行</w:t>
                  </w:r>
                  <w:r>
                    <w:rPr>
                      <w:rFonts w:hint="eastAsia" w:cs="Times New Roman"/>
                      <w:color w:val="auto"/>
                      <w:sz w:val="21"/>
                      <w:szCs w:val="21"/>
                      <w:highlight w:val="none"/>
                      <w:lang w:val="en-US" w:eastAsia="zh-CN"/>
                    </w:rPr>
                    <w:t>半围挡+</w:t>
                  </w:r>
                  <w:r>
                    <w:rPr>
                      <w:rFonts w:hint="eastAsia" w:ascii="Times New Roman" w:hAnsi="Times New Roman" w:cs="Times New Roman"/>
                      <w:color w:val="auto"/>
                      <w:sz w:val="21"/>
                      <w:szCs w:val="21"/>
                      <w:highlight w:val="none"/>
                      <w:lang w:val="en-US" w:eastAsia="zh-CN"/>
                    </w:rPr>
                    <w:t>密闭车间</w:t>
                  </w:r>
                </w:p>
              </w:tc>
              <w:tc>
                <w:tcPr>
                  <w:tcW w:w="702" w:type="dxa"/>
                  <w:tcBorders>
                    <w:tl2br w:val="nil"/>
                    <w:tr2bl w:val="nil"/>
                  </w:tcBorders>
                  <w:noWrap w:val="0"/>
                  <w:vAlign w:val="center"/>
                </w:tcPr>
                <w:p w14:paraId="1B2520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无组织</w:t>
                  </w:r>
                </w:p>
              </w:tc>
            </w:tr>
            <w:tr w14:paraId="5B8460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35" w:type="dxa"/>
                  <w:vMerge w:val="continue"/>
                  <w:tcBorders>
                    <w:tl2br w:val="nil"/>
                    <w:tr2bl w:val="nil"/>
                  </w:tcBorders>
                  <w:noWrap w:val="0"/>
                  <w:vAlign w:val="center"/>
                </w:tcPr>
                <w:p w14:paraId="2A519B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p>
              </w:tc>
              <w:tc>
                <w:tcPr>
                  <w:tcW w:w="876" w:type="dxa"/>
                  <w:vMerge w:val="continue"/>
                  <w:tcBorders>
                    <w:tl2br w:val="nil"/>
                    <w:tr2bl w:val="nil"/>
                  </w:tcBorders>
                  <w:noWrap w:val="0"/>
                  <w:vAlign w:val="center"/>
                </w:tcPr>
                <w:p w14:paraId="3386C0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highlight w:val="none"/>
                      <w:lang w:val="en-US" w:eastAsia="zh-CN"/>
                    </w:rPr>
                  </w:pPr>
                </w:p>
              </w:tc>
              <w:tc>
                <w:tcPr>
                  <w:tcW w:w="1316" w:type="dxa"/>
                  <w:tcBorders>
                    <w:tl2br w:val="nil"/>
                    <w:tr2bl w:val="nil"/>
                  </w:tcBorders>
                  <w:noWrap w:val="0"/>
                  <w:vAlign w:val="center"/>
                </w:tcPr>
                <w:p w14:paraId="00B8EE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吹膜</w:t>
                  </w:r>
                </w:p>
              </w:tc>
              <w:tc>
                <w:tcPr>
                  <w:tcW w:w="1311" w:type="dxa"/>
                  <w:tcBorders>
                    <w:tl2br w:val="nil"/>
                    <w:tr2bl w:val="nil"/>
                  </w:tcBorders>
                  <w:noWrap w:val="0"/>
                  <w:vAlign w:val="center"/>
                </w:tcPr>
                <w:p w14:paraId="000654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非甲烷总烃、臭气</w:t>
                  </w:r>
                </w:p>
              </w:tc>
              <w:tc>
                <w:tcPr>
                  <w:tcW w:w="3430" w:type="dxa"/>
                  <w:vMerge w:val="restart"/>
                  <w:tcBorders>
                    <w:tl2br w:val="nil"/>
                    <w:tr2bl w:val="nil"/>
                  </w:tcBorders>
                  <w:noWrap w:val="0"/>
                  <w:vAlign w:val="center"/>
                </w:tcPr>
                <w:p w14:paraId="19912F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经集气罩收集后通过“</w:t>
                  </w:r>
                  <w:r>
                    <w:rPr>
                      <w:rFonts w:hint="eastAsia" w:cs="Times New Roman"/>
                      <w:color w:val="auto"/>
                      <w:sz w:val="21"/>
                      <w:szCs w:val="21"/>
                      <w:highlight w:val="none"/>
                      <w:lang w:eastAsia="zh-CN"/>
                    </w:rPr>
                    <w:t>活性炭吸附/脱附+催化燃烧（热源采用电加热）</w:t>
                  </w:r>
                  <w:r>
                    <w:rPr>
                      <w:rFonts w:hint="default" w:ascii="Times New Roman" w:hAnsi="Times New Roman" w:cs="Times New Roman"/>
                      <w:color w:val="auto"/>
                      <w:sz w:val="21"/>
                      <w:szCs w:val="21"/>
                      <w:highlight w:val="none"/>
                    </w:rPr>
                    <w:t>”装置处理后通过20m排气筒（DA001）排放</w:t>
                  </w:r>
                </w:p>
              </w:tc>
              <w:tc>
                <w:tcPr>
                  <w:tcW w:w="702" w:type="dxa"/>
                  <w:vMerge w:val="restart"/>
                  <w:tcBorders>
                    <w:tl2br w:val="nil"/>
                    <w:tr2bl w:val="nil"/>
                  </w:tcBorders>
                  <w:noWrap w:val="0"/>
                  <w:vAlign w:val="center"/>
                </w:tcPr>
                <w:p w14:paraId="264C1F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有组织</w:t>
                  </w:r>
                </w:p>
              </w:tc>
            </w:tr>
            <w:tr w14:paraId="790DE9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735" w:type="dxa"/>
                  <w:vMerge w:val="continue"/>
                  <w:tcBorders>
                    <w:tl2br w:val="nil"/>
                    <w:tr2bl w:val="nil"/>
                  </w:tcBorders>
                  <w:noWrap w:val="0"/>
                  <w:vAlign w:val="center"/>
                </w:tcPr>
                <w:p w14:paraId="738769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p>
              </w:tc>
              <w:tc>
                <w:tcPr>
                  <w:tcW w:w="876" w:type="dxa"/>
                  <w:vMerge w:val="continue"/>
                  <w:tcBorders>
                    <w:tl2br w:val="nil"/>
                    <w:tr2bl w:val="nil"/>
                  </w:tcBorders>
                  <w:noWrap w:val="0"/>
                  <w:vAlign w:val="center"/>
                </w:tcPr>
                <w:p w14:paraId="42A26607">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auto"/>
                      <w:sz w:val="21"/>
                      <w:szCs w:val="21"/>
                      <w:highlight w:val="none"/>
                      <w:lang w:val="en-US" w:eastAsia="zh-CN"/>
                    </w:rPr>
                  </w:pPr>
                </w:p>
              </w:tc>
              <w:tc>
                <w:tcPr>
                  <w:tcW w:w="1316" w:type="dxa"/>
                  <w:tcBorders>
                    <w:tl2br w:val="nil"/>
                    <w:tr2bl w:val="nil"/>
                  </w:tcBorders>
                  <w:noWrap w:val="0"/>
                  <w:vAlign w:val="center"/>
                </w:tcPr>
                <w:p w14:paraId="7F9027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涂胶烘干</w:t>
                  </w:r>
                </w:p>
              </w:tc>
              <w:tc>
                <w:tcPr>
                  <w:tcW w:w="1311" w:type="dxa"/>
                  <w:tcBorders>
                    <w:tl2br w:val="nil"/>
                    <w:tr2bl w:val="nil"/>
                  </w:tcBorders>
                  <w:noWrap w:val="0"/>
                  <w:vAlign w:val="center"/>
                </w:tcPr>
                <w:p w14:paraId="654227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非甲烷总烃、臭气</w:t>
                  </w:r>
                </w:p>
              </w:tc>
              <w:tc>
                <w:tcPr>
                  <w:tcW w:w="3430" w:type="dxa"/>
                  <w:vMerge w:val="continue"/>
                  <w:tcBorders>
                    <w:tl2br w:val="nil"/>
                    <w:tr2bl w:val="nil"/>
                  </w:tcBorders>
                  <w:noWrap w:val="0"/>
                  <w:vAlign w:val="center"/>
                </w:tcPr>
                <w:p w14:paraId="12B646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p>
              </w:tc>
              <w:tc>
                <w:tcPr>
                  <w:tcW w:w="702" w:type="dxa"/>
                  <w:vMerge w:val="continue"/>
                  <w:tcBorders>
                    <w:tl2br w:val="nil"/>
                    <w:tr2bl w:val="nil"/>
                  </w:tcBorders>
                  <w:noWrap w:val="0"/>
                  <w:vAlign w:val="center"/>
                </w:tcPr>
                <w:p w14:paraId="297D97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p>
              </w:tc>
            </w:tr>
            <w:tr w14:paraId="1AAB7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35" w:type="dxa"/>
                  <w:vMerge w:val="continue"/>
                  <w:tcBorders>
                    <w:tl2br w:val="nil"/>
                    <w:tr2bl w:val="nil"/>
                  </w:tcBorders>
                  <w:noWrap w:val="0"/>
                  <w:vAlign w:val="center"/>
                </w:tcPr>
                <w:p w14:paraId="4AA5BF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p>
              </w:tc>
              <w:tc>
                <w:tcPr>
                  <w:tcW w:w="876" w:type="dxa"/>
                  <w:tcBorders>
                    <w:tl2br w:val="nil"/>
                    <w:tr2bl w:val="nil"/>
                  </w:tcBorders>
                  <w:noWrap w:val="0"/>
                  <w:vAlign w:val="center"/>
                </w:tcPr>
                <w:p w14:paraId="5143A8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生活办公</w:t>
                  </w:r>
                </w:p>
              </w:tc>
              <w:tc>
                <w:tcPr>
                  <w:tcW w:w="1316" w:type="dxa"/>
                  <w:tcBorders>
                    <w:tl2br w:val="nil"/>
                    <w:tr2bl w:val="nil"/>
                  </w:tcBorders>
                  <w:noWrap w:val="0"/>
                  <w:vAlign w:val="center"/>
                </w:tcPr>
                <w:p w14:paraId="7553B0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食堂油烟</w:t>
                  </w:r>
                </w:p>
              </w:tc>
              <w:tc>
                <w:tcPr>
                  <w:tcW w:w="1311" w:type="dxa"/>
                  <w:tcBorders>
                    <w:tl2br w:val="nil"/>
                    <w:tr2bl w:val="nil"/>
                  </w:tcBorders>
                  <w:noWrap w:val="0"/>
                  <w:vAlign w:val="center"/>
                </w:tcPr>
                <w:p w14:paraId="2B2A77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w:t>
                  </w:r>
                </w:p>
              </w:tc>
              <w:tc>
                <w:tcPr>
                  <w:tcW w:w="3430" w:type="dxa"/>
                  <w:tcBorders>
                    <w:tl2br w:val="nil"/>
                    <w:tr2bl w:val="nil"/>
                  </w:tcBorders>
                  <w:noWrap w:val="0"/>
                  <w:vAlign w:val="center"/>
                </w:tcPr>
                <w:p w14:paraId="01AD28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color w:val="auto"/>
                      <w:sz w:val="21"/>
                      <w:szCs w:val="21"/>
                      <w:highlight w:val="none"/>
                    </w:rPr>
                    <w:t>食堂油烟经油烟净化系统处理</w:t>
                  </w:r>
                </w:p>
              </w:tc>
              <w:tc>
                <w:tcPr>
                  <w:tcW w:w="702" w:type="dxa"/>
                  <w:tcBorders>
                    <w:tl2br w:val="nil"/>
                    <w:tr2bl w:val="nil"/>
                  </w:tcBorders>
                  <w:noWrap w:val="0"/>
                  <w:vAlign w:val="center"/>
                </w:tcPr>
                <w:p w14:paraId="543F6B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无组织</w:t>
                  </w:r>
                </w:p>
              </w:tc>
            </w:tr>
            <w:tr w14:paraId="268AAB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1611" w:type="dxa"/>
                  <w:gridSpan w:val="2"/>
                  <w:tcBorders>
                    <w:tl2br w:val="nil"/>
                    <w:tr2bl w:val="nil"/>
                  </w:tcBorders>
                  <w:noWrap w:val="0"/>
                  <w:vAlign w:val="center"/>
                </w:tcPr>
                <w:p w14:paraId="492F8D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废水</w:t>
                  </w:r>
                </w:p>
              </w:tc>
              <w:tc>
                <w:tcPr>
                  <w:tcW w:w="1316" w:type="dxa"/>
                  <w:tcBorders>
                    <w:tl2br w:val="nil"/>
                    <w:tr2bl w:val="nil"/>
                  </w:tcBorders>
                  <w:noWrap w:val="0"/>
                  <w:vAlign w:val="center"/>
                </w:tcPr>
                <w:p w14:paraId="454DE2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生活区</w:t>
                  </w:r>
                </w:p>
              </w:tc>
              <w:tc>
                <w:tcPr>
                  <w:tcW w:w="1311" w:type="dxa"/>
                  <w:tcBorders>
                    <w:tl2br w:val="nil"/>
                    <w:tr2bl w:val="nil"/>
                  </w:tcBorders>
                  <w:noWrap w:val="0"/>
                  <w:vAlign w:val="center"/>
                </w:tcPr>
                <w:p w14:paraId="62AA25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生活污水</w:t>
                  </w:r>
                </w:p>
              </w:tc>
              <w:tc>
                <w:tcPr>
                  <w:tcW w:w="3430" w:type="dxa"/>
                  <w:tcBorders>
                    <w:tl2br w:val="nil"/>
                    <w:tr2bl w:val="nil"/>
                  </w:tcBorders>
                  <w:noWrap w:val="0"/>
                  <w:vAlign w:val="center"/>
                </w:tcPr>
                <w:p w14:paraId="14001E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000000"/>
                      <w:sz w:val="21"/>
                      <w:szCs w:val="21"/>
                      <w:lang w:val="en-US" w:eastAsia="zh-CN"/>
                    </w:rPr>
                    <w:t>经化粪池预处理后排入园区污水管网，最终进入轮台县新城区生活污水处理厂处理</w:t>
                  </w:r>
                </w:p>
              </w:tc>
              <w:tc>
                <w:tcPr>
                  <w:tcW w:w="702" w:type="dxa"/>
                  <w:tcBorders>
                    <w:tl2br w:val="nil"/>
                    <w:tr2bl w:val="nil"/>
                  </w:tcBorders>
                  <w:noWrap w:val="0"/>
                  <w:vAlign w:val="center"/>
                </w:tcPr>
                <w:p w14:paraId="1FF96E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r>
            <w:tr w14:paraId="37BAA9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611" w:type="dxa"/>
                  <w:gridSpan w:val="2"/>
                  <w:vMerge w:val="restart"/>
                  <w:tcBorders>
                    <w:tl2br w:val="nil"/>
                    <w:tr2bl w:val="nil"/>
                  </w:tcBorders>
                  <w:noWrap w:val="0"/>
                  <w:vAlign w:val="center"/>
                </w:tcPr>
                <w:p w14:paraId="416426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固体废物</w:t>
                  </w:r>
                </w:p>
              </w:tc>
              <w:tc>
                <w:tcPr>
                  <w:tcW w:w="1316" w:type="dxa"/>
                  <w:vMerge w:val="restart"/>
                  <w:tcBorders>
                    <w:tl2br w:val="nil"/>
                    <w:tr2bl w:val="nil"/>
                  </w:tcBorders>
                  <w:noWrap w:val="0"/>
                  <w:vAlign w:val="center"/>
                </w:tcPr>
                <w:p w14:paraId="4CD81C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生产</w:t>
                  </w:r>
                </w:p>
              </w:tc>
              <w:tc>
                <w:tcPr>
                  <w:tcW w:w="1311" w:type="dxa"/>
                  <w:tcBorders>
                    <w:tl2br w:val="nil"/>
                    <w:tr2bl w:val="nil"/>
                  </w:tcBorders>
                  <w:noWrap w:val="0"/>
                  <w:vAlign w:val="center"/>
                </w:tcPr>
                <w:p w14:paraId="5BDD58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废膜边角料、</w:t>
                  </w:r>
                  <w:r>
                    <w:rPr>
                      <w:rFonts w:hint="eastAsia"/>
                      <w:szCs w:val="21"/>
                      <w:lang w:val="en-US" w:eastAsia="zh-CN"/>
                    </w:rPr>
                    <w:t>废离型膜、废双面胶、</w:t>
                  </w:r>
                  <w:r>
                    <w:rPr>
                      <w:rFonts w:hint="eastAsia" w:ascii="Times New Roman" w:hAnsi="Times New Roman" w:eastAsia="宋体" w:cs="Times New Roman"/>
                      <w:color w:val="auto"/>
                      <w:sz w:val="21"/>
                      <w:szCs w:val="21"/>
                      <w:highlight w:val="none"/>
                      <w:lang w:val="en-US" w:eastAsia="zh-CN"/>
                    </w:rPr>
                    <w:t>废纸芯管</w:t>
                  </w:r>
                </w:p>
              </w:tc>
              <w:tc>
                <w:tcPr>
                  <w:tcW w:w="3430" w:type="dxa"/>
                  <w:tcBorders>
                    <w:tl2br w:val="nil"/>
                    <w:tr2bl w:val="nil"/>
                  </w:tcBorders>
                  <w:noWrap w:val="0"/>
                  <w:vAlign w:val="center"/>
                </w:tcPr>
                <w:p w14:paraId="36F6A7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分类收集后外售回收单位</w:t>
                  </w:r>
                </w:p>
              </w:tc>
              <w:tc>
                <w:tcPr>
                  <w:tcW w:w="702" w:type="dxa"/>
                  <w:tcBorders>
                    <w:tl2br w:val="nil"/>
                    <w:tr2bl w:val="nil"/>
                  </w:tcBorders>
                  <w:noWrap w:val="0"/>
                  <w:vAlign w:val="center"/>
                </w:tcPr>
                <w:p w14:paraId="5D802C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r>
            <w:tr w14:paraId="22E626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611" w:type="dxa"/>
                  <w:gridSpan w:val="2"/>
                  <w:vMerge w:val="continue"/>
                  <w:tcBorders>
                    <w:tl2br w:val="nil"/>
                    <w:tr2bl w:val="nil"/>
                  </w:tcBorders>
                  <w:noWrap w:val="0"/>
                  <w:vAlign w:val="center"/>
                </w:tcPr>
                <w:p w14:paraId="3C17D4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p>
              </w:tc>
              <w:tc>
                <w:tcPr>
                  <w:tcW w:w="1316" w:type="dxa"/>
                  <w:vMerge w:val="continue"/>
                  <w:tcBorders>
                    <w:tl2br w:val="nil"/>
                    <w:tr2bl w:val="nil"/>
                  </w:tcBorders>
                  <w:noWrap w:val="0"/>
                  <w:vAlign w:val="center"/>
                </w:tcPr>
                <w:p w14:paraId="024BB2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eastAsia="zh-CN"/>
                    </w:rPr>
                  </w:pPr>
                </w:p>
              </w:tc>
              <w:tc>
                <w:tcPr>
                  <w:tcW w:w="1311" w:type="dxa"/>
                  <w:tcBorders>
                    <w:tl2br w:val="nil"/>
                    <w:tr2bl w:val="nil"/>
                  </w:tcBorders>
                  <w:noWrap w:val="0"/>
                  <w:vAlign w:val="center"/>
                </w:tcPr>
                <w:p w14:paraId="1278A6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szCs w:val="21"/>
                      <w:lang w:val="en-US" w:eastAsia="zh-CN"/>
                    </w:rPr>
                  </w:pPr>
                  <w:r>
                    <w:rPr>
                      <w:rFonts w:hint="default"/>
                      <w:szCs w:val="21"/>
                      <w:lang w:val="en-US" w:eastAsia="zh-CN"/>
                    </w:rPr>
                    <w:t>废原辅料包装袋、废包装桶</w:t>
                  </w:r>
                </w:p>
              </w:tc>
              <w:tc>
                <w:tcPr>
                  <w:tcW w:w="3430" w:type="dxa"/>
                  <w:tcBorders>
                    <w:tl2br w:val="nil"/>
                    <w:tr2bl w:val="nil"/>
                  </w:tcBorders>
                  <w:noWrap w:val="0"/>
                  <w:vAlign w:val="center"/>
                </w:tcPr>
                <w:p w14:paraId="2CC47B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收集后</w:t>
                  </w:r>
                  <w:r>
                    <w:rPr>
                      <w:rFonts w:hint="default" w:ascii="Times New Roman" w:hAnsi="Times New Roman" w:eastAsia="宋体" w:cs="Times New Roman"/>
                      <w:color w:val="auto"/>
                      <w:sz w:val="21"/>
                      <w:szCs w:val="21"/>
                      <w:highlight w:val="none"/>
                      <w:lang w:val="en-US" w:eastAsia="zh-CN"/>
                    </w:rPr>
                    <w:t>由原料供应商回收利用</w:t>
                  </w:r>
                </w:p>
              </w:tc>
              <w:tc>
                <w:tcPr>
                  <w:tcW w:w="702" w:type="dxa"/>
                  <w:tcBorders>
                    <w:tl2br w:val="nil"/>
                    <w:tr2bl w:val="nil"/>
                  </w:tcBorders>
                  <w:noWrap w:val="0"/>
                  <w:vAlign w:val="center"/>
                </w:tcPr>
                <w:p w14:paraId="681770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eastAsia="zh-CN"/>
                    </w:rPr>
                  </w:pPr>
                </w:p>
              </w:tc>
            </w:tr>
            <w:tr w14:paraId="03A631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611" w:type="dxa"/>
                  <w:gridSpan w:val="2"/>
                  <w:vMerge w:val="continue"/>
                  <w:tcBorders>
                    <w:tl2br w:val="nil"/>
                    <w:tr2bl w:val="nil"/>
                  </w:tcBorders>
                  <w:noWrap w:val="0"/>
                  <w:vAlign w:val="center"/>
                </w:tcPr>
                <w:p w14:paraId="0A4546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p>
              </w:tc>
              <w:tc>
                <w:tcPr>
                  <w:tcW w:w="1316" w:type="dxa"/>
                  <w:tcBorders>
                    <w:tl2br w:val="nil"/>
                    <w:tr2bl w:val="nil"/>
                  </w:tcBorders>
                  <w:noWrap w:val="0"/>
                  <w:vAlign w:val="center"/>
                </w:tcPr>
                <w:p w14:paraId="65CAB3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生活办公</w:t>
                  </w:r>
                </w:p>
              </w:tc>
              <w:tc>
                <w:tcPr>
                  <w:tcW w:w="1311" w:type="dxa"/>
                  <w:tcBorders>
                    <w:tl2br w:val="nil"/>
                    <w:tr2bl w:val="nil"/>
                  </w:tcBorders>
                  <w:noWrap w:val="0"/>
                  <w:vAlign w:val="center"/>
                </w:tcPr>
                <w:p w14:paraId="5A7D2C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3430" w:type="dxa"/>
                  <w:tcBorders>
                    <w:tl2br w:val="nil"/>
                    <w:tr2bl w:val="nil"/>
                  </w:tcBorders>
                  <w:noWrap w:val="0"/>
                  <w:vAlign w:val="center"/>
                </w:tcPr>
                <w:p w14:paraId="0942CC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分类</w:t>
                  </w:r>
                  <w:r>
                    <w:rPr>
                      <w:rFonts w:hint="default" w:ascii="Times New Roman" w:hAnsi="Times New Roman" w:cs="Times New Roman"/>
                      <w:color w:val="auto"/>
                      <w:sz w:val="21"/>
                      <w:szCs w:val="21"/>
                      <w:highlight w:val="none"/>
                      <w:lang w:val="en-US" w:eastAsia="zh-CN"/>
                    </w:rPr>
                    <w:t>收集后</w:t>
                  </w:r>
                  <w:r>
                    <w:rPr>
                      <w:rFonts w:hint="default" w:ascii="Times New Roman" w:hAnsi="Times New Roman" w:eastAsia="宋体" w:cs="Times New Roman"/>
                      <w:sz w:val="21"/>
                      <w:szCs w:val="21"/>
                      <w:highlight w:val="none"/>
                    </w:rPr>
                    <w:t>交由环卫部门处置</w:t>
                  </w:r>
                </w:p>
              </w:tc>
              <w:tc>
                <w:tcPr>
                  <w:tcW w:w="702" w:type="dxa"/>
                  <w:tcBorders>
                    <w:tl2br w:val="nil"/>
                    <w:tr2bl w:val="nil"/>
                  </w:tcBorders>
                  <w:noWrap w:val="0"/>
                  <w:vAlign w:val="center"/>
                </w:tcPr>
                <w:p w14:paraId="54F6F2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r>
            <w:tr w14:paraId="0703FD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611" w:type="dxa"/>
                  <w:gridSpan w:val="2"/>
                  <w:vMerge w:val="continue"/>
                  <w:tcBorders>
                    <w:tl2br w:val="nil"/>
                    <w:tr2bl w:val="nil"/>
                  </w:tcBorders>
                  <w:noWrap w:val="0"/>
                  <w:vAlign w:val="center"/>
                </w:tcPr>
                <w:p w14:paraId="4E7515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p>
              </w:tc>
              <w:tc>
                <w:tcPr>
                  <w:tcW w:w="1316" w:type="dxa"/>
                  <w:tcBorders>
                    <w:tl2br w:val="nil"/>
                    <w:tr2bl w:val="nil"/>
                  </w:tcBorders>
                  <w:noWrap w:val="0"/>
                  <w:vAlign w:val="center"/>
                </w:tcPr>
                <w:p w14:paraId="485C04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废气治理设施</w:t>
                  </w:r>
                </w:p>
              </w:tc>
              <w:tc>
                <w:tcPr>
                  <w:tcW w:w="1311" w:type="dxa"/>
                  <w:tcBorders>
                    <w:tl2br w:val="nil"/>
                    <w:tr2bl w:val="nil"/>
                  </w:tcBorders>
                  <w:noWrap w:val="0"/>
                  <w:vAlign w:val="center"/>
                </w:tcPr>
                <w:p w14:paraId="0C0A4D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废催化剂、废玻璃纤维棉和纸箱过滤器、废活性炭</w:t>
                  </w:r>
                </w:p>
              </w:tc>
              <w:tc>
                <w:tcPr>
                  <w:tcW w:w="3430" w:type="dxa"/>
                  <w:vMerge w:val="restart"/>
                  <w:tcBorders>
                    <w:tl2br w:val="nil"/>
                    <w:tr2bl w:val="nil"/>
                  </w:tcBorders>
                  <w:noWrap w:val="0"/>
                  <w:vAlign w:val="center"/>
                </w:tcPr>
                <w:p w14:paraId="4B2804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作为危险废物暂存至危险废物贮存库，交由有资质的单位处置</w:t>
                  </w:r>
                </w:p>
              </w:tc>
              <w:tc>
                <w:tcPr>
                  <w:tcW w:w="702" w:type="dxa"/>
                  <w:tcBorders>
                    <w:tl2br w:val="nil"/>
                    <w:tr2bl w:val="nil"/>
                  </w:tcBorders>
                  <w:noWrap w:val="0"/>
                  <w:vAlign w:val="center"/>
                </w:tcPr>
                <w:p w14:paraId="66B04A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eastAsia="zh-CN"/>
                    </w:rPr>
                  </w:pPr>
                </w:p>
              </w:tc>
            </w:tr>
            <w:tr w14:paraId="76558D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611" w:type="dxa"/>
                  <w:gridSpan w:val="2"/>
                  <w:vMerge w:val="continue"/>
                  <w:tcBorders>
                    <w:tl2br w:val="nil"/>
                    <w:tr2bl w:val="nil"/>
                  </w:tcBorders>
                  <w:noWrap w:val="0"/>
                  <w:vAlign w:val="center"/>
                </w:tcPr>
                <w:p w14:paraId="49FC9A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p>
              </w:tc>
              <w:tc>
                <w:tcPr>
                  <w:tcW w:w="1316" w:type="dxa"/>
                  <w:tcBorders>
                    <w:tl2br w:val="nil"/>
                    <w:tr2bl w:val="nil"/>
                  </w:tcBorders>
                  <w:noWrap w:val="0"/>
                  <w:vAlign w:val="center"/>
                </w:tcPr>
                <w:p w14:paraId="6B1E16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设备维护</w:t>
                  </w:r>
                </w:p>
              </w:tc>
              <w:tc>
                <w:tcPr>
                  <w:tcW w:w="1311" w:type="dxa"/>
                  <w:tcBorders>
                    <w:tl2br w:val="nil"/>
                    <w:tr2bl w:val="nil"/>
                  </w:tcBorders>
                  <w:noWrap w:val="0"/>
                  <w:vAlign w:val="center"/>
                </w:tcPr>
                <w:p w14:paraId="3978E3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highlight w:val="none"/>
                      <w:lang w:val="en-US" w:eastAsia="zh-CN"/>
                    </w:rPr>
                  </w:pPr>
                  <w:r>
                    <w:rPr>
                      <w:rFonts w:hint="eastAsia"/>
                      <w:lang w:val="en-US" w:eastAsia="zh-CN"/>
                    </w:rPr>
                    <w:t>废机油、废含油抹布、手套</w:t>
                  </w:r>
                </w:p>
              </w:tc>
              <w:tc>
                <w:tcPr>
                  <w:tcW w:w="3430" w:type="dxa"/>
                  <w:vMerge w:val="continue"/>
                  <w:tcBorders>
                    <w:tl2br w:val="nil"/>
                    <w:tr2bl w:val="nil"/>
                  </w:tcBorders>
                  <w:noWrap w:val="0"/>
                  <w:vAlign w:val="center"/>
                </w:tcPr>
                <w:p w14:paraId="687861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p>
              </w:tc>
              <w:tc>
                <w:tcPr>
                  <w:tcW w:w="702" w:type="dxa"/>
                  <w:tcBorders>
                    <w:tl2br w:val="nil"/>
                    <w:tr2bl w:val="nil"/>
                  </w:tcBorders>
                  <w:noWrap w:val="0"/>
                  <w:vAlign w:val="center"/>
                </w:tcPr>
                <w:p w14:paraId="402EE1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0A1F40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611" w:type="dxa"/>
                  <w:gridSpan w:val="2"/>
                  <w:tcBorders>
                    <w:tl2br w:val="nil"/>
                    <w:tr2bl w:val="nil"/>
                  </w:tcBorders>
                  <w:noWrap w:val="0"/>
                  <w:vAlign w:val="center"/>
                </w:tcPr>
                <w:p w14:paraId="3F267C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1316" w:type="dxa"/>
                  <w:tcBorders>
                    <w:tl2br w:val="nil"/>
                    <w:tr2bl w:val="nil"/>
                  </w:tcBorders>
                  <w:noWrap w:val="0"/>
                  <w:vAlign w:val="center"/>
                </w:tcPr>
                <w:p w14:paraId="535827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w:t>
                  </w:r>
                </w:p>
              </w:tc>
              <w:tc>
                <w:tcPr>
                  <w:tcW w:w="1311" w:type="dxa"/>
                  <w:tcBorders>
                    <w:tl2br w:val="nil"/>
                    <w:tr2bl w:val="nil"/>
                  </w:tcBorders>
                  <w:noWrap w:val="0"/>
                  <w:vAlign w:val="center"/>
                </w:tcPr>
                <w:p w14:paraId="1A1D04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3430" w:type="dxa"/>
                  <w:tcBorders>
                    <w:tl2br w:val="nil"/>
                    <w:tr2bl w:val="nil"/>
                  </w:tcBorders>
                  <w:noWrap w:val="0"/>
                  <w:vAlign w:val="center"/>
                </w:tcPr>
                <w:p w14:paraId="083777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基础减振，厂房隔音，使用低噪声设备</w:t>
                  </w:r>
                </w:p>
              </w:tc>
              <w:tc>
                <w:tcPr>
                  <w:tcW w:w="702" w:type="dxa"/>
                  <w:tcBorders>
                    <w:tl2br w:val="nil"/>
                    <w:tr2bl w:val="nil"/>
                  </w:tcBorders>
                  <w:noWrap w:val="0"/>
                  <w:vAlign w:val="center"/>
                </w:tcPr>
                <w:p w14:paraId="4A59CF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r>
          </w:tbl>
          <w:p w14:paraId="09FE849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Calibri" w:hAnsi="Calibri" w:eastAsia="宋体" w:cs="宋体"/>
                <w:color w:val="auto"/>
                <w:kern w:val="0"/>
                <w:sz w:val="24"/>
                <w:lang w:val="en-US" w:eastAsia="zh-CN"/>
              </w:rPr>
            </w:pPr>
            <w:r>
              <w:rPr>
                <w:rFonts w:hint="default" w:ascii="Calibri" w:hAnsi="Calibri" w:eastAsia="宋体" w:cs="宋体"/>
                <w:color w:val="auto"/>
                <w:kern w:val="0"/>
                <w:sz w:val="24"/>
                <w:lang w:val="en-US" w:eastAsia="zh-CN"/>
              </w:rPr>
              <w:t>4.项目物料平衡</w:t>
            </w:r>
          </w:p>
          <w:p w14:paraId="78927D74">
            <w:pPr>
              <w:pStyle w:val="19"/>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Calibri" w:hAnsi="Calibri" w:eastAsia="宋体" w:cs="Times New Roman"/>
                <w:color w:val="auto"/>
                <w:sz w:val="24"/>
                <w:lang w:val="en-US" w:eastAsia="zh-CN"/>
              </w:rPr>
            </w:pPr>
            <w:r>
              <w:rPr>
                <w:rFonts w:hint="default" w:ascii="Calibri" w:hAnsi="Calibri" w:eastAsia="宋体" w:cs="Times New Roman"/>
                <w:color w:val="auto"/>
                <w:sz w:val="24"/>
                <w:lang w:val="en-US" w:eastAsia="zh-CN"/>
              </w:rPr>
              <w:t>本项目物料平衡表见表2-</w:t>
            </w:r>
            <w:r>
              <w:rPr>
                <w:rFonts w:hint="eastAsia" w:ascii="Calibri" w:hAnsi="Calibri" w:eastAsia="宋体" w:cs="Times New Roman"/>
                <w:color w:val="auto"/>
                <w:sz w:val="24"/>
                <w:lang w:val="en-US" w:eastAsia="zh-CN"/>
              </w:rPr>
              <w:t>6。</w:t>
            </w:r>
          </w:p>
          <w:p w14:paraId="12AA1B90">
            <w:pPr>
              <w:pStyle w:val="67"/>
              <w:keepNext w:val="0"/>
              <w:keepLines w:val="0"/>
              <w:pageBreakBefore w:val="0"/>
              <w:kinsoku/>
              <w:wordWrap/>
              <w:overflowPunct/>
              <w:topLinePunct w:val="0"/>
              <w:autoSpaceDE/>
              <w:autoSpaceDN/>
              <w:bidi w:val="0"/>
              <w:spacing w:line="520" w:lineRule="exact"/>
              <w:textAlignment w:val="auto"/>
              <w:rPr>
                <w:rFonts w:hint="default" w:ascii="Calibri" w:hAnsi="Calibri"/>
                <w:color w:val="auto"/>
                <w:lang w:val="en-US" w:eastAsia="zh-CN"/>
              </w:rPr>
            </w:pPr>
            <w:r>
              <w:rPr>
                <w:rFonts w:hint="default" w:ascii="Calibri" w:hAnsi="Calibri"/>
                <w:color w:val="auto"/>
                <w:lang w:val="en-US" w:eastAsia="zh-CN"/>
              </w:rPr>
              <w:t>表2-</w:t>
            </w:r>
            <w:r>
              <w:rPr>
                <w:rFonts w:hint="eastAsia" w:ascii="Calibri" w:hAnsi="Calibri"/>
                <w:color w:val="auto"/>
                <w:lang w:val="en-US" w:eastAsia="zh-CN"/>
              </w:rPr>
              <w:t>6</w:t>
            </w:r>
            <w:r>
              <w:rPr>
                <w:rFonts w:hint="default" w:ascii="Calibri" w:hAnsi="Calibri"/>
                <w:color w:val="auto"/>
                <w:lang w:val="en-US" w:eastAsia="zh-CN"/>
              </w:rPr>
              <w:t xml:space="preserve">   物料平衡一览表（t/a）</w:t>
            </w:r>
          </w:p>
          <w:tbl>
            <w:tblPr>
              <w:tblStyle w:val="25"/>
              <w:tblW w:w="8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7"/>
              <w:gridCol w:w="2097"/>
              <w:gridCol w:w="2098"/>
              <w:gridCol w:w="2098"/>
            </w:tblGrid>
            <w:tr w14:paraId="75FA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087" w:type="dxa"/>
                  <w:tcBorders>
                    <w:tl2br w:val="nil"/>
                    <w:tr2bl w:val="nil"/>
                  </w:tcBorders>
                  <w:noWrap w:val="0"/>
                  <w:vAlign w:val="center"/>
                </w:tcPr>
                <w:p w14:paraId="092B3A64">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物料名称</w:t>
                  </w:r>
                </w:p>
              </w:tc>
              <w:tc>
                <w:tcPr>
                  <w:tcW w:w="2097" w:type="dxa"/>
                  <w:tcBorders>
                    <w:tl2br w:val="nil"/>
                    <w:tr2bl w:val="nil"/>
                  </w:tcBorders>
                  <w:noWrap w:val="0"/>
                  <w:vAlign w:val="center"/>
                </w:tcPr>
                <w:p w14:paraId="05112699">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输入t/a</w:t>
                  </w:r>
                </w:p>
              </w:tc>
              <w:tc>
                <w:tcPr>
                  <w:tcW w:w="2098" w:type="dxa"/>
                  <w:tcBorders>
                    <w:tl2br w:val="nil"/>
                    <w:tr2bl w:val="nil"/>
                  </w:tcBorders>
                  <w:noWrap w:val="0"/>
                  <w:vAlign w:val="center"/>
                </w:tcPr>
                <w:p w14:paraId="289615F4">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物料名称</w:t>
                  </w:r>
                </w:p>
              </w:tc>
              <w:tc>
                <w:tcPr>
                  <w:tcW w:w="2098" w:type="dxa"/>
                  <w:tcBorders>
                    <w:tl2br w:val="nil"/>
                    <w:tr2bl w:val="nil"/>
                  </w:tcBorders>
                  <w:noWrap w:val="0"/>
                  <w:vAlign w:val="center"/>
                </w:tcPr>
                <w:p w14:paraId="7B74247D">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输出</w:t>
                  </w:r>
                </w:p>
              </w:tc>
            </w:tr>
            <w:tr w14:paraId="6553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7325AD93">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sz w:val="21"/>
                      <w:szCs w:val="21"/>
                      <w:lang w:val="en-US" w:eastAsia="zh-CN"/>
                    </w:rPr>
                    <w:t>聚乙烯颗粒</w:t>
                  </w:r>
                </w:p>
              </w:tc>
              <w:tc>
                <w:tcPr>
                  <w:tcW w:w="2097" w:type="dxa"/>
                  <w:tcBorders>
                    <w:tl2br w:val="nil"/>
                    <w:tr2bl w:val="nil"/>
                  </w:tcBorders>
                  <w:noWrap w:val="0"/>
                  <w:vAlign w:val="center"/>
                </w:tcPr>
                <w:p w14:paraId="3D9FE910">
                  <w:pPr>
                    <w:pStyle w:val="56"/>
                    <w:keepNext w:val="0"/>
                    <w:keepLines w:val="0"/>
                    <w:pageBreakBefore w:val="0"/>
                    <w:widowControl w:val="0"/>
                    <w:kinsoku/>
                    <w:wordWrap/>
                    <w:overflowPunct/>
                    <w:topLinePunct w:val="0"/>
                    <w:bidi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eastAsia="宋体" w:cs="Times New Roman"/>
                      <w:b w:val="0"/>
                      <w:bCs/>
                      <w:sz w:val="21"/>
                      <w:szCs w:val="21"/>
                      <w:lang w:val="en-US" w:eastAsia="zh-CN"/>
                    </w:rPr>
                    <w:t>1</w:t>
                  </w:r>
                  <w:r>
                    <w:rPr>
                      <w:rFonts w:hint="eastAsia" w:ascii="Times New Roman" w:hAnsi="Times New Roman" w:cs="Times New Roman"/>
                      <w:b w:val="0"/>
                      <w:bCs/>
                      <w:sz w:val="21"/>
                      <w:szCs w:val="21"/>
                      <w:lang w:val="en-US" w:eastAsia="zh-CN"/>
                    </w:rPr>
                    <w:t>10</w:t>
                  </w:r>
                  <w:r>
                    <w:rPr>
                      <w:rFonts w:hint="eastAsia" w:ascii="Times New Roman" w:hAnsi="Times New Roman" w:eastAsia="宋体" w:cs="Times New Roman"/>
                      <w:b w:val="0"/>
                      <w:bCs/>
                      <w:sz w:val="21"/>
                      <w:szCs w:val="21"/>
                      <w:lang w:val="en-US" w:eastAsia="zh-CN"/>
                    </w:rPr>
                    <w:t>00</w:t>
                  </w:r>
                </w:p>
              </w:tc>
              <w:tc>
                <w:tcPr>
                  <w:tcW w:w="2098" w:type="dxa"/>
                  <w:tcBorders>
                    <w:tl2br w:val="nil"/>
                    <w:tr2bl w:val="nil"/>
                  </w:tcBorders>
                  <w:noWrap w:val="0"/>
                  <w:vAlign w:val="center"/>
                </w:tcPr>
                <w:p w14:paraId="5C989CB8">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打包膜</w:t>
                  </w:r>
                </w:p>
              </w:tc>
              <w:tc>
                <w:tcPr>
                  <w:tcW w:w="2098" w:type="dxa"/>
                  <w:tcBorders>
                    <w:tl2br w:val="nil"/>
                    <w:tr2bl w:val="nil"/>
                  </w:tcBorders>
                  <w:noWrap w:val="0"/>
                  <w:vAlign w:val="center"/>
                </w:tcPr>
                <w:p w14:paraId="0894A63A">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12000</w:t>
                  </w:r>
                </w:p>
              </w:tc>
            </w:tr>
            <w:tr w14:paraId="4F2E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635ACE5D">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sz w:val="21"/>
                      <w:szCs w:val="21"/>
                      <w:lang w:val="en-US" w:eastAsia="zh-CN"/>
                    </w:rPr>
                    <w:t>PE色母颗粒</w:t>
                  </w:r>
                </w:p>
              </w:tc>
              <w:tc>
                <w:tcPr>
                  <w:tcW w:w="2097" w:type="dxa"/>
                  <w:tcBorders>
                    <w:tl2br w:val="nil"/>
                    <w:tr2bl w:val="nil"/>
                  </w:tcBorders>
                  <w:noWrap w:val="0"/>
                  <w:vAlign w:val="center"/>
                </w:tcPr>
                <w:p w14:paraId="76B649F3">
                  <w:pPr>
                    <w:pStyle w:val="56"/>
                    <w:keepNext w:val="0"/>
                    <w:keepLines w:val="0"/>
                    <w:pageBreakBefore w:val="0"/>
                    <w:widowControl w:val="0"/>
                    <w:kinsoku/>
                    <w:wordWrap/>
                    <w:overflowPunct/>
                    <w:topLinePunct w:val="0"/>
                    <w:bidi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sz w:val="21"/>
                      <w:szCs w:val="21"/>
                      <w:lang w:val="en-US" w:eastAsia="zh-CN"/>
                    </w:rPr>
                    <w:t>15</w:t>
                  </w:r>
                  <w:r>
                    <w:rPr>
                      <w:rFonts w:hint="eastAsia" w:ascii="Times New Roman" w:hAnsi="Times New Roman" w:eastAsia="宋体" w:cs="Times New Roman"/>
                      <w:b w:val="0"/>
                      <w:bCs/>
                      <w:sz w:val="21"/>
                      <w:szCs w:val="21"/>
                      <w:lang w:val="en-US" w:eastAsia="zh-CN"/>
                    </w:rPr>
                    <w:t>0</w:t>
                  </w:r>
                </w:p>
              </w:tc>
              <w:tc>
                <w:tcPr>
                  <w:tcW w:w="2098" w:type="dxa"/>
                  <w:tcBorders>
                    <w:tl2br w:val="nil"/>
                    <w:tr2bl w:val="nil"/>
                  </w:tcBorders>
                  <w:noWrap w:val="0"/>
                  <w:vAlign w:val="center"/>
                </w:tcPr>
                <w:p w14:paraId="35937D5C">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颗粒物</w:t>
                  </w:r>
                </w:p>
              </w:tc>
              <w:tc>
                <w:tcPr>
                  <w:tcW w:w="2098" w:type="dxa"/>
                  <w:tcBorders>
                    <w:tl2br w:val="nil"/>
                    <w:tr2bl w:val="nil"/>
                  </w:tcBorders>
                  <w:noWrap w:val="0"/>
                  <w:vAlign w:val="center"/>
                </w:tcPr>
                <w:p w14:paraId="34D2E30F">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0.236</w:t>
                  </w:r>
                </w:p>
              </w:tc>
            </w:tr>
            <w:tr w14:paraId="6161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3ADFDF0C">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sz w:val="21"/>
                      <w:szCs w:val="21"/>
                      <w:lang w:val="en-US" w:eastAsia="zh-CN"/>
                    </w:rPr>
                    <w:t>抗老化剂母粒</w:t>
                  </w:r>
                </w:p>
              </w:tc>
              <w:tc>
                <w:tcPr>
                  <w:tcW w:w="2097" w:type="dxa"/>
                  <w:tcBorders>
                    <w:tl2br w:val="nil"/>
                    <w:tr2bl w:val="nil"/>
                  </w:tcBorders>
                  <w:noWrap w:val="0"/>
                  <w:vAlign w:val="center"/>
                </w:tcPr>
                <w:p w14:paraId="1D9F4784">
                  <w:pPr>
                    <w:pStyle w:val="56"/>
                    <w:keepNext w:val="0"/>
                    <w:keepLines w:val="0"/>
                    <w:pageBreakBefore w:val="0"/>
                    <w:widowControl w:val="0"/>
                    <w:kinsoku/>
                    <w:wordWrap/>
                    <w:overflowPunct/>
                    <w:topLinePunct w:val="0"/>
                    <w:bidi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sz w:val="21"/>
                      <w:szCs w:val="21"/>
                      <w:lang w:val="en-US" w:eastAsia="zh-CN"/>
                    </w:rPr>
                    <w:t>50</w:t>
                  </w:r>
                </w:p>
              </w:tc>
              <w:tc>
                <w:tcPr>
                  <w:tcW w:w="2098" w:type="dxa"/>
                  <w:tcBorders>
                    <w:tl2br w:val="nil"/>
                    <w:tr2bl w:val="nil"/>
                  </w:tcBorders>
                  <w:noWrap w:val="0"/>
                  <w:vAlign w:val="center"/>
                </w:tcPr>
                <w:p w14:paraId="3614819D">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非甲烷总烃</w:t>
                  </w:r>
                </w:p>
              </w:tc>
              <w:tc>
                <w:tcPr>
                  <w:tcW w:w="2098" w:type="dxa"/>
                  <w:tcBorders>
                    <w:tl2br w:val="nil"/>
                    <w:tr2bl w:val="nil"/>
                  </w:tcBorders>
                  <w:noWrap w:val="0"/>
                  <w:vAlign w:val="center"/>
                </w:tcPr>
                <w:p w14:paraId="5E1AD0F1">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30.186</w:t>
                  </w:r>
                </w:p>
              </w:tc>
            </w:tr>
            <w:tr w14:paraId="66FA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5E0F341D">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color w:val="auto"/>
                      <w:sz w:val="21"/>
                      <w:szCs w:val="21"/>
                      <w:lang w:val="en-US" w:eastAsia="zh-CN"/>
                    </w:rPr>
                    <w:t>离型膜</w:t>
                  </w:r>
                </w:p>
              </w:tc>
              <w:tc>
                <w:tcPr>
                  <w:tcW w:w="2097" w:type="dxa"/>
                  <w:tcBorders>
                    <w:tl2br w:val="nil"/>
                    <w:tr2bl w:val="nil"/>
                  </w:tcBorders>
                  <w:noWrap w:val="0"/>
                  <w:vAlign w:val="center"/>
                </w:tcPr>
                <w:p w14:paraId="6BD4EF64">
                  <w:pPr>
                    <w:pStyle w:val="56"/>
                    <w:keepNext w:val="0"/>
                    <w:keepLines w:val="0"/>
                    <w:pageBreakBefore w:val="0"/>
                    <w:widowControl w:val="0"/>
                    <w:kinsoku/>
                    <w:wordWrap/>
                    <w:overflowPunct/>
                    <w:topLinePunct w:val="0"/>
                    <w:bidi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sz w:val="21"/>
                      <w:szCs w:val="21"/>
                      <w:lang w:val="en-US" w:eastAsia="zh-CN"/>
                    </w:rPr>
                    <w:t>100</w:t>
                  </w:r>
                </w:p>
              </w:tc>
              <w:tc>
                <w:tcPr>
                  <w:tcW w:w="2098" w:type="dxa"/>
                  <w:tcBorders>
                    <w:tl2br w:val="nil"/>
                    <w:tr2bl w:val="nil"/>
                  </w:tcBorders>
                  <w:noWrap w:val="0"/>
                  <w:vAlign w:val="center"/>
                </w:tcPr>
                <w:p w14:paraId="61191026">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废膜边角料、废离型膜、废双面胶</w:t>
                  </w:r>
                </w:p>
              </w:tc>
              <w:tc>
                <w:tcPr>
                  <w:tcW w:w="2098" w:type="dxa"/>
                  <w:tcBorders>
                    <w:tl2br w:val="nil"/>
                    <w:tr2bl w:val="nil"/>
                  </w:tcBorders>
                  <w:noWrap w:val="0"/>
                  <w:vAlign w:val="center"/>
                </w:tcPr>
                <w:p w14:paraId="6DCC96DC">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65</w:t>
                  </w:r>
                </w:p>
              </w:tc>
            </w:tr>
            <w:tr w14:paraId="26E4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87" w:type="dxa"/>
                  <w:tcBorders>
                    <w:tl2br w:val="nil"/>
                    <w:tr2bl w:val="nil"/>
                  </w:tcBorders>
                  <w:noWrap w:val="0"/>
                  <w:vAlign w:val="center"/>
                </w:tcPr>
                <w:p w14:paraId="0B38B104">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eastAsia="宋体" w:cs="Times New Roman"/>
                      <w:b w:val="0"/>
                      <w:bCs/>
                      <w:sz w:val="21"/>
                      <w:szCs w:val="21"/>
                      <w:lang w:val="en-US" w:eastAsia="zh-CN"/>
                    </w:rPr>
                    <w:t>PPA加工助剂</w:t>
                  </w:r>
                </w:p>
              </w:tc>
              <w:tc>
                <w:tcPr>
                  <w:tcW w:w="2097" w:type="dxa"/>
                  <w:tcBorders>
                    <w:tl2br w:val="nil"/>
                    <w:tr2bl w:val="nil"/>
                  </w:tcBorders>
                  <w:noWrap w:val="0"/>
                  <w:vAlign w:val="center"/>
                </w:tcPr>
                <w:p w14:paraId="5C35008B">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sz w:val="21"/>
                      <w:szCs w:val="21"/>
                      <w:lang w:val="en-US" w:eastAsia="zh-CN"/>
                    </w:rPr>
                    <w:t>4</w:t>
                  </w:r>
                  <w:r>
                    <w:rPr>
                      <w:rFonts w:hint="eastAsia" w:ascii="Times New Roman" w:hAnsi="Times New Roman" w:eastAsia="宋体" w:cs="Times New Roman"/>
                      <w:b w:val="0"/>
                      <w:bCs/>
                      <w:sz w:val="21"/>
                      <w:szCs w:val="21"/>
                      <w:lang w:val="en-US" w:eastAsia="zh-CN"/>
                    </w:rPr>
                    <w:t>0</w:t>
                  </w:r>
                </w:p>
              </w:tc>
              <w:tc>
                <w:tcPr>
                  <w:tcW w:w="2098" w:type="dxa"/>
                  <w:tcBorders>
                    <w:tl2br w:val="nil"/>
                    <w:tr2bl w:val="nil"/>
                  </w:tcBorders>
                  <w:noWrap w:val="0"/>
                  <w:vAlign w:val="center"/>
                </w:tcPr>
                <w:p w14:paraId="45D413E4">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废纸芯管</w:t>
                  </w:r>
                </w:p>
              </w:tc>
              <w:tc>
                <w:tcPr>
                  <w:tcW w:w="2098" w:type="dxa"/>
                  <w:tcBorders>
                    <w:tl2br w:val="nil"/>
                    <w:tr2bl w:val="nil"/>
                  </w:tcBorders>
                  <w:noWrap w:val="0"/>
                  <w:vAlign w:val="center"/>
                </w:tcPr>
                <w:p w14:paraId="03F6556E">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2</w:t>
                  </w:r>
                </w:p>
              </w:tc>
            </w:tr>
            <w:tr w14:paraId="75E9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090890D5">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default" w:ascii="Times New Roman" w:hAnsi="Times New Roman" w:cs="Times New Roman"/>
                      <w:b w:val="0"/>
                      <w:bCs/>
                      <w:color w:val="auto"/>
                      <w:sz w:val="21"/>
                      <w:szCs w:val="21"/>
                    </w:rPr>
                    <w:t>R001增韧母粒</w:t>
                  </w:r>
                </w:p>
              </w:tc>
              <w:tc>
                <w:tcPr>
                  <w:tcW w:w="2097" w:type="dxa"/>
                  <w:tcBorders>
                    <w:tl2br w:val="nil"/>
                    <w:tr2bl w:val="nil"/>
                  </w:tcBorders>
                  <w:noWrap w:val="0"/>
                  <w:vAlign w:val="center"/>
                </w:tcPr>
                <w:p w14:paraId="7DDE4C86">
                  <w:pPr>
                    <w:pStyle w:val="56"/>
                    <w:keepNext w:val="0"/>
                    <w:keepLines w:val="0"/>
                    <w:pageBreakBefore w:val="0"/>
                    <w:widowControl w:val="0"/>
                    <w:kinsoku/>
                    <w:wordWrap/>
                    <w:overflowPunct/>
                    <w:topLinePunct w:val="0"/>
                    <w:bidi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eastAsia="宋体" w:cs="Times New Roman"/>
                      <w:b w:val="0"/>
                      <w:bCs/>
                      <w:color w:val="auto"/>
                      <w:sz w:val="21"/>
                      <w:szCs w:val="21"/>
                      <w:lang w:val="en-US" w:eastAsia="zh-CN"/>
                    </w:rPr>
                    <w:t>100</w:t>
                  </w:r>
                </w:p>
              </w:tc>
              <w:tc>
                <w:tcPr>
                  <w:tcW w:w="2098" w:type="dxa"/>
                  <w:tcBorders>
                    <w:tl2br w:val="nil"/>
                    <w:tr2bl w:val="nil"/>
                  </w:tcBorders>
                  <w:noWrap w:val="0"/>
                  <w:vAlign w:val="center"/>
                </w:tcPr>
                <w:p w14:paraId="204E00ED">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default"/>
                      <w:sz w:val="21"/>
                      <w:szCs w:val="21"/>
                      <w:vertAlign w:val="baseline"/>
                      <w:lang w:val="en-US" w:eastAsia="zh-CN"/>
                    </w:rPr>
                    <w:t>废原辅料包装袋</w:t>
                  </w:r>
                </w:p>
              </w:tc>
              <w:tc>
                <w:tcPr>
                  <w:tcW w:w="2098" w:type="dxa"/>
                  <w:tcBorders>
                    <w:tl2br w:val="nil"/>
                    <w:tr2bl w:val="nil"/>
                  </w:tcBorders>
                  <w:noWrap w:val="0"/>
                  <w:vAlign w:val="center"/>
                </w:tcPr>
                <w:p w14:paraId="39388996">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0.578</w:t>
                  </w:r>
                </w:p>
              </w:tc>
            </w:tr>
            <w:tr w14:paraId="01B9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3FF6669E">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color w:val="auto"/>
                      <w:sz w:val="21"/>
                      <w:szCs w:val="21"/>
                      <w:lang w:val="en-US" w:eastAsia="zh-CN"/>
                    </w:rPr>
                    <w:t>消泡母粒</w:t>
                  </w:r>
                </w:p>
              </w:tc>
              <w:tc>
                <w:tcPr>
                  <w:tcW w:w="2097" w:type="dxa"/>
                  <w:tcBorders>
                    <w:tl2br w:val="nil"/>
                    <w:tr2bl w:val="nil"/>
                  </w:tcBorders>
                  <w:noWrap w:val="0"/>
                  <w:vAlign w:val="center"/>
                </w:tcPr>
                <w:p w14:paraId="4CF6F558">
                  <w:pPr>
                    <w:pStyle w:val="56"/>
                    <w:keepNext w:val="0"/>
                    <w:keepLines w:val="0"/>
                    <w:pageBreakBefore w:val="0"/>
                    <w:widowControl w:val="0"/>
                    <w:kinsoku/>
                    <w:wordWrap/>
                    <w:overflowPunct/>
                    <w:topLinePunct w:val="0"/>
                    <w:bidi w:val="0"/>
                    <w:snapToGrid/>
                    <w:spacing w:line="240" w:lineRule="auto"/>
                    <w:ind w:firstLine="0" w:firstLineChars="0"/>
                    <w:jc w:val="center"/>
                    <w:textAlignment w:val="auto"/>
                    <w:rPr>
                      <w:rFonts w:hint="eastAsia"/>
                      <w:sz w:val="21"/>
                      <w:szCs w:val="21"/>
                      <w:vertAlign w:val="baseline"/>
                      <w:lang w:val="en-US" w:eastAsia="zh-CN"/>
                    </w:rPr>
                  </w:pPr>
                  <w:r>
                    <w:rPr>
                      <w:rFonts w:hint="eastAsia" w:ascii="Times New Roman" w:hAnsi="Times New Roman" w:cs="Times New Roman"/>
                      <w:b w:val="0"/>
                      <w:bCs/>
                      <w:color w:val="auto"/>
                      <w:sz w:val="21"/>
                      <w:szCs w:val="21"/>
                      <w:lang w:val="en-US" w:eastAsia="zh-CN"/>
                    </w:rPr>
                    <w:t>4</w:t>
                  </w:r>
                  <w:r>
                    <w:rPr>
                      <w:rFonts w:hint="eastAsia" w:ascii="Times New Roman" w:hAnsi="Times New Roman" w:eastAsia="宋体" w:cs="Times New Roman"/>
                      <w:b w:val="0"/>
                      <w:bCs/>
                      <w:color w:val="auto"/>
                      <w:sz w:val="21"/>
                      <w:szCs w:val="21"/>
                      <w:lang w:val="en-US" w:eastAsia="zh-CN"/>
                    </w:rPr>
                    <w:t>0</w:t>
                  </w:r>
                </w:p>
              </w:tc>
              <w:tc>
                <w:tcPr>
                  <w:tcW w:w="2098" w:type="dxa"/>
                  <w:tcBorders>
                    <w:tl2br w:val="nil"/>
                    <w:tr2bl w:val="nil"/>
                  </w:tcBorders>
                  <w:noWrap w:val="0"/>
                  <w:vAlign w:val="center"/>
                </w:tcPr>
                <w:p w14:paraId="385A6C00">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废包装桶</w:t>
                  </w:r>
                </w:p>
              </w:tc>
              <w:tc>
                <w:tcPr>
                  <w:tcW w:w="2098" w:type="dxa"/>
                  <w:tcBorders>
                    <w:tl2br w:val="nil"/>
                    <w:tr2bl w:val="nil"/>
                  </w:tcBorders>
                  <w:noWrap w:val="0"/>
                  <w:vAlign w:val="center"/>
                </w:tcPr>
                <w:p w14:paraId="59726479">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2</w:t>
                  </w:r>
                </w:p>
              </w:tc>
            </w:tr>
            <w:tr w14:paraId="5789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263ACEF6">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default" w:ascii="Times New Roman" w:hAnsi="Times New Roman" w:cs="Times New Roman"/>
                      <w:b w:val="0"/>
                      <w:bCs/>
                      <w:color w:val="auto"/>
                      <w:sz w:val="21"/>
                      <w:szCs w:val="21"/>
                      <w:lang w:val="en-US" w:eastAsia="zh-CN"/>
                    </w:rPr>
                    <w:t>增粘母粒</w:t>
                  </w:r>
                </w:p>
              </w:tc>
              <w:tc>
                <w:tcPr>
                  <w:tcW w:w="2097" w:type="dxa"/>
                  <w:tcBorders>
                    <w:tl2br w:val="nil"/>
                    <w:tr2bl w:val="nil"/>
                  </w:tcBorders>
                  <w:noWrap w:val="0"/>
                  <w:vAlign w:val="center"/>
                </w:tcPr>
                <w:p w14:paraId="2A53DE87">
                  <w:pPr>
                    <w:pStyle w:val="56"/>
                    <w:keepNext w:val="0"/>
                    <w:keepLines w:val="0"/>
                    <w:pageBreakBefore w:val="0"/>
                    <w:widowControl w:val="0"/>
                    <w:kinsoku/>
                    <w:wordWrap/>
                    <w:overflowPunct/>
                    <w:topLinePunct w:val="0"/>
                    <w:bidi w:val="0"/>
                    <w:snapToGrid/>
                    <w:spacing w:line="240" w:lineRule="auto"/>
                    <w:ind w:firstLine="0" w:firstLineChars="0"/>
                    <w:jc w:val="center"/>
                    <w:textAlignment w:val="auto"/>
                    <w:rPr>
                      <w:rFonts w:hint="eastAsia"/>
                      <w:sz w:val="21"/>
                      <w:szCs w:val="21"/>
                      <w:vertAlign w:val="baseline"/>
                      <w:lang w:val="en-US" w:eastAsia="zh-CN"/>
                    </w:rPr>
                  </w:pPr>
                  <w:r>
                    <w:rPr>
                      <w:rFonts w:hint="eastAsia" w:ascii="Times New Roman" w:hAnsi="Times New Roman" w:eastAsia="宋体" w:cs="Times New Roman"/>
                      <w:b w:val="0"/>
                      <w:bCs/>
                      <w:color w:val="auto"/>
                      <w:sz w:val="21"/>
                      <w:szCs w:val="21"/>
                      <w:lang w:val="en-US" w:eastAsia="zh-CN"/>
                    </w:rPr>
                    <w:t>400</w:t>
                  </w:r>
                </w:p>
              </w:tc>
              <w:tc>
                <w:tcPr>
                  <w:tcW w:w="2098" w:type="dxa"/>
                  <w:tcBorders>
                    <w:tl2br w:val="nil"/>
                    <w:tr2bl w:val="nil"/>
                  </w:tcBorders>
                  <w:noWrap w:val="0"/>
                  <w:vAlign w:val="center"/>
                </w:tcPr>
                <w:p w14:paraId="1869B4A8">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w:t>
                  </w:r>
                </w:p>
              </w:tc>
              <w:tc>
                <w:tcPr>
                  <w:tcW w:w="2098" w:type="dxa"/>
                  <w:tcBorders>
                    <w:tl2br w:val="nil"/>
                    <w:tr2bl w:val="nil"/>
                  </w:tcBorders>
                  <w:noWrap w:val="0"/>
                  <w:vAlign w:val="center"/>
                </w:tcPr>
                <w:p w14:paraId="63647713">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w:t>
                  </w:r>
                </w:p>
              </w:tc>
            </w:tr>
            <w:tr w14:paraId="1ADA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3A0409A4">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color w:val="auto"/>
                      <w:sz w:val="21"/>
                      <w:szCs w:val="21"/>
                      <w:lang w:val="en-US" w:eastAsia="zh-CN"/>
                    </w:rPr>
                    <w:t>水性丙烯酸压敏胶乳液</w:t>
                  </w:r>
                </w:p>
              </w:tc>
              <w:tc>
                <w:tcPr>
                  <w:tcW w:w="2097" w:type="dxa"/>
                  <w:tcBorders>
                    <w:tl2br w:val="nil"/>
                    <w:tr2bl w:val="nil"/>
                  </w:tcBorders>
                  <w:noWrap w:val="0"/>
                  <w:vAlign w:val="center"/>
                </w:tcPr>
                <w:p w14:paraId="6BC1C062">
                  <w:pPr>
                    <w:pStyle w:val="56"/>
                    <w:keepNext w:val="0"/>
                    <w:keepLines w:val="0"/>
                    <w:pageBreakBefore w:val="0"/>
                    <w:widowControl w:val="0"/>
                    <w:kinsoku/>
                    <w:wordWrap/>
                    <w:overflowPunct/>
                    <w:topLinePunct w:val="0"/>
                    <w:bidi w:val="0"/>
                    <w:snapToGrid/>
                    <w:spacing w:line="240" w:lineRule="auto"/>
                    <w:ind w:firstLine="0" w:firstLineChars="0"/>
                    <w:jc w:val="center"/>
                    <w:textAlignment w:val="auto"/>
                    <w:rPr>
                      <w:rFonts w:hint="eastAsia"/>
                      <w:sz w:val="21"/>
                      <w:szCs w:val="21"/>
                      <w:vertAlign w:val="baseline"/>
                      <w:lang w:val="en-US" w:eastAsia="zh-CN"/>
                    </w:rPr>
                  </w:pPr>
                  <w:r>
                    <w:rPr>
                      <w:rFonts w:hint="eastAsia" w:ascii="Times New Roman" w:hAnsi="Times New Roman" w:eastAsia="宋体" w:cs="Times New Roman"/>
                      <w:b w:val="0"/>
                      <w:bCs/>
                      <w:color w:val="auto"/>
                      <w:sz w:val="21"/>
                      <w:szCs w:val="21"/>
                      <w:lang w:val="en-US" w:eastAsia="zh-CN"/>
                    </w:rPr>
                    <w:t>200</w:t>
                  </w:r>
                </w:p>
              </w:tc>
              <w:tc>
                <w:tcPr>
                  <w:tcW w:w="2098" w:type="dxa"/>
                  <w:tcBorders>
                    <w:tl2br w:val="nil"/>
                    <w:tr2bl w:val="nil"/>
                  </w:tcBorders>
                  <w:noWrap w:val="0"/>
                  <w:vAlign w:val="center"/>
                </w:tcPr>
                <w:p w14:paraId="3FE3DFEB">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w:t>
                  </w:r>
                </w:p>
              </w:tc>
              <w:tc>
                <w:tcPr>
                  <w:tcW w:w="2098" w:type="dxa"/>
                  <w:tcBorders>
                    <w:tl2br w:val="nil"/>
                    <w:tr2bl w:val="nil"/>
                  </w:tcBorders>
                  <w:noWrap w:val="0"/>
                  <w:vAlign w:val="center"/>
                </w:tcPr>
                <w:p w14:paraId="1DFB91C8">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w:t>
                  </w:r>
                </w:p>
              </w:tc>
            </w:tr>
            <w:tr w14:paraId="3D7B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7A2DF8C1">
                  <w:pPr>
                    <w:pStyle w:val="5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sz w:val="21"/>
                      <w:szCs w:val="21"/>
                      <w:vertAlign w:val="baseline"/>
                      <w:lang w:val="en-US" w:eastAsia="zh-CN"/>
                    </w:rPr>
                  </w:pPr>
                  <w:r>
                    <w:rPr>
                      <w:rFonts w:hint="eastAsia" w:ascii="Times New Roman" w:hAnsi="Times New Roman" w:cs="Times New Roman"/>
                      <w:b w:val="0"/>
                      <w:bCs/>
                      <w:color w:val="auto"/>
                      <w:sz w:val="21"/>
                      <w:szCs w:val="21"/>
                      <w:lang w:val="en-US" w:eastAsia="zh-CN"/>
                    </w:rPr>
                    <w:t>双面胶</w:t>
                  </w:r>
                </w:p>
              </w:tc>
              <w:tc>
                <w:tcPr>
                  <w:tcW w:w="2097" w:type="dxa"/>
                  <w:tcBorders>
                    <w:tl2br w:val="nil"/>
                    <w:tr2bl w:val="nil"/>
                  </w:tcBorders>
                  <w:noWrap w:val="0"/>
                  <w:vAlign w:val="center"/>
                </w:tcPr>
                <w:p w14:paraId="0CBD3DCC">
                  <w:pPr>
                    <w:pStyle w:val="56"/>
                    <w:keepNext w:val="0"/>
                    <w:keepLines w:val="0"/>
                    <w:pageBreakBefore w:val="0"/>
                    <w:widowControl w:val="0"/>
                    <w:kinsoku/>
                    <w:wordWrap/>
                    <w:overflowPunct/>
                    <w:topLinePunct w:val="0"/>
                    <w:bidi w:val="0"/>
                    <w:snapToGrid/>
                    <w:spacing w:line="240" w:lineRule="auto"/>
                    <w:ind w:firstLine="0" w:firstLineChars="0"/>
                    <w:jc w:val="center"/>
                    <w:textAlignment w:val="auto"/>
                    <w:rPr>
                      <w:rFonts w:hint="eastAsia"/>
                      <w:sz w:val="21"/>
                      <w:szCs w:val="21"/>
                      <w:vertAlign w:val="baseline"/>
                      <w:lang w:val="en-US" w:eastAsia="zh-CN"/>
                    </w:rPr>
                  </w:pPr>
                  <w:r>
                    <w:rPr>
                      <w:rFonts w:hint="eastAsia" w:ascii="Times New Roman" w:hAnsi="Times New Roman" w:cs="Times New Roman"/>
                      <w:b w:val="0"/>
                      <w:bCs/>
                      <w:color w:val="auto"/>
                      <w:sz w:val="21"/>
                      <w:szCs w:val="21"/>
                      <w:lang w:val="en-US" w:eastAsia="zh-CN"/>
                    </w:rPr>
                    <w:t>2</w:t>
                  </w:r>
                  <w:r>
                    <w:rPr>
                      <w:rFonts w:hint="eastAsia" w:ascii="Times New Roman" w:hAnsi="Times New Roman" w:eastAsia="宋体" w:cs="Times New Roman"/>
                      <w:b w:val="0"/>
                      <w:bCs/>
                      <w:color w:val="auto"/>
                      <w:sz w:val="21"/>
                      <w:szCs w:val="21"/>
                      <w:lang w:val="en-US" w:eastAsia="zh-CN"/>
                    </w:rPr>
                    <w:t>0</w:t>
                  </w:r>
                </w:p>
              </w:tc>
              <w:tc>
                <w:tcPr>
                  <w:tcW w:w="2098" w:type="dxa"/>
                  <w:tcBorders>
                    <w:tl2br w:val="nil"/>
                    <w:tr2bl w:val="nil"/>
                  </w:tcBorders>
                  <w:noWrap w:val="0"/>
                  <w:vAlign w:val="center"/>
                </w:tcPr>
                <w:p w14:paraId="75D07B12">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w:t>
                  </w:r>
                </w:p>
              </w:tc>
              <w:tc>
                <w:tcPr>
                  <w:tcW w:w="2098" w:type="dxa"/>
                  <w:tcBorders>
                    <w:tl2br w:val="nil"/>
                    <w:tr2bl w:val="nil"/>
                  </w:tcBorders>
                  <w:noWrap w:val="0"/>
                  <w:vAlign w:val="center"/>
                </w:tcPr>
                <w:p w14:paraId="28401395">
                  <w:pPr>
                    <w:keepNext w:val="0"/>
                    <w:keepLines w:val="0"/>
                    <w:pageBreakBefore w:val="0"/>
                    <w:widowControl w:val="0"/>
                    <w:kinsoku/>
                    <w:wordWrap/>
                    <w:overflowPunct/>
                    <w:topLinePunct w:val="0"/>
                    <w:bidi w:val="0"/>
                    <w:snapToGrid/>
                    <w:spacing w:line="240" w:lineRule="auto"/>
                    <w:jc w:val="center"/>
                    <w:textAlignment w:val="auto"/>
                    <w:rPr>
                      <w:rFonts w:hint="eastAsia"/>
                      <w:sz w:val="21"/>
                      <w:szCs w:val="21"/>
                      <w:vertAlign w:val="baseline"/>
                      <w:lang w:val="en-US" w:eastAsia="zh-CN"/>
                    </w:rPr>
                  </w:pPr>
                  <w:r>
                    <w:rPr>
                      <w:rFonts w:hint="eastAsia"/>
                      <w:sz w:val="21"/>
                      <w:szCs w:val="21"/>
                      <w:vertAlign w:val="baseline"/>
                      <w:lang w:val="en-US" w:eastAsia="zh-CN"/>
                    </w:rPr>
                    <w:t>/</w:t>
                  </w:r>
                </w:p>
              </w:tc>
            </w:tr>
            <w:tr w14:paraId="616B8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7" w:type="dxa"/>
                  <w:tcBorders>
                    <w:tl2br w:val="nil"/>
                    <w:tr2bl w:val="nil"/>
                  </w:tcBorders>
                  <w:noWrap w:val="0"/>
                  <w:vAlign w:val="center"/>
                </w:tcPr>
                <w:p w14:paraId="72D99E77">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合计</w:t>
                  </w:r>
                </w:p>
              </w:tc>
              <w:tc>
                <w:tcPr>
                  <w:tcW w:w="2097" w:type="dxa"/>
                  <w:tcBorders>
                    <w:tl2br w:val="nil"/>
                    <w:tr2bl w:val="nil"/>
                  </w:tcBorders>
                  <w:noWrap w:val="0"/>
                  <w:vAlign w:val="center"/>
                </w:tcPr>
                <w:p w14:paraId="327BC67E">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12100</w:t>
                  </w:r>
                </w:p>
              </w:tc>
              <w:tc>
                <w:tcPr>
                  <w:tcW w:w="2098" w:type="dxa"/>
                  <w:tcBorders>
                    <w:tl2br w:val="nil"/>
                    <w:tr2bl w:val="nil"/>
                  </w:tcBorders>
                  <w:noWrap w:val="0"/>
                  <w:vAlign w:val="center"/>
                </w:tcPr>
                <w:p w14:paraId="05CEE223">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合计</w:t>
                  </w:r>
                </w:p>
              </w:tc>
              <w:tc>
                <w:tcPr>
                  <w:tcW w:w="2098" w:type="dxa"/>
                  <w:tcBorders>
                    <w:tl2br w:val="nil"/>
                    <w:tr2bl w:val="nil"/>
                  </w:tcBorders>
                  <w:noWrap w:val="0"/>
                  <w:vAlign w:val="center"/>
                </w:tcPr>
                <w:p w14:paraId="343038EE">
                  <w:pPr>
                    <w:keepNext w:val="0"/>
                    <w:keepLines w:val="0"/>
                    <w:pageBreakBefore w:val="0"/>
                    <w:widowControl w:val="0"/>
                    <w:kinsoku/>
                    <w:wordWrap/>
                    <w:overflowPunct/>
                    <w:topLinePunct w:val="0"/>
                    <w:bidi w:val="0"/>
                    <w:snapToGrid/>
                    <w:spacing w:line="240" w:lineRule="auto"/>
                    <w:jc w:val="center"/>
                    <w:textAlignment w:val="auto"/>
                    <w:rPr>
                      <w:rFonts w:hint="default"/>
                      <w:sz w:val="21"/>
                      <w:szCs w:val="21"/>
                      <w:vertAlign w:val="baseline"/>
                      <w:lang w:val="en-US" w:eastAsia="zh-CN"/>
                    </w:rPr>
                  </w:pPr>
                  <w:r>
                    <w:rPr>
                      <w:rFonts w:hint="eastAsia"/>
                      <w:sz w:val="21"/>
                      <w:szCs w:val="21"/>
                      <w:vertAlign w:val="baseline"/>
                      <w:lang w:val="en-US" w:eastAsia="zh-CN"/>
                    </w:rPr>
                    <w:t>12100</w:t>
                  </w:r>
                </w:p>
              </w:tc>
            </w:tr>
          </w:tbl>
          <w:p w14:paraId="6017BF57">
            <w:pPr>
              <w:adjustRightInd w:val="0"/>
              <w:snapToGrid w:val="0"/>
              <w:rPr>
                <w:rFonts w:ascii="宋体" w:hAnsi="宋体"/>
                <w:bCs/>
                <w:szCs w:val="21"/>
              </w:rPr>
            </w:pPr>
          </w:p>
          <w:p w14:paraId="67B0A6FF">
            <w:pPr>
              <w:adjustRightInd w:val="0"/>
              <w:snapToGrid w:val="0"/>
              <w:rPr>
                <w:rFonts w:ascii="宋体" w:hAnsi="宋体"/>
                <w:bCs/>
                <w:szCs w:val="21"/>
              </w:rPr>
            </w:pPr>
          </w:p>
          <w:p w14:paraId="713D9F80">
            <w:pPr>
              <w:adjustRightInd w:val="0"/>
              <w:snapToGrid w:val="0"/>
              <w:rPr>
                <w:rFonts w:ascii="宋体" w:hAnsi="宋体"/>
                <w:bCs/>
                <w:szCs w:val="21"/>
              </w:rPr>
            </w:pPr>
          </w:p>
          <w:p w14:paraId="3EBE0ED4">
            <w:pPr>
              <w:adjustRightInd w:val="0"/>
              <w:snapToGrid w:val="0"/>
              <w:rPr>
                <w:rFonts w:ascii="宋体" w:hAnsi="宋体"/>
                <w:bCs/>
                <w:szCs w:val="21"/>
              </w:rPr>
            </w:pPr>
          </w:p>
          <w:p w14:paraId="2A51D024">
            <w:pPr>
              <w:adjustRightInd w:val="0"/>
              <w:snapToGrid w:val="0"/>
              <w:rPr>
                <w:rFonts w:ascii="宋体" w:hAnsi="宋体"/>
                <w:bCs/>
                <w:szCs w:val="21"/>
              </w:rPr>
            </w:pPr>
          </w:p>
          <w:p w14:paraId="3DD27893">
            <w:pPr>
              <w:adjustRightInd w:val="0"/>
              <w:snapToGrid w:val="0"/>
              <w:rPr>
                <w:rFonts w:ascii="宋体" w:hAnsi="宋体"/>
                <w:bCs/>
                <w:szCs w:val="21"/>
              </w:rPr>
            </w:pPr>
          </w:p>
          <w:p w14:paraId="2033CC92">
            <w:pPr>
              <w:adjustRightInd w:val="0"/>
              <w:snapToGrid w:val="0"/>
              <w:rPr>
                <w:rFonts w:ascii="宋体" w:hAnsi="宋体"/>
                <w:bCs/>
                <w:szCs w:val="21"/>
              </w:rPr>
            </w:pPr>
          </w:p>
          <w:p w14:paraId="751C2851">
            <w:pPr>
              <w:adjustRightInd w:val="0"/>
              <w:snapToGrid w:val="0"/>
              <w:rPr>
                <w:rFonts w:ascii="宋体" w:hAnsi="宋体"/>
                <w:bCs/>
                <w:szCs w:val="21"/>
              </w:rPr>
            </w:pPr>
          </w:p>
          <w:p w14:paraId="3580E040">
            <w:pPr>
              <w:adjustRightInd w:val="0"/>
              <w:snapToGrid w:val="0"/>
              <w:rPr>
                <w:rFonts w:ascii="宋体" w:hAnsi="宋体"/>
                <w:bCs/>
                <w:szCs w:val="21"/>
              </w:rPr>
            </w:pPr>
          </w:p>
          <w:p w14:paraId="35951103">
            <w:pPr>
              <w:adjustRightInd w:val="0"/>
              <w:snapToGrid w:val="0"/>
              <w:rPr>
                <w:rFonts w:ascii="宋体" w:hAnsi="宋体"/>
                <w:bCs/>
                <w:szCs w:val="21"/>
              </w:rPr>
            </w:pPr>
          </w:p>
          <w:p w14:paraId="6DDC8518">
            <w:pPr>
              <w:adjustRightInd w:val="0"/>
              <w:snapToGrid w:val="0"/>
              <w:rPr>
                <w:rFonts w:ascii="宋体" w:hAnsi="宋体"/>
                <w:bCs/>
                <w:szCs w:val="21"/>
              </w:rPr>
            </w:pPr>
          </w:p>
          <w:p w14:paraId="37D858C1">
            <w:pPr>
              <w:adjustRightInd w:val="0"/>
              <w:snapToGrid w:val="0"/>
              <w:rPr>
                <w:rFonts w:ascii="宋体" w:hAnsi="宋体"/>
                <w:bCs/>
                <w:szCs w:val="21"/>
              </w:rPr>
            </w:pPr>
          </w:p>
        </w:tc>
      </w:tr>
      <w:tr w14:paraId="5D3E87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93" w:hRule="atLeast"/>
          <w:jc w:val="center"/>
        </w:trPr>
        <w:tc>
          <w:tcPr>
            <w:tcW w:w="449" w:type="dxa"/>
            <w:noWrap w:val="0"/>
            <w:vAlign w:val="center"/>
          </w:tcPr>
          <w:p w14:paraId="1267EA6F">
            <w:pPr>
              <w:pStyle w:val="21"/>
              <w:adjustRightInd w:val="0"/>
              <w:snapToGrid w:val="0"/>
              <w:spacing w:before="0" w:beforeAutospacing="0" w:after="0" w:afterAutospacing="0"/>
              <w:jc w:val="center"/>
              <w:rPr>
                <w:rFonts w:cs="宋体"/>
                <w:sz w:val="21"/>
                <w:szCs w:val="21"/>
              </w:rPr>
            </w:pPr>
            <w:r>
              <w:rPr>
                <w:rFonts w:hint="eastAsia" w:cs="宋体"/>
                <w:bCs/>
                <w:kern w:val="2"/>
                <w:sz w:val="21"/>
                <w:szCs w:val="21"/>
              </w:rPr>
              <w:t>与项目有关的原有环境污染问题</w:t>
            </w:r>
          </w:p>
        </w:tc>
        <w:tc>
          <w:tcPr>
            <w:tcW w:w="8609" w:type="dxa"/>
            <w:noWrap w:val="0"/>
            <w:vAlign w:val="top"/>
          </w:tcPr>
          <w:p w14:paraId="4AD29B64">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b/>
                <w:bCs w:val="0"/>
                <w:sz w:val="24"/>
                <w:szCs w:val="24"/>
                <w:lang w:val="en-US" w:eastAsia="zh-CN"/>
              </w:rPr>
            </w:pPr>
            <w:r>
              <w:rPr>
                <w:rFonts w:hint="eastAsia"/>
                <w:b/>
                <w:bCs w:val="0"/>
                <w:sz w:val="24"/>
                <w:szCs w:val="24"/>
                <w:lang w:val="en-US" w:eastAsia="zh-CN"/>
              </w:rPr>
              <w:t>1.本项目现有工程环境污染问题</w:t>
            </w:r>
          </w:p>
          <w:p w14:paraId="64736FD3">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本项目为新建项目，建设单位受让厂区后，在未依法报批环境影响评价文件的情况下完成年产1.2万吨棉花打包膜主体工艺设备安装；废气治理设施、规范化危废暂存库、一般固废暂存库等环保配套设施均未建设，项目未正式投产运行。</w:t>
            </w:r>
          </w:p>
          <w:p w14:paraId="7D3DAFB6">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因存在未批先建环境违法行为，生态环境主管部门已下达责令改正通知书，企业现已全面停产。项目现未生产，不具备开展废气、废水、噪声现状实测监测条件，无法通过实测数据判定厂界无组织废气、废水、噪声达标情况，本次评价通过现状定性分析结合环评预测判断环境影响，待环保设施全部建成后取得环评批复后开展竣工环境保护验收监测，验证各类污染物达标排放情况。</w:t>
            </w:r>
          </w:p>
          <w:p w14:paraId="1FB76051">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鉴于建设单位已完成生产设备安装，现阶段存在的主要环境问题如下：</w:t>
            </w:r>
          </w:p>
          <w:p w14:paraId="5EDEC329">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asciiTheme="minorEastAsia" w:hAnsiTheme="minorEastAsia" w:eastAsiaTheme="minorEastAsia" w:cstheme="minorEastAsia"/>
                <w:sz w:val="24"/>
                <w:szCs w:val="24"/>
                <w:lang w:val="en-US" w:eastAsia="zh-CN"/>
              </w:rPr>
              <w:t>①</w:t>
            </w:r>
            <w:r>
              <w:rPr>
                <w:rFonts w:hint="eastAsia"/>
                <w:sz w:val="24"/>
                <w:szCs w:val="24"/>
                <w:lang w:val="en-US" w:eastAsia="zh-CN"/>
              </w:rPr>
              <w:t>废气环境问题</w:t>
            </w:r>
          </w:p>
          <w:p w14:paraId="13D01574">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吹膜、涂胶烘干工序尚未配套建设废气收集与治理设施。若开展生产，水性胶烘干工序挥发产生的非甲烷总烃、臭气将以无组织形式散逸，无法满足VOCs排放管控要求。</w:t>
            </w:r>
          </w:p>
          <w:p w14:paraId="66990058">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整改要求：吹膜、涂胶烘干产污点位设置密闭/半密闭集气罩，废气收集后送入“活性炭吸附/脱附+催化燃烧（电加热热源）”装置处理，经20m排气筒DA001高空排放。</w:t>
            </w:r>
          </w:p>
          <w:p w14:paraId="6A10C9BC">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asciiTheme="minorEastAsia" w:hAnsiTheme="minorEastAsia" w:eastAsiaTheme="minorEastAsia" w:cstheme="minorEastAsia"/>
                <w:sz w:val="24"/>
                <w:szCs w:val="24"/>
                <w:lang w:val="en-US" w:eastAsia="zh-CN"/>
              </w:rPr>
              <w:t>②</w:t>
            </w:r>
            <w:r>
              <w:rPr>
                <w:rFonts w:hint="eastAsia"/>
                <w:sz w:val="24"/>
                <w:szCs w:val="24"/>
                <w:lang w:val="en-US" w:eastAsia="zh-CN"/>
              </w:rPr>
              <w:t>废水环境问题</w:t>
            </w:r>
          </w:p>
          <w:p w14:paraId="3C742865">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厂区原有10m³化粪池有效容积偏小，无法满足本项目140名员工食宿生活污水预处理需求；若运营直接利旧原有化粪池，生活污水预处理效果不足，存在污水超标排入园区管网风险。</w:t>
            </w:r>
          </w:p>
          <w:p w14:paraId="4DD05608">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整改要求：拆除原有10m³化粪池，新建20m³防渗化粪池；生活污水经化粪池预处理达到接管要求后排入园区污水管网，送轮台县新城区生活污水处理厂处置。</w:t>
            </w:r>
          </w:p>
          <w:p w14:paraId="6EFFC1CC">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asciiTheme="minorEastAsia" w:hAnsiTheme="minorEastAsia" w:eastAsiaTheme="minorEastAsia" w:cstheme="minorEastAsia"/>
                <w:sz w:val="24"/>
                <w:szCs w:val="24"/>
                <w:lang w:val="en-US" w:eastAsia="zh-CN"/>
              </w:rPr>
              <w:t>③</w:t>
            </w:r>
            <w:r>
              <w:rPr>
                <w:rFonts w:hint="eastAsia"/>
                <w:sz w:val="24"/>
                <w:szCs w:val="24"/>
                <w:lang w:val="en-US" w:eastAsia="zh-CN"/>
              </w:rPr>
              <w:t>噪声环境问题</w:t>
            </w:r>
          </w:p>
          <w:p w14:paraId="53974D4E">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生产设备（吹膜机、涂胶机、分切设备等）已安装就位。若直接投产，设备运行噪声会对厂界声环境造成影响。</w:t>
            </w:r>
          </w:p>
          <w:p w14:paraId="222ED675">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整改要求：生产设备底座设置减振垫，车间隔声措施；项目投产后通过合理生产时序管控，夜间不生产，降低噪声对外环境影响。</w:t>
            </w:r>
          </w:p>
          <w:p w14:paraId="662F554F">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ascii="宋体" w:hAnsi="宋体" w:eastAsia="宋体" w:cs="宋体"/>
                <w:sz w:val="24"/>
                <w:szCs w:val="24"/>
                <w:lang w:val="en-US" w:eastAsia="zh-CN"/>
              </w:rPr>
              <w:t>④</w:t>
            </w:r>
            <w:r>
              <w:rPr>
                <w:rFonts w:hint="eastAsia"/>
                <w:sz w:val="24"/>
                <w:szCs w:val="24"/>
                <w:lang w:val="en-US" w:eastAsia="zh-CN"/>
              </w:rPr>
              <w:t>固体废物环境问题</w:t>
            </w:r>
          </w:p>
          <w:p w14:paraId="7AEEF55A">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项目未配套建设危险废物贮存库和一般固体废物贮存库。若投入生产，生产产生的塑料边角料、废包装材料等一般固废仅能临时堆放于车间角落；废机油、废活性炭、涂胶胶渣等危险废物无符合规范的暂存场所。</w:t>
            </w:r>
          </w:p>
          <w:p w14:paraId="16E6E88E">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整改要求：新建规范化危险废物贮存库、一般固体废物贮存库；生产后一般固废建立台账，塑料边角料、废包装材料全部外售给物资回收单位综合回收利用；危险废物密闭分类贮存，委托具备相应资质单位定期转运处置，转移执行危险废物转移联单制度。</w:t>
            </w:r>
          </w:p>
          <w:p w14:paraId="17DB86CE">
            <w:pPr>
              <w:adjustRightInd w:val="0"/>
              <w:snapToGrid w:val="0"/>
              <w:jc w:val="center"/>
              <w:rPr>
                <w:rFonts w:ascii="宋体" w:hAnsi="宋体"/>
                <w:b/>
                <w:sz w:val="24"/>
              </w:rPr>
            </w:pPr>
            <w:r>
              <w:rPr>
                <w:rFonts w:hint="eastAsia" w:ascii="宋体" w:hAnsi="宋体"/>
                <w:b/>
                <w:sz w:val="24"/>
              </w:rPr>
              <w:t>表</w:t>
            </w:r>
            <w:r>
              <w:rPr>
                <w:rFonts w:hint="eastAsia" w:ascii="宋体" w:hAnsi="宋体"/>
                <w:b/>
                <w:sz w:val="24"/>
                <w:lang w:val="en-US" w:eastAsia="zh-CN"/>
              </w:rPr>
              <w:t>2-7</w:t>
            </w:r>
            <w:r>
              <w:rPr>
                <w:rFonts w:hint="eastAsia" w:ascii="宋体" w:hAnsi="宋体"/>
                <w:b/>
                <w:sz w:val="24"/>
              </w:rPr>
              <w:t xml:space="preserve">   现有工程存在环境问题及整改措施</w:t>
            </w:r>
          </w:p>
          <w:tbl>
            <w:tblPr>
              <w:tblStyle w:val="24"/>
              <w:tblW w:w="8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77"/>
              <w:gridCol w:w="2520"/>
              <w:gridCol w:w="3328"/>
            </w:tblGrid>
            <w:tr w14:paraId="7C84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noWrap w:val="0"/>
                  <w:vAlign w:val="center"/>
                </w:tcPr>
                <w:p w14:paraId="542DE60E">
                  <w:pPr>
                    <w:adjustRightInd w:val="0"/>
                    <w:snapToGrid w:val="0"/>
                    <w:jc w:val="center"/>
                    <w:rPr>
                      <w:rFonts w:hint="default" w:cs="宋体" w:asciiTheme="minorAscii" w:hAnsiTheme="minorAscii"/>
                      <w:szCs w:val="21"/>
                    </w:rPr>
                  </w:pPr>
                  <w:r>
                    <w:rPr>
                      <w:rFonts w:hint="default" w:cs="宋体" w:asciiTheme="minorAscii" w:hAnsiTheme="minorAscii"/>
                      <w:szCs w:val="21"/>
                    </w:rPr>
                    <w:t>类别</w:t>
                  </w:r>
                </w:p>
              </w:tc>
              <w:tc>
                <w:tcPr>
                  <w:tcW w:w="1677" w:type="dxa"/>
                  <w:noWrap w:val="0"/>
                  <w:vAlign w:val="center"/>
                </w:tcPr>
                <w:p w14:paraId="6FE63CB1">
                  <w:pPr>
                    <w:adjustRightInd w:val="0"/>
                    <w:snapToGrid w:val="0"/>
                    <w:jc w:val="center"/>
                    <w:rPr>
                      <w:rFonts w:hint="default" w:cs="宋体" w:asciiTheme="minorAscii" w:hAnsiTheme="minorAscii"/>
                      <w:szCs w:val="21"/>
                    </w:rPr>
                  </w:pPr>
                  <w:r>
                    <w:rPr>
                      <w:rFonts w:hint="default" w:cs="宋体" w:asciiTheme="minorAscii" w:hAnsiTheme="minorAscii"/>
                      <w:szCs w:val="21"/>
                    </w:rPr>
                    <w:t>污染源位置/建设项目名称</w:t>
                  </w:r>
                </w:p>
              </w:tc>
              <w:tc>
                <w:tcPr>
                  <w:tcW w:w="2520" w:type="dxa"/>
                  <w:noWrap w:val="0"/>
                  <w:vAlign w:val="center"/>
                </w:tcPr>
                <w:p w14:paraId="5668C291">
                  <w:pPr>
                    <w:adjustRightInd w:val="0"/>
                    <w:snapToGrid w:val="0"/>
                    <w:jc w:val="center"/>
                    <w:rPr>
                      <w:rFonts w:hint="default" w:cs="宋体" w:asciiTheme="minorAscii" w:hAnsiTheme="minorAscii"/>
                      <w:szCs w:val="21"/>
                    </w:rPr>
                  </w:pPr>
                  <w:r>
                    <w:rPr>
                      <w:rFonts w:hint="default" w:cs="宋体" w:asciiTheme="minorAscii" w:hAnsiTheme="minorAscii"/>
                      <w:szCs w:val="21"/>
                    </w:rPr>
                    <w:t>存在的环境问题</w:t>
                  </w:r>
                </w:p>
              </w:tc>
              <w:tc>
                <w:tcPr>
                  <w:tcW w:w="3328" w:type="dxa"/>
                  <w:noWrap w:val="0"/>
                  <w:vAlign w:val="center"/>
                </w:tcPr>
                <w:p w14:paraId="2D617FAE">
                  <w:pPr>
                    <w:adjustRightInd w:val="0"/>
                    <w:snapToGrid w:val="0"/>
                    <w:jc w:val="center"/>
                    <w:rPr>
                      <w:rFonts w:hint="default" w:cs="宋体" w:asciiTheme="minorAscii" w:hAnsiTheme="minorAscii"/>
                      <w:szCs w:val="21"/>
                    </w:rPr>
                  </w:pPr>
                  <w:r>
                    <w:rPr>
                      <w:rFonts w:hint="default" w:cs="宋体" w:asciiTheme="minorAscii" w:hAnsiTheme="minorAscii"/>
                      <w:szCs w:val="21"/>
                    </w:rPr>
                    <w:t>整改措施</w:t>
                  </w:r>
                </w:p>
              </w:tc>
            </w:tr>
            <w:tr w14:paraId="38BD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noWrap w:val="0"/>
                  <w:vAlign w:val="center"/>
                </w:tcPr>
                <w:p w14:paraId="3CAE8CD7">
                  <w:pPr>
                    <w:adjustRightInd w:val="0"/>
                    <w:snapToGrid w:val="0"/>
                    <w:jc w:val="center"/>
                    <w:rPr>
                      <w:rFonts w:hint="eastAsia" w:eastAsia="宋体" w:cs="宋体" w:asciiTheme="minorAscii" w:hAnsiTheme="minorAscii"/>
                      <w:szCs w:val="21"/>
                      <w:lang w:val="en-US" w:eastAsia="zh-CN"/>
                    </w:rPr>
                  </w:pPr>
                  <w:r>
                    <w:rPr>
                      <w:rFonts w:hint="eastAsia" w:cs="宋体" w:asciiTheme="minorAscii" w:hAnsiTheme="minorAscii"/>
                      <w:szCs w:val="21"/>
                      <w:lang w:val="en-US" w:eastAsia="zh-CN"/>
                    </w:rPr>
                    <w:t>废气</w:t>
                  </w:r>
                </w:p>
              </w:tc>
              <w:tc>
                <w:tcPr>
                  <w:tcW w:w="1677" w:type="dxa"/>
                  <w:noWrap w:val="0"/>
                  <w:vAlign w:val="center"/>
                </w:tcPr>
                <w:p w14:paraId="7669F6A9">
                  <w:pPr>
                    <w:adjustRightInd w:val="0"/>
                    <w:snapToGrid w:val="0"/>
                    <w:jc w:val="center"/>
                    <w:rPr>
                      <w:rFonts w:hint="default" w:eastAsia="宋体" w:cs="宋体" w:asciiTheme="minorAscii" w:hAnsiTheme="minorAscii"/>
                      <w:szCs w:val="21"/>
                      <w:lang w:val="en-US" w:eastAsia="zh-CN"/>
                    </w:rPr>
                  </w:pPr>
                  <w:r>
                    <w:rPr>
                      <w:rFonts w:hint="default" w:eastAsia="宋体" w:cs="宋体" w:asciiTheme="minorAscii" w:hAnsiTheme="minorAscii"/>
                      <w:szCs w:val="21"/>
                      <w:lang w:val="en-US" w:eastAsia="zh-CN"/>
                    </w:rPr>
                    <w:t>吹膜、涂胶烘干工序</w:t>
                  </w:r>
                </w:p>
              </w:tc>
              <w:tc>
                <w:tcPr>
                  <w:tcW w:w="2520" w:type="dxa"/>
                  <w:noWrap w:val="0"/>
                  <w:vAlign w:val="center"/>
                </w:tcPr>
                <w:p w14:paraId="217D67EE">
                  <w:pPr>
                    <w:adjustRightInd w:val="0"/>
                    <w:snapToGrid w:val="0"/>
                    <w:jc w:val="center"/>
                    <w:rPr>
                      <w:rFonts w:hint="default" w:cs="宋体" w:asciiTheme="minorAscii" w:hAnsiTheme="minorAscii"/>
                      <w:szCs w:val="21"/>
                    </w:rPr>
                  </w:pPr>
                  <w:r>
                    <w:rPr>
                      <w:rFonts w:hint="default" w:eastAsia="宋体" w:cs="宋体" w:asciiTheme="minorAscii" w:hAnsiTheme="minorAscii"/>
                      <w:szCs w:val="21"/>
                      <w:lang w:eastAsia="zh-CN"/>
                    </w:rPr>
                    <w:t>未安装配套环保处理设施</w:t>
                  </w:r>
                </w:p>
              </w:tc>
              <w:tc>
                <w:tcPr>
                  <w:tcW w:w="3328" w:type="dxa"/>
                  <w:noWrap w:val="0"/>
                  <w:vAlign w:val="center"/>
                </w:tcPr>
                <w:p w14:paraId="74FBE716">
                  <w:pPr>
                    <w:adjustRightInd w:val="0"/>
                    <w:snapToGrid w:val="0"/>
                    <w:jc w:val="center"/>
                    <w:rPr>
                      <w:rFonts w:hint="default" w:cs="宋体" w:asciiTheme="minorAscii" w:hAnsiTheme="minorAscii"/>
                      <w:szCs w:val="21"/>
                    </w:rPr>
                  </w:pPr>
                  <w:r>
                    <w:rPr>
                      <w:rFonts w:hint="default" w:cs="宋体" w:asciiTheme="minorAscii" w:hAnsiTheme="minorAscii"/>
                      <w:szCs w:val="21"/>
                    </w:rPr>
                    <w:t>经集气罩收集后通过“活性炭吸附/脱附+催化燃烧（热源采用电加热）”装置处理后通过20m排气筒（DA001）排放</w:t>
                  </w:r>
                </w:p>
              </w:tc>
            </w:tr>
            <w:tr w14:paraId="343C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noWrap w:val="0"/>
                  <w:vAlign w:val="center"/>
                </w:tcPr>
                <w:p w14:paraId="02D6D12B">
                  <w:pPr>
                    <w:adjustRightInd w:val="0"/>
                    <w:snapToGrid w:val="0"/>
                    <w:jc w:val="center"/>
                    <w:rPr>
                      <w:rFonts w:hint="eastAsia" w:eastAsia="宋体" w:cs="宋体" w:asciiTheme="minorAscii" w:hAnsiTheme="minorAscii"/>
                      <w:szCs w:val="21"/>
                      <w:lang w:val="en-US" w:eastAsia="zh-CN"/>
                    </w:rPr>
                  </w:pPr>
                  <w:r>
                    <w:rPr>
                      <w:rFonts w:hint="eastAsia" w:cs="宋体" w:asciiTheme="minorAscii" w:hAnsiTheme="minorAscii"/>
                      <w:szCs w:val="21"/>
                      <w:lang w:val="en-US" w:eastAsia="zh-CN"/>
                    </w:rPr>
                    <w:t>废水</w:t>
                  </w:r>
                </w:p>
              </w:tc>
              <w:tc>
                <w:tcPr>
                  <w:tcW w:w="1677" w:type="dxa"/>
                  <w:noWrap w:val="0"/>
                  <w:vAlign w:val="center"/>
                </w:tcPr>
                <w:p w14:paraId="57B5B7AB">
                  <w:pPr>
                    <w:adjustRightInd w:val="0"/>
                    <w:snapToGrid w:val="0"/>
                    <w:jc w:val="center"/>
                    <w:rPr>
                      <w:rFonts w:hint="default" w:eastAsia="宋体" w:cs="宋体" w:asciiTheme="minorAscii" w:hAnsiTheme="minorAscii"/>
                      <w:szCs w:val="21"/>
                      <w:lang w:eastAsia="zh-CN"/>
                    </w:rPr>
                  </w:pPr>
                  <w:r>
                    <w:rPr>
                      <w:rFonts w:hint="default" w:eastAsia="宋体" w:cs="宋体" w:asciiTheme="minorAscii" w:hAnsiTheme="minorAscii"/>
                      <w:szCs w:val="21"/>
                      <w:lang w:eastAsia="zh-CN"/>
                    </w:rPr>
                    <w:t>生活污水预处理</w:t>
                  </w:r>
                </w:p>
              </w:tc>
              <w:tc>
                <w:tcPr>
                  <w:tcW w:w="2520" w:type="dxa"/>
                  <w:noWrap w:val="0"/>
                  <w:vAlign w:val="center"/>
                </w:tcPr>
                <w:p w14:paraId="287154BB">
                  <w:pPr>
                    <w:adjustRightInd w:val="0"/>
                    <w:snapToGrid w:val="0"/>
                    <w:jc w:val="center"/>
                    <w:rPr>
                      <w:rFonts w:hint="default" w:eastAsia="宋体" w:cs="宋体" w:asciiTheme="minorAscii" w:hAnsiTheme="minorAscii"/>
                      <w:szCs w:val="21"/>
                      <w:lang w:eastAsia="zh-CN"/>
                    </w:rPr>
                  </w:pPr>
                  <w:r>
                    <w:rPr>
                      <w:rFonts w:hint="default" w:eastAsia="宋体" w:cs="宋体" w:asciiTheme="minorAscii" w:hAnsiTheme="minorAscii"/>
                      <w:szCs w:val="21"/>
                      <w:lang w:eastAsia="zh-CN"/>
                    </w:rPr>
                    <w:t>原有10m³化粪池容积不足，无法满足本项目140人食宿生活污水预处理要求</w:t>
                  </w:r>
                </w:p>
              </w:tc>
              <w:tc>
                <w:tcPr>
                  <w:tcW w:w="3328" w:type="dxa"/>
                  <w:noWrap w:val="0"/>
                  <w:vAlign w:val="center"/>
                </w:tcPr>
                <w:p w14:paraId="6D55A58F">
                  <w:pPr>
                    <w:adjustRightInd w:val="0"/>
                    <w:snapToGrid w:val="0"/>
                    <w:jc w:val="center"/>
                    <w:rPr>
                      <w:rFonts w:hint="default" w:cs="宋体" w:asciiTheme="minorAscii" w:hAnsiTheme="minorAscii"/>
                      <w:szCs w:val="21"/>
                    </w:rPr>
                  </w:pPr>
                  <w:r>
                    <w:rPr>
                      <w:rFonts w:hint="default" w:cs="宋体" w:asciiTheme="minorAscii" w:hAnsiTheme="minorAscii"/>
                      <w:szCs w:val="21"/>
                    </w:rPr>
                    <w:t>拆除原有10m³化粪池，新建20m³防渗玻璃钢化粪池，生活污水预处理后排入园区污水管网</w:t>
                  </w:r>
                </w:p>
              </w:tc>
            </w:tr>
            <w:tr w14:paraId="6A7F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noWrap w:val="0"/>
                  <w:vAlign w:val="center"/>
                </w:tcPr>
                <w:p w14:paraId="73AC4599">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噪声</w:t>
                  </w:r>
                </w:p>
              </w:tc>
              <w:tc>
                <w:tcPr>
                  <w:tcW w:w="1677" w:type="dxa"/>
                  <w:noWrap w:val="0"/>
                  <w:vAlign w:val="center"/>
                </w:tcPr>
                <w:p w14:paraId="363AD8ED">
                  <w:pPr>
                    <w:adjustRightInd w:val="0"/>
                    <w:snapToGrid w:val="0"/>
                    <w:jc w:val="center"/>
                    <w:rPr>
                      <w:rFonts w:hint="eastAsia" w:ascii="宋体" w:hAnsi="宋体" w:eastAsia="宋体" w:cs="宋体"/>
                      <w:szCs w:val="21"/>
                      <w:lang w:eastAsia="zh-CN"/>
                    </w:rPr>
                  </w:pPr>
                  <w:r>
                    <w:rPr>
                      <w:rFonts w:hint="eastAsia" w:ascii="宋体" w:hAnsi="宋体" w:eastAsia="宋体" w:cs="宋体"/>
                      <w:szCs w:val="21"/>
                      <w:lang w:eastAsia="zh-CN"/>
                    </w:rPr>
                    <w:t>生产车间各类生产设备</w:t>
                  </w:r>
                </w:p>
              </w:tc>
              <w:tc>
                <w:tcPr>
                  <w:tcW w:w="2520" w:type="dxa"/>
                  <w:noWrap w:val="0"/>
                  <w:vAlign w:val="center"/>
                </w:tcPr>
                <w:p w14:paraId="7324D15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未采取减振措施</w:t>
                  </w:r>
                </w:p>
              </w:tc>
              <w:tc>
                <w:tcPr>
                  <w:tcW w:w="3328" w:type="dxa"/>
                  <w:noWrap w:val="0"/>
                  <w:vAlign w:val="center"/>
                </w:tcPr>
                <w:p w14:paraId="48DFE72B">
                  <w:pPr>
                    <w:adjustRightInd w:val="0"/>
                    <w:snapToGrid w:val="0"/>
                    <w:jc w:val="center"/>
                    <w:rPr>
                      <w:rFonts w:hint="eastAsia" w:ascii="宋体" w:hAnsi="宋体" w:cs="宋体"/>
                      <w:szCs w:val="21"/>
                    </w:rPr>
                  </w:pPr>
                  <w:r>
                    <w:rPr>
                      <w:rFonts w:hint="eastAsia" w:ascii="宋体" w:hAnsi="宋体" w:cs="宋体"/>
                      <w:szCs w:val="21"/>
                    </w:rPr>
                    <w:t>设备底座加装减振垫，利用建筑墙体隔声；优化生产制度，夜间不组织生产</w:t>
                  </w:r>
                </w:p>
              </w:tc>
            </w:tr>
            <w:tr w14:paraId="06E8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noWrap w:val="0"/>
                  <w:vAlign w:val="center"/>
                </w:tcPr>
                <w:p w14:paraId="372E0D98">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固体废物</w:t>
                  </w:r>
                </w:p>
              </w:tc>
              <w:tc>
                <w:tcPr>
                  <w:tcW w:w="1677" w:type="dxa"/>
                  <w:noWrap w:val="0"/>
                  <w:vAlign w:val="center"/>
                </w:tcPr>
                <w:p w14:paraId="4CCD5083">
                  <w:pPr>
                    <w:adjustRightInd w:val="0"/>
                    <w:snapToGrid w:val="0"/>
                    <w:jc w:val="center"/>
                    <w:rPr>
                      <w:rFonts w:hint="eastAsia" w:ascii="宋体" w:hAnsi="宋体" w:eastAsia="宋体" w:cs="宋体"/>
                      <w:szCs w:val="21"/>
                      <w:lang w:eastAsia="zh-CN"/>
                    </w:rPr>
                  </w:pPr>
                  <w:r>
                    <w:rPr>
                      <w:rFonts w:hint="eastAsia" w:ascii="宋体" w:hAnsi="宋体" w:eastAsia="宋体" w:cs="宋体"/>
                      <w:szCs w:val="21"/>
                      <w:lang w:eastAsia="zh-CN"/>
                    </w:rPr>
                    <w:t>生产车间</w:t>
                  </w:r>
                </w:p>
              </w:tc>
              <w:tc>
                <w:tcPr>
                  <w:tcW w:w="2520" w:type="dxa"/>
                  <w:noWrap w:val="0"/>
                  <w:vAlign w:val="center"/>
                </w:tcPr>
                <w:p w14:paraId="62554340">
                  <w:pPr>
                    <w:adjustRightInd w:val="0"/>
                    <w:snapToGrid w:val="0"/>
                    <w:jc w:val="center"/>
                    <w:rPr>
                      <w:rFonts w:hint="eastAsia" w:ascii="宋体" w:hAnsi="宋体" w:eastAsia="宋体" w:cs="宋体"/>
                      <w:szCs w:val="21"/>
                      <w:lang w:eastAsia="zh-CN"/>
                    </w:rPr>
                  </w:pPr>
                  <w:r>
                    <w:rPr>
                      <w:rFonts w:hint="eastAsia" w:ascii="宋体" w:hAnsi="宋体" w:eastAsia="宋体" w:cs="宋体"/>
                      <w:szCs w:val="21"/>
                      <w:lang w:eastAsia="zh-CN"/>
                    </w:rPr>
                    <w:t>未建设规范化危废暂存库、一般固废暂存库；投产后一般固废只能车间临时堆放，危险废物无合规暂存场所；无固废规范化贮存、转移条件</w:t>
                  </w:r>
                </w:p>
              </w:tc>
              <w:tc>
                <w:tcPr>
                  <w:tcW w:w="3328" w:type="dxa"/>
                  <w:noWrap w:val="0"/>
                  <w:vAlign w:val="center"/>
                </w:tcPr>
                <w:p w14:paraId="1A05093F">
                  <w:pPr>
                    <w:adjustRightInd w:val="0"/>
                    <w:snapToGrid w:val="0"/>
                    <w:jc w:val="center"/>
                    <w:rPr>
                      <w:rFonts w:hint="eastAsia" w:ascii="宋体" w:hAnsi="宋体" w:cs="宋体"/>
                      <w:szCs w:val="21"/>
                    </w:rPr>
                  </w:pPr>
                  <w:r>
                    <w:rPr>
                      <w:rFonts w:hint="eastAsia" w:ascii="宋体" w:hAnsi="宋体" w:cs="宋体"/>
                      <w:szCs w:val="21"/>
                    </w:rPr>
                    <w:t>新建规范化危险废物贮存库、一般固体废物贮存库；生产运行后一般固废建立管理台账，塑料边角料、废包装材料全部外售物资回收单位资源化利用；危险废物分类密闭贮存，委托资质单位处置，执行危废转移联单制度</w:t>
                  </w:r>
                </w:p>
              </w:tc>
            </w:tr>
          </w:tbl>
          <w:p w14:paraId="3BE3677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auto"/>
                <w:sz w:val="24"/>
                <w:lang w:eastAsia="zh-CN"/>
              </w:rPr>
            </w:pPr>
          </w:p>
          <w:p w14:paraId="4D0E4C7C">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imes New Roman" w:hAnsi="Times New Roman" w:eastAsia="宋体" w:cs="Times New Roman"/>
                <w:b w:val="0"/>
                <w:bCs w:val="0"/>
                <w:color w:val="auto"/>
                <w:sz w:val="24"/>
                <w:lang w:eastAsia="zh-CN"/>
              </w:rPr>
            </w:pPr>
          </w:p>
          <w:p w14:paraId="6F9B1A6D">
            <w:pPr>
              <w:pStyle w:val="14"/>
              <w:rPr>
                <w:rFonts w:hint="eastAsia" w:ascii="Times New Roman" w:hAnsi="Times New Roman" w:eastAsia="宋体" w:cs="Times New Roman"/>
                <w:b w:val="0"/>
                <w:bCs w:val="0"/>
                <w:color w:val="auto"/>
                <w:sz w:val="24"/>
                <w:lang w:eastAsia="zh-CN"/>
              </w:rPr>
            </w:pPr>
          </w:p>
          <w:p w14:paraId="021057A6">
            <w:pPr>
              <w:pStyle w:val="14"/>
              <w:rPr>
                <w:rFonts w:hint="eastAsia" w:ascii="Times New Roman" w:hAnsi="Times New Roman" w:eastAsia="宋体" w:cs="Times New Roman"/>
                <w:b w:val="0"/>
                <w:bCs w:val="0"/>
                <w:color w:val="auto"/>
                <w:sz w:val="24"/>
                <w:lang w:eastAsia="zh-CN"/>
              </w:rPr>
            </w:pPr>
          </w:p>
          <w:p w14:paraId="49BBB298">
            <w:pPr>
              <w:pStyle w:val="14"/>
              <w:rPr>
                <w:rFonts w:hint="eastAsia" w:ascii="Times New Roman" w:hAnsi="Times New Roman" w:eastAsia="宋体" w:cs="Times New Roman"/>
                <w:b w:val="0"/>
                <w:bCs w:val="0"/>
                <w:color w:val="auto"/>
                <w:sz w:val="24"/>
                <w:lang w:eastAsia="zh-CN"/>
              </w:rPr>
            </w:pPr>
          </w:p>
          <w:p w14:paraId="2EA74E48">
            <w:pPr>
              <w:pStyle w:val="14"/>
              <w:rPr>
                <w:rFonts w:hint="eastAsia" w:ascii="Times New Roman" w:hAnsi="Times New Roman" w:eastAsia="宋体" w:cs="Times New Roman"/>
                <w:b w:val="0"/>
                <w:bCs w:val="0"/>
                <w:color w:val="auto"/>
                <w:sz w:val="24"/>
                <w:lang w:eastAsia="zh-CN"/>
              </w:rPr>
            </w:pPr>
          </w:p>
          <w:p w14:paraId="7FA6984D">
            <w:pPr>
              <w:pStyle w:val="14"/>
              <w:rPr>
                <w:rFonts w:hint="eastAsia" w:ascii="Times New Roman" w:hAnsi="Times New Roman" w:eastAsia="宋体" w:cs="Times New Roman"/>
                <w:b w:val="0"/>
                <w:bCs w:val="0"/>
                <w:color w:val="auto"/>
                <w:sz w:val="24"/>
                <w:lang w:eastAsia="zh-CN"/>
              </w:rPr>
            </w:pPr>
          </w:p>
          <w:p w14:paraId="13EED4F4">
            <w:pPr>
              <w:pStyle w:val="14"/>
              <w:rPr>
                <w:rFonts w:hint="eastAsia" w:ascii="Times New Roman" w:hAnsi="Times New Roman" w:eastAsia="宋体" w:cs="Times New Roman"/>
                <w:b w:val="0"/>
                <w:bCs w:val="0"/>
                <w:color w:val="auto"/>
                <w:sz w:val="24"/>
                <w:lang w:eastAsia="zh-CN"/>
              </w:rPr>
            </w:pPr>
          </w:p>
          <w:p w14:paraId="2F5EE6BF">
            <w:pPr>
              <w:pStyle w:val="14"/>
              <w:rPr>
                <w:rFonts w:hint="eastAsia" w:ascii="Times New Roman" w:hAnsi="Times New Roman" w:eastAsia="宋体" w:cs="Times New Roman"/>
                <w:b w:val="0"/>
                <w:bCs w:val="0"/>
                <w:color w:val="auto"/>
                <w:sz w:val="24"/>
                <w:lang w:eastAsia="zh-CN"/>
              </w:rPr>
            </w:pPr>
          </w:p>
          <w:p w14:paraId="72C1A4CF">
            <w:pPr>
              <w:pStyle w:val="14"/>
              <w:rPr>
                <w:rFonts w:hint="eastAsia" w:ascii="Times New Roman" w:hAnsi="Times New Roman" w:eastAsia="宋体" w:cs="Times New Roman"/>
                <w:b w:val="0"/>
                <w:bCs w:val="0"/>
                <w:color w:val="auto"/>
                <w:sz w:val="24"/>
                <w:lang w:eastAsia="zh-CN"/>
              </w:rPr>
            </w:pPr>
          </w:p>
          <w:p w14:paraId="25F4FFE6">
            <w:pPr>
              <w:pStyle w:val="14"/>
              <w:rPr>
                <w:rFonts w:hint="eastAsia" w:ascii="Times New Roman" w:hAnsi="Times New Roman" w:eastAsia="宋体" w:cs="Times New Roman"/>
                <w:b w:val="0"/>
                <w:bCs w:val="0"/>
                <w:color w:val="auto"/>
                <w:sz w:val="24"/>
                <w:lang w:eastAsia="zh-CN"/>
              </w:rPr>
            </w:pPr>
          </w:p>
          <w:p w14:paraId="66103123">
            <w:pPr>
              <w:pStyle w:val="14"/>
              <w:rPr>
                <w:rFonts w:hint="eastAsia" w:ascii="Times New Roman" w:hAnsi="Times New Roman" w:eastAsia="宋体" w:cs="Times New Roman"/>
                <w:b w:val="0"/>
                <w:bCs w:val="0"/>
                <w:color w:val="auto"/>
                <w:sz w:val="24"/>
                <w:lang w:eastAsia="zh-CN"/>
              </w:rPr>
            </w:pPr>
          </w:p>
          <w:p w14:paraId="6F6B0008">
            <w:pPr>
              <w:pStyle w:val="14"/>
              <w:rPr>
                <w:rFonts w:hint="eastAsia" w:ascii="Times New Roman" w:hAnsi="Times New Roman" w:eastAsia="宋体" w:cs="Times New Roman"/>
                <w:b w:val="0"/>
                <w:bCs w:val="0"/>
                <w:color w:val="auto"/>
                <w:sz w:val="24"/>
                <w:lang w:eastAsia="zh-CN"/>
              </w:rPr>
            </w:pPr>
          </w:p>
          <w:p w14:paraId="302FB119">
            <w:pPr>
              <w:pStyle w:val="14"/>
              <w:rPr>
                <w:rFonts w:hint="eastAsia" w:ascii="Times New Roman" w:hAnsi="Times New Roman" w:eastAsia="宋体" w:cs="Times New Roman"/>
                <w:b w:val="0"/>
                <w:bCs w:val="0"/>
                <w:color w:val="auto"/>
                <w:sz w:val="24"/>
                <w:lang w:eastAsia="zh-CN"/>
              </w:rPr>
            </w:pPr>
          </w:p>
          <w:p w14:paraId="1C2A1082">
            <w:pPr>
              <w:pStyle w:val="19"/>
              <w:spacing w:line="500" w:lineRule="exact"/>
              <w:ind w:firstLine="0" w:firstLineChars="0"/>
              <w:rPr>
                <w:rFonts w:hint="eastAsia"/>
                <w:bCs w:val="0"/>
                <w:szCs w:val="21"/>
              </w:rPr>
            </w:pPr>
          </w:p>
        </w:tc>
      </w:tr>
    </w:tbl>
    <w:p w14:paraId="46DDF57F">
      <w:pPr>
        <w:pStyle w:val="21"/>
        <w:jc w:val="center"/>
        <w:rPr>
          <w:rFonts w:ascii="黑体" w:hAnsi="黑体" w:eastAsia="黑体"/>
          <w:snapToGrid w:val="0"/>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233707C">
      <w:pPr>
        <w:pStyle w:val="21"/>
        <w:adjustRightInd w:val="0"/>
        <w:snapToGrid w:val="0"/>
        <w:spacing w:before="0" w:beforeAutospacing="0" w:after="0" w:afterAutospacing="0" w:line="14" w:lineRule="auto"/>
        <w:jc w:val="center"/>
        <w:outlineLvl w:val="0"/>
        <w:rPr>
          <w:rFonts w:hint="eastAsia" w:ascii="黑体" w:hAnsi="黑体" w:eastAsia="黑体"/>
          <w:snapToGrid w:val="0"/>
          <w:sz w:val="30"/>
          <w:szCs w:val="30"/>
        </w:rPr>
      </w:pPr>
    </w:p>
    <w:p w14:paraId="07847E4C">
      <w:pPr>
        <w:pStyle w:val="21"/>
        <w:jc w:val="center"/>
        <w:outlineLvl w:val="0"/>
        <w:rPr>
          <w:rFonts w:ascii="黑体" w:hAnsi="黑体" w:eastAsia="黑体"/>
          <w:snapToGrid w:val="0"/>
          <w:sz w:val="30"/>
          <w:szCs w:val="30"/>
        </w:rPr>
      </w:pPr>
      <w:r>
        <w:rPr>
          <w:rFonts w:hint="eastAsia" w:ascii="黑体" w:hAnsi="黑体" w:eastAsia="黑体"/>
          <w:snapToGrid w:val="0"/>
          <w:sz w:val="30"/>
          <w:szCs w:val="30"/>
        </w:rPr>
        <w:t>三、区域环境质量现状、环境保护目标及评价标准</w:t>
      </w:r>
    </w:p>
    <w:tbl>
      <w:tblPr>
        <w:tblStyle w:val="24"/>
        <w:tblW w:w="89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1"/>
        <w:gridCol w:w="8539"/>
      </w:tblGrid>
      <w:tr w14:paraId="7242B4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451" w:type="dxa"/>
            <w:noWrap w:val="0"/>
            <w:vAlign w:val="center"/>
          </w:tcPr>
          <w:p w14:paraId="283597B4">
            <w:pPr>
              <w:adjustRightInd w:val="0"/>
              <w:snapToGrid w:val="0"/>
              <w:jc w:val="center"/>
              <w:rPr>
                <w:rFonts w:hint="eastAsia" w:ascii="宋体" w:hAnsi="宋体" w:cs="宋体"/>
                <w:kern w:val="0"/>
                <w:szCs w:val="21"/>
              </w:rPr>
            </w:pPr>
            <w:r>
              <w:rPr>
                <w:rFonts w:hint="eastAsia" w:ascii="宋体" w:hAnsi="宋体" w:cs="宋体"/>
                <w:kern w:val="0"/>
                <w:szCs w:val="21"/>
              </w:rPr>
              <w:t>区域</w:t>
            </w:r>
          </w:p>
          <w:p w14:paraId="5C6ABB7F">
            <w:pPr>
              <w:adjustRightInd w:val="0"/>
              <w:snapToGrid w:val="0"/>
              <w:jc w:val="center"/>
              <w:rPr>
                <w:rFonts w:hint="eastAsia" w:ascii="宋体" w:hAnsi="宋体" w:cs="宋体"/>
                <w:kern w:val="0"/>
                <w:szCs w:val="21"/>
              </w:rPr>
            </w:pPr>
            <w:r>
              <w:rPr>
                <w:rFonts w:hint="eastAsia" w:ascii="宋体" w:hAnsi="宋体" w:cs="宋体"/>
                <w:kern w:val="0"/>
                <w:szCs w:val="21"/>
              </w:rPr>
              <w:t>环境</w:t>
            </w:r>
          </w:p>
          <w:p w14:paraId="59CEB65C">
            <w:pPr>
              <w:adjustRightInd w:val="0"/>
              <w:snapToGrid w:val="0"/>
              <w:jc w:val="center"/>
              <w:rPr>
                <w:rFonts w:hint="eastAsia" w:ascii="宋体" w:hAnsi="宋体" w:cs="宋体"/>
                <w:kern w:val="0"/>
                <w:szCs w:val="21"/>
              </w:rPr>
            </w:pPr>
            <w:r>
              <w:rPr>
                <w:rFonts w:hint="eastAsia" w:ascii="宋体" w:hAnsi="宋体" w:cs="宋体"/>
                <w:kern w:val="0"/>
                <w:szCs w:val="21"/>
              </w:rPr>
              <w:t>质量</w:t>
            </w:r>
          </w:p>
          <w:p w14:paraId="20293A1B">
            <w:pPr>
              <w:adjustRightInd w:val="0"/>
              <w:snapToGrid w:val="0"/>
              <w:jc w:val="center"/>
              <w:rPr>
                <w:rFonts w:ascii="宋体" w:hAnsi="宋体" w:cs="宋体"/>
                <w:kern w:val="0"/>
                <w:szCs w:val="21"/>
              </w:rPr>
            </w:pPr>
            <w:r>
              <w:rPr>
                <w:rFonts w:hint="eastAsia" w:ascii="宋体" w:hAnsi="宋体" w:cs="宋体"/>
                <w:kern w:val="0"/>
                <w:szCs w:val="21"/>
              </w:rPr>
              <w:t>现状</w:t>
            </w:r>
          </w:p>
        </w:tc>
        <w:tc>
          <w:tcPr>
            <w:tcW w:w="8539" w:type="dxa"/>
            <w:noWrap w:val="0"/>
            <w:vAlign w:val="center"/>
          </w:tcPr>
          <w:p w14:paraId="73706F39">
            <w:pPr>
              <w:pStyle w:val="8"/>
              <w:keepNext w:val="0"/>
              <w:keepLines w:val="0"/>
              <w:pageBreakBefore w:val="0"/>
              <w:kinsoku/>
              <w:wordWrap/>
              <w:overflowPunct/>
              <w:topLinePunct w:val="0"/>
              <w:autoSpaceDE/>
              <w:autoSpaceDN/>
              <w:bidi w:val="0"/>
              <w:spacing w:before="0" w:after="0" w:line="520" w:lineRule="exact"/>
              <w:ind w:right="0"/>
              <w:textAlignment w:val="auto"/>
              <w:rPr>
                <w:rFonts w:hint="eastAsia" w:ascii="宋体" w:hAnsi="宋体" w:cs="宋体"/>
                <w:b/>
                <w:bCs/>
                <w:sz w:val="24"/>
                <w:szCs w:val="24"/>
              </w:rPr>
            </w:pPr>
            <w:r>
              <w:rPr>
                <w:rFonts w:hint="eastAsia" w:ascii="宋体" w:hAnsi="宋体" w:cs="宋体"/>
                <w:b/>
                <w:bCs/>
                <w:sz w:val="24"/>
                <w:szCs w:val="24"/>
              </w:rPr>
              <w:t>建设项目所在地区域环境质量现状</w:t>
            </w:r>
          </w:p>
          <w:p w14:paraId="34FA07EF">
            <w:pPr>
              <w:keepNext w:val="0"/>
              <w:keepLines w:val="0"/>
              <w:pageBreakBefore w:val="0"/>
              <w:widowControl w:val="0"/>
              <w:kinsoku/>
              <w:wordWrap/>
              <w:overflowPunct/>
              <w:topLinePunct w:val="0"/>
              <w:autoSpaceDE/>
              <w:autoSpaceDN/>
              <w:bidi w:val="0"/>
              <w:spacing w:line="520" w:lineRule="exact"/>
              <w:ind w:right="0" w:firstLine="482" w:firstLineChars="200"/>
              <w:textAlignment w:val="auto"/>
              <w:rPr>
                <w:rFonts w:cs="Arial"/>
                <w:b/>
                <w:bCs/>
                <w:sz w:val="24"/>
              </w:rPr>
            </w:pPr>
            <w:r>
              <w:rPr>
                <w:rFonts w:hint="eastAsia" w:cs="Arial"/>
                <w:b/>
                <w:bCs/>
                <w:sz w:val="24"/>
              </w:rPr>
              <w:t>一、大气环境质量现状</w:t>
            </w:r>
          </w:p>
          <w:p w14:paraId="15B48E00">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20" w:lineRule="exact"/>
              <w:ind w:left="0" w:right="0" w:firstLine="480" w:firstLineChars="200"/>
              <w:textAlignment w:val="auto"/>
              <w:rPr>
                <w:rFonts w:hint="default" w:ascii="Times New Roman" w:hAnsi="Times New Roman" w:eastAsia="宋体" w:cs="Times New Roman"/>
                <w:color w:val="000000"/>
                <w:sz w:val="24"/>
                <w:highlight w:val="none"/>
                <w:lang w:val="en-US" w:eastAsia="zh-CN"/>
              </w:rPr>
            </w:pPr>
            <w:r>
              <w:rPr>
                <w:rFonts w:hint="eastAsia" w:ascii="Times New Roman" w:hAnsi="Times New Roman" w:cs="Times New Roman"/>
                <w:bCs/>
                <w:sz w:val="24"/>
                <w:lang w:val="en-US" w:eastAsia="zh-CN"/>
              </w:rPr>
              <w:t>1</w:t>
            </w:r>
            <w:r>
              <w:rPr>
                <w:rFonts w:hint="default" w:ascii="Times New Roman" w:hAnsi="Times New Roman" w:cs="Times New Roman"/>
                <w:bCs/>
                <w:sz w:val="24"/>
              </w:rPr>
              <w:t>.项目区环境质量现状调查</w:t>
            </w:r>
          </w:p>
          <w:p w14:paraId="3C56FDBB">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20" w:lineRule="exact"/>
              <w:ind w:left="0" w:right="0" w:firstLine="480" w:firstLineChars="200"/>
              <w:textAlignment w:val="auto"/>
              <w:rPr>
                <w:color w:val="auto"/>
                <w:kern w:val="0"/>
                <w:sz w:val="24"/>
                <w:szCs w:val="20"/>
              </w:rPr>
            </w:pPr>
            <w:r>
              <w:rPr>
                <w:rFonts w:hint="default" w:ascii="Times New Roman" w:hAnsi="Times New Roman" w:eastAsia="宋体" w:cs="Times New Roman"/>
                <w:color w:val="000000"/>
                <w:sz w:val="24"/>
                <w:highlight w:val="none"/>
                <w:lang w:val="en-US" w:eastAsia="zh-CN"/>
              </w:rPr>
              <w:t>本次环境空气质量现状采用</w:t>
            </w:r>
            <w:r>
              <w:rPr>
                <w:rFonts w:hint="eastAsia" w:cs="Times New Roman"/>
                <w:color w:val="000000"/>
                <w:sz w:val="24"/>
                <w:highlight w:val="none"/>
                <w:lang w:val="en-US" w:eastAsia="zh-CN"/>
              </w:rPr>
              <w:t>2024年巴音郭楞蒙古自治州轮台县环境空气质量监测站公布的轮台县</w:t>
            </w:r>
            <w:r>
              <w:rPr>
                <w:rFonts w:hint="default" w:ascii="Times New Roman" w:hAnsi="Times New Roman" w:eastAsia="宋体" w:cs="Times New Roman"/>
                <w:color w:val="000000"/>
                <w:sz w:val="24"/>
                <w:highlight w:val="none"/>
                <w:lang w:val="en-US" w:eastAsia="zh-CN"/>
              </w:rPr>
              <w:t>SO</w:t>
            </w:r>
            <w:r>
              <w:rPr>
                <w:rFonts w:hint="default" w:ascii="Times New Roman" w:hAnsi="Times New Roman" w:eastAsia="宋体" w:cs="Times New Roman"/>
                <w:color w:val="000000"/>
                <w:sz w:val="24"/>
                <w:highlight w:val="none"/>
                <w:vertAlign w:val="subscript"/>
                <w:lang w:val="en-US" w:eastAsia="zh-CN"/>
              </w:rPr>
              <w:t>2</w:t>
            </w:r>
            <w:r>
              <w:rPr>
                <w:rFonts w:hint="default" w:ascii="Times New Roman" w:hAnsi="Times New Roman" w:eastAsia="宋体" w:cs="Times New Roman"/>
                <w:color w:val="000000"/>
                <w:sz w:val="24"/>
                <w:highlight w:val="none"/>
                <w:lang w:val="en-US" w:eastAsia="zh-CN"/>
              </w:rPr>
              <w:t>、NO</w:t>
            </w:r>
            <w:r>
              <w:rPr>
                <w:rFonts w:hint="default" w:ascii="Times New Roman" w:hAnsi="Times New Roman" w:eastAsia="宋体" w:cs="Times New Roman"/>
                <w:color w:val="000000"/>
                <w:sz w:val="24"/>
                <w:highlight w:val="none"/>
                <w:vertAlign w:val="subscript"/>
                <w:lang w:val="en-US" w:eastAsia="zh-CN"/>
              </w:rPr>
              <w:t>2</w:t>
            </w:r>
            <w:r>
              <w:rPr>
                <w:rFonts w:hint="default" w:ascii="Times New Roman" w:hAnsi="Times New Roman" w:eastAsia="宋体" w:cs="Times New Roman"/>
                <w:color w:val="000000"/>
                <w:sz w:val="24"/>
                <w:highlight w:val="none"/>
                <w:lang w:val="en-US" w:eastAsia="zh-CN"/>
              </w:rPr>
              <w:t>、CO、O</w:t>
            </w:r>
            <w:r>
              <w:rPr>
                <w:rFonts w:hint="default" w:ascii="Times New Roman" w:hAnsi="Times New Roman" w:eastAsia="宋体" w:cs="Times New Roman"/>
                <w:color w:val="000000"/>
                <w:sz w:val="24"/>
                <w:highlight w:val="none"/>
                <w:vertAlign w:val="subscript"/>
                <w:lang w:val="en-US" w:eastAsia="zh-CN"/>
              </w:rPr>
              <w:t>3</w:t>
            </w:r>
            <w:r>
              <w:rPr>
                <w:rFonts w:hint="default" w:ascii="Times New Roman" w:hAnsi="Times New Roman" w:eastAsia="宋体" w:cs="Times New Roman"/>
                <w:color w:val="000000"/>
                <w:sz w:val="24"/>
                <w:highlight w:val="none"/>
                <w:lang w:val="en-US" w:eastAsia="zh-CN"/>
              </w:rPr>
              <w:t>、PM</w:t>
            </w:r>
            <w:r>
              <w:rPr>
                <w:rFonts w:hint="default" w:ascii="Times New Roman" w:hAnsi="Times New Roman" w:eastAsia="宋体" w:cs="Times New Roman"/>
                <w:color w:val="000000"/>
                <w:sz w:val="24"/>
                <w:highlight w:val="none"/>
                <w:vertAlign w:val="subscript"/>
                <w:lang w:val="en-US" w:eastAsia="zh-CN"/>
              </w:rPr>
              <w:t>10</w:t>
            </w:r>
            <w:r>
              <w:rPr>
                <w:rFonts w:hint="default" w:ascii="Times New Roman" w:hAnsi="Times New Roman" w:eastAsia="宋体" w:cs="Times New Roman"/>
                <w:color w:val="000000"/>
                <w:sz w:val="24"/>
                <w:highlight w:val="none"/>
                <w:lang w:val="en-US" w:eastAsia="zh-CN"/>
              </w:rPr>
              <w:t>、PM</w:t>
            </w:r>
            <w:r>
              <w:rPr>
                <w:rFonts w:hint="eastAsia" w:ascii="Times New Roman" w:hAnsi="Times New Roman" w:eastAsia="宋体" w:cs="Times New Roman"/>
                <w:color w:val="000000"/>
                <w:sz w:val="24"/>
                <w:highlight w:val="none"/>
                <w:vertAlign w:val="subscript"/>
                <w:lang w:val="en-US" w:eastAsia="zh-CN"/>
              </w:rPr>
              <w:t>2.5</w:t>
            </w:r>
            <w:r>
              <w:rPr>
                <w:rFonts w:hint="eastAsia" w:ascii="Times New Roman" w:hAnsi="Times New Roman" w:eastAsia="宋体" w:cs="Times New Roman"/>
                <w:color w:val="000000"/>
                <w:sz w:val="24"/>
                <w:highlight w:val="none"/>
                <w:lang w:val="en-US" w:eastAsia="zh-CN"/>
              </w:rPr>
              <w:t>等</w:t>
            </w:r>
            <w:r>
              <w:rPr>
                <w:rFonts w:hint="default" w:ascii="Times New Roman" w:hAnsi="Times New Roman" w:eastAsia="宋体" w:cs="Times New Roman"/>
                <w:color w:val="000000"/>
                <w:sz w:val="24"/>
                <w:highlight w:val="none"/>
                <w:lang w:val="en-US" w:eastAsia="zh-CN"/>
              </w:rPr>
              <w:t>六项基本污染物环境空气质量现状数据</w:t>
            </w:r>
            <w:r>
              <w:rPr>
                <w:rFonts w:hint="eastAsia" w:ascii="Times New Roman" w:hAnsi="Times New Roman" w:eastAsia="宋体" w:cs="Times New Roman"/>
                <w:color w:val="000000"/>
                <w:sz w:val="24"/>
                <w:highlight w:val="none"/>
                <w:lang w:val="en-US" w:eastAsia="zh-CN"/>
              </w:rPr>
              <w:t>，详见下表</w:t>
            </w:r>
            <w:r>
              <w:rPr>
                <w:bCs/>
                <w:color w:val="auto"/>
                <w:sz w:val="24"/>
              </w:rPr>
              <w:t>。</w:t>
            </w:r>
          </w:p>
          <w:p w14:paraId="1F6105DA">
            <w:pPr>
              <w:keepNext w:val="0"/>
              <w:keepLines w:val="0"/>
              <w:pageBreakBefore w:val="0"/>
              <w:widowControl w:val="0"/>
              <w:shd w:val="clear" w:color="auto" w:fill="auto"/>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宋体" w:cs="Times New Roman"/>
                <w:b/>
                <w:bCs/>
                <w:caps w:val="0"/>
                <w:smallCaps w:val="0"/>
                <w:snapToGrid w:val="0"/>
                <w:color w:val="auto"/>
                <w:spacing w:val="0"/>
                <w:w w:val="100"/>
                <w:kern w:val="2"/>
                <w:position w:val="0"/>
                <w:sz w:val="24"/>
                <w:szCs w:val="24"/>
                <w:highlight w:val="none"/>
                <w:lang w:val="en-US" w:eastAsia="zh-CN" w:bidi="ar-SA"/>
              </w:rPr>
            </w:pPr>
            <w:r>
              <w:rPr>
                <w:rFonts w:hint="default" w:ascii="Times New Roman" w:hAnsi="Times New Roman" w:eastAsia="宋体" w:cs="Times New Roman"/>
                <w:b/>
                <w:bCs/>
                <w:caps w:val="0"/>
                <w:smallCaps w:val="0"/>
                <w:snapToGrid w:val="0"/>
                <w:color w:val="auto"/>
                <w:spacing w:val="0"/>
                <w:w w:val="100"/>
                <w:kern w:val="2"/>
                <w:position w:val="0"/>
                <w:sz w:val="24"/>
                <w:szCs w:val="24"/>
                <w:highlight w:val="none"/>
                <w:lang w:val="en-US" w:eastAsia="zh-CN" w:bidi="ar-SA"/>
              </w:rPr>
              <w:t>表3-</w:t>
            </w:r>
            <w:r>
              <w:rPr>
                <w:rFonts w:hint="eastAsia" w:ascii="Times New Roman" w:hAnsi="Times New Roman" w:eastAsia="宋体" w:cs="Times New Roman"/>
                <w:b/>
                <w:bCs/>
                <w:caps w:val="0"/>
                <w:smallCaps w:val="0"/>
                <w:snapToGrid w:val="0"/>
                <w:color w:val="auto"/>
                <w:spacing w:val="0"/>
                <w:w w:val="100"/>
                <w:kern w:val="2"/>
                <w:position w:val="0"/>
                <w:sz w:val="24"/>
                <w:szCs w:val="24"/>
                <w:highlight w:val="none"/>
                <w:lang w:val="en-US" w:eastAsia="zh-CN" w:bidi="ar-SA"/>
              </w:rPr>
              <w:t>1</w:t>
            </w:r>
            <w:r>
              <w:rPr>
                <w:rFonts w:hint="default" w:ascii="Times New Roman" w:hAnsi="Times New Roman" w:eastAsia="宋体" w:cs="Times New Roman"/>
                <w:b/>
                <w:bCs/>
                <w:caps w:val="0"/>
                <w:smallCaps w:val="0"/>
                <w:snapToGrid w:val="0"/>
                <w:color w:val="auto"/>
                <w:spacing w:val="0"/>
                <w:w w:val="100"/>
                <w:kern w:val="2"/>
                <w:position w:val="0"/>
                <w:sz w:val="24"/>
                <w:szCs w:val="24"/>
                <w:highlight w:val="none"/>
                <w:lang w:val="en-US" w:eastAsia="zh-CN" w:bidi="ar-SA"/>
              </w:rPr>
              <w:t xml:space="preserve">   轮台县环境空气质量数据</w:t>
            </w:r>
          </w:p>
          <w:tbl>
            <w:tblPr>
              <w:tblStyle w:val="25"/>
              <w:tblW w:w="831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1993"/>
              <w:gridCol w:w="1467"/>
              <w:gridCol w:w="1820"/>
              <w:gridCol w:w="833"/>
              <w:gridCol w:w="731"/>
            </w:tblGrid>
            <w:tr w14:paraId="4C50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tcBorders>
                    <w:tl2br w:val="nil"/>
                    <w:tr2bl w:val="nil"/>
                  </w:tcBorders>
                  <w:noWrap w:val="0"/>
                  <w:vAlign w:val="center"/>
                </w:tcPr>
                <w:p w14:paraId="40DB6887">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污染物</w:t>
                  </w:r>
                </w:p>
              </w:tc>
              <w:tc>
                <w:tcPr>
                  <w:tcW w:w="1993" w:type="dxa"/>
                  <w:tcBorders>
                    <w:tl2br w:val="nil"/>
                    <w:tr2bl w:val="nil"/>
                  </w:tcBorders>
                  <w:noWrap w:val="0"/>
                  <w:vAlign w:val="center"/>
                </w:tcPr>
                <w:p w14:paraId="551FEEEA">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评价项目</w:t>
                  </w:r>
                </w:p>
              </w:tc>
              <w:tc>
                <w:tcPr>
                  <w:tcW w:w="1467" w:type="dxa"/>
                  <w:tcBorders>
                    <w:tl2br w:val="nil"/>
                    <w:tr2bl w:val="nil"/>
                  </w:tcBorders>
                  <w:noWrap w:val="0"/>
                  <w:vAlign w:val="center"/>
                </w:tcPr>
                <w:p w14:paraId="0C473E16">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浓度（μg/m</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vertAlign w:val="superscript"/>
                      <w:lang w:val="en-US" w:eastAsia="zh-CN" w:bidi="ar-SA"/>
                    </w:rPr>
                    <w:t>3</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w:t>
                  </w:r>
                </w:p>
              </w:tc>
              <w:tc>
                <w:tcPr>
                  <w:tcW w:w="1820" w:type="dxa"/>
                  <w:tcBorders>
                    <w:tl2br w:val="nil"/>
                    <w:tr2bl w:val="nil"/>
                  </w:tcBorders>
                  <w:noWrap w:val="0"/>
                  <w:vAlign w:val="center"/>
                </w:tcPr>
                <w:p w14:paraId="7AC747B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标准（二级）（μg/m</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vertAlign w:val="superscript"/>
                      <w:lang w:val="en-US" w:eastAsia="zh-CN" w:bidi="ar-SA"/>
                    </w:rPr>
                    <w:t>3</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w:t>
                  </w:r>
                </w:p>
              </w:tc>
              <w:tc>
                <w:tcPr>
                  <w:tcW w:w="833" w:type="dxa"/>
                  <w:tcBorders>
                    <w:tl2br w:val="nil"/>
                    <w:tr2bl w:val="nil"/>
                  </w:tcBorders>
                  <w:noWrap w:val="0"/>
                  <w:vAlign w:val="center"/>
                </w:tcPr>
                <w:p w14:paraId="77DFF32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占标率%</w:t>
                  </w:r>
                </w:p>
              </w:tc>
              <w:tc>
                <w:tcPr>
                  <w:tcW w:w="731" w:type="dxa"/>
                  <w:tcBorders>
                    <w:tl2br w:val="nil"/>
                    <w:tr2bl w:val="nil"/>
                  </w:tcBorders>
                  <w:noWrap w:val="0"/>
                  <w:vAlign w:val="center"/>
                </w:tcPr>
                <w:p w14:paraId="0EA85BD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达标情况</w:t>
                  </w:r>
                </w:p>
              </w:tc>
            </w:tr>
            <w:tr w14:paraId="313D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Merge w:val="restart"/>
                  <w:tcBorders>
                    <w:tl2br w:val="nil"/>
                    <w:tr2bl w:val="nil"/>
                  </w:tcBorders>
                  <w:noWrap w:val="0"/>
                  <w:vAlign w:val="center"/>
                </w:tcPr>
                <w:p w14:paraId="3DC25F3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SO</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vertAlign w:val="subscript"/>
                      <w:lang w:val="en-US" w:eastAsia="zh-CN" w:bidi="ar-SA"/>
                    </w:rPr>
                    <w:t>2</w:t>
                  </w:r>
                </w:p>
              </w:tc>
              <w:tc>
                <w:tcPr>
                  <w:tcW w:w="1993" w:type="dxa"/>
                  <w:tcBorders>
                    <w:tl2br w:val="nil"/>
                    <w:tr2bl w:val="nil"/>
                  </w:tcBorders>
                  <w:noWrap w:val="0"/>
                  <w:vAlign w:val="center"/>
                </w:tcPr>
                <w:p w14:paraId="1D01DD09">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年平均</w:t>
                  </w:r>
                </w:p>
              </w:tc>
              <w:tc>
                <w:tcPr>
                  <w:tcW w:w="1467" w:type="dxa"/>
                  <w:tcBorders>
                    <w:tl2br w:val="nil"/>
                    <w:tr2bl w:val="nil"/>
                  </w:tcBorders>
                  <w:noWrap w:val="0"/>
                  <w:vAlign w:val="center"/>
                </w:tcPr>
                <w:p w14:paraId="0BB570B3">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5</w:t>
                  </w:r>
                </w:p>
              </w:tc>
              <w:tc>
                <w:tcPr>
                  <w:tcW w:w="1820" w:type="dxa"/>
                  <w:tcBorders>
                    <w:tl2br w:val="nil"/>
                    <w:tr2bl w:val="nil"/>
                  </w:tcBorders>
                  <w:noWrap w:val="0"/>
                  <w:vAlign w:val="center"/>
                </w:tcPr>
                <w:p w14:paraId="4BF60F8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60</w:t>
                  </w:r>
                </w:p>
              </w:tc>
              <w:tc>
                <w:tcPr>
                  <w:tcW w:w="833" w:type="dxa"/>
                  <w:tcBorders>
                    <w:tl2br w:val="nil"/>
                    <w:tr2bl w:val="nil"/>
                  </w:tcBorders>
                  <w:noWrap w:val="0"/>
                  <w:vAlign w:val="center"/>
                </w:tcPr>
                <w:p w14:paraId="3338339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8</w:t>
                  </w:r>
                </w:p>
              </w:tc>
              <w:tc>
                <w:tcPr>
                  <w:tcW w:w="731" w:type="dxa"/>
                  <w:tcBorders>
                    <w:tl2br w:val="nil"/>
                    <w:tr2bl w:val="nil"/>
                  </w:tcBorders>
                  <w:noWrap w:val="0"/>
                  <w:vAlign w:val="center"/>
                </w:tcPr>
                <w:p w14:paraId="34DADFED">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达标</w:t>
                  </w:r>
                </w:p>
              </w:tc>
            </w:tr>
            <w:tr w14:paraId="2F7D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Merge w:val="continue"/>
                  <w:tcBorders>
                    <w:tl2br w:val="nil"/>
                    <w:tr2bl w:val="nil"/>
                  </w:tcBorders>
                  <w:noWrap w:val="0"/>
                  <w:vAlign w:val="center"/>
                </w:tcPr>
                <w:p w14:paraId="512BCCB9">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p>
              </w:tc>
              <w:tc>
                <w:tcPr>
                  <w:tcW w:w="1993" w:type="dxa"/>
                  <w:tcBorders>
                    <w:tl2br w:val="nil"/>
                    <w:tr2bl w:val="nil"/>
                  </w:tcBorders>
                  <w:noWrap w:val="0"/>
                  <w:vAlign w:val="center"/>
                </w:tcPr>
                <w:p w14:paraId="396E886B">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24h平均第98百分位数</w:t>
                  </w:r>
                </w:p>
              </w:tc>
              <w:tc>
                <w:tcPr>
                  <w:tcW w:w="1467" w:type="dxa"/>
                  <w:tcBorders>
                    <w:tl2br w:val="nil"/>
                    <w:tr2bl w:val="nil"/>
                  </w:tcBorders>
                  <w:noWrap w:val="0"/>
                  <w:vAlign w:val="center"/>
                </w:tcPr>
                <w:p w14:paraId="3A4E447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10</w:t>
                  </w:r>
                </w:p>
              </w:tc>
              <w:tc>
                <w:tcPr>
                  <w:tcW w:w="1820" w:type="dxa"/>
                  <w:tcBorders>
                    <w:tl2br w:val="nil"/>
                    <w:tr2bl w:val="nil"/>
                  </w:tcBorders>
                  <w:noWrap w:val="0"/>
                  <w:vAlign w:val="center"/>
                </w:tcPr>
                <w:p w14:paraId="367955BC">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150</w:t>
                  </w:r>
                </w:p>
              </w:tc>
              <w:tc>
                <w:tcPr>
                  <w:tcW w:w="833" w:type="dxa"/>
                  <w:tcBorders>
                    <w:tl2br w:val="nil"/>
                    <w:tr2bl w:val="nil"/>
                  </w:tcBorders>
                  <w:noWrap w:val="0"/>
                  <w:vAlign w:val="center"/>
                </w:tcPr>
                <w:p w14:paraId="5A943B2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7</w:t>
                  </w:r>
                </w:p>
              </w:tc>
              <w:tc>
                <w:tcPr>
                  <w:tcW w:w="731" w:type="dxa"/>
                  <w:tcBorders>
                    <w:tl2br w:val="nil"/>
                    <w:tr2bl w:val="nil"/>
                  </w:tcBorders>
                  <w:noWrap w:val="0"/>
                  <w:vAlign w:val="center"/>
                </w:tcPr>
                <w:p w14:paraId="16B6B324">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达标</w:t>
                  </w:r>
                </w:p>
              </w:tc>
            </w:tr>
            <w:tr w14:paraId="07BB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Merge w:val="restart"/>
                  <w:tcBorders>
                    <w:tl2br w:val="nil"/>
                    <w:tr2bl w:val="nil"/>
                  </w:tcBorders>
                  <w:noWrap w:val="0"/>
                  <w:vAlign w:val="center"/>
                </w:tcPr>
                <w:p w14:paraId="440C9336">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NO</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vertAlign w:val="subscript"/>
                      <w:lang w:val="en-US" w:eastAsia="zh-CN" w:bidi="ar-SA"/>
                    </w:rPr>
                    <w:t>2</w:t>
                  </w:r>
                </w:p>
              </w:tc>
              <w:tc>
                <w:tcPr>
                  <w:tcW w:w="1993" w:type="dxa"/>
                  <w:tcBorders>
                    <w:tl2br w:val="nil"/>
                    <w:tr2bl w:val="nil"/>
                  </w:tcBorders>
                  <w:noWrap w:val="0"/>
                  <w:vAlign w:val="center"/>
                </w:tcPr>
                <w:p w14:paraId="2AA0DB69">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年平均</w:t>
                  </w:r>
                </w:p>
              </w:tc>
              <w:tc>
                <w:tcPr>
                  <w:tcW w:w="1467" w:type="dxa"/>
                  <w:tcBorders>
                    <w:tl2br w:val="nil"/>
                    <w:tr2bl w:val="nil"/>
                  </w:tcBorders>
                  <w:noWrap w:val="0"/>
                  <w:vAlign w:val="center"/>
                </w:tcPr>
                <w:p w14:paraId="59A957AD">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19</w:t>
                  </w:r>
                </w:p>
              </w:tc>
              <w:tc>
                <w:tcPr>
                  <w:tcW w:w="1820" w:type="dxa"/>
                  <w:tcBorders>
                    <w:tl2br w:val="nil"/>
                    <w:tr2bl w:val="nil"/>
                  </w:tcBorders>
                  <w:noWrap w:val="0"/>
                  <w:vAlign w:val="center"/>
                </w:tcPr>
                <w:p w14:paraId="3B198CBF">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40</w:t>
                  </w:r>
                </w:p>
              </w:tc>
              <w:tc>
                <w:tcPr>
                  <w:tcW w:w="833" w:type="dxa"/>
                  <w:tcBorders>
                    <w:tl2br w:val="nil"/>
                    <w:tr2bl w:val="nil"/>
                  </w:tcBorders>
                  <w:noWrap w:val="0"/>
                  <w:vAlign w:val="center"/>
                </w:tcPr>
                <w:p w14:paraId="7237BE1C">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48</w:t>
                  </w:r>
                </w:p>
              </w:tc>
              <w:tc>
                <w:tcPr>
                  <w:tcW w:w="731" w:type="dxa"/>
                  <w:tcBorders>
                    <w:tl2br w:val="nil"/>
                    <w:tr2bl w:val="nil"/>
                  </w:tcBorders>
                  <w:noWrap w:val="0"/>
                  <w:vAlign w:val="center"/>
                </w:tcPr>
                <w:p w14:paraId="741B09F3">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达标</w:t>
                  </w:r>
                </w:p>
              </w:tc>
            </w:tr>
            <w:tr w14:paraId="479A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Merge w:val="continue"/>
                  <w:tcBorders>
                    <w:tl2br w:val="nil"/>
                    <w:tr2bl w:val="nil"/>
                  </w:tcBorders>
                  <w:noWrap w:val="0"/>
                  <w:vAlign w:val="center"/>
                </w:tcPr>
                <w:p w14:paraId="5DA94C1B">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p>
              </w:tc>
              <w:tc>
                <w:tcPr>
                  <w:tcW w:w="1993" w:type="dxa"/>
                  <w:tcBorders>
                    <w:tl2br w:val="nil"/>
                    <w:tr2bl w:val="nil"/>
                  </w:tcBorders>
                  <w:noWrap w:val="0"/>
                  <w:vAlign w:val="center"/>
                </w:tcPr>
                <w:p w14:paraId="3416A56F">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24h平均第98百分位数</w:t>
                  </w:r>
                </w:p>
              </w:tc>
              <w:tc>
                <w:tcPr>
                  <w:tcW w:w="1467" w:type="dxa"/>
                  <w:tcBorders>
                    <w:tl2br w:val="nil"/>
                    <w:tr2bl w:val="nil"/>
                  </w:tcBorders>
                  <w:noWrap w:val="0"/>
                  <w:vAlign w:val="center"/>
                </w:tcPr>
                <w:p w14:paraId="0165A558">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43</w:t>
                  </w:r>
                </w:p>
              </w:tc>
              <w:tc>
                <w:tcPr>
                  <w:tcW w:w="1820" w:type="dxa"/>
                  <w:tcBorders>
                    <w:tl2br w:val="nil"/>
                    <w:tr2bl w:val="nil"/>
                  </w:tcBorders>
                  <w:noWrap w:val="0"/>
                  <w:vAlign w:val="center"/>
                </w:tcPr>
                <w:p w14:paraId="1FBF543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80</w:t>
                  </w:r>
                </w:p>
              </w:tc>
              <w:tc>
                <w:tcPr>
                  <w:tcW w:w="833" w:type="dxa"/>
                  <w:tcBorders>
                    <w:tl2br w:val="nil"/>
                    <w:tr2bl w:val="nil"/>
                  </w:tcBorders>
                  <w:noWrap w:val="0"/>
                  <w:vAlign w:val="center"/>
                </w:tcPr>
                <w:p w14:paraId="7E71AD3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54</w:t>
                  </w:r>
                </w:p>
              </w:tc>
              <w:tc>
                <w:tcPr>
                  <w:tcW w:w="731" w:type="dxa"/>
                  <w:tcBorders>
                    <w:tl2br w:val="nil"/>
                    <w:tr2bl w:val="nil"/>
                  </w:tcBorders>
                  <w:noWrap w:val="0"/>
                  <w:vAlign w:val="center"/>
                </w:tcPr>
                <w:p w14:paraId="75EA2E87">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达标</w:t>
                  </w:r>
                </w:p>
              </w:tc>
            </w:tr>
            <w:tr w14:paraId="2D13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tcBorders>
                    <w:tl2br w:val="nil"/>
                    <w:tr2bl w:val="nil"/>
                  </w:tcBorders>
                  <w:noWrap w:val="0"/>
                  <w:vAlign w:val="center"/>
                </w:tcPr>
                <w:p w14:paraId="3D77D03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CO</w:t>
                  </w: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mg/m</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vertAlign w:val="superscript"/>
                      <w:lang w:val="en-US" w:eastAsia="zh-CN" w:bidi="ar-SA"/>
                    </w:rPr>
                    <w:t>3</w:t>
                  </w: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vertAlign w:val="superscript"/>
                      <w:lang w:val="en-US" w:eastAsia="zh-CN" w:bidi="ar-SA"/>
                    </w:rPr>
                    <w:t>)</w:t>
                  </w:r>
                </w:p>
              </w:tc>
              <w:tc>
                <w:tcPr>
                  <w:tcW w:w="1993" w:type="dxa"/>
                  <w:tcBorders>
                    <w:tl2br w:val="nil"/>
                    <w:tr2bl w:val="nil"/>
                  </w:tcBorders>
                  <w:noWrap w:val="0"/>
                  <w:vAlign w:val="center"/>
                </w:tcPr>
                <w:p w14:paraId="2A7A368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24h平均第95百分位数</w:t>
                  </w:r>
                </w:p>
              </w:tc>
              <w:tc>
                <w:tcPr>
                  <w:tcW w:w="1467" w:type="dxa"/>
                  <w:tcBorders>
                    <w:tl2br w:val="nil"/>
                    <w:tr2bl w:val="nil"/>
                  </w:tcBorders>
                  <w:noWrap w:val="0"/>
                  <w:vAlign w:val="center"/>
                </w:tcPr>
                <w:p w14:paraId="551BBBD9">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1.8</w:t>
                  </w:r>
                </w:p>
              </w:tc>
              <w:tc>
                <w:tcPr>
                  <w:tcW w:w="1820" w:type="dxa"/>
                  <w:tcBorders>
                    <w:tl2br w:val="nil"/>
                    <w:tr2bl w:val="nil"/>
                  </w:tcBorders>
                  <w:noWrap w:val="0"/>
                  <w:vAlign w:val="center"/>
                </w:tcPr>
                <w:p w14:paraId="586F79AC">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4</w:t>
                  </w:r>
                </w:p>
              </w:tc>
              <w:tc>
                <w:tcPr>
                  <w:tcW w:w="833" w:type="dxa"/>
                  <w:tcBorders>
                    <w:tl2br w:val="nil"/>
                    <w:tr2bl w:val="nil"/>
                  </w:tcBorders>
                  <w:noWrap w:val="0"/>
                  <w:vAlign w:val="center"/>
                </w:tcPr>
                <w:p w14:paraId="173748C6">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45</w:t>
                  </w:r>
                </w:p>
              </w:tc>
              <w:tc>
                <w:tcPr>
                  <w:tcW w:w="731" w:type="dxa"/>
                  <w:tcBorders>
                    <w:tl2br w:val="nil"/>
                    <w:tr2bl w:val="nil"/>
                  </w:tcBorders>
                  <w:noWrap w:val="0"/>
                  <w:vAlign w:val="center"/>
                </w:tcPr>
                <w:p w14:paraId="7B222864">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达标</w:t>
                  </w:r>
                </w:p>
              </w:tc>
            </w:tr>
            <w:tr w14:paraId="060D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tcBorders>
                    <w:tl2br w:val="nil"/>
                    <w:tr2bl w:val="nil"/>
                  </w:tcBorders>
                  <w:noWrap w:val="0"/>
                  <w:vAlign w:val="center"/>
                </w:tcPr>
                <w:p w14:paraId="2C436FC4">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O</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vertAlign w:val="subscript"/>
                      <w:lang w:val="en-US" w:eastAsia="zh-CN" w:bidi="ar-SA"/>
                    </w:rPr>
                    <w:t>3</w:t>
                  </w:r>
                </w:p>
              </w:tc>
              <w:tc>
                <w:tcPr>
                  <w:tcW w:w="1993" w:type="dxa"/>
                  <w:tcBorders>
                    <w:tl2br w:val="nil"/>
                    <w:tr2bl w:val="nil"/>
                  </w:tcBorders>
                  <w:noWrap w:val="0"/>
                  <w:vAlign w:val="center"/>
                </w:tcPr>
                <w:p w14:paraId="3EAEA31C">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最大8小时滑动平均值的第90百分位数</w:t>
                  </w:r>
                </w:p>
              </w:tc>
              <w:tc>
                <w:tcPr>
                  <w:tcW w:w="1467" w:type="dxa"/>
                  <w:tcBorders>
                    <w:tl2br w:val="nil"/>
                    <w:tr2bl w:val="nil"/>
                  </w:tcBorders>
                  <w:noWrap w:val="0"/>
                  <w:vAlign w:val="center"/>
                </w:tcPr>
                <w:p w14:paraId="34FF3168">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118</w:t>
                  </w:r>
                </w:p>
              </w:tc>
              <w:tc>
                <w:tcPr>
                  <w:tcW w:w="1820" w:type="dxa"/>
                  <w:tcBorders>
                    <w:tl2br w:val="nil"/>
                    <w:tr2bl w:val="nil"/>
                  </w:tcBorders>
                  <w:noWrap w:val="0"/>
                  <w:vAlign w:val="center"/>
                </w:tcPr>
                <w:p w14:paraId="53098874">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160</w:t>
                  </w:r>
                </w:p>
              </w:tc>
              <w:tc>
                <w:tcPr>
                  <w:tcW w:w="833" w:type="dxa"/>
                  <w:tcBorders>
                    <w:tl2br w:val="nil"/>
                    <w:tr2bl w:val="nil"/>
                  </w:tcBorders>
                  <w:noWrap w:val="0"/>
                  <w:vAlign w:val="center"/>
                </w:tcPr>
                <w:p w14:paraId="4A753976">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74</w:t>
                  </w:r>
                </w:p>
              </w:tc>
              <w:tc>
                <w:tcPr>
                  <w:tcW w:w="731" w:type="dxa"/>
                  <w:tcBorders>
                    <w:tl2br w:val="nil"/>
                    <w:tr2bl w:val="nil"/>
                  </w:tcBorders>
                  <w:noWrap w:val="0"/>
                  <w:vAlign w:val="center"/>
                </w:tcPr>
                <w:p w14:paraId="2EA190BD">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达标</w:t>
                  </w:r>
                </w:p>
              </w:tc>
            </w:tr>
            <w:tr w14:paraId="651A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1469" w:type="dxa"/>
                  <w:vMerge w:val="restart"/>
                  <w:tcBorders>
                    <w:tl2br w:val="nil"/>
                    <w:tr2bl w:val="nil"/>
                  </w:tcBorders>
                  <w:noWrap w:val="0"/>
                  <w:vAlign w:val="center"/>
                </w:tcPr>
                <w:p w14:paraId="1CF1E718">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PM</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vertAlign w:val="subscript"/>
                      <w:lang w:val="en-US" w:eastAsia="zh-CN" w:bidi="ar-SA"/>
                    </w:rPr>
                    <w:t>10</w:t>
                  </w:r>
                </w:p>
              </w:tc>
              <w:tc>
                <w:tcPr>
                  <w:tcW w:w="1993" w:type="dxa"/>
                  <w:tcBorders>
                    <w:tl2br w:val="nil"/>
                    <w:tr2bl w:val="nil"/>
                  </w:tcBorders>
                  <w:noWrap w:val="0"/>
                  <w:vAlign w:val="center"/>
                </w:tcPr>
                <w:p w14:paraId="1D35FA73">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年平均</w:t>
                  </w:r>
                </w:p>
              </w:tc>
              <w:tc>
                <w:tcPr>
                  <w:tcW w:w="1467" w:type="dxa"/>
                  <w:tcBorders>
                    <w:tl2br w:val="nil"/>
                    <w:tr2bl w:val="nil"/>
                  </w:tcBorders>
                  <w:noWrap w:val="0"/>
                  <w:vAlign w:val="center"/>
                </w:tcPr>
                <w:p w14:paraId="4A732E4C">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171</w:t>
                  </w:r>
                </w:p>
              </w:tc>
              <w:tc>
                <w:tcPr>
                  <w:tcW w:w="1820" w:type="dxa"/>
                  <w:tcBorders>
                    <w:tl2br w:val="nil"/>
                    <w:tr2bl w:val="nil"/>
                  </w:tcBorders>
                  <w:noWrap w:val="0"/>
                  <w:vAlign w:val="center"/>
                </w:tcPr>
                <w:p w14:paraId="0A118D7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60</w:t>
                  </w:r>
                </w:p>
              </w:tc>
              <w:tc>
                <w:tcPr>
                  <w:tcW w:w="833" w:type="dxa"/>
                  <w:tcBorders>
                    <w:tl2br w:val="nil"/>
                    <w:tr2bl w:val="nil"/>
                  </w:tcBorders>
                  <w:noWrap w:val="0"/>
                  <w:vAlign w:val="center"/>
                </w:tcPr>
                <w:p w14:paraId="416CFDF3">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285</w:t>
                  </w:r>
                </w:p>
              </w:tc>
              <w:tc>
                <w:tcPr>
                  <w:tcW w:w="731" w:type="dxa"/>
                  <w:tcBorders>
                    <w:tl2br w:val="nil"/>
                    <w:tr2bl w:val="nil"/>
                  </w:tcBorders>
                  <w:noWrap w:val="0"/>
                  <w:vAlign w:val="center"/>
                </w:tcPr>
                <w:p w14:paraId="7974B4C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超标</w:t>
                  </w:r>
                </w:p>
              </w:tc>
            </w:tr>
            <w:tr w14:paraId="07C1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Merge w:val="continue"/>
                  <w:tcBorders>
                    <w:tl2br w:val="nil"/>
                    <w:tr2bl w:val="nil"/>
                  </w:tcBorders>
                  <w:noWrap w:val="0"/>
                  <w:vAlign w:val="center"/>
                </w:tcPr>
                <w:p w14:paraId="17A93B16">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p>
              </w:tc>
              <w:tc>
                <w:tcPr>
                  <w:tcW w:w="1993" w:type="dxa"/>
                  <w:tcBorders>
                    <w:tl2br w:val="nil"/>
                    <w:tr2bl w:val="nil"/>
                  </w:tcBorders>
                  <w:noWrap w:val="0"/>
                  <w:vAlign w:val="center"/>
                </w:tcPr>
                <w:p w14:paraId="4FF06D7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24h平均第95百分位数</w:t>
                  </w:r>
                </w:p>
              </w:tc>
              <w:tc>
                <w:tcPr>
                  <w:tcW w:w="1467" w:type="dxa"/>
                  <w:tcBorders>
                    <w:tl2br w:val="nil"/>
                    <w:tr2bl w:val="nil"/>
                  </w:tcBorders>
                  <w:noWrap w:val="0"/>
                  <w:vAlign w:val="center"/>
                </w:tcPr>
                <w:p w14:paraId="679B733B">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481</w:t>
                  </w:r>
                </w:p>
              </w:tc>
              <w:tc>
                <w:tcPr>
                  <w:tcW w:w="1820" w:type="dxa"/>
                  <w:tcBorders>
                    <w:tl2br w:val="nil"/>
                    <w:tr2bl w:val="nil"/>
                  </w:tcBorders>
                  <w:noWrap w:val="0"/>
                  <w:vAlign w:val="center"/>
                </w:tcPr>
                <w:p w14:paraId="48565717">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120</w:t>
                  </w:r>
                </w:p>
              </w:tc>
              <w:tc>
                <w:tcPr>
                  <w:tcW w:w="833" w:type="dxa"/>
                  <w:tcBorders>
                    <w:tl2br w:val="nil"/>
                    <w:tr2bl w:val="nil"/>
                  </w:tcBorders>
                  <w:noWrap w:val="0"/>
                  <w:vAlign w:val="center"/>
                </w:tcPr>
                <w:p w14:paraId="22B062E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400</w:t>
                  </w:r>
                </w:p>
              </w:tc>
              <w:tc>
                <w:tcPr>
                  <w:tcW w:w="731" w:type="dxa"/>
                  <w:tcBorders>
                    <w:tl2br w:val="nil"/>
                    <w:tr2bl w:val="nil"/>
                  </w:tcBorders>
                  <w:noWrap w:val="0"/>
                  <w:vAlign w:val="center"/>
                </w:tcPr>
                <w:p w14:paraId="3496B87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超标</w:t>
                  </w:r>
                </w:p>
              </w:tc>
            </w:tr>
            <w:tr w14:paraId="3546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Merge w:val="restart"/>
                  <w:tcBorders>
                    <w:tl2br w:val="nil"/>
                    <w:tr2bl w:val="nil"/>
                  </w:tcBorders>
                  <w:noWrap w:val="0"/>
                  <w:vAlign w:val="center"/>
                </w:tcPr>
                <w:p w14:paraId="7B9D176B">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PM</w:t>
                  </w: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vertAlign w:val="subscript"/>
                      <w:lang w:val="en-US" w:eastAsia="zh-CN" w:bidi="ar-SA"/>
                    </w:rPr>
                    <w:t>2.5</w:t>
                  </w:r>
                </w:p>
              </w:tc>
              <w:tc>
                <w:tcPr>
                  <w:tcW w:w="1993" w:type="dxa"/>
                  <w:tcBorders>
                    <w:tl2br w:val="nil"/>
                    <w:tr2bl w:val="nil"/>
                  </w:tcBorders>
                  <w:noWrap w:val="0"/>
                  <w:vAlign w:val="center"/>
                </w:tcPr>
                <w:p w14:paraId="671DBE1C">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年平均</w:t>
                  </w:r>
                </w:p>
              </w:tc>
              <w:tc>
                <w:tcPr>
                  <w:tcW w:w="1467" w:type="dxa"/>
                  <w:tcBorders>
                    <w:tl2br w:val="nil"/>
                    <w:tr2bl w:val="nil"/>
                  </w:tcBorders>
                  <w:noWrap w:val="0"/>
                  <w:vAlign w:val="center"/>
                </w:tcPr>
                <w:p w14:paraId="305B9A6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52</w:t>
                  </w:r>
                </w:p>
              </w:tc>
              <w:tc>
                <w:tcPr>
                  <w:tcW w:w="1820" w:type="dxa"/>
                  <w:tcBorders>
                    <w:tl2br w:val="nil"/>
                    <w:tr2bl w:val="nil"/>
                  </w:tcBorders>
                  <w:noWrap w:val="0"/>
                  <w:vAlign w:val="center"/>
                </w:tcPr>
                <w:p w14:paraId="23F99C5A">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30</w:t>
                  </w:r>
                </w:p>
              </w:tc>
              <w:tc>
                <w:tcPr>
                  <w:tcW w:w="833" w:type="dxa"/>
                  <w:tcBorders>
                    <w:tl2br w:val="nil"/>
                    <w:tr2bl w:val="nil"/>
                  </w:tcBorders>
                  <w:noWrap w:val="0"/>
                  <w:vAlign w:val="center"/>
                </w:tcPr>
                <w:p w14:paraId="00FE033C">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173</w:t>
                  </w:r>
                </w:p>
              </w:tc>
              <w:tc>
                <w:tcPr>
                  <w:tcW w:w="731" w:type="dxa"/>
                  <w:tcBorders>
                    <w:tl2br w:val="nil"/>
                    <w:tr2bl w:val="nil"/>
                  </w:tcBorders>
                  <w:noWrap w:val="0"/>
                  <w:vAlign w:val="center"/>
                </w:tcPr>
                <w:p w14:paraId="50136D71">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超标</w:t>
                  </w:r>
                </w:p>
              </w:tc>
            </w:tr>
            <w:tr w14:paraId="4870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Merge w:val="continue"/>
                  <w:tcBorders>
                    <w:tl2br w:val="nil"/>
                    <w:tr2bl w:val="nil"/>
                  </w:tcBorders>
                  <w:noWrap w:val="0"/>
                  <w:vAlign w:val="center"/>
                </w:tcPr>
                <w:p w14:paraId="736D820F">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p>
              </w:tc>
              <w:tc>
                <w:tcPr>
                  <w:tcW w:w="1993" w:type="dxa"/>
                  <w:tcBorders>
                    <w:tl2br w:val="nil"/>
                    <w:tr2bl w:val="nil"/>
                  </w:tcBorders>
                  <w:noWrap w:val="0"/>
                  <w:vAlign w:val="center"/>
                </w:tcPr>
                <w:p w14:paraId="5AE00BBC">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24h平均第95百分位数</w:t>
                  </w:r>
                </w:p>
              </w:tc>
              <w:tc>
                <w:tcPr>
                  <w:tcW w:w="1467" w:type="dxa"/>
                  <w:tcBorders>
                    <w:tl2br w:val="nil"/>
                    <w:tr2bl w:val="nil"/>
                  </w:tcBorders>
                  <w:noWrap w:val="0"/>
                  <w:vAlign w:val="center"/>
                </w:tcPr>
                <w:p w14:paraId="4B65A61B">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123</w:t>
                  </w:r>
                </w:p>
              </w:tc>
              <w:tc>
                <w:tcPr>
                  <w:tcW w:w="1820" w:type="dxa"/>
                  <w:tcBorders>
                    <w:tl2br w:val="nil"/>
                    <w:tr2bl w:val="nil"/>
                  </w:tcBorders>
                  <w:noWrap w:val="0"/>
                  <w:vAlign w:val="center"/>
                </w:tcPr>
                <w:p w14:paraId="747EC248">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60</w:t>
                  </w:r>
                </w:p>
              </w:tc>
              <w:tc>
                <w:tcPr>
                  <w:tcW w:w="833" w:type="dxa"/>
                  <w:tcBorders>
                    <w:tl2br w:val="nil"/>
                    <w:tr2bl w:val="nil"/>
                  </w:tcBorders>
                  <w:noWrap w:val="0"/>
                  <w:vAlign w:val="center"/>
                </w:tcPr>
                <w:p w14:paraId="6929EBB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eastAsia"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205</w:t>
                  </w:r>
                </w:p>
              </w:tc>
              <w:tc>
                <w:tcPr>
                  <w:tcW w:w="731" w:type="dxa"/>
                  <w:tcBorders>
                    <w:tl2br w:val="nil"/>
                    <w:tr2bl w:val="nil"/>
                  </w:tcBorders>
                  <w:noWrap w:val="0"/>
                  <w:vAlign w:val="center"/>
                </w:tcPr>
                <w:p w14:paraId="087FAF1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caps w:val="0"/>
                      <w:smallCaps w:val="0"/>
                      <w:snapToGrid w:val="0"/>
                      <w:color w:val="auto"/>
                      <w:spacing w:val="0"/>
                      <w:w w:val="100"/>
                      <w:kern w:val="2"/>
                      <w:position w:val="0"/>
                      <w:sz w:val="21"/>
                      <w:szCs w:val="21"/>
                      <w:highlight w:val="none"/>
                      <w:lang w:val="en-US" w:eastAsia="zh-CN" w:bidi="ar-SA"/>
                    </w:rPr>
                    <w:t>超标</w:t>
                  </w:r>
                </w:p>
              </w:tc>
            </w:tr>
          </w:tbl>
          <w:p w14:paraId="47C8EC55">
            <w:pPr>
              <w:keepNext w:val="0"/>
              <w:keepLines w:val="0"/>
              <w:pageBreakBefore w:val="0"/>
              <w:widowControl w:val="0"/>
              <w:kinsoku/>
              <w:wordWrap/>
              <w:overflowPunct/>
              <w:topLinePunct w:val="0"/>
              <w:bidi w:val="0"/>
              <w:snapToGrid/>
              <w:spacing w:line="520" w:lineRule="exact"/>
              <w:ind w:firstLine="480" w:firstLineChars="200"/>
              <w:textAlignment w:val="auto"/>
              <w:rPr>
                <w:rFonts w:hint="eastAsia"/>
                <w:bCs/>
                <w:color w:val="auto"/>
                <w:sz w:val="24"/>
              </w:rPr>
            </w:pPr>
            <w:r>
              <w:rPr>
                <w:rFonts w:hint="default" w:ascii="Times New Roman" w:hAnsi="Times New Roman" w:eastAsia="宋体" w:cs="Times New Roman"/>
                <w:b w:val="0"/>
                <w:bCs/>
                <w:color w:val="auto"/>
                <w:sz w:val="24"/>
                <w:szCs w:val="24"/>
                <w:highlight w:val="none"/>
              </w:rPr>
              <w:t>根据上表基本污染物的年评价指标的分析结果，</w:t>
            </w:r>
            <w:r>
              <w:rPr>
                <w:rFonts w:hint="eastAsia" w:ascii="Times New Roman" w:hAnsi="Times New Roman" w:eastAsia="宋体" w:cs="Times New Roman"/>
                <w:b w:val="0"/>
                <w:bCs/>
                <w:color w:val="auto"/>
                <w:sz w:val="24"/>
                <w:szCs w:val="24"/>
                <w:highlight w:val="none"/>
                <w:lang w:val="en-US" w:eastAsia="zh-CN"/>
              </w:rPr>
              <w:t>项目SO</w:t>
            </w:r>
            <w:r>
              <w:rPr>
                <w:rFonts w:hint="eastAsia" w:ascii="Times New Roman" w:hAnsi="Times New Roman" w:eastAsia="宋体" w:cs="Times New Roman"/>
                <w:b w:val="0"/>
                <w:bCs/>
                <w:color w:val="auto"/>
                <w:sz w:val="24"/>
                <w:szCs w:val="24"/>
                <w:highlight w:val="none"/>
                <w:vertAlign w:val="subscript"/>
                <w:lang w:val="en-US" w:eastAsia="zh-CN"/>
              </w:rPr>
              <w:t>2</w:t>
            </w:r>
            <w:r>
              <w:rPr>
                <w:rFonts w:hint="eastAsia" w:ascii="Times New Roman" w:hAnsi="Times New Roman" w:eastAsia="宋体" w:cs="Times New Roman"/>
                <w:b w:val="0"/>
                <w:bCs/>
                <w:color w:val="auto"/>
                <w:sz w:val="24"/>
                <w:szCs w:val="24"/>
                <w:highlight w:val="none"/>
                <w:lang w:val="en-US" w:eastAsia="zh-CN"/>
              </w:rPr>
              <w:t>，NO</w:t>
            </w:r>
            <w:r>
              <w:rPr>
                <w:rFonts w:hint="eastAsia" w:ascii="Times New Roman" w:hAnsi="Times New Roman" w:eastAsia="宋体" w:cs="Times New Roman"/>
                <w:b w:val="0"/>
                <w:bCs/>
                <w:color w:val="auto"/>
                <w:sz w:val="24"/>
                <w:szCs w:val="24"/>
                <w:highlight w:val="none"/>
                <w:vertAlign w:val="subscript"/>
                <w:lang w:val="en-US" w:eastAsia="zh-CN"/>
              </w:rPr>
              <w:t>2</w:t>
            </w:r>
            <w:r>
              <w:rPr>
                <w:rFonts w:hint="eastAsia" w:ascii="Times New Roman" w:hAnsi="Times New Roman" w:eastAsia="宋体" w:cs="Times New Roman"/>
                <w:b w:val="0"/>
                <w:bCs/>
                <w:color w:val="auto"/>
                <w:sz w:val="24"/>
                <w:szCs w:val="24"/>
                <w:highlight w:val="none"/>
                <w:lang w:val="en-US" w:eastAsia="zh-CN"/>
              </w:rPr>
              <w:t>，CO，O</w:t>
            </w:r>
            <w:r>
              <w:rPr>
                <w:rFonts w:hint="eastAsia" w:ascii="Times New Roman" w:hAnsi="Times New Roman" w:eastAsia="宋体" w:cs="Times New Roman"/>
                <w:b w:val="0"/>
                <w:bCs/>
                <w:color w:val="auto"/>
                <w:sz w:val="24"/>
                <w:szCs w:val="24"/>
                <w:highlight w:val="none"/>
                <w:vertAlign w:val="subscript"/>
                <w:lang w:val="en-US" w:eastAsia="zh-CN"/>
              </w:rPr>
              <w:t>3</w:t>
            </w:r>
            <w:r>
              <w:rPr>
                <w:rFonts w:hint="eastAsia" w:ascii="Times New Roman" w:hAnsi="Times New Roman" w:eastAsia="宋体" w:cs="Times New Roman"/>
                <w:b w:val="0"/>
                <w:bCs/>
                <w:color w:val="auto"/>
                <w:sz w:val="24"/>
                <w:szCs w:val="24"/>
                <w:highlight w:val="none"/>
                <w:lang w:val="en-US" w:eastAsia="zh-CN"/>
              </w:rPr>
              <w:t>均值达到</w:t>
            </w:r>
            <w:r>
              <w:rPr>
                <w:rFonts w:hint="eastAsia"/>
                <w:color w:val="auto"/>
                <w:sz w:val="24"/>
                <w:szCs w:val="24"/>
                <w:highlight w:val="none"/>
                <w:lang w:val="en-US" w:eastAsia="zh-CN"/>
              </w:rPr>
              <w:t>《环境空气质量标准》（GB3095-2026）过渡阶段浓度限值中二级标准</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rPr>
              <w:t>项目所在区域PM</w:t>
            </w:r>
            <w:r>
              <w:rPr>
                <w:rFonts w:hint="default" w:ascii="Times New Roman" w:hAnsi="Times New Roman" w:eastAsia="宋体" w:cs="Times New Roman"/>
                <w:b w:val="0"/>
                <w:bCs/>
                <w:color w:val="auto"/>
                <w:sz w:val="24"/>
                <w:szCs w:val="24"/>
                <w:highlight w:val="none"/>
                <w:vertAlign w:val="subscript"/>
                <w:lang w:val="en-US" w:eastAsia="zh-CN"/>
              </w:rPr>
              <w:t>2.5</w:t>
            </w:r>
            <w:r>
              <w:rPr>
                <w:rFonts w:hint="default" w:ascii="Times New Roman" w:hAnsi="Times New Roman" w:eastAsia="宋体" w:cs="Times New Roman"/>
                <w:b w:val="0"/>
                <w:bCs/>
                <w:color w:val="auto"/>
                <w:sz w:val="24"/>
                <w:szCs w:val="24"/>
                <w:highlight w:val="none"/>
              </w:rPr>
              <w:t>、PM</w:t>
            </w:r>
            <w:r>
              <w:rPr>
                <w:rFonts w:hint="default" w:ascii="Times New Roman" w:hAnsi="Times New Roman" w:eastAsia="宋体" w:cs="Times New Roman"/>
                <w:b w:val="0"/>
                <w:bCs/>
                <w:color w:val="auto"/>
                <w:sz w:val="24"/>
                <w:szCs w:val="24"/>
                <w:highlight w:val="none"/>
                <w:vertAlign w:val="subscript"/>
                <w:lang w:val="en-US" w:eastAsia="zh-CN"/>
              </w:rPr>
              <w:t>10</w:t>
            </w:r>
            <w:r>
              <w:rPr>
                <w:rFonts w:hint="default" w:ascii="Times New Roman" w:hAnsi="Times New Roman" w:eastAsia="宋体" w:cs="Times New Roman"/>
                <w:b w:val="0"/>
                <w:bCs/>
                <w:color w:val="auto"/>
                <w:sz w:val="24"/>
                <w:szCs w:val="24"/>
                <w:highlight w:val="none"/>
              </w:rPr>
              <w:t>日均浓度和年均浓度均超标，超标原因主要是由于</w:t>
            </w:r>
            <w:r>
              <w:rPr>
                <w:rFonts w:hint="eastAsia" w:ascii="Times New Roman" w:hAnsi="Times New Roman" w:eastAsia="宋体" w:cs="Times New Roman"/>
                <w:b w:val="0"/>
                <w:bCs/>
                <w:color w:val="auto"/>
                <w:sz w:val="24"/>
                <w:szCs w:val="24"/>
                <w:highlight w:val="none"/>
                <w:lang w:eastAsia="zh-CN"/>
              </w:rPr>
              <w:t>项目</w:t>
            </w:r>
            <w:r>
              <w:rPr>
                <w:rFonts w:hint="default" w:ascii="Times New Roman" w:hAnsi="Times New Roman" w:eastAsia="宋体" w:cs="Times New Roman"/>
                <w:b w:val="0"/>
                <w:bCs/>
                <w:color w:val="auto"/>
                <w:sz w:val="24"/>
                <w:szCs w:val="24"/>
                <w:highlight w:val="none"/>
              </w:rPr>
              <w:t>地处南疆</w:t>
            </w:r>
            <w:r>
              <w:rPr>
                <w:rFonts w:hint="default"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位于沙漠边缘，背景因素所致。因此，项目所在区域为不达标区域</w:t>
            </w:r>
            <w:r>
              <w:rPr>
                <w:rFonts w:hint="eastAsia"/>
                <w:bCs/>
                <w:color w:val="auto"/>
                <w:sz w:val="24"/>
              </w:rPr>
              <w:t>。</w:t>
            </w:r>
          </w:p>
          <w:p w14:paraId="0FB16E21">
            <w:pPr>
              <w:pStyle w:val="56"/>
              <w:keepNext w:val="0"/>
              <w:keepLines w:val="0"/>
              <w:pageBreakBefore w:val="0"/>
              <w:widowControl w:val="0"/>
              <w:kinsoku/>
              <w:wordWrap/>
              <w:overflowPunct/>
              <w:topLinePunct w:val="0"/>
              <w:bidi w:val="0"/>
              <w:snapToGrid/>
              <w:spacing w:line="520" w:lineRule="exact"/>
              <w:ind w:firstLine="480" w:firstLineChars="20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w:t>
            </w:r>
            <w:r>
              <w:rPr>
                <w:rFonts w:hint="default" w:ascii="Times New Roman" w:hAnsi="Times New Roman" w:eastAsia="宋体" w:cs="Times New Roman"/>
                <w:b w:val="0"/>
                <w:bCs/>
                <w:color w:val="auto"/>
                <w:kern w:val="2"/>
                <w:sz w:val="24"/>
                <w:szCs w:val="24"/>
                <w:highlight w:val="none"/>
                <w:lang w:val="en-US" w:eastAsia="zh-CN" w:bidi="ar-SA"/>
              </w:rPr>
              <w:t xml:space="preserve"> 特征污染物补充监测</w:t>
            </w:r>
          </w:p>
          <w:p w14:paraId="166E56DA">
            <w:pPr>
              <w:pStyle w:val="56"/>
              <w:keepNext w:val="0"/>
              <w:keepLines w:val="0"/>
              <w:pageBreakBefore w:val="0"/>
              <w:widowControl w:val="0"/>
              <w:kinsoku/>
              <w:wordWrap/>
              <w:overflowPunct/>
              <w:topLinePunct w:val="0"/>
              <w:bidi w:val="0"/>
              <w:snapToGrid/>
              <w:spacing w:line="520" w:lineRule="exact"/>
              <w:ind w:firstLine="480" w:firstLineChars="20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大气环境现状监测依据《建设项目环境影响报告表编制技术指南（污染影响类）（试行）》中监测点设置要求，结合评价区域的地形特征、环境空气保护目标和区域环境特征进行布点，同时兼顾厂址主导风向</w:t>
            </w:r>
            <w:r>
              <w:rPr>
                <w:rFonts w:hint="eastAsia" w:ascii="Times New Roman" w:hAnsi="Times New Roman" w:eastAsia="宋体" w:cs="Times New Roman"/>
                <w:b w:val="0"/>
                <w:bCs/>
                <w:color w:val="auto"/>
                <w:kern w:val="2"/>
                <w:sz w:val="24"/>
                <w:szCs w:val="24"/>
                <w:highlight w:val="none"/>
                <w:lang w:val="en-US" w:eastAsia="zh-CN" w:bidi="ar-SA"/>
              </w:rPr>
              <w:t>，为</w:t>
            </w:r>
            <w:r>
              <w:rPr>
                <w:rFonts w:hint="default" w:ascii="Times New Roman" w:hAnsi="Times New Roman" w:eastAsia="宋体" w:cs="Times New Roman"/>
                <w:b w:val="0"/>
                <w:bCs/>
                <w:color w:val="auto"/>
                <w:kern w:val="2"/>
                <w:sz w:val="24"/>
                <w:szCs w:val="24"/>
                <w:highlight w:val="none"/>
                <w:lang w:val="en-US" w:eastAsia="zh-CN" w:bidi="ar-SA"/>
              </w:rPr>
              <w:t>当季主导风向下风向1个点位补充不少于3天的监测数据。本次TSP现状监测数据引用新疆</w:t>
            </w:r>
            <w:r>
              <w:rPr>
                <w:rFonts w:hint="eastAsia" w:ascii="Times New Roman" w:hAnsi="Times New Roman" w:eastAsia="宋体" w:cs="Times New Roman"/>
                <w:b w:val="0"/>
                <w:bCs/>
                <w:color w:val="auto"/>
                <w:kern w:val="2"/>
                <w:sz w:val="24"/>
                <w:szCs w:val="24"/>
                <w:highlight w:val="none"/>
                <w:lang w:val="en-US" w:eastAsia="zh-CN" w:bidi="ar-SA"/>
              </w:rPr>
              <w:t>中测测试</w:t>
            </w:r>
            <w:r>
              <w:rPr>
                <w:rFonts w:hint="default" w:ascii="Times New Roman" w:hAnsi="Times New Roman" w:eastAsia="宋体" w:cs="Times New Roman"/>
                <w:b w:val="0"/>
                <w:bCs/>
                <w:color w:val="auto"/>
                <w:kern w:val="2"/>
                <w:sz w:val="24"/>
                <w:szCs w:val="24"/>
                <w:highlight w:val="none"/>
                <w:lang w:val="en-US" w:eastAsia="zh-CN" w:bidi="ar-SA"/>
              </w:rPr>
              <w:t>有限公司于2024年9月15日至9月18日连续</w:t>
            </w:r>
            <w:r>
              <w:rPr>
                <w:rFonts w:hint="eastAsia" w:ascii="Times New Roman" w:hAnsi="Times New Roman" w:eastAsia="宋体" w:cs="Times New Roman"/>
                <w:b w:val="0"/>
                <w:bCs/>
                <w:color w:val="auto"/>
                <w:kern w:val="2"/>
                <w:sz w:val="24"/>
                <w:szCs w:val="24"/>
                <w:highlight w:val="none"/>
                <w:lang w:val="en-US" w:eastAsia="zh-CN" w:bidi="ar-SA"/>
              </w:rPr>
              <w:t>3</w:t>
            </w:r>
            <w:r>
              <w:rPr>
                <w:rFonts w:hint="default" w:ascii="Times New Roman" w:hAnsi="Times New Roman" w:eastAsia="宋体" w:cs="Times New Roman"/>
                <w:b w:val="0"/>
                <w:bCs/>
                <w:color w:val="auto"/>
                <w:kern w:val="2"/>
                <w:sz w:val="24"/>
                <w:szCs w:val="24"/>
                <w:highlight w:val="none"/>
                <w:lang w:val="en-US" w:eastAsia="zh-CN" w:bidi="ar-SA"/>
              </w:rPr>
              <w:t>日对巴州磊溢泥浆材料有限公司年产5000吨石油助剂技术改造项目所在区域污染物环境质量进行监测的数据。</w:t>
            </w:r>
          </w:p>
          <w:p w14:paraId="5E3D5B5F">
            <w:pPr>
              <w:pStyle w:val="56"/>
              <w:keepNext w:val="0"/>
              <w:keepLines w:val="0"/>
              <w:pageBreakBefore w:val="0"/>
              <w:widowControl w:val="0"/>
              <w:kinsoku/>
              <w:wordWrap/>
              <w:overflowPunct/>
              <w:topLinePunct w:val="0"/>
              <w:bidi w:val="0"/>
              <w:snapToGrid/>
              <w:spacing w:line="520" w:lineRule="exact"/>
              <w:ind w:firstLine="480" w:firstLineChars="20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（1）监测点位</w:t>
            </w:r>
          </w:p>
          <w:p w14:paraId="174AD153">
            <w:pPr>
              <w:pStyle w:val="56"/>
              <w:keepNext w:val="0"/>
              <w:keepLines w:val="0"/>
              <w:pageBreakBefore w:val="0"/>
              <w:widowControl w:val="0"/>
              <w:kinsoku/>
              <w:wordWrap/>
              <w:overflowPunct/>
              <w:topLinePunct w:val="0"/>
              <w:bidi w:val="0"/>
              <w:snapToGrid/>
              <w:spacing w:line="520" w:lineRule="exact"/>
              <w:ind w:firstLine="480" w:firstLineChars="20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本次评价在项目区外布置1个现状监测点（共1个监测点），监测点位具体位置见附图</w:t>
            </w:r>
            <w:r>
              <w:rPr>
                <w:rFonts w:hint="eastAsia" w:ascii="Times New Roman" w:hAnsi="Times New Roman" w:eastAsia="宋体" w:cs="Times New Roman"/>
                <w:b w:val="0"/>
                <w:bCs/>
                <w:color w:val="auto"/>
                <w:kern w:val="2"/>
                <w:sz w:val="24"/>
                <w:szCs w:val="24"/>
                <w:highlight w:val="none"/>
                <w:lang w:val="en-US" w:eastAsia="zh-CN" w:bidi="ar-SA"/>
              </w:rPr>
              <w:t>3-2</w:t>
            </w:r>
            <w:r>
              <w:rPr>
                <w:rFonts w:hint="default" w:ascii="Times New Roman" w:hAnsi="Times New Roman" w:eastAsia="宋体" w:cs="Times New Roman"/>
                <w:b w:val="0"/>
                <w:bCs/>
                <w:color w:val="auto"/>
                <w:kern w:val="2"/>
                <w:sz w:val="24"/>
                <w:szCs w:val="24"/>
                <w:highlight w:val="none"/>
                <w:lang w:val="en-US" w:eastAsia="zh-CN" w:bidi="ar-SA"/>
              </w:rPr>
              <w:t>。</w:t>
            </w:r>
          </w:p>
          <w:p w14:paraId="6F9F3E3E">
            <w:pPr>
              <w:pStyle w:val="56"/>
              <w:keepNext w:val="0"/>
              <w:keepLines w:val="0"/>
              <w:pageBreakBefore w:val="0"/>
              <w:widowControl w:val="0"/>
              <w:kinsoku/>
              <w:wordWrap/>
              <w:overflowPunct/>
              <w:topLinePunct w:val="0"/>
              <w:autoSpaceDE w:val="0"/>
              <w:autoSpaceDN w:val="0"/>
              <w:bidi w:val="0"/>
              <w:adjustRightInd w:val="0"/>
              <w:snapToGrid/>
              <w:spacing w:line="520" w:lineRule="exact"/>
              <w:jc w:val="center"/>
              <w:textAlignment w:val="auto"/>
              <w:rPr>
                <w:rFonts w:ascii="Times New Roman" w:cs="Times New Roman"/>
                <w:b/>
                <w:bCs/>
                <w:color w:val="auto"/>
              </w:rPr>
            </w:pPr>
            <w:r>
              <w:rPr>
                <w:rFonts w:ascii="Times New Roman" w:cs="Times New Roman"/>
                <w:b/>
                <w:bCs/>
                <w:color w:val="auto"/>
              </w:rPr>
              <w:t>表</w:t>
            </w:r>
            <w:r>
              <w:rPr>
                <w:rFonts w:hint="eastAsia" w:ascii="Times New Roman" w:cs="Times New Roman"/>
                <w:b/>
                <w:bCs/>
                <w:color w:val="auto"/>
                <w:lang w:val="en-US" w:eastAsia="zh-CN"/>
              </w:rPr>
              <w:t>3-2</w:t>
            </w:r>
            <w:r>
              <w:rPr>
                <w:rFonts w:ascii="Times New Roman" w:cs="Times New Roman"/>
                <w:b/>
                <w:bCs/>
                <w:color w:val="auto"/>
              </w:rPr>
              <w:t xml:space="preserve">    特征污染物补充监测点位基本信息</w:t>
            </w:r>
          </w:p>
          <w:tbl>
            <w:tblPr>
              <w:tblStyle w:val="2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402"/>
              <w:gridCol w:w="2474"/>
              <w:gridCol w:w="1929"/>
            </w:tblGrid>
            <w:tr w14:paraId="7568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05" w:type="dxa"/>
                  <w:noWrap w:val="0"/>
                  <w:vAlign w:val="center"/>
                </w:tcPr>
                <w:p w14:paraId="7F888A59">
                  <w:pPr>
                    <w:widowControl/>
                    <w:jc w:val="center"/>
                    <w:rPr>
                      <w:color w:val="auto"/>
                      <w:kern w:val="0"/>
                      <w:szCs w:val="21"/>
                    </w:rPr>
                  </w:pPr>
                  <w:r>
                    <w:rPr>
                      <w:color w:val="auto"/>
                      <w:kern w:val="0"/>
                      <w:szCs w:val="21"/>
                    </w:rPr>
                    <w:t>监测点位</w:t>
                  </w:r>
                </w:p>
              </w:tc>
              <w:tc>
                <w:tcPr>
                  <w:tcW w:w="4876" w:type="dxa"/>
                  <w:gridSpan w:val="2"/>
                  <w:noWrap w:val="0"/>
                  <w:vAlign w:val="center"/>
                </w:tcPr>
                <w:p w14:paraId="5E4C0504">
                  <w:pPr>
                    <w:widowControl/>
                    <w:jc w:val="center"/>
                    <w:rPr>
                      <w:color w:val="auto"/>
                      <w:kern w:val="0"/>
                      <w:szCs w:val="21"/>
                    </w:rPr>
                  </w:pPr>
                  <w:r>
                    <w:rPr>
                      <w:color w:val="auto"/>
                      <w:kern w:val="0"/>
                      <w:szCs w:val="21"/>
                    </w:rPr>
                    <w:t>经纬度坐标</w:t>
                  </w:r>
                </w:p>
              </w:tc>
              <w:tc>
                <w:tcPr>
                  <w:tcW w:w="1929" w:type="dxa"/>
                  <w:noWrap w:val="0"/>
                  <w:vAlign w:val="center"/>
                </w:tcPr>
                <w:p w14:paraId="3909ED92">
                  <w:pPr>
                    <w:widowControl/>
                    <w:jc w:val="center"/>
                    <w:rPr>
                      <w:rFonts w:hint="eastAsia"/>
                      <w:color w:val="auto"/>
                      <w:kern w:val="0"/>
                      <w:szCs w:val="21"/>
                    </w:rPr>
                  </w:pPr>
                  <w:r>
                    <w:rPr>
                      <w:rFonts w:hint="eastAsia"/>
                      <w:color w:val="auto"/>
                      <w:kern w:val="0"/>
                      <w:szCs w:val="21"/>
                      <w:lang w:val="en-US" w:eastAsia="zh-CN"/>
                    </w:rPr>
                    <w:t>与本项目</w:t>
                  </w:r>
                  <w:r>
                    <w:rPr>
                      <w:rFonts w:hint="eastAsia"/>
                      <w:color w:val="auto"/>
                      <w:kern w:val="0"/>
                      <w:szCs w:val="21"/>
                    </w:rPr>
                    <w:t>位置关系及距离</w:t>
                  </w:r>
                </w:p>
              </w:tc>
            </w:tr>
            <w:tr w14:paraId="6BC6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noWrap w:val="0"/>
                  <w:vAlign w:val="center"/>
                </w:tcPr>
                <w:p w14:paraId="6BD9D2DC">
                  <w:pPr>
                    <w:widowControl/>
                    <w:jc w:val="center"/>
                    <w:rPr>
                      <w:rFonts w:hint="eastAsia"/>
                      <w:color w:val="auto"/>
                      <w:kern w:val="0"/>
                      <w:szCs w:val="21"/>
                    </w:rPr>
                  </w:pPr>
                  <w:r>
                    <w:rPr>
                      <w:color w:val="auto"/>
                      <w:kern w:val="0"/>
                      <w:szCs w:val="21"/>
                    </w:rPr>
                    <w:t>1#</w:t>
                  </w:r>
                  <w:r>
                    <w:rPr>
                      <w:rFonts w:hint="eastAsia"/>
                      <w:color w:val="auto"/>
                      <w:kern w:val="0"/>
                      <w:szCs w:val="21"/>
                    </w:rPr>
                    <w:t>监测点</w:t>
                  </w:r>
                </w:p>
              </w:tc>
              <w:tc>
                <w:tcPr>
                  <w:tcW w:w="2402" w:type="dxa"/>
                  <w:noWrap w:val="0"/>
                  <w:vAlign w:val="center"/>
                </w:tcPr>
                <w:p w14:paraId="0F54C31A">
                  <w:pPr>
                    <w:widowControl/>
                    <w:jc w:val="center"/>
                    <w:rPr>
                      <w:color w:val="auto"/>
                      <w:kern w:val="0"/>
                      <w:szCs w:val="21"/>
                    </w:rPr>
                  </w:pPr>
                  <w:r>
                    <w:rPr>
                      <w:rFonts w:hint="eastAsia"/>
                      <w:color w:val="auto"/>
                      <w:kern w:val="0"/>
                      <w:szCs w:val="21"/>
                      <w:lang w:val="en-US" w:eastAsia="zh-CN"/>
                    </w:rPr>
                    <w:t>经度84.309892</w:t>
                  </w:r>
                </w:p>
              </w:tc>
              <w:tc>
                <w:tcPr>
                  <w:tcW w:w="2474" w:type="dxa"/>
                  <w:noWrap w:val="0"/>
                  <w:vAlign w:val="center"/>
                </w:tcPr>
                <w:p w14:paraId="25510D41">
                  <w:pPr>
                    <w:widowControl/>
                    <w:jc w:val="center"/>
                    <w:rPr>
                      <w:color w:val="auto"/>
                      <w:kern w:val="0"/>
                      <w:szCs w:val="21"/>
                    </w:rPr>
                  </w:pPr>
                  <w:r>
                    <w:rPr>
                      <w:rFonts w:hint="eastAsia"/>
                      <w:color w:val="auto"/>
                      <w:kern w:val="0"/>
                      <w:szCs w:val="21"/>
                      <w:lang w:val="en-US" w:eastAsia="zh-CN"/>
                    </w:rPr>
                    <w:t>纬度41.780376</w:t>
                  </w:r>
                </w:p>
              </w:tc>
              <w:tc>
                <w:tcPr>
                  <w:tcW w:w="1929" w:type="dxa"/>
                  <w:noWrap w:val="0"/>
                  <w:vAlign w:val="center"/>
                </w:tcPr>
                <w:p w14:paraId="30A5BD74">
                  <w:pPr>
                    <w:widowControl/>
                    <w:jc w:val="center"/>
                    <w:rPr>
                      <w:rFonts w:hint="default" w:eastAsia="宋体"/>
                      <w:color w:val="auto"/>
                      <w:kern w:val="0"/>
                      <w:szCs w:val="21"/>
                      <w:lang w:val="en-US" w:eastAsia="zh-CN"/>
                    </w:rPr>
                  </w:pPr>
                  <w:r>
                    <w:rPr>
                      <w:rFonts w:hint="eastAsia"/>
                      <w:color w:val="auto"/>
                      <w:kern w:val="0"/>
                      <w:szCs w:val="21"/>
                      <w:lang w:val="en-US" w:eastAsia="zh-CN"/>
                    </w:rPr>
                    <w:t>厂区西南方位距离约58m</w:t>
                  </w:r>
                </w:p>
              </w:tc>
            </w:tr>
          </w:tbl>
          <w:p w14:paraId="2A6746CA">
            <w:pPr>
              <w:pStyle w:val="56"/>
              <w:keepNext w:val="0"/>
              <w:keepLines w:val="0"/>
              <w:pageBreakBefore w:val="0"/>
              <w:widowControl w:val="0"/>
              <w:kinsoku/>
              <w:wordWrap/>
              <w:overflowPunct/>
              <w:topLinePunct w:val="0"/>
              <w:bidi w:val="0"/>
              <w:snapToGrid/>
              <w:spacing w:line="520" w:lineRule="exact"/>
              <w:ind w:left="0" w:leftChars="0" w:firstLine="480" w:firstLineChars="200"/>
              <w:jc w:val="left"/>
              <w:textAlignment w:val="auto"/>
              <w:rPr>
                <w:rFonts w:ascii="Times New Roman" w:cs="Times New Roman"/>
                <w:b w:val="0"/>
                <w:bCs/>
                <w:color w:val="auto"/>
              </w:rPr>
            </w:pPr>
            <w:r>
              <w:rPr>
                <w:rFonts w:ascii="Times New Roman" w:cs="Times New Roman"/>
                <w:b w:val="0"/>
                <w:bCs/>
                <w:color w:val="auto"/>
              </w:rPr>
              <w:t>（2）监测时间及监测方法</w:t>
            </w:r>
          </w:p>
          <w:p w14:paraId="2A465906">
            <w:pPr>
              <w:pStyle w:val="56"/>
              <w:keepNext w:val="0"/>
              <w:keepLines w:val="0"/>
              <w:pageBreakBefore w:val="0"/>
              <w:widowControl w:val="0"/>
              <w:kinsoku/>
              <w:wordWrap/>
              <w:overflowPunct/>
              <w:topLinePunct w:val="0"/>
              <w:bidi w:val="0"/>
              <w:snapToGrid/>
              <w:spacing w:line="520" w:lineRule="exact"/>
              <w:ind w:left="0" w:leftChars="0" w:firstLine="480" w:firstLineChars="200"/>
              <w:jc w:val="left"/>
              <w:textAlignment w:val="auto"/>
              <w:rPr>
                <w:rFonts w:ascii="Times New Roman" w:cs="Times New Roman"/>
                <w:b w:val="0"/>
                <w:bCs/>
                <w:color w:val="auto"/>
              </w:rPr>
            </w:pPr>
            <w:r>
              <w:rPr>
                <w:rFonts w:ascii="Times New Roman" w:cs="Times New Roman"/>
                <w:b w:val="0"/>
                <w:bCs/>
                <w:color w:val="auto"/>
              </w:rPr>
              <w:t>监测时间为连续采样</w:t>
            </w:r>
            <w:r>
              <w:rPr>
                <w:rFonts w:hint="eastAsia" w:ascii="Times New Roman" w:cs="Times New Roman"/>
                <w:b w:val="0"/>
                <w:bCs/>
                <w:color w:val="auto"/>
              </w:rPr>
              <w:t>3</w:t>
            </w:r>
            <w:r>
              <w:rPr>
                <w:rFonts w:ascii="Times New Roman" w:cs="Times New Roman"/>
                <w:b w:val="0"/>
                <w:bCs/>
                <w:color w:val="auto"/>
              </w:rPr>
              <w:t>天，</w:t>
            </w:r>
            <w:r>
              <w:rPr>
                <w:rFonts w:hint="eastAsia" w:ascii="Times New Roman" w:cs="Times New Roman"/>
                <w:b w:val="0"/>
                <w:bCs/>
                <w:color w:val="auto"/>
              </w:rPr>
              <w:t>采样</w:t>
            </w:r>
            <w:r>
              <w:rPr>
                <w:rFonts w:ascii="Times New Roman" w:cs="Times New Roman"/>
                <w:b w:val="0"/>
                <w:bCs/>
                <w:color w:val="auto"/>
              </w:rPr>
              <w:t>要求按照</w:t>
            </w:r>
            <w:r>
              <w:rPr>
                <w:rFonts w:hint="eastAsia"/>
                <w:b w:val="0"/>
                <w:bCs/>
                <w:color w:val="auto"/>
                <w:sz w:val="24"/>
                <w:szCs w:val="24"/>
                <w:highlight w:val="none"/>
                <w:lang w:val="en-US" w:eastAsia="zh-CN"/>
              </w:rPr>
              <w:t>《环境空气质量标准》（GB3095-2026）</w:t>
            </w:r>
            <w:r>
              <w:rPr>
                <w:rFonts w:hint="eastAsia"/>
                <w:b w:val="0"/>
                <w:bCs/>
                <w:lang w:val="en-US" w:eastAsia="zh-CN"/>
              </w:rPr>
              <w:t>及《</w:t>
            </w:r>
            <w:r>
              <w:rPr>
                <w:rFonts w:ascii="宋体" w:hAnsi="宋体" w:eastAsia="宋体" w:cs="宋体"/>
                <w:b w:val="0"/>
                <w:bCs/>
                <w:sz w:val="24"/>
                <w:szCs w:val="24"/>
              </w:rPr>
              <w:t>环境空气质量手工监测技术规范</w:t>
            </w:r>
            <w:r>
              <w:rPr>
                <w:rFonts w:hint="eastAsia"/>
                <w:b w:val="0"/>
                <w:bCs/>
                <w:lang w:val="en-US" w:eastAsia="zh-CN"/>
              </w:rPr>
              <w:t>》（HJ194—2017）</w:t>
            </w:r>
            <w:r>
              <w:rPr>
                <w:rFonts w:ascii="Times New Roman" w:cs="Times New Roman"/>
                <w:b w:val="0"/>
                <w:bCs/>
                <w:color w:val="auto"/>
              </w:rPr>
              <w:t>相关要求执行。</w:t>
            </w:r>
          </w:p>
          <w:p w14:paraId="0122D430">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jc w:val="left"/>
              <w:textAlignment w:val="auto"/>
              <w:rPr>
                <w:b w:val="0"/>
                <w:bCs/>
                <w:color w:val="auto"/>
                <w:sz w:val="24"/>
              </w:rPr>
            </w:pPr>
            <w:r>
              <w:rPr>
                <w:b w:val="0"/>
                <w:bCs/>
                <w:color w:val="auto"/>
                <w:sz w:val="24"/>
              </w:rPr>
              <w:t>（3）评价方法</w:t>
            </w:r>
          </w:p>
          <w:p w14:paraId="2AFA9C3E">
            <w:pPr>
              <w:keepNext w:val="0"/>
              <w:keepLines w:val="0"/>
              <w:pageBreakBefore w:val="0"/>
              <w:widowControl w:val="0"/>
              <w:kinsoku/>
              <w:wordWrap/>
              <w:overflowPunct/>
              <w:topLinePunct w:val="0"/>
              <w:bidi w:val="0"/>
              <w:snapToGrid/>
              <w:spacing w:line="520" w:lineRule="exact"/>
              <w:ind w:left="0" w:leftChars="0" w:firstLine="480" w:firstLineChars="200"/>
              <w:jc w:val="left"/>
              <w:textAlignment w:val="auto"/>
              <w:rPr>
                <w:b w:val="0"/>
                <w:bCs/>
                <w:color w:val="auto"/>
                <w:sz w:val="24"/>
              </w:rPr>
            </w:pPr>
            <w:r>
              <w:rPr>
                <w:b w:val="0"/>
                <w:bCs/>
                <w:color w:val="auto"/>
                <w:sz w:val="24"/>
              </w:rPr>
              <w:t>采用最大占标百分比，计算公式如下：</w:t>
            </w:r>
          </w:p>
          <w:p w14:paraId="27139324">
            <w:pPr>
              <w:keepNext w:val="0"/>
              <w:keepLines w:val="0"/>
              <w:pageBreakBefore w:val="0"/>
              <w:widowControl w:val="0"/>
              <w:kinsoku/>
              <w:wordWrap/>
              <w:overflowPunct/>
              <w:topLinePunct w:val="0"/>
              <w:bidi w:val="0"/>
              <w:snapToGrid/>
              <w:spacing w:line="520" w:lineRule="exact"/>
              <w:ind w:left="0" w:leftChars="0" w:firstLine="480" w:firstLineChars="200"/>
              <w:jc w:val="left"/>
              <w:textAlignment w:val="auto"/>
              <w:rPr>
                <w:b w:val="0"/>
                <w:bCs/>
                <w:color w:val="auto"/>
                <w:sz w:val="24"/>
              </w:rPr>
            </w:pPr>
            <w:r>
              <w:rPr>
                <w:b w:val="0"/>
                <w:bCs/>
                <w:color w:val="auto"/>
                <w:sz w:val="24"/>
              </w:rPr>
              <w:t>P</w:t>
            </w:r>
            <w:r>
              <w:rPr>
                <w:b w:val="0"/>
                <w:bCs/>
                <w:color w:val="auto"/>
                <w:sz w:val="24"/>
                <w:vertAlign w:val="subscript"/>
              </w:rPr>
              <w:t>i</w:t>
            </w:r>
            <w:r>
              <w:rPr>
                <w:b w:val="0"/>
                <w:bCs/>
                <w:color w:val="auto"/>
                <w:sz w:val="24"/>
              </w:rPr>
              <w:t>=C</w:t>
            </w:r>
            <w:r>
              <w:rPr>
                <w:b w:val="0"/>
                <w:bCs/>
                <w:color w:val="auto"/>
                <w:sz w:val="24"/>
                <w:vertAlign w:val="subscript"/>
              </w:rPr>
              <w:t>i</w:t>
            </w:r>
            <w:r>
              <w:rPr>
                <w:b w:val="0"/>
                <w:bCs/>
                <w:color w:val="auto"/>
                <w:sz w:val="24"/>
              </w:rPr>
              <w:t>/C</w:t>
            </w:r>
            <w:r>
              <w:rPr>
                <w:b w:val="0"/>
                <w:bCs/>
                <w:color w:val="auto"/>
                <w:sz w:val="24"/>
                <w:vertAlign w:val="subscript"/>
              </w:rPr>
              <w:t>oi</w:t>
            </w:r>
          </w:p>
          <w:p w14:paraId="2DBCAF27">
            <w:pPr>
              <w:keepNext w:val="0"/>
              <w:keepLines w:val="0"/>
              <w:pageBreakBefore w:val="0"/>
              <w:widowControl w:val="0"/>
              <w:kinsoku/>
              <w:wordWrap/>
              <w:overflowPunct/>
              <w:topLinePunct w:val="0"/>
              <w:bidi w:val="0"/>
              <w:snapToGrid/>
              <w:spacing w:line="520" w:lineRule="exact"/>
              <w:ind w:left="0" w:leftChars="0" w:firstLine="480" w:firstLineChars="200"/>
              <w:jc w:val="left"/>
              <w:textAlignment w:val="auto"/>
              <w:rPr>
                <w:b w:val="0"/>
                <w:bCs/>
                <w:color w:val="auto"/>
                <w:sz w:val="24"/>
              </w:rPr>
            </w:pPr>
            <w:r>
              <w:rPr>
                <w:b w:val="0"/>
                <w:bCs/>
                <w:color w:val="auto"/>
                <w:sz w:val="24"/>
              </w:rPr>
              <w:t>式中：P</w:t>
            </w:r>
            <w:r>
              <w:rPr>
                <w:b w:val="0"/>
                <w:bCs/>
                <w:color w:val="auto"/>
                <w:sz w:val="24"/>
                <w:vertAlign w:val="subscript"/>
              </w:rPr>
              <w:t>i</w:t>
            </w:r>
            <w:r>
              <w:rPr>
                <w:b w:val="0"/>
                <w:bCs/>
                <w:color w:val="auto"/>
                <w:sz w:val="24"/>
              </w:rPr>
              <w:t>——i评价因子最大浓度占标率；</w:t>
            </w:r>
          </w:p>
          <w:p w14:paraId="76F1EB90">
            <w:pPr>
              <w:keepNext w:val="0"/>
              <w:keepLines w:val="0"/>
              <w:pageBreakBefore w:val="0"/>
              <w:widowControl w:val="0"/>
              <w:kinsoku/>
              <w:wordWrap/>
              <w:overflowPunct/>
              <w:topLinePunct w:val="0"/>
              <w:bidi w:val="0"/>
              <w:snapToGrid/>
              <w:spacing w:line="520" w:lineRule="exact"/>
              <w:ind w:left="0" w:leftChars="0" w:firstLine="1200" w:firstLineChars="500"/>
              <w:jc w:val="left"/>
              <w:textAlignment w:val="auto"/>
              <w:rPr>
                <w:b w:val="0"/>
                <w:bCs/>
                <w:color w:val="auto"/>
                <w:sz w:val="24"/>
              </w:rPr>
            </w:pPr>
            <w:r>
              <w:rPr>
                <w:b w:val="0"/>
                <w:bCs/>
                <w:color w:val="auto"/>
                <w:sz w:val="24"/>
              </w:rPr>
              <w:t>C</w:t>
            </w:r>
            <w:r>
              <w:rPr>
                <w:b w:val="0"/>
                <w:bCs/>
                <w:color w:val="auto"/>
                <w:sz w:val="24"/>
                <w:vertAlign w:val="subscript"/>
              </w:rPr>
              <w:t>i</w:t>
            </w:r>
            <w:r>
              <w:rPr>
                <w:b w:val="0"/>
                <w:bCs/>
                <w:color w:val="auto"/>
                <w:sz w:val="24"/>
              </w:rPr>
              <w:t>——i评价因子的最大监测浓度（mg/m</w:t>
            </w:r>
            <w:r>
              <w:rPr>
                <w:b w:val="0"/>
                <w:bCs/>
                <w:color w:val="auto"/>
                <w:sz w:val="24"/>
                <w:vertAlign w:val="superscript"/>
              </w:rPr>
              <w:t>3</w:t>
            </w:r>
            <w:r>
              <w:rPr>
                <w:b w:val="0"/>
                <w:bCs/>
                <w:color w:val="auto"/>
                <w:sz w:val="24"/>
              </w:rPr>
              <w:t>）；</w:t>
            </w:r>
          </w:p>
          <w:p w14:paraId="6CBF2CD0">
            <w:pPr>
              <w:pStyle w:val="56"/>
              <w:keepNext w:val="0"/>
              <w:keepLines w:val="0"/>
              <w:pageBreakBefore w:val="0"/>
              <w:widowControl w:val="0"/>
              <w:kinsoku/>
              <w:wordWrap/>
              <w:overflowPunct/>
              <w:topLinePunct w:val="0"/>
              <w:bidi w:val="0"/>
              <w:snapToGrid/>
              <w:spacing w:line="520" w:lineRule="exact"/>
              <w:ind w:left="0" w:leftChars="0" w:firstLine="1200" w:firstLineChars="500"/>
              <w:jc w:val="left"/>
              <w:textAlignment w:val="auto"/>
              <w:rPr>
                <w:rFonts w:ascii="Times New Roman" w:cs="Times New Roman"/>
                <w:b w:val="0"/>
                <w:bCs/>
                <w:color w:val="auto"/>
              </w:rPr>
            </w:pPr>
            <w:r>
              <w:rPr>
                <w:rFonts w:ascii="Times New Roman" w:cs="Times New Roman"/>
                <w:b w:val="0"/>
                <w:bCs/>
                <w:color w:val="auto"/>
              </w:rPr>
              <w:t>C</w:t>
            </w:r>
            <w:r>
              <w:rPr>
                <w:rFonts w:ascii="Times New Roman" w:cs="Times New Roman"/>
                <w:b w:val="0"/>
                <w:bCs/>
                <w:color w:val="auto"/>
                <w:vertAlign w:val="subscript"/>
              </w:rPr>
              <w:t>oi</w:t>
            </w:r>
            <w:r>
              <w:rPr>
                <w:rFonts w:ascii="Times New Roman" w:cs="Times New Roman"/>
                <w:b w:val="0"/>
                <w:bCs/>
                <w:color w:val="auto"/>
              </w:rPr>
              <w:t>——i评价因子的评价标准（mg/m</w:t>
            </w:r>
            <w:r>
              <w:rPr>
                <w:rFonts w:ascii="Times New Roman" w:cs="Times New Roman"/>
                <w:b w:val="0"/>
                <w:bCs/>
                <w:color w:val="auto"/>
                <w:vertAlign w:val="superscript"/>
              </w:rPr>
              <w:t>3</w:t>
            </w:r>
            <w:r>
              <w:rPr>
                <w:rFonts w:ascii="Times New Roman" w:cs="Times New Roman"/>
                <w:b w:val="0"/>
                <w:bCs/>
                <w:color w:val="auto"/>
              </w:rPr>
              <w:t>）</w:t>
            </w:r>
          </w:p>
          <w:p w14:paraId="3518DE66">
            <w:pPr>
              <w:pStyle w:val="56"/>
              <w:keepNext w:val="0"/>
              <w:keepLines w:val="0"/>
              <w:pageBreakBefore w:val="0"/>
              <w:widowControl w:val="0"/>
              <w:kinsoku/>
              <w:wordWrap/>
              <w:overflowPunct/>
              <w:topLinePunct w:val="0"/>
              <w:bidi w:val="0"/>
              <w:snapToGrid/>
              <w:spacing w:line="520" w:lineRule="exact"/>
              <w:ind w:left="0" w:leftChars="0" w:firstLine="480" w:firstLineChars="200"/>
              <w:jc w:val="left"/>
              <w:textAlignment w:val="auto"/>
              <w:rPr>
                <w:rFonts w:ascii="Times New Roman" w:cs="Times New Roman"/>
                <w:b w:val="0"/>
                <w:bCs/>
                <w:color w:val="auto"/>
              </w:rPr>
            </w:pPr>
            <w:r>
              <w:rPr>
                <w:rFonts w:ascii="Times New Roman" w:cs="Times New Roman"/>
                <w:b w:val="0"/>
                <w:bCs/>
                <w:color w:val="auto"/>
              </w:rPr>
              <w:t>（4）监测结果</w:t>
            </w:r>
          </w:p>
          <w:p w14:paraId="690879F6">
            <w:pPr>
              <w:pStyle w:val="56"/>
              <w:keepNext w:val="0"/>
              <w:keepLines w:val="0"/>
              <w:pageBreakBefore w:val="0"/>
              <w:widowControl w:val="0"/>
              <w:kinsoku/>
              <w:wordWrap/>
              <w:overflowPunct/>
              <w:topLinePunct w:val="0"/>
              <w:bidi w:val="0"/>
              <w:snapToGrid/>
              <w:spacing w:line="520" w:lineRule="exact"/>
              <w:ind w:left="0" w:leftChars="0" w:firstLine="480" w:firstLineChars="200"/>
              <w:jc w:val="left"/>
              <w:textAlignment w:val="auto"/>
              <w:rPr>
                <w:rFonts w:ascii="Times New Roman" w:cs="Times New Roman"/>
                <w:b w:val="0"/>
                <w:bCs/>
                <w:color w:val="auto"/>
              </w:rPr>
            </w:pPr>
            <w:r>
              <w:rPr>
                <w:rFonts w:hint="default" w:ascii="Times New Roman" w:hAnsi="Times New Roman" w:cs="Times New Roman"/>
                <w:b w:val="0"/>
                <w:bCs/>
                <w:color w:val="auto"/>
                <w:highlight w:val="none"/>
              </w:rPr>
              <w:t>特征污染物环境质量现状监测结果</w:t>
            </w:r>
            <w:r>
              <w:rPr>
                <w:rFonts w:ascii="Times New Roman" w:cs="Times New Roman"/>
                <w:b w:val="0"/>
                <w:bCs/>
                <w:color w:val="auto"/>
              </w:rPr>
              <w:t>见</w:t>
            </w:r>
            <w:r>
              <w:rPr>
                <w:rFonts w:hint="eastAsia" w:ascii="Times New Roman" w:cs="Times New Roman"/>
                <w:b w:val="0"/>
                <w:bCs/>
                <w:color w:val="auto"/>
              </w:rPr>
              <w:t>下表</w:t>
            </w:r>
            <w:r>
              <w:rPr>
                <w:rFonts w:ascii="Times New Roman" w:cs="Times New Roman"/>
                <w:b w:val="0"/>
                <w:bCs/>
                <w:color w:val="auto"/>
              </w:rPr>
              <w:t>。</w:t>
            </w:r>
          </w:p>
          <w:p w14:paraId="2A48DFFF">
            <w:pPr>
              <w:pStyle w:val="56"/>
              <w:keepNext w:val="0"/>
              <w:keepLines w:val="0"/>
              <w:pageBreakBefore w:val="0"/>
              <w:widowControl w:val="0"/>
              <w:kinsoku/>
              <w:wordWrap/>
              <w:overflowPunct/>
              <w:topLinePunct w:val="0"/>
              <w:bidi w:val="0"/>
              <w:snapToGrid/>
              <w:spacing w:line="520" w:lineRule="exact"/>
              <w:ind w:left="0" w:leftChars="0"/>
              <w:jc w:val="center"/>
              <w:textAlignment w:val="auto"/>
              <w:rPr>
                <w:rFonts w:ascii="Times New Roman" w:cs="Times New Roman"/>
                <w:b/>
                <w:bCs/>
                <w:color w:val="auto"/>
              </w:rPr>
            </w:pPr>
            <w:r>
              <w:rPr>
                <w:rFonts w:ascii="Times New Roman" w:cs="Times New Roman"/>
                <w:b/>
                <w:bCs/>
                <w:color w:val="auto"/>
              </w:rPr>
              <w:t>表</w:t>
            </w:r>
            <w:r>
              <w:rPr>
                <w:rFonts w:hint="eastAsia" w:ascii="Times New Roman" w:cs="Times New Roman"/>
                <w:b/>
                <w:bCs/>
                <w:color w:val="auto"/>
                <w:lang w:val="en-US" w:eastAsia="zh-CN"/>
              </w:rPr>
              <w:t xml:space="preserve">3-3 </w:t>
            </w:r>
            <w:r>
              <w:rPr>
                <w:rFonts w:ascii="Times New Roman" w:cs="Times New Roman"/>
                <w:b/>
                <w:bCs/>
                <w:color w:val="auto"/>
              </w:rPr>
              <w:t xml:space="preserve">  </w:t>
            </w:r>
            <w:r>
              <w:rPr>
                <w:rFonts w:hint="eastAsia" w:ascii="Times New Roman" w:cs="Times New Roman"/>
                <w:b/>
                <w:bCs/>
                <w:color w:val="auto"/>
              </w:rPr>
              <w:t>颗粒物</w:t>
            </w:r>
            <w:r>
              <w:rPr>
                <w:rFonts w:hint="eastAsia"/>
                <w:b/>
                <w:color w:val="auto"/>
              </w:rPr>
              <w:t>质量现状</w:t>
            </w:r>
            <w:r>
              <w:rPr>
                <w:rFonts w:hint="eastAsia" w:ascii="Times New Roman" w:cs="Times New Roman"/>
                <w:b/>
                <w:bCs/>
                <w:color w:val="auto"/>
              </w:rPr>
              <w:t>评价</w:t>
            </w:r>
          </w:p>
          <w:tbl>
            <w:tblPr>
              <w:tblStyle w:val="2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387"/>
              <w:gridCol w:w="1601"/>
              <w:gridCol w:w="1392"/>
              <w:gridCol w:w="2035"/>
              <w:gridCol w:w="1024"/>
            </w:tblGrid>
            <w:tr w14:paraId="2545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noWrap w:val="0"/>
                  <w:vAlign w:val="center"/>
                </w:tcPr>
                <w:p w14:paraId="1046636A">
                  <w:pPr>
                    <w:pStyle w:val="56"/>
                    <w:jc w:val="center"/>
                    <w:rPr>
                      <w:rFonts w:hint="eastAsia" w:ascii="Times New Roman" w:eastAsia="宋体" w:cs="Times New Roman"/>
                      <w:color w:val="auto"/>
                      <w:sz w:val="21"/>
                      <w:szCs w:val="21"/>
                      <w:lang w:val="en-US" w:eastAsia="zh-CN"/>
                    </w:rPr>
                  </w:pPr>
                  <w:r>
                    <w:rPr>
                      <w:rFonts w:ascii="Times New Roman" w:cs="Times New Roman"/>
                      <w:color w:val="auto"/>
                      <w:sz w:val="21"/>
                      <w:szCs w:val="21"/>
                    </w:rPr>
                    <w:t>监测</w:t>
                  </w:r>
                  <w:r>
                    <w:rPr>
                      <w:rFonts w:hint="eastAsia" w:ascii="Times New Roman" w:cs="Times New Roman"/>
                      <w:color w:val="auto"/>
                      <w:sz w:val="21"/>
                      <w:szCs w:val="21"/>
                      <w:lang w:val="en-US" w:eastAsia="zh-CN"/>
                    </w:rPr>
                    <w:t>因子</w:t>
                  </w:r>
                </w:p>
              </w:tc>
              <w:tc>
                <w:tcPr>
                  <w:tcW w:w="1387" w:type="dxa"/>
                  <w:noWrap w:val="0"/>
                  <w:vAlign w:val="center"/>
                </w:tcPr>
                <w:p w14:paraId="3C614398">
                  <w:pPr>
                    <w:pStyle w:val="56"/>
                    <w:jc w:val="center"/>
                    <w:rPr>
                      <w:rFonts w:ascii="Times New Roman" w:cs="Times New Roman"/>
                      <w:color w:val="auto"/>
                      <w:sz w:val="21"/>
                      <w:szCs w:val="21"/>
                    </w:rPr>
                  </w:pPr>
                  <w:r>
                    <w:rPr>
                      <w:rFonts w:ascii="Times New Roman" w:cs="Times New Roman"/>
                      <w:color w:val="auto"/>
                      <w:sz w:val="21"/>
                      <w:szCs w:val="21"/>
                    </w:rPr>
                    <w:t>时间</w:t>
                  </w:r>
                </w:p>
              </w:tc>
              <w:tc>
                <w:tcPr>
                  <w:tcW w:w="1601" w:type="dxa"/>
                  <w:noWrap w:val="0"/>
                  <w:vAlign w:val="center"/>
                </w:tcPr>
                <w:p w14:paraId="174F1EC2">
                  <w:pPr>
                    <w:pStyle w:val="56"/>
                    <w:jc w:val="center"/>
                    <w:rPr>
                      <w:rFonts w:ascii="Times New Roman" w:cs="Times New Roman"/>
                      <w:color w:val="auto"/>
                      <w:sz w:val="21"/>
                      <w:szCs w:val="21"/>
                    </w:rPr>
                  </w:pPr>
                  <w:r>
                    <w:rPr>
                      <w:rFonts w:ascii="Times New Roman" w:cs="Times New Roman"/>
                      <w:color w:val="auto"/>
                      <w:sz w:val="21"/>
                      <w:szCs w:val="21"/>
                    </w:rPr>
                    <w:t>浓度（mg/m</w:t>
                  </w:r>
                  <w:r>
                    <w:rPr>
                      <w:rFonts w:ascii="Times New Roman" w:cs="Times New Roman"/>
                      <w:color w:val="auto"/>
                      <w:sz w:val="21"/>
                      <w:szCs w:val="21"/>
                      <w:vertAlign w:val="superscript"/>
                    </w:rPr>
                    <w:t>3</w:t>
                  </w:r>
                  <w:r>
                    <w:rPr>
                      <w:rFonts w:ascii="Times New Roman" w:cs="Times New Roman"/>
                      <w:color w:val="auto"/>
                      <w:sz w:val="21"/>
                      <w:szCs w:val="21"/>
                    </w:rPr>
                    <w:t>）</w:t>
                  </w:r>
                </w:p>
              </w:tc>
              <w:tc>
                <w:tcPr>
                  <w:tcW w:w="1392" w:type="dxa"/>
                  <w:noWrap w:val="0"/>
                  <w:vAlign w:val="center"/>
                </w:tcPr>
                <w:p w14:paraId="45CBE142">
                  <w:pPr>
                    <w:pStyle w:val="56"/>
                    <w:jc w:val="center"/>
                    <w:rPr>
                      <w:rFonts w:ascii="Times New Roman" w:cs="Times New Roman"/>
                      <w:color w:val="auto"/>
                      <w:sz w:val="21"/>
                      <w:szCs w:val="21"/>
                    </w:rPr>
                  </w:pPr>
                  <w:r>
                    <w:rPr>
                      <w:rFonts w:ascii="Times New Roman" w:cs="Times New Roman"/>
                      <w:color w:val="auto"/>
                      <w:sz w:val="21"/>
                      <w:szCs w:val="21"/>
                    </w:rPr>
                    <w:t>标准值（mg/m</w:t>
                  </w:r>
                  <w:r>
                    <w:rPr>
                      <w:rFonts w:ascii="Times New Roman" w:cs="Times New Roman"/>
                      <w:color w:val="auto"/>
                      <w:sz w:val="21"/>
                      <w:szCs w:val="21"/>
                      <w:vertAlign w:val="superscript"/>
                    </w:rPr>
                    <w:t>3</w:t>
                  </w:r>
                  <w:r>
                    <w:rPr>
                      <w:rFonts w:ascii="Times New Roman" w:cs="Times New Roman"/>
                      <w:color w:val="auto"/>
                      <w:sz w:val="21"/>
                      <w:szCs w:val="21"/>
                    </w:rPr>
                    <w:t>）</w:t>
                  </w:r>
                </w:p>
              </w:tc>
              <w:tc>
                <w:tcPr>
                  <w:tcW w:w="2035" w:type="dxa"/>
                  <w:noWrap w:val="0"/>
                  <w:vAlign w:val="center"/>
                </w:tcPr>
                <w:p w14:paraId="211B9B88">
                  <w:pPr>
                    <w:pStyle w:val="56"/>
                    <w:jc w:val="center"/>
                    <w:rPr>
                      <w:rFonts w:ascii="Times New Roman" w:cs="Times New Roman"/>
                      <w:color w:val="auto"/>
                      <w:sz w:val="21"/>
                      <w:szCs w:val="21"/>
                    </w:rPr>
                  </w:pPr>
                  <w:r>
                    <w:rPr>
                      <w:rFonts w:ascii="Times New Roman" w:cs="Times New Roman"/>
                      <w:color w:val="auto"/>
                      <w:sz w:val="21"/>
                      <w:szCs w:val="21"/>
                    </w:rPr>
                    <w:t>浓度占标率（％）</w:t>
                  </w:r>
                </w:p>
              </w:tc>
              <w:tc>
                <w:tcPr>
                  <w:tcW w:w="1024" w:type="dxa"/>
                  <w:noWrap w:val="0"/>
                  <w:vAlign w:val="center"/>
                </w:tcPr>
                <w:p w14:paraId="425D2E46">
                  <w:pPr>
                    <w:pStyle w:val="56"/>
                    <w:jc w:val="center"/>
                    <w:rPr>
                      <w:rFonts w:ascii="Times New Roman" w:cs="Times New Roman"/>
                      <w:color w:val="auto"/>
                      <w:sz w:val="21"/>
                      <w:szCs w:val="21"/>
                    </w:rPr>
                  </w:pPr>
                  <w:r>
                    <w:rPr>
                      <w:rFonts w:ascii="Times New Roman" w:cs="Times New Roman"/>
                      <w:color w:val="auto"/>
                      <w:sz w:val="21"/>
                      <w:szCs w:val="21"/>
                    </w:rPr>
                    <w:t>达标情况</w:t>
                  </w:r>
                </w:p>
              </w:tc>
            </w:tr>
            <w:tr w14:paraId="0AE9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vMerge w:val="restart"/>
                  <w:noWrap w:val="0"/>
                  <w:vAlign w:val="center"/>
                </w:tcPr>
                <w:p w14:paraId="2DD91AD1">
                  <w:pPr>
                    <w:pStyle w:val="56"/>
                    <w:jc w:val="center"/>
                    <w:rPr>
                      <w:rFonts w:hint="default" w:ascii="Calibri" w:hAnsi="Calibri" w:eastAsia="宋体" w:cs="Times New Roman"/>
                      <w:b w:val="0"/>
                      <w:bCs/>
                      <w:color w:val="auto"/>
                      <w:sz w:val="21"/>
                      <w:szCs w:val="21"/>
                      <w:lang w:val="en-US" w:eastAsia="zh-CN"/>
                    </w:rPr>
                  </w:pPr>
                  <w:r>
                    <w:rPr>
                      <w:rFonts w:hint="default" w:ascii="Calibri" w:hAnsi="Calibri"/>
                      <w:b w:val="0"/>
                      <w:bCs/>
                      <w:sz w:val="21"/>
                      <w:szCs w:val="21"/>
                      <w:lang w:val="en-US" w:eastAsia="zh-CN"/>
                    </w:rPr>
                    <w:t>TSP</w:t>
                  </w:r>
                </w:p>
              </w:tc>
              <w:tc>
                <w:tcPr>
                  <w:tcW w:w="1387" w:type="dxa"/>
                  <w:noWrap w:val="0"/>
                  <w:vAlign w:val="center"/>
                </w:tcPr>
                <w:p w14:paraId="697F2867">
                  <w:pPr>
                    <w:jc w:val="center"/>
                    <w:rPr>
                      <w:rFonts w:hint="default" w:ascii="Calibri" w:hAnsi="Calibri" w:eastAsia="宋体"/>
                      <w:b w:val="0"/>
                      <w:bCs/>
                      <w:color w:val="auto"/>
                      <w:sz w:val="21"/>
                      <w:szCs w:val="21"/>
                      <w:lang w:val="en-US" w:eastAsia="zh-CN"/>
                    </w:rPr>
                  </w:pPr>
                  <w:r>
                    <w:rPr>
                      <w:rFonts w:hint="eastAsia"/>
                      <w:lang w:val="en-US" w:eastAsia="zh-CN"/>
                    </w:rPr>
                    <w:t>2024年</w:t>
                  </w:r>
                  <w:r>
                    <w:rPr>
                      <w:rFonts w:hint="eastAsia" w:ascii="Calibri" w:hAnsi="Calibri"/>
                      <w:b w:val="0"/>
                      <w:bCs/>
                      <w:color w:val="auto"/>
                      <w:sz w:val="21"/>
                      <w:szCs w:val="21"/>
                      <w:lang w:val="en-US" w:eastAsia="zh-CN"/>
                    </w:rPr>
                    <w:t>9</w:t>
                  </w:r>
                  <w:r>
                    <w:rPr>
                      <w:rFonts w:hint="default" w:ascii="Calibri" w:hAnsi="Calibri"/>
                      <w:b w:val="0"/>
                      <w:bCs/>
                      <w:color w:val="auto"/>
                      <w:sz w:val="21"/>
                      <w:szCs w:val="21"/>
                      <w:lang w:val="en-US" w:eastAsia="zh-CN"/>
                    </w:rPr>
                    <w:t>月</w:t>
                  </w:r>
                  <w:r>
                    <w:rPr>
                      <w:rFonts w:hint="eastAsia" w:ascii="Calibri" w:hAnsi="Calibri"/>
                      <w:b w:val="0"/>
                      <w:bCs/>
                      <w:color w:val="auto"/>
                      <w:sz w:val="21"/>
                      <w:szCs w:val="21"/>
                      <w:lang w:val="en-US" w:eastAsia="zh-CN"/>
                    </w:rPr>
                    <w:t>15</w:t>
                  </w:r>
                  <w:r>
                    <w:rPr>
                      <w:rFonts w:hint="default" w:ascii="Calibri" w:hAnsi="Calibri"/>
                      <w:b w:val="0"/>
                      <w:bCs/>
                      <w:color w:val="auto"/>
                      <w:sz w:val="21"/>
                      <w:szCs w:val="21"/>
                      <w:lang w:val="en-US" w:eastAsia="zh-CN"/>
                    </w:rPr>
                    <w:t>日</w:t>
                  </w:r>
                  <w:r>
                    <w:rPr>
                      <w:rFonts w:hint="eastAsia" w:ascii="Calibri" w:hAnsi="Calibri"/>
                      <w:b w:val="0"/>
                      <w:bCs/>
                      <w:color w:val="auto"/>
                      <w:sz w:val="21"/>
                      <w:szCs w:val="21"/>
                      <w:lang w:val="en-US" w:eastAsia="zh-CN"/>
                    </w:rPr>
                    <w:t>-16日</w:t>
                  </w:r>
                </w:p>
              </w:tc>
              <w:tc>
                <w:tcPr>
                  <w:tcW w:w="1601" w:type="dxa"/>
                  <w:noWrap w:val="0"/>
                  <w:vAlign w:val="center"/>
                </w:tcPr>
                <w:p w14:paraId="4D40970B">
                  <w:pPr>
                    <w:pStyle w:val="56"/>
                    <w:jc w:val="center"/>
                    <w:rPr>
                      <w:rFonts w:hint="default" w:ascii="Times New Roman" w:eastAsia="宋体" w:cs="Times New Roman"/>
                      <w:b w:val="0"/>
                      <w:bCs/>
                      <w:color w:val="auto"/>
                      <w:sz w:val="21"/>
                      <w:szCs w:val="21"/>
                      <w:lang w:val="en-US" w:eastAsia="zh-CN"/>
                    </w:rPr>
                  </w:pPr>
                  <w:r>
                    <w:rPr>
                      <w:rFonts w:hint="eastAsia" w:ascii="Times New Roman" w:cs="Times New Roman"/>
                      <w:b w:val="0"/>
                      <w:bCs/>
                      <w:color w:val="auto"/>
                      <w:sz w:val="21"/>
                      <w:szCs w:val="21"/>
                      <w:lang w:val="en-US" w:eastAsia="zh-CN"/>
                    </w:rPr>
                    <w:t>0.229</w:t>
                  </w:r>
                </w:p>
              </w:tc>
              <w:tc>
                <w:tcPr>
                  <w:tcW w:w="1392" w:type="dxa"/>
                  <w:vMerge w:val="restart"/>
                  <w:noWrap w:val="0"/>
                  <w:vAlign w:val="center"/>
                </w:tcPr>
                <w:p w14:paraId="05B01A52">
                  <w:pPr>
                    <w:pStyle w:val="56"/>
                    <w:jc w:val="center"/>
                    <w:rPr>
                      <w:rFonts w:ascii="Times New Roman" w:cs="Times New Roman"/>
                      <w:b w:val="0"/>
                      <w:bCs/>
                      <w:color w:val="auto"/>
                      <w:sz w:val="21"/>
                      <w:szCs w:val="21"/>
                    </w:rPr>
                  </w:pPr>
                  <w:r>
                    <w:rPr>
                      <w:rFonts w:hint="eastAsia" w:ascii="Times New Roman" w:cs="Times New Roman"/>
                      <w:b w:val="0"/>
                      <w:bCs/>
                      <w:color w:val="auto"/>
                      <w:sz w:val="21"/>
                      <w:szCs w:val="21"/>
                    </w:rPr>
                    <w:t>0.3</w:t>
                  </w:r>
                </w:p>
              </w:tc>
              <w:tc>
                <w:tcPr>
                  <w:tcW w:w="2035" w:type="dxa"/>
                  <w:noWrap w:val="0"/>
                  <w:vAlign w:val="center"/>
                </w:tcPr>
                <w:p w14:paraId="11A92DFA">
                  <w:pPr>
                    <w:pStyle w:val="56"/>
                    <w:jc w:val="center"/>
                    <w:rPr>
                      <w:rFonts w:hint="default" w:ascii="Times New Roman" w:eastAsia="宋体" w:cs="Times New Roman"/>
                      <w:b w:val="0"/>
                      <w:bCs/>
                      <w:color w:val="auto"/>
                      <w:sz w:val="21"/>
                      <w:szCs w:val="21"/>
                      <w:lang w:val="en-US" w:eastAsia="zh-CN"/>
                    </w:rPr>
                  </w:pPr>
                  <w:r>
                    <w:rPr>
                      <w:rFonts w:hint="eastAsia" w:ascii="Times New Roman" w:cs="Times New Roman"/>
                      <w:b w:val="0"/>
                      <w:bCs/>
                      <w:color w:val="auto"/>
                      <w:sz w:val="21"/>
                      <w:szCs w:val="21"/>
                      <w:lang w:val="en-US" w:eastAsia="zh-CN"/>
                    </w:rPr>
                    <w:t>76.3%</w:t>
                  </w:r>
                </w:p>
              </w:tc>
              <w:tc>
                <w:tcPr>
                  <w:tcW w:w="1024" w:type="dxa"/>
                  <w:noWrap w:val="0"/>
                  <w:vAlign w:val="center"/>
                </w:tcPr>
                <w:p w14:paraId="72A2520B">
                  <w:pPr>
                    <w:pStyle w:val="56"/>
                    <w:jc w:val="center"/>
                    <w:rPr>
                      <w:rFonts w:hint="eastAsia" w:ascii="Times New Roman" w:cs="Times New Roman"/>
                      <w:b w:val="0"/>
                      <w:bCs/>
                      <w:color w:val="auto"/>
                      <w:sz w:val="21"/>
                      <w:szCs w:val="21"/>
                    </w:rPr>
                  </w:pPr>
                  <w:r>
                    <w:rPr>
                      <w:rFonts w:hint="eastAsia" w:ascii="Times New Roman" w:cs="Times New Roman"/>
                      <w:b w:val="0"/>
                      <w:bCs/>
                      <w:color w:val="auto"/>
                      <w:sz w:val="21"/>
                      <w:szCs w:val="21"/>
                    </w:rPr>
                    <w:t>达标</w:t>
                  </w:r>
                </w:p>
              </w:tc>
            </w:tr>
            <w:tr w14:paraId="6FD3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vMerge w:val="continue"/>
                  <w:noWrap w:val="0"/>
                  <w:vAlign w:val="center"/>
                </w:tcPr>
                <w:p w14:paraId="4424B8B3">
                  <w:pPr>
                    <w:pStyle w:val="56"/>
                    <w:jc w:val="center"/>
                    <w:rPr>
                      <w:rFonts w:hint="default" w:ascii="Calibri" w:hAnsi="Calibri" w:cs="Times New Roman"/>
                      <w:b w:val="0"/>
                      <w:bCs/>
                      <w:color w:val="auto"/>
                      <w:sz w:val="21"/>
                      <w:szCs w:val="21"/>
                    </w:rPr>
                  </w:pPr>
                </w:p>
              </w:tc>
              <w:tc>
                <w:tcPr>
                  <w:tcW w:w="1387" w:type="dxa"/>
                  <w:noWrap w:val="0"/>
                  <w:vAlign w:val="center"/>
                </w:tcPr>
                <w:p w14:paraId="7ABB0ACE">
                  <w:pPr>
                    <w:jc w:val="center"/>
                    <w:rPr>
                      <w:rFonts w:hint="default" w:ascii="Calibri" w:hAnsi="Calibri"/>
                      <w:b w:val="0"/>
                      <w:bCs/>
                      <w:color w:val="auto"/>
                      <w:sz w:val="21"/>
                      <w:szCs w:val="21"/>
                    </w:rPr>
                  </w:pPr>
                  <w:r>
                    <w:rPr>
                      <w:rFonts w:hint="eastAsia"/>
                      <w:lang w:val="en-US" w:eastAsia="zh-CN"/>
                    </w:rPr>
                    <w:t>2024年</w:t>
                  </w:r>
                  <w:r>
                    <w:rPr>
                      <w:rFonts w:hint="eastAsia" w:ascii="Calibri" w:hAnsi="Calibri"/>
                      <w:b w:val="0"/>
                      <w:bCs/>
                      <w:color w:val="auto"/>
                      <w:sz w:val="21"/>
                      <w:szCs w:val="21"/>
                      <w:lang w:val="en-US" w:eastAsia="zh-CN"/>
                    </w:rPr>
                    <w:t>9</w:t>
                  </w:r>
                  <w:r>
                    <w:rPr>
                      <w:rFonts w:hint="default" w:ascii="Calibri" w:hAnsi="Calibri"/>
                      <w:b w:val="0"/>
                      <w:bCs/>
                      <w:color w:val="auto"/>
                      <w:sz w:val="21"/>
                      <w:szCs w:val="21"/>
                      <w:lang w:val="en-US" w:eastAsia="zh-CN"/>
                    </w:rPr>
                    <w:t>月</w:t>
                  </w:r>
                  <w:r>
                    <w:rPr>
                      <w:rFonts w:hint="eastAsia" w:ascii="Calibri" w:hAnsi="Calibri"/>
                      <w:b w:val="0"/>
                      <w:bCs/>
                      <w:color w:val="auto"/>
                      <w:sz w:val="21"/>
                      <w:szCs w:val="21"/>
                      <w:lang w:val="en-US" w:eastAsia="zh-CN"/>
                    </w:rPr>
                    <w:t>16</w:t>
                  </w:r>
                  <w:r>
                    <w:rPr>
                      <w:rFonts w:hint="default" w:ascii="Calibri" w:hAnsi="Calibri"/>
                      <w:b w:val="0"/>
                      <w:bCs/>
                      <w:color w:val="auto"/>
                      <w:sz w:val="21"/>
                      <w:szCs w:val="21"/>
                      <w:lang w:val="en-US" w:eastAsia="zh-CN"/>
                    </w:rPr>
                    <w:t>日</w:t>
                  </w:r>
                  <w:r>
                    <w:rPr>
                      <w:rFonts w:hint="eastAsia" w:ascii="Calibri" w:hAnsi="Calibri"/>
                      <w:b w:val="0"/>
                      <w:bCs/>
                      <w:color w:val="auto"/>
                      <w:sz w:val="21"/>
                      <w:szCs w:val="21"/>
                      <w:lang w:val="en-US" w:eastAsia="zh-CN"/>
                    </w:rPr>
                    <w:t>-17日</w:t>
                  </w:r>
                </w:p>
              </w:tc>
              <w:tc>
                <w:tcPr>
                  <w:tcW w:w="1601" w:type="dxa"/>
                  <w:noWrap w:val="0"/>
                  <w:vAlign w:val="center"/>
                </w:tcPr>
                <w:p w14:paraId="25DCDE5D">
                  <w:pPr>
                    <w:pStyle w:val="56"/>
                    <w:jc w:val="center"/>
                    <w:rPr>
                      <w:rFonts w:hint="default" w:ascii="Times New Roman" w:eastAsia="宋体" w:cs="Times New Roman"/>
                      <w:b w:val="0"/>
                      <w:bCs/>
                      <w:color w:val="auto"/>
                      <w:sz w:val="21"/>
                      <w:szCs w:val="21"/>
                      <w:lang w:val="en-US" w:eastAsia="zh-CN"/>
                    </w:rPr>
                  </w:pPr>
                  <w:r>
                    <w:rPr>
                      <w:rFonts w:hint="eastAsia" w:ascii="Times New Roman" w:cs="Times New Roman"/>
                      <w:b w:val="0"/>
                      <w:bCs/>
                      <w:color w:val="auto"/>
                      <w:sz w:val="21"/>
                      <w:szCs w:val="21"/>
                      <w:lang w:val="en-US" w:eastAsia="zh-CN"/>
                    </w:rPr>
                    <w:t>0.221</w:t>
                  </w:r>
                </w:p>
              </w:tc>
              <w:tc>
                <w:tcPr>
                  <w:tcW w:w="1392" w:type="dxa"/>
                  <w:vMerge w:val="continue"/>
                  <w:noWrap w:val="0"/>
                  <w:vAlign w:val="center"/>
                </w:tcPr>
                <w:p w14:paraId="165D10B3">
                  <w:pPr>
                    <w:pStyle w:val="56"/>
                    <w:jc w:val="center"/>
                    <w:rPr>
                      <w:rFonts w:ascii="Times New Roman" w:cs="Times New Roman"/>
                      <w:b w:val="0"/>
                      <w:bCs/>
                      <w:color w:val="auto"/>
                      <w:sz w:val="21"/>
                      <w:szCs w:val="21"/>
                    </w:rPr>
                  </w:pPr>
                </w:p>
              </w:tc>
              <w:tc>
                <w:tcPr>
                  <w:tcW w:w="2035" w:type="dxa"/>
                  <w:noWrap w:val="0"/>
                  <w:vAlign w:val="center"/>
                </w:tcPr>
                <w:p w14:paraId="31CBE17C">
                  <w:pPr>
                    <w:autoSpaceDE w:val="0"/>
                    <w:autoSpaceDN w:val="0"/>
                    <w:adjustRightInd w:val="0"/>
                    <w:jc w:val="center"/>
                    <w:rPr>
                      <w:rFonts w:hint="default" w:eastAsia="宋体"/>
                      <w:b w:val="0"/>
                      <w:bCs/>
                      <w:color w:val="auto"/>
                      <w:szCs w:val="21"/>
                      <w:lang w:val="en-US" w:eastAsia="zh-CN"/>
                    </w:rPr>
                  </w:pPr>
                  <w:r>
                    <w:rPr>
                      <w:rFonts w:hint="eastAsia"/>
                      <w:b w:val="0"/>
                      <w:bCs/>
                      <w:color w:val="auto"/>
                      <w:szCs w:val="21"/>
                      <w:lang w:val="en-US" w:eastAsia="zh-CN"/>
                    </w:rPr>
                    <w:t>73.7%</w:t>
                  </w:r>
                </w:p>
              </w:tc>
              <w:tc>
                <w:tcPr>
                  <w:tcW w:w="1024" w:type="dxa"/>
                  <w:noWrap w:val="0"/>
                  <w:vAlign w:val="center"/>
                </w:tcPr>
                <w:p w14:paraId="36B47475">
                  <w:pPr>
                    <w:autoSpaceDE w:val="0"/>
                    <w:autoSpaceDN w:val="0"/>
                    <w:adjustRightInd w:val="0"/>
                    <w:jc w:val="center"/>
                    <w:rPr>
                      <w:b w:val="0"/>
                      <w:bCs/>
                      <w:color w:val="auto"/>
                      <w:szCs w:val="21"/>
                    </w:rPr>
                  </w:pPr>
                  <w:r>
                    <w:rPr>
                      <w:rFonts w:hint="eastAsia"/>
                      <w:b w:val="0"/>
                      <w:bCs/>
                      <w:color w:val="auto"/>
                      <w:szCs w:val="21"/>
                    </w:rPr>
                    <w:t>达标</w:t>
                  </w:r>
                </w:p>
              </w:tc>
            </w:tr>
            <w:tr w14:paraId="0894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vMerge w:val="continue"/>
                  <w:noWrap w:val="0"/>
                  <w:vAlign w:val="center"/>
                </w:tcPr>
                <w:p w14:paraId="05DB8069">
                  <w:pPr>
                    <w:pStyle w:val="56"/>
                    <w:jc w:val="center"/>
                    <w:rPr>
                      <w:rFonts w:ascii="Times New Roman" w:cs="Times New Roman"/>
                      <w:b w:val="0"/>
                      <w:bCs/>
                      <w:color w:val="auto"/>
                      <w:sz w:val="21"/>
                      <w:szCs w:val="21"/>
                    </w:rPr>
                  </w:pPr>
                </w:p>
              </w:tc>
              <w:tc>
                <w:tcPr>
                  <w:tcW w:w="1387" w:type="dxa"/>
                  <w:noWrap w:val="0"/>
                  <w:vAlign w:val="center"/>
                </w:tcPr>
                <w:p w14:paraId="66C566E4">
                  <w:pPr>
                    <w:jc w:val="center"/>
                    <w:rPr>
                      <w:b w:val="0"/>
                      <w:bCs/>
                      <w:color w:val="auto"/>
                      <w:szCs w:val="21"/>
                    </w:rPr>
                  </w:pPr>
                  <w:r>
                    <w:rPr>
                      <w:rFonts w:hint="eastAsia"/>
                      <w:lang w:val="en-US" w:eastAsia="zh-CN"/>
                    </w:rPr>
                    <w:t>2024年</w:t>
                  </w:r>
                  <w:r>
                    <w:rPr>
                      <w:rFonts w:hint="eastAsia"/>
                      <w:b w:val="0"/>
                      <w:bCs/>
                      <w:color w:val="auto"/>
                      <w:szCs w:val="21"/>
                      <w:lang w:val="en-US" w:eastAsia="zh-CN"/>
                    </w:rPr>
                    <w:t>9月17日</w:t>
                  </w:r>
                  <w:r>
                    <w:rPr>
                      <w:rFonts w:hint="eastAsia" w:ascii="Calibri" w:hAnsi="Calibri"/>
                      <w:b w:val="0"/>
                      <w:bCs/>
                      <w:color w:val="auto"/>
                      <w:sz w:val="21"/>
                      <w:szCs w:val="21"/>
                      <w:lang w:val="en-US" w:eastAsia="zh-CN"/>
                    </w:rPr>
                    <w:t>-18日</w:t>
                  </w:r>
                </w:p>
              </w:tc>
              <w:tc>
                <w:tcPr>
                  <w:tcW w:w="1601" w:type="dxa"/>
                  <w:noWrap w:val="0"/>
                  <w:vAlign w:val="center"/>
                </w:tcPr>
                <w:p w14:paraId="5A7CB18D">
                  <w:pPr>
                    <w:pStyle w:val="56"/>
                    <w:jc w:val="center"/>
                    <w:rPr>
                      <w:rFonts w:hint="default" w:ascii="Times New Roman" w:eastAsia="宋体" w:cs="Times New Roman"/>
                      <w:b w:val="0"/>
                      <w:bCs/>
                      <w:color w:val="auto"/>
                      <w:sz w:val="21"/>
                      <w:szCs w:val="21"/>
                      <w:lang w:val="en-US" w:eastAsia="zh-CN"/>
                    </w:rPr>
                  </w:pPr>
                  <w:r>
                    <w:rPr>
                      <w:rFonts w:hint="eastAsia" w:ascii="Times New Roman" w:cs="Times New Roman"/>
                      <w:b w:val="0"/>
                      <w:bCs/>
                      <w:color w:val="auto"/>
                      <w:sz w:val="21"/>
                      <w:szCs w:val="21"/>
                      <w:lang w:val="en-US" w:eastAsia="zh-CN"/>
                    </w:rPr>
                    <w:t>0.223</w:t>
                  </w:r>
                </w:p>
              </w:tc>
              <w:tc>
                <w:tcPr>
                  <w:tcW w:w="1392" w:type="dxa"/>
                  <w:vMerge w:val="continue"/>
                  <w:noWrap w:val="0"/>
                  <w:vAlign w:val="center"/>
                </w:tcPr>
                <w:p w14:paraId="6323BF8A">
                  <w:pPr>
                    <w:pStyle w:val="56"/>
                    <w:jc w:val="center"/>
                    <w:rPr>
                      <w:rFonts w:ascii="Times New Roman" w:cs="Times New Roman"/>
                      <w:b w:val="0"/>
                      <w:bCs/>
                      <w:color w:val="auto"/>
                      <w:sz w:val="21"/>
                      <w:szCs w:val="21"/>
                    </w:rPr>
                  </w:pPr>
                </w:p>
              </w:tc>
              <w:tc>
                <w:tcPr>
                  <w:tcW w:w="2035" w:type="dxa"/>
                  <w:noWrap w:val="0"/>
                  <w:vAlign w:val="center"/>
                </w:tcPr>
                <w:p w14:paraId="3EF2DF7F">
                  <w:pPr>
                    <w:autoSpaceDE w:val="0"/>
                    <w:autoSpaceDN w:val="0"/>
                    <w:adjustRightInd w:val="0"/>
                    <w:jc w:val="center"/>
                    <w:rPr>
                      <w:rFonts w:hint="default" w:eastAsia="宋体"/>
                      <w:b w:val="0"/>
                      <w:bCs/>
                      <w:color w:val="auto"/>
                      <w:szCs w:val="21"/>
                      <w:lang w:val="en-US" w:eastAsia="zh-CN"/>
                    </w:rPr>
                  </w:pPr>
                  <w:r>
                    <w:rPr>
                      <w:rFonts w:hint="eastAsia"/>
                      <w:b w:val="0"/>
                      <w:bCs/>
                      <w:color w:val="auto"/>
                      <w:szCs w:val="21"/>
                      <w:lang w:val="en-US" w:eastAsia="zh-CN"/>
                    </w:rPr>
                    <w:t>74.3%</w:t>
                  </w:r>
                </w:p>
              </w:tc>
              <w:tc>
                <w:tcPr>
                  <w:tcW w:w="1024" w:type="dxa"/>
                  <w:noWrap w:val="0"/>
                  <w:vAlign w:val="center"/>
                </w:tcPr>
                <w:p w14:paraId="4D955FD5">
                  <w:pPr>
                    <w:autoSpaceDE w:val="0"/>
                    <w:autoSpaceDN w:val="0"/>
                    <w:adjustRightInd w:val="0"/>
                    <w:jc w:val="center"/>
                    <w:rPr>
                      <w:b w:val="0"/>
                      <w:bCs/>
                      <w:color w:val="auto"/>
                      <w:szCs w:val="21"/>
                    </w:rPr>
                  </w:pPr>
                  <w:r>
                    <w:rPr>
                      <w:rFonts w:hint="eastAsia"/>
                      <w:b w:val="0"/>
                      <w:bCs/>
                      <w:color w:val="auto"/>
                      <w:szCs w:val="21"/>
                    </w:rPr>
                    <w:t>达标</w:t>
                  </w:r>
                </w:p>
              </w:tc>
            </w:tr>
          </w:tbl>
          <w:p w14:paraId="627232A4">
            <w:pPr>
              <w:keepNext w:val="0"/>
              <w:keepLines w:val="0"/>
              <w:pageBreakBefore w:val="0"/>
              <w:widowControl w:val="0"/>
              <w:kinsoku/>
              <w:wordWrap/>
              <w:overflowPunct/>
              <w:topLinePunct w:val="0"/>
              <w:bidi w:val="0"/>
              <w:snapToGrid/>
              <w:spacing w:line="520" w:lineRule="exact"/>
              <w:ind w:firstLine="480" w:firstLineChars="200"/>
              <w:textAlignment w:val="auto"/>
              <w:rPr>
                <w:rFonts w:hint="default" w:ascii="Times New Roman" w:hAnsi="Times New Roman" w:cs="Times New Roman"/>
                <w:b/>
                <w:sz w:val="24"/>
                <w:szCs w:val="24"/>
              </w:rPr>
            </w:pPr>
            <w:r>
              <w:rPr>
                <w:rFonts w:hint="eastAsia" w:ascii="宋体" w:hAnsi="宋体" w:eastAsia="宋体" w:cs="宋体"/>
                <w:color w:val="auto"/>
                <w:sz w:val="24"/>
                <w:szCs w:val="24"/>
              </w:rPr>
              <w:t>根据特征污染物补充监测数据结果，项目所在区域</w:t>
            </w:r>
            <w:r>
              <w:rPr>
                <w:rFonts w:hint="eastAsia" w:ascii="宋体" w:hAnsi="宋体" w:eastAsia="宋体" w:cs="宋体"/>
                <w:sz w:val="24"/>
                <w:szCs w:val="24"/>
                <w:lang w:val="en-US" w:eastAsia="zh-CN"/>
              </w:rPr>
              <w:t>TSP</w:t>
            </w:r>
            <w:r>
              <w:rPr>
                <w:rFonts w:hint="eastAsia" w:ascii="宋体" w:hAnsi="宋体" w:eastAsia="宋体" w:cs="宋体"/>
                <w:color w:val="auto"/>
                <w:sz w:val="24"/>
                <w:szCs w:val="24"/>
              </w:rPr>
              <w:t>最大浓度占标率范围在</w:t>
            </w:r>
            <w:r>
              <w:rPr>
                <w:rFonts w:hint="eastAsia" w:ascii="宋体" w:hAnsi="宋体" w:eastAsia="宋体" w:cs="宋体"/>
                <w:color w:val="auto"/>
                <w:sz w:val="24"/>
                <w:szCs w:val="24"/>
                <w:lang w:eastAsia="zh-CN"/>
              </w:rPr>
              <w:t>73.7％—76.3％</w:t>
            </w:r>
            <w:r>
              <w:rPr>
                <w:rFonts w:hint="eastAsia" w:ascii="宋体" w:hAnsi="宋体" w:eastAsia="宋体" w:cs="宋体"/>
                <w:color w:val="auto"/>
                <w:sz w:val="24"/>
                <w:szCs w:val="24"/>
              </w:rPr>
              <w:t>，满足《环境空气质量标准》（GB3095-2026）过渡阶段浓度限值中二级标准</w:t>
            </w:r>
            <w:r>
              <w:rPr>
                <w:rFonts w:hint="eastAsia" w:ascii="宋体" w:hAnsi="宋体" w:cs="宋体"/>
                <w:color w:val="auto"/>
                <w:sz w:val="24"/>
                <w:szCs w:val="24"/>
                <w:lang w:eastAsia="zh-CN"/>
              </w:rPr>
              <w:t>。</w:t>
            </w:r>
          </w:p>
          <w:p w14:paraId="19800B01">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cs="Times New Roman"/>
                <w:b/>
                <w:sz w:val="24"/>
              </w:rPr>
            </w:pPr>
            <w:r>
              <w:rPr>
                <w:rFonts w:hint="default" w:ascii="Times New Roman" w:hAnsi="Times New Roman" w:cs="Times New Roman"/>
                <w:b/>
                <w:sz w:val="24"/>
              </w:rPr>
              <w:t>二、地表水环境质量现状调查与评价</w:t>
            </w:r>
            <w:bookmarkStart w:id="3" w:name="_Toc396385923"/>
            <w:bookmarkStart w:id="4" w:name="_Toc329596219"/>
          </w:p>
          <w:bookmarkEnd w:id="3"/>
          <w:bookmarkEnd w:id="4"/>
          <w:p w14:paraId="74A343C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firstLine="480" w:firstLineChars="200"/>
              <w:textAlignment w:val="auto"/>
              <w:rPr>
                <w:rFonts w:hint="eastAsia" w:ascii="Times New Roman" w:hAnsi="Times New Roman" w:eastAsia="宋体" w:cs="Times New Roman"/>
                <w:caps w:val="0"/>
                <w:smallCaps w:val="0"/>
                <w:color w:val="auto"/>
                <w:spacing w:val="0"/>
                <w:w w:val="100"/>
                <w:kern w:val="2"/>
                <w:position w:val="0"/>
                <w:sz w:val="24"/>
                <w:highlight w:val="none"/>
                <w:lang w:val="en-US" w:eastAsia="zh-CN"/>
              </w:rPr>
            </w:pPr>
            <w:r>
              <w:rPr>
                <w:rFonts w:hint="eastAsia" w:ascii="Times New Roman" w:hAnsi="Times New Roman" w:eastAsia="宋体" w:cs="Times New Roman"/>
                <w:caps w:val="0"/>
                <w:smallCaps w:val="0"/>
                <w:color w:val="auto"/>
                <w:spacing w:val="0"/>
                <w:w w:val="100"/>
                <w:kern w:val="2"/>
                <w:position w:val="0"/>
                <w:sz w:val="24"/>
                <w:highlight w:val="none"/>
                <w:lang w:val="en-US" w:eastAsia="zh-CN"/>
              </w:rPr>
              <w:t>根据《2024年巴音郭楞蒙古自治州生态环境状况公报》可知：2024年，全州地表水监测的31个考核断面（点位）中，Ⅰ~Ⅲ类优良水质断面（点位）占比90.3%，无Ⅳ类水质。6条主要河流19个监测断面中Ⅰ~Ⅲ类优良水质断面占100%，3个重要湖泊（水库）12个监测点位中Ⅰ~Ⅲ类优良水质断面占75%，无劣Ⅴ类水体，湖泊水质影响因子为化学需氧量。</w:t>
            </w:r>
          </w:p>
          <w:p w14:paraId="643804E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bCs/>
                <w:sz w:val="24"/>
                <w:szCs w:val="20"/>
              </w:rPr>
            </w:pPr>
            <w:r>
              <w:rPr>
                <w:rFonts w:hint="default" w:ascii="Times New Roman" w:hAnsi="Times New Roman" w:eastAsia="宋体" w:cs="Times New Roman"/>
                <w:caps w:val="0"/>
                <w:smallCaps w:val="0"/>
                <w:color w:val="auto"/>
                <w:spacing w:val="0"/>
                <w:w w:val="100"/>
                <w:kern w:val="2"/>
                <w:position w:val="0"/>
                <w:sz w:val="24"/>
                <w:highlight w:val="none"/>
                <w:lang w:val="en-US" w:eastAsia="zh-CN"/>
              </w:rPr>
              <w:t>本项目</w:t>
            </w:r>
            <w:r>
              <w:rPr>
                <w:rFonts w:hint="eastAsia" w:ascii="Times New Roman" w:hAnsi="Times New Roman" w:eastAsia="宋体" w:cs="Times New Roman"/>
                <w:caps w:val="0"/>
                <w:smallCaps w:val="0"/>
                <w:color w:val="auto"/>
                <w:spacing w:val="0"/>
                <w:w w:val="100"/>
                <w:kern w:val="2"/>
                <w:position w:val="0"/>
                <w:sz w:val="24"/>
                <w:highlight w:val="none"/>
                <w:lang w:val="en-US" w:eastAsia="zh-CN"/>
              </w:rPr>
              <w:t>最近地表水为迪那河</w:t>
            </w:r>
            <w:r>
              <w:rPr>
                <w:rFonts w:hint="default" w:ascii="Times New Roman" w:hAnsi="Times New Roman" w:cs="Times New Roman"/>
                <w:b w:val="0"/>
                <w:bCs w:val="0"/>
                <w:caps w:val="0"/>
                <w:smallCaps w:val="0"/>
                <w:color w:val="auto"/>
                <w:spacing w:val="0"/>
                <w:w w:val="100"/>
                <w:kern w:val="2"/>
                <w:position w:val="0"/>
                <w:sz w:val="24"/>
                <w:szCs w:val="24"/>
                <w:highlight w:val="none"/>
                <w:lang w:eastAsia="zh-CN"/>
              </w:rPr>
              <w:t>，</w:t>
            </w:r>
            <w:r>
              <w:rPr>
                <w:rFonts w:hint="eastAsia" w:ascii="Calibri" w:hAnsi="Calibri" w:eastAsia="宋体" w:cs="宋体"/>
                <w:kern w:val="0"/>
                <w:sz w:val="24"/>
                <w:szCs w:val="24"/>
                <w:lang w:val="en-US" w:eastAsia="zh-CN"/>
              </w:rPr>
              <w:t>迪那河</w:t>
            </w:r>
            <w:r>
              <w:rPr>
                <w:rFonts w:hint="default" w:ascii="Calibri" w:hAnsi="Calibri" w:eastAsia="宋体" w:cs="宋体"/>
                <w:kern w:val="0"/>
                <w:sz w:val="24"/>
                <w:szCs w:val="24"/>
                <w:lang w:val="en-US" w:eastAsia="zh-CN"/>
              </w:rPr>
              <w:t>执行《地表水环境质量标准》（GB3838-2002）Ⅱ类标准，</w:t>
            </w:r>
            <w:r>
              <w:rPr>
                <w:rFonts w:hint="eastAsia" w:ascii="Calibri" w:hAnsi="Calibri" w:eastAsia="宋体" w:cs="宋体"/>
                <w:kern w:val="0"/>
                <w:sz w:val="24"/>
                <w:szCs w:val="24"/>
                <w:lang w:val="en-US" w:eastAsia="zh-CN"/>
              </w:rPr>
              <w:t>迪那河</w:t>
            </w:r>
            <w:r>
              <w:rPr>
                <w:rFonts w:hint="default" w:ascii="Calibri" w:hAnsi="Calibri" w:eastAsia="宋体" w:cs="宋体"/>
                <w:kern w:val="0"/>
                <w:sz w:val="24"/>
                <w:szCs w:val="24"/>
                <w:lang w:val="en-US" w:eastAsia="zh-CN"/>
              </w:rPr>
              <w:t>水环境质量满足Ⅱ类标准</w:t>
            </w:r>
            <w:r>
              <w:rPr>
                <w:rFonts w:hint="default" w:ascii="Times New Roman" w:hAnsi="Times New Roman" w:cs="Times New Roman"/>
                <w:bCs/>
                <w:sz w:val="24"/>
                <w:szCs w:val="20"/>
              </w:rPr>
              <w:t>。</w:t>
            </w:r>
          </w:p>
          <w:p w14:paraId="4F834B29">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cs="Times New Roman"/>
                <w:b/>
                <w:sz w:val="24"/>
                <w:szCs w:val="20"/>
              </w:rPr>
            </w:pPr>
            <w:r>
              <w:rPr>
                <w:rFonts w:hint="default" w:ascii="Times New Roman" w:hAnsi="Times New Roman" w:cs="Times New Roman"/>
                <w:b/>
                <w:sz w:val="24"/>
                <w:szCs w:val="20"/>
              </w:rPr>
              <w:t>三、声环境状况调查与评价</w:t>
            </w:r>
          </w:p>
          <w:p w14:paraId="75A5BEC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本项目50米范围内不涉及以居住、医疗卫生、文化教育、科研、行政办公为主要功能的区域，故不开展现状调查。</w:t>
            </w:r>
          </w:p>
          <w:p w14:paraId="12818DA4">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cs="Times New Roman"/>
                <w:b/>
                <w:sz w:val="24"/>
                <w:szCs w:val="20"/>
              </w:rPr>
            </w:pPr>
            <w:r>
              <w:rPr>
                <w:rFonts w:hint="eastAsia" w:ascii="Times New Roman" w:hAnsi="Times New Roman" w:cs="Times New Roman"/>
                <w:b/>
                <w:sz w:val="24"/>
                <w:szCs w:val="20"/>
                <w:lang w:val="en-US" w:eastAsia="zh-CN"/>
              </w:rPr>
              <w:t>四</w:t>
            </w:r>
            <w:r>
              <w:rPr>
                <w:rFonts w:hint="default" w:ascii="Times New Roman" w:hAnsi="Times New Roman" w:cs="Times New Roman"/>
                <w:b/>
                <w:sz w:val="24"/>
                <w:szCs w:val="20"/>
              </w:rPr>
              <w:t>、地下水环境质量现状</w:t>
            </w:r>
          </w:p>
          <w:p w14:paraId="0223BB3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bCs/>
                <w:sz w:val="24"/>
              </w:rPr>
            </w:pPr>
            <w:r>
              <w:rPr>
                <w:rFonts w:hint="eastAsia" w:ascii="Times New Roman" w:hAnsi="Times New Roman" w:eastAsia="宋体" w:cs="Times New Roman"/>
                <w:color w:val="auto"/>
                <w:sz w:val="24"/>
              </w:rPr>
              <w:t>根据《建设项目环境影响评价报告表编制技术指南（污染影响类）（试行）》，本项目在采取防渗措施后可杜绝地下水污染途径，因此本项目不存在地下水污染途径</w:t>
            </w:r>
            <w:r>
              <w:rPr>
                <w:rFonts w:hint="default" w:ascii="Times New Roman" w:hAnsi="Times New Roman" w:cs="Times New Roman"/>
                <w:bCs/>
                <w:sz w:val="24"/>
              </w:rPr>
              <w:t>。</w:t>
            </w:r>
          </w:p>
          <w:p w14:paraId="403F77F3">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cs="Times New Roman"/>
                <w:b/>
                <w:bCs/>
                <w:sz w:val="24"/>
                <w:szCs w:val="20"/>
              </w:rPr>
            </w:pPr>
            <w:r>
              <w:rPr>
                <w:rFonts w:hint="eastAsia" w:ascii="Times New Roman" w:hAnsi="Times New Roman" w:cs="Times New Roman"/>
                <w:b/>
                <w:bCs/>
                <w:sz w:val="24"/>
                <w:szCs w:val="20"/>
                <w:lang w:val="en-US" w:eastAsia="zh-CN"/>
              </w:rPr>
              <w:t>五</w:t>
            </w:r>
            <w:r>
              <w:rPr>
                <w:rFonts w:hint="default" w:ascii="Times New Roman" w:hAnsi="Times New Roman" w:cs="Times New Roman"/>
                <w:b/>
                <w:bCs/>
                <w:sz w:val="24"/>
                <w:szCs w:val="20"/>
              </w:rPr>
              <w:t>、土壤环境质量现状</w:t>
            </w:r>
          </w:p>
          <w:p w14:paraId="2B18991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bCs/>
                <w:sz w:val="24"/>
                <w:szCs w:val="20"/>
              </w:rPr>
            </w:pPr>
            <w:r>
              <w:rPr>
                <w:rFonts w:hint="eastAsia"/>
                <w:bCs/>
                <w:sz w:val="24"/>
                <w:szCs w:val="20"/>
              </w:rPr>
              <w:t>根据《建设项目环境影响评价报告表编制技术指南（污染影响类）（试行）》，本项目在采取防渗措施后可杜绝土壤污染途径，因此本项目不存在土壤污染途径</w:t>
            </w:r>
            <w:r>
              <w:rPr>
                <w:rFonts w:hint="default" w:ascii="Times New Roman" w:hAnsi="Times New Roman" w:cs="Times New Roman"/>
                <w:bCs/>
                <w:sz w:val="24"/>
                <w:szCs w:val="20"/>
              </w:rPr>
              <w:t>。</w:t>
            </w:r>
          </w:p>
          <w:p w14:paraId="27039158">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Times New Roman" w:hAnsi="Times New Roman" w:eastAsia="宋体" w:cs="Times New Roman"/>
                <w:b/>
                <w:bCs/>
                <w:sz w:val="24"/>
                <w:szCs w:val="20"/>
              </w:rPr>
            </w:pPr>
            <w:r>
              <w:rPr>
                <w:rFonts w:hint="eastAsia" w:ascii="Times New Roman" w:hAnsi="Times New Roman" w:eastAsia="宋体" w:cs="Times New Roman"/>
                <w:b/>
                <w:bCs/>
                <w:sz w:val="24"/>
                <w:szCs w:val="20"/>
                <w:lang w:val="en-US" w:eastAsia="zh-CN"/>
              </w:rPr>
              <w:t>六</w:t>
            </w:r>
            <w:r>
              <w:rPr>
                <w:rFonts w:hint="eastAsia" w:ascii="Times New Roman" w:hAnsi="Times New Roman" w:eastAsia="宋体" w:cs="Times New Roman"/>
                <w:b/>
                <w:bCs/>
                <w:sz w:val="24"/>
                <w:szCs w:val="20"/>
              </w:rPr>
              <w:t>、生态环境现状评价</w:t>
            </w:r>
          </w:p>
          <w:p w14:paraId="1CDEC12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ascii="宋体" w:hAnsi="宋体" w:cs="宋体"/>
                <w:kern w:val="0"/>
                <w:szCs w:val="21"/>
              </w:rPr>
            </w:pPr>
            <w:r>
              <w:rPr>
                <w:rFonts w:hint="eastAsia"/>
                <w:sz w:val="24"/>
              </w:rPr>
              <w:t>根据《建设项目环境影响报告表编制技术指南（污染影响类）（试行）》要求，产业园区外建设项目新增用地且用地范围内含有生态环境保护目标时，应进行生态现状调查，本项目位于规划的工业园区内，可不开展生态现状调查</w:t>
            </w:r>
            <w:r>
              <w:rPr>
                <w:sz w:val="24"/>
              </w:rPr>
              <w:t>。</w:t>
            </w:r>
          </w:p>
        </w:tc>
      </w:tr>
      <w:tr w14:paraId="70B45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451" w:type="dxa"/>
            <w:noWrap w:val="0"/>
            <w:vAlign w:val="center"/>
          </w:tcPr>
          <w:p w14:paraId="57A7807D">
            <w:pPr>
              <w:adjustRightInd w:val="0"/>
              <w:snapToGrid w:val="0"/>
              <w:jc w:val="center"/>
              <w:rPr>
                <w:rFonts w:hint="eastAsia" w:ascii="宋体" w:hAnsi="宋体" w:cs="宋体"/>
                <w:kern w:val="0"/>
                <w:szCs w:val="21"/>
              </w:rPr>
            </w:pPr>
            <w:r>
              <w:rPr>
                <w:rFonts w:hint="eastAsia" w:ascii="宋体" w:hAnsi="宋体" w:cs="宋体"/>
                <w:kern w:val="0"/>
                <w:szCs w:val="21"/>
              </w:rPr>
              <w:t>环境</w:t>
            </w:r>
          </w:p>
          <w:p w14:paraId="6AC7FF70">
            <w:pPr>
              <w:adjustRightInd w:val="0"/>
              <w:snapToGrid w:val="0"/>
              <w:jc w:val="center"/>
              <w:rPr>
                <w:rFonts w:hint="eastAsia" w:ascii="宋体" w:hAnsi="宋体" w:cs="宋体"/>
                <w:kern w:val="0"/>
                <w:szCs w:val="21"/>
              </w:rPr>
            </w:pPr>
            <w:r>
              <w:rPr>
                <w:rFonts w:hint="eastAsia" w:ascii="宋体" w:hAnsi="宋体" w:cs="宋体"/>
                <w:kern w:val="0"/>
                <w:szCs w:val="21"/>
              </w:rPr>
              <w:t>保护</w:t>
            </w:r>
          </w:p>
          <w:p w14:paraId="4118D7B3">
            <w:pPr>
              <w:adjustRightInd w:val="0"/>
              <w:snapToGrid w:val="0"/>
              <w:jc w:val="center"/>
              <w:rPr>
                <w:rFonts w:hint="eastAsia" w:ascii="宋体" w:hAnsi="宋体" w:cs="宋体"/>
                <w:kern w:val="0"/>
                <w:szCs w:val="21"/>
              </w:rPr>
            </w:pPr>
            <w:r>
              <w:rPr>
                <w:rFonts w:hint="eastAsia" w:ascii="宋体" w:hAnsi="宋体" w:cs="宋体"/>
                <w:kern w:val="0"/>
                <w:szCs w:val="21"/>
              </w:rPr>
              <w:t>目标</w:t>
            </w:r>
          </w:p>
        </w:tc>
        <w:tc>
          <w:tcPr>
            <w:tcW w:w="8539" w:type="dxa"/>
            <w:noWrap w:val="0"/>
            <w:vAlign w:val="center"/>
          </w:tcPr>
          <w:p w14:paraId="5E5984A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b/>
                <w:sz w:val="24"/>
                <w:szCs w:val="24"/>
              </w:rPr>
            </w:pPr>
            <w:r>
              <w:rPr>
                <w:rFonts w:hint="eastAsia"/>
                <w:b/>
                <w:sz w:val="24"/>
                <w:szCs w:val="24"/>
              </w:rPr>
              <w:t>主要环境保护目标：</w:t>
            </w:r>
          </w:p>
          <w:p w14:paraId="5A10B1B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b/>
                <w:sz w:val="24"/>
                <w:szCs w:val="24"/>
              </w:rPr>
            </w:pPr>
            <w:r>
              <w:rPr>
                <w:rFonts w:hint="eastAsia"/>
                <w:b/>
                <w:sz w:val="24"/>
                <w:szCs w:val="24"/>
                <w:lang w:eastAsia="zh-CN"/>
              </w:rPr>
              <w:t>1.</w:t>
            </w:r>
            <w:r>
              <w:rPr>
                <w:b/>
                <w:sz w:val="24"/>
                <w:szCs w:val="24"/>
              </w:rPr>
              <w:t>大气环境</w:t>
            </w:r>
          </w:p>
          <w:p w14:paraId="44AE3FC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bCs/>
                <w:sz w:val="24"/>
                <w:szCs w:val="24"/>
              </w:rPr>
            </w:pPr>
            <w:r>
              <w:rPr>
                <w:rFonts w:hint="eastAsia"/>
                <w:sz w:val="24"/>
                <w:szCs w:val="24"/>
              </w:rPr>
              <w:t>本项目厂界外500米范围内无自然保护区、风景名胜区、居住区、文化区和农村地区中人群较集中的区域等保护目标</w:t>
            </w:r>
            <w:r>
              <w:rPr>
                <w:sz w:val="24"/>
                <w:szCs w:val="24"/>
              </w:rPr>
              <w:t>。</w:t>
            </w:r>
          </w:p>
          <w:p w14:paraId="3C1B0F6F">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b/>
                <w:sz w:val="24"/>
                <w:szCs w:val="24"/>
              </w:rPr>
            </w:pPr>
            <w:r>
              <w:rPr>
                <w:rFonts w:hint="eastAsia"/>
                <w:b/>
                <w:sz w:val="24"/>
                <w:szCs w:val="24"/>
                <w:lang w:eastAsia="zh-CN"/>
              </w:rPr>
              <w:t>2.</w:t>
            </w:r>
            <w:r>
              <w:rPr>
                <w:b/>
                <w:sz w:val="24"/>
                <w:szCs w:val="24"/>
              </w:rPr>
              <w:t>声环境</w:t>
            </w:r>
          </w:p>
          <w:p w14:paraId="6E0014B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bCs/>
                <w:sz w:val="24"/>
                <w:szCs w:val="24"/>
              </w:rPr>
            </w:pPr>
            <w:r>
              <w:rPr>
                <w:rFonts w:hint="eastAsia"/>
                <w:bCs/>
                <w:sz w:val="24"/>
                <w:szCs w:val="24"/>
              </w:rPr>
              <w:t>本项目厂界外50米范围内无声环境保护目标</w:t>
            </w:r>
            <w:r>
              <w:rPr>
                <w:bCs/>
                <w:sz w:val="24"/>
                <w:szCs w:val="24"/>
              </w:rPr>
              <w:t>。</w:t>
            </w:r>
          </w:p>
          <w:p w14:paraId="4F898B9F">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b/>
                <w:sz w:val="24"/>
                <w:szCs w:val="24"/>
              </w:rPr>
            </w:pPr>
            <w:r>
              <w:rPr>
                <w:rFonts w:hint="eastAsia"/>
                <w:b/>
                <w:sz w:val="24"/>
                <w:szCs w:val="24"/>
                <w:lang w:val="en-US" w:eastAsia="zh-CN"/>
              </w:rPr>
              <w:t>3</w:t>
            </w:r>
            <w:r>
              <w:rPr>
                <w:rFonts w:hint="eastAsia"/>
                <w:b/>
                <w:sz w:val="24"/>
                <w:szCs w:val="24"/>
                <w:lang w:eastAsia="zh-CN"/>
              </w:rPr>
              <w:t>.</w:t>
            </w:r>
            <w:r>
              <w:rPr>
                <w:b/>
                <w:sz w:val="24"/>
                <w:szCs w:val="24"/>
              </w:rPr>
              <w:t>地下水环境</w:t>
            </w:r>
          </w:p>
          <w:p w14:paraId="1E624F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bCs/>
                <w:sz w:val="24"/>
                <w:szCs w:val="24"/>
              </w:rPr>
            </w:pPr>
            <w:r>
              <w:rPr>
                <w:bCs/>
                <w:sz w:val="24"/>
                <w:szCs w:val="24"/>
              </w:rPr>
              <w:t>本项目厂界外500m范围内无地下水集中式使用水水源和热水、矿泉水、温泉等特殊地下水资源。</w:t>
            </w:r>
          </w:p>
          <w:p w14:paraId="3333E6FC">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b/>
                <w:sz w:val="24"/>
                <w:szCs w:val="24"/>
              </w:rPr>
            </w:pPr>
            <w:r>
              <w:rPr>
                <w:rFonts w:hint="eastAsia"/>
                <w:b/>
                <w:sz w:val="24"/>
                <w:szCs w:val="24"/>
                <w:lang w:val="en-US" w:eastAsia="zh-CN"/>
              </w:rPr>
              <w:t>4</w:t>
            </w:r>
            <w:r>
              <w:rPr>
                <w:rFonts w:hint="eastAsia"/>
                <w:b/>
                <w:sz w:val="24"/>
                <w:szCs w:val="24"/>
                <w:lang w:eastAsia="zh-CN"/>
              </w:rPr>
              <w:t>.</w:t>
            </w:r>
            <w:r>
              <w:rPr>
                <w:b/>
                <w:sz w:val="24"/>
                <w:szCs w:val="24"/>
              </w:rPr>
              <w:t>生态环境</w:t>
            </w:r>
          </w:p>
          <w:p w14:paraId="21F56E7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ascii="宋体" w:hAnsi="宋体" w:cs="宋体"/>
                <w:kern w:val="0"/>
                <w:szCs w:val="21"/>
              </w:rPr>
            </w:pPr>
            <w:r>
              <w:rPr>
                <w:bCs/>
                <w:sz w:val="24"/>
                <w:szCs w:val="24"/>
              </w:rPr>
              <w:t>本项目位于</w:t>
            </w:r>
            <w:r>
              <w:rPr>
                <w:rFonts w:hint="eastAsia" w:ascii="Times New Roman" w:hAnsi="Times New Roman" w:cs="Times New Roman"/>
                <w:bCs/>
                <w:sz w:val="24"/>
                <w:szCs w:val="24"/>
                <w:lang w:eastAsia="zh-CN"/>
              </w:rPr>
              <w:t>新疆巴州轮台县红桥石油服务区内</w:t>
            </w:r>
            <w:r>
              <w:rPr>
                <w:bCs/>
                <w:sz w:val="24"/>
                <w:szCs w:val="24"/>
              </w:rPr>
              <w:t>，</w:t>
            </w:r>
            <w:r>
              <w:rPr>
                <w:rFonts w:hint="eastAsia" w:ascii="Times New Roman" w:hAnsi="Times New Roman" w:eastAsia="宋体" w:cs="Times New Roman"/>
                <w:sz w:val="24"/>
                <w:szCs w:val="24"/>
              </w:rPr>
              <w:t>项目用地范围内无生态环境保护目标</w:t>
            </w:r>
            <w:r>
              <w:rPr>
                <w:rFonts w:hint="default" w:ascii="Times New Roman" w:hAnsi="Times New Roman" w:cs="Times New Roman"/>
                <w:bCs/>
                <w:sz w:val="24"/>
                <w:szCs w:val="24"/>
              </w:rPr>
              <w:t>。</w:t>
            </w:r>
          </w:p>
        </w:tc>
      </w:tr>
      <w:tr w14:paraId="3A044E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451" w:type="dxa"/>
            <w:noWrap w:val="0"/>
            <w:tcMar>
              <w:left w:w="28" w:type="dxa"/>
              <w:right w:w="28" w:type="dxa"/>
            </w:tcMar>
            <w:vAlign w:val="center"/>
          </w:tcPr>
          <w:p w14:paraId="498AD36F">
            <w:pPr>
              <w:adjustRightInd w:val="0"/>
              <w:snapToGrid w:val="0"/>
              <w:jc w:val="center"/>
              <w:rPr>
                <w:rFonts w:hint="eastAsia" w:ascii="宋体" w:hAnsi="宋体" w:cs="宋体"/>
                <w:kern w:val="0"/>
                <w:szCs w:val="21"/>
              </w:rPr>
            </w:pPr>
            <w:r>
              <w:rPr>
                <w:rFonts w:hint="eastAsia" w:ascii="宋体" w:hAnsi="宋体" w:cs="宋体"/>
                <w:kern w:val="0"/>
                <w:szCs w:val="21"/>
              </w:rPr>
              <w:t>污染</w:t>
            </w:r>
          </w:p>
          <w:p w14:paraId="34C6D57B">
            <w:pPr>
              <w:adjustRightInd w:val="0"/>
              <w:snapToGrid w:val="0"/>
              <w:jc w:val="center"/>
              <w:rPr>
                <w:rFonts w:hint="eastAsia" w:ascii="宋体" w:hAnsi="宋体" w:cs="宋体"/>
                <w:kern w:val="0"/>
                <w:szCs w:val="21"/>
              </w:rPr>
            </w:pPr>
            <w:r>
              <w:rPr>
                <w:rFonts w:hint="eastAsia" w:ascii="宋体" w:hAnsi="宋体" w:cs="宋体"/>
                <w:kern w:val="0"/>
                <w:szCs w:val="21"/>
              </w:rPr>
              <w:t>物排</w:t>
            </w:r>
          </w:p>
          <w:p w14:paraId="6AEF4F2C">
            <w:pPr>
              <w:adjustRightInd w:val="0"/>
              <w:snapToGrid w:val="0"/>
              <w:jc w:val="center"/>
              <w:rPr>
                <w:rFonts w:hint="eastAsia" w:ascii="宋体" w:hAnsi="宋体" w:cs="宋体"/>
                <w:kern w:val="0"/>
                <w:szCs w:val="21"/>
              </w:rPr>
            </w:pPr>
            <w:r>
              <w:rPr>
                <w:rFonts w:hint="eastAsia" w:ascii="宋体" w:hAnsi="宋体" w:cs="宋体"/>
                <w:kern w:val="0"/>
                <w:szCs w:val="21"/>
              </w:rPr>
              <w:t>放控</w:t>
            </w:r>
          </w:p>
          <w:p w14:paraId="7432012C">
            <w:pPr>
              <w:adjustRightInd w:val="0"/>
              <w:snapToGrid w:val="0"/>
              <w:jc w:val="center"/>
              <w:rPr>
                <w:rFonts w:hint="eastAsia" w:ascii="宋体" w:hAnsi="宋体" w:cs="宋体"/>
                <w:kern w:val="0"/>
                <w:szCs w:val="21"/>
              </w:rPr>
            </w:pPr>
            <w:r>
              <w:rPr>
                <w:rFonts w:hint="eastAsia" w:ascii="宋体" w:hAnsi="宋体" w:cs="宋体"/>
                <w:kern w:val="0"/>
                <w:szCs w:val="21"/>
              </w:rPr>
              <w:t>制标</w:t>
            </w:r>
          </w:p>
          <w:p w14:paraId="46E20938">
            <w:pPr>
              <w:adjustRightInd w:val="0"/>
              <w:snapToGrid w:val="0"/>
              <w:jc w:val="center"/>
              <w:rPr>
                <w:rFonts w:ascii="宋体" w:hAnsi="宋体" w:cs="宋体"/>
                <w:kern w:val="0"/>
                <w:szCs w:val="21"/>
              </w:rPr>
            </w:pPr>
            <w:r>
              <w:rPr>
                <w:rFonts w:hint="eastAsia" w:ascii="宋体" w:hAnsi="宋体" w:cs="宋体"/>
                <w:kern w:val="0"/>
                <w:szCs w:val="21"/>
              </w:rPr>
              <w:t>准</w:t>
            </w:r>
          </w:p>
        </w:tc>
        <w:tc>
          <w:tcPr>
            <w:tcW w:w="8539" w:type="dxa"/>
            <w:noWrap w:val="0"/>
            <w:vAlign w:val="center"/>
          </w:tcPr>
          <w:p w14:paraId="6594876A">
            <w:pPr>
              <w:widowControl/>
              <w:spacing w:line="520" w:lineRule="exact"/>
              <w:ind w:firstLine="482" w:firstLineChars="200"/>
              <w:jc w:val="left"/>
              <w:rPr>
                <w:rFonts w:hint="eastAsia"/>
                <w:b/>
                <w:bCs/>
                <w:sz w:val="24"/>
              </w:rPr>
            </w:pPr>
            <w:r>
              <w:rPr>
                <w:rFonts w:hint="eastAsia"/>
                <w:b/>
                <w:bCs/>
                <w:sz w:val="24"/>
                <w:lang w:eastAsia="zh-CN"/>
              </w:rPr>
              <w:t>1.</w:t>
            </w:r>
            <w:r>
              <w:rPr>
                <w:b/>
                <w:bCs/>
                <w:sz w:val="24"/>
              </w:rPr>
              <w:t>大气污染物排放标准</w:t>
            </w:r>
          </w:p>
          <w:p w14:paraId="0AA496D6">
            <w:pPr>
              <w:widowControl/>
              <w:spacing w:line="520" w:lineRule="exact"/>
              <w:ind w:firstLine="480" w:firstLineChars="200"/>
              <w:jc w:val="left"/>
              <w:rPr>
                <w:rFonts w:hint="eastAsia" w:eastAsia="宋体"/>
                <w:sz w:val="24"/>
                <w:lang w:eastAsia="zh-CN"/>
              </w:rPr>
            </w:pPr>
            <w:r>
              <w:rPr>
                <w:rFonts w:hint="eastAsia"/>
                <w:sz w:val="24"/>
              </w:rPr>
              <w:t>施工期扬尘执行《大气污染物综合排放标准》（GB16297-1996）表2规定的浓度限值</w:t>
            </w:r>
            <w:r>
              <w:rPr>
                <w:rFonts w:hint="eastAsia"/>
                <w:sz w:val="24"/>
                <w:lang w:eastAsia="zh-CN"/>
              </w:rPr>
              <w:t>。</w:t>
            </w:r>
          </w:p>
          <w:p w14:paraId="35F73443">
            <w:pPr>
              <w:widowControl/>
              <w:spacing w:line="520" w:lineRule="exact"/>
              <w:ind w:firstLine="480" w:firstLineChars="200"/>
              <w:jc w:val="left"/>
              <w:rPr>
                <w:rFonts w:hint="eastAsia" w:eastAsia="宋体"/>
                <w:sz w:val="24"/>
                <w:lang w:eastAsia="zh-CN"/>
              </w:rPr>
            </w:pPr>
            <w:r>
              <w:rPr>
                <w:rFonts w:hint="eastAsia"/>
                <w:sz w:val="24"/>
              </w:rPr>
              <w:t>项目运营</w:t>
            </w:r>
            <w:r>
              <w:rPr>
                <w:rFonts w:hint="eastAsia"/>
                <w:sz w:val="24"/>
                <w:lang w:val="en-US" w:eastAsia="zh-CN"/>
              </w:rPr>
              <w:t>吹膜、涂胶烘干工序</w:t>
            </w:r>
            <w:r>
              <w:rPr>
                <w:rFonts w:hint="eastAsia"/>
                <w:sz w:val="24"/>
              </w:rPr>
              <w:t>产生的</w:t>
            </w:r>
            <w:r>
              <w:rPr>
                <w:rFonts w:hint="eastAsia"/>
                <w:sz w:val="24"/>
                <w:lang w:val="en-US" w:eastAsia="zh-CN"/>
              </w:rPr>
              <w:t>非甲烷总烃废气</w:t>
            </w:r>
            <w:r>
              <w:rPr>
                <w:rFonts w:hint="eastAsia"/>
                <w:sz w:val="24"/>
              </w:rPr>
              <w:t>执行《合成树脂工业污染物排放标准》（GB</w:t>
            </w:r>
            <w:r>
              <w:rPr>
                <w:rFonts w:hint="eastAsia"/>
                <w:sz w:val="24"/>
                <w:lang w:val="en-US" w:eastAsia="zh-CN"/>
              </w:rPr>
              <w:t xml:space="preserve"> </w:t>
            </w:r>
            <w:r>
              <w:rPr>
                <w:rFonts w:hint="eastAsia"/>
                <w:sz w:val="24"/>
              </w:rPr>
              <w:t>31572-2015</w:t>
            </w:r>
            <w:r>
              <w:rPr>
                <w:rFonts w:hint="eastAsia"/>
                <w:sz w:val="24"/>
                <w:lang w:eastAsia="zh-CN"/>
              </w:rPr>
              <w:t>，含2024年第1号修改单</w:t>
            </w:r>
            <w:r>
              <w:rPr>
                <w:rFonts w:hint="eastAsia"/>
                <w:sz w:val="24"/>
              </w:rPr>
              <w:t>）中的表4、表9的限值要求</w:t>
            </w:r>
            <w:r>
              <w:rPr>
                <w:rFonts w:hint="eastAsia"/>
                <w:sz w:val="24"/>
                <w:lang w:eastAsia="zh-CN"/>
              </w:rPr>
              <w:t>，</w:t>
            </w:r>
            <w:r>
              <w:rPr>
                <w:rFonts w:hint="eastAsia"/>
                <w:sz w:val="24"/>
                <w:lang w:val="en-US" w:eastAsia="zh-CN"/>
              </w:rPr>
              <w:t>吹膜、涂胶烘干</w:t>
            </w:r>
            <w:r>
              <w:rPr>
                <w:rFonts w:hint="eastAsia"/>
                <w:sz w:val="24"/>
              </w:rPr>
              <w:t>工序无组织、有组织排放的臭气</w:t>
            </w:r>
            <w:r>
              <w:rPr>
                <w:rFonts w:hint="eastAsia"/>
                <w:sz w:val="24"/>
                <w:lang w:val="en-US" w:eastAsia="zh-CN"/>
              </w:rPr>
              <w:t>浓度</w:t>
            </w:r>
            <w:r>
              <w:rPr>
                <w:rFonts w:hint="eastAsia"/>
                <w:sz w:val="24"/>
              </w:rPr>
              <w:t>分别执行《恶臭污染物排放标准》（GB14554-93）表1、表2标准限值</w:t>
            </w:r>
            <w:r>
              <w:rPr>
                <w:rFonts w:hint="eastAsia"/>
                <w:sz w:val="24"/>
                <w:lang w:eastAsia="zh-CN"/>
              </w:rPr>
              <w:t>。厂区内非甲烷总烃无组织排放标准执行《挥发性有机物无组织排放控制标准》（GB37822-2019）表A.1厂区内VOCs无组织排放限值。</w:t>
            </w:r>
          </w:p>
          <w:p w14:paraId="2F8B9C21">
            <w:pPr>
              <w:widowControl/>
              <w:spacing w:line="520" w:lineRule="exact"/>
              <w:ind w:firstLine="480" w:firstLineChars="200"/>
              <w:jc w:val="left"/>
              <w:rPr>
                <w:rFonts w:hint="eastAsia" w:eastAsia="宋体"/>
                <w:sz w:val="24"/>
                <w:lang w:eastAsia="zh-CN"/>
              </w:rPr>
            </w:pPr>
            <w:r>
              <w:rPr>
                <w:rFonts w:hint="eastAsia"/>
                <w:sz w:val="24"/>
                <w:lang w:eastAsia="zh-CN"/>
              </w:rPr>
              <w:t>厂界无组织排放的非甲烷总烃、颗粒物排放执行《合成树脂工业污染物排放标准》（GB</w:t>
            </w:r>
            <w:r>
              <w:rPr>
                <w:rFonts w:hint="eastAsia"/>
                <w:sz w:val="24"/>
                <w:lang w:val="en-US" w:eastAsia="zh-CN"/>
              </w:rPr>
              <w:t xml:space="preserve"> </w:t>
            </w:r>
            <w:r>
              <w:rPr>
                <w:rFonts w:hint="eastAsia"/>
                <w:sz w:val="24"/>
                <w:lang w:eastAsia="zh-CN"/>
              </w:rPr>
              <w:t>31572-2015，含2024年第1号修改单）表9中无组织排放监控浓度限值。</w:t>
            </w:r>
          </w:p>
          <w:p w14:paraId="34388756">
            <w:pPr>
              <w:widowControl/>
              <w:spacing w:line="520" w:lineRule="exact"/>
              <w:ind w:firstLine="480" w:firstLineChars="200"/>
              <w:jc w:val="left"/>
              <w:rPr>
                <w:rFonts w:hint="eastAsia"/>
                <w:sz w:val="24"/>
              </w:rPr>
            </w:pPr>
            <w:r>
              <w:rPr>
                <w:rFonts w:hint="eastAsia"/>
                <w:sz w:val="24"/>
              </w:rPr>
              <w:t>食堂产生的油烟</w:t>
            </w:r>
            <w:r>
              <w:rPr>
                <w:rFonts w:hint="eastAsia"/>
                <w:color w:val="000000"/>
                <w:kern w:val="0"/>
                <w:sz w:val="24"/>
                <w:lang w:val="en-US" w:eastAsia="zh-CN"/>
              </w:rPr>
              <w:t>执行</w:t>
            </w:r>
            <w:r>
              <w:rPr>
                <w:color w:val="000000"/>
                <w:kern w:val="0"/>
                <w:sz w:val="24"/>
              </w:rPr>
              <w:t>安装去除效率不小于</w:t>
            </w:r>
            <w:r>
              <w:rPr>
                <w:rFonts w:hint="eastAsia"/>
                <w:color w:val="000000"/>
                <w:kern w:val="0"/>
                <w:sz w:val="24"/>
                <w:lang w:val="en-US" w:eastAsia="zh-CN"/>
              </w:rPr>
              <w:t>75</w:t>
            </w:r>
            <w:r>
              <w:rPr>
                <w:color w:val="000000"/>
                <w:kern w:val="0"/>
                <w:sz w:val="24"/>
              </w:rPr>
              <w:t>％的油烟净化器（</w:t>
            </w:r>
            <w:r>
              <w:rPr>
                <w:rFonts w:hint="eastAsia"/>
                <w:color w:val="000000"/>
                <w:kern w:val="0"/>
                <w:sz w:val="24"/>
                <w:lang w:val="en-US" w:eastAsia="zh-CN"/>
              </w:rPr>
              <w:t>中型</w:t>
            </w:r>
            <w:r>
              <w:rPr>
                <w:color w:val="000000"/>
                <w:kern w:val="0"/>
                <w:sz w:val="24"/>
              </w:rPr>
              <w:t>规模饮食业单位）后，执行《饮食业油烟排放标准》</w:t>
            </w:r>
            <w:r>
              <w:rPr>
                <w:rFonts w:hint="eastAsia"/>
                <w:color w:val="000000"/>
                <w:kern w:val="0"/>
                <w:sz w:val="24"/>
                <w:lang w:eastAsia="zh-CN"/>
              </w:rPr>
              <w:t>（</w:t>
            </w:r>
            <w:r>
              <w:rPr>
                <w:color w:val="000000"/>
                <w:kern w:val="0"/>
                <w:sz w:val="24"/>
              </w:rPr>
              <w:t>GB18483-2001</w:t>
            </w:r>
            <w:r>
              <w:rPr>
                <w:rFonts w:hint="eastAsia"/>
                <w:color w:val="000000"/>
                <w:kern w:val="0"/>
                <w:sz w:val="24"/>
                <w:lang w:eastAsia="zh-CN"/>
              </w:rPr>
              <w:t>）</w:t>
            </w:r>
            <w:r>
              <w:rPr>
                <w:color w:val="000000"/>
                <w:kern w:val="0"/>
                <w:sz w:val="24"/>
              </w:rPr>
              <w:t>中“饮食业单位的油烟最高允许排放浓度”即2.0mg/m</w:t>
            </w:r>
            <w:r>
              <w:rPr>
                <w:color w:val="000000"/>
                <w:kern w:val="0"/>
                <w:sz w:val="24"/>
                <w:vertAlign w:val="superscript"/>
              </w:rPr>
              <w:t>3</w:t>
            </w:r>
            <w:r>
              <w:rPr>
                <w:rFonts w:hint="eastAsia"/>
                <w:sz w:val="24"/>
              </w:rPr>
              <w:t>。</w:t>
            </w:r>
          </w:p>
          <w:p w14:paraId="3DB7C64A">
            <w:pPr>
              <w:spacing w:line="520" w:lineRule="exact"/>
              <w:jc w:val="center"/>
              <w:rPr>
                <w:rFonts w:hint="default" w:ascii="Times New Roman" w:hAnsi="Times New Roman" w:eastAsia="宋体" w:cs="Times New Roman"/>
                <w:b/>
                <w:sz w:val="24"/>
              </w:rPr>
            </w:pPr>
            <w:r>
              <w:rPr>
                <w:rFonts w:hint="default" w:ascii="Times New Roman" w:hAnsi="Times New Roman" w:eastAsia="宋体" w:cs="Times New Roman"/>
                <w:b/>
                <w:sz w:val="24"/>
                <w:lang w:val="en-US" w:eastAsia="zh-CN"/>
              </w:rPr>
              <w:t>表</w:t>
            </w:r>
            <w:r>
              <w:rPr>
                <w:rFonts w:hint="eastAsia" w:ascii="Times New Roman" w:hAnsi="Times New Roman" w:eastAsia="宋体" w:cs="Times New Roman"/>
                <w:b/>
                <w:sz w:val="24"/>
                <w:lang w:val="en-US" w:eastAsia="zh-CN"/>
              </w:rPr>
              <w:t>3-</w:t>
            </w:r>
            <w:r>
              <w:rPr>
                <w:rFonts w:hint="eastAsia" w:cs="Times New Roman"/>
                <w:b/>
                <w:sz w:val="24"/>
                <w:lang w:val="en-US" w:eastAsia="zh-CN"/>
              </w:rPr>
              <w:t xml:space="preserve">1 </w:t>
            </w:r>
            <w:r>
              <w:rPr>
                <w:rFonts w:hint="eastAsia" w:ascii="Times New Roman" w:hAnsi="Times New Roman" w:eastAsia="宋体" w:cs="Times New Roman"/>
                <w:b/>
                <w:sz w:val="24"/>
                <w:lang w:val="en-US" w:eastAsia="zh-CN"/>
              </w:rPr>
              <w:t xml:space="preserve"> </w:t>
            </w:r>
            <w:r>
              <w:rPr>
                <w:rFonts w:hint="default" w:ascii="Times New Roman" w:hAnsi="Times New Roman" w:eastAsia="宋体" w:cs="Times New Roman"/>
                <w:b/>
                <w:sz w:val="24"/>
                <w:lang w:val="en-US" w:eastAsia="zh-CN"/>
              </w:rPr>
              <w:t xml:space="preserve"> 合成树脂工业污染物排放标准</w:t>
            </w:r>
          </w:p>
          <w:tbl>
            <w:tblPr>
              <w:tblStyle w:val="24"/>
              <w:tblW w:w="8310" w:type="dxa"/>
              <w:tblInd w:w="0" w:type="dxa"/>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119"/>
              <w:gridCol w:w="1586"/>
              <w:gridCol w:w="1683"/>
              <w:gridCol w:w="1313"/>
              <w:gridCol w:w="2609"/>
            </w:tblGrid>
            <w:tr w14:paraId="03CB725D">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CellMar>
                  <w:top w:w="0" w:type="dxa"/>
                  <w:left w:w="108" w:type="dxa"/>
                  <w:bottom w:w="0" w:type="dxa"/>
                  <w:right w:w="108" w:type="dxa"/>
                </w:tblCellMar>
              </w:tblPrEx>
              <w:trPr>
                <w:trHeight w:val="957" w:hRule="atLeast"/>
              </w:trPr>
              <w:tc>
                <w:tcPr>
                  <w:tcW w:w="1119" w:type="dxa"/>
                  <w:tcBorders>
                    <w:tl2br w:val="nil"/>
                    <w:tr2bl w:val="nil"/>
                  </w:tcBorders>
                  <w:noWrap w:val="0"/>
                  <w:vAlign w:val="center"/>
                </w:tcPr>
                <w:p w14:paraId="7CE4F60E">
                  <w:pPr>
                    <w:pStyle w:val="11"/>
                    <w:spacing w:after="0"/>
                    <w:ind w:left="0" w:leftChars="0" w:rightChars="0"/>
                    <w:jc w:val="center"/>
                    <w:rPr>
                      <w:rFonts w:hint="default"/>
                      <w:color w:val="auto"/>
                      <w:sz w:val="21"/>
                      <w:szCs w:val="21"/>
                      <w:highlight w:val="none"/>
                    </w:rPr>
                  </w:pPr>
                  <w:r>
                    <w:rPr>
                      <w:rFonts w:hint="default"/>
                      <w:color w:val="auto"/>
                      <w:sz w:val="21"/>
                      <w:szCs w:val="21"/>
                      <w:highlight w:val="none"/>
                    </w:rPr>
                    <w:t>污染物</w:t>
                  </w:r>
                </w:p>
              </w:tc>
              <w:tc>
                <w:tcPr>
                  <w:tcW w:w="1586" w:type="dxa"/>
                  <w:tcBorders>
                    <w:tl2br w:val="nil"/>
                    <w:tr2bl w:val="nil"/>
                  </w:tcBorders>
                  <w:noWrap w:val="0"/>
                  <w:vAlign w:val="center"/>
                </w:tcPr>
                <w:p w14:paraId="56BF4412">
                  <w:pPr>
                    <w:pStyle w:val="11"/>
                    <w:spacing w:after="0"/>
                    <w:ind w:left="0" w:leftChars="0" w:rightChars="0"/>
                    <w:jc w:val="center"/>
                    <w:rPr>
                      <w:rFonts w:hint="default"/>
                      <w:color w:val="auto"/>
                      <w:sz w:val="21"/>
                      <w:szCs w:val="21"/>
                      <w:highlight w:val="none"/>
                      <w:lang w:val="en-US" w:eastAsia="zh-CN"/>
                    </w:rPr>
                  </w:pPr>
                  <w:r>
                    <w:rPr>
                      <w:rFonts w:hint="eastAsia"/>
                      <w:color w:val="auto"/>
                      <w:sz w:val="21"/>
                      <w:szCs w:val="21"/>
                      <w:highlight w:val="none"/>
                      <w:lang w:val="en-US" w:eastAsia="zh-CN"/>
                    </w:rPr>
                    <w:t>有组织排放</w:t>
                  </w:r>
                  <w:r>
                    <w:rPr>
                      <w:rFonts w:hint="default"/>
                      <w:color w:val="auto"/>
                      <w:sz w:val="21"/>
                      <w:szCs w:val="21"/>
                      <w:highlight w:val="none"/>
                    </w:rPr>
                    <w:t>限值mg/m</w:t>
                  </w:r>
                  <w:r>
                    <w:rPr>
                      <w:rFonts w:hint="default"/>
                      <w:color w:val="auto"/>
                      <w:sz w:val="21"/>
                      <w:szCs w:val="21"/>
                      <w:highlight w:val="none"/>
                      <w:vertAlign w:val="superscript"/>
                    </w:rPr>
                    <w:t>3</w:t>
                  </w:r>
                </w:p>
              </w:tc>
              <w:tc>
                <w:tcPr>
                  <w:tcW w:w="1683" w:type="dxa"/>
                  <w:vMerge w:val="restart"/>
                  <w:tcBorders>
                    <w:tl2br w:val="nil"/>
                    <w:tr2bl w:val="nil"/>
                  </w:tcBorders>
                  <w:noWrap w:val="0"/>
                  <w:vAlign w:val="center"/>
                </w:tcPr>
                <w:p w14:paraId="675D4F54">
                  <w:pPr>
                    <w:pStyle w:val="11"/>
                    <w:spacing w:after="0"/>
                    <w:ind w:left="0" w:leftChars="0" w:rightChars="0"/>
                    <w:jc w:val="center"/>
                    <w:rPr>
                      <w:rFonts w:hint="default"/>
                      <w:color w:val="auto"/>
                      <w:sz w:val="21"/>
                      <w:szCs w:val="21"/>
                      <w:highlight w:val="none"/>
                      <w:lang w:val="en-US" w:eastAsia="zh-CN"/>
                    </w:rPr>
                  </w:pPr>
                  <w:r>
                    <w:rPr>
                      <w:rFonts w:hint="eastAsia"/>
                      <w:color w:val="auto"/>
                      <w:sz w:val="21"/>
                      <w:szCs w:val="21"/>
                      <w:highlight w:val="none"/>
                      <w:lang w:val="en-US" w:eastAsia="zh-CN"/>
                    </w:rPr>
                    <w:t>污染物排放监控位置</w:t>
                  </w:r>
                </w:p>
              </w:tc>
              <w:tc>
                <w:tcPr>
                  <w:tcW w:w="1313" w:type="dxa"/>
                  <w:tcBorders>
                    <w:tl2br w:val="nil"/>
                    <w:tr2bl w:val="nil"/>
                  </w:tcBorders>
                  <w:noWrap w:val="0"/>
                  <w:vAlign w:val="center"/>
                </w:tcPr>
                <w:p w14:paraId="2B36B3BF">
                  <w:pPr>
                    <w:pStyle w:val="11"/>
                    <w:spacing w:after="0"/>
                    <w:ind w:left="0" w:leftChars="0" w:rightChars="0"/>
                    <w:jc w:val="center"/>
                    <w:rPr>
                      <w:rFonts w:hint="default"/>
                      <w:color w:val="auto"/>
                      <w:sz w:val="21"/>
                      <w:szCs w:val="21"/>
                      <w:highlight w:val="none"/>
                      <w:lang w:val="en-US" w:eastAsia="zh-CN"/>
                    </w:rPr>
                  </w:pPr>
                  <w:r>
                    <w:rPr>
                      <w:rFonts w:hint="eastAsia"/>
                      <w:color w:val="auto"/>
                      <w:sz w:val="21"/>
                      <w:szCs w:val="21"/>
                      <w:highlight w:val="none"/>
                      <w:lang w:val="en-US" w:eastAsia="zh-CN"/>
                    </w:rPr>
                    <w:t>无组织排放限值</w:t>
                  </w:r>
                </w:p>
              </w:tc>
              <w:tc>
                <w:tcPr>
                  <w:tcW w:w="2609" w:type="dxa"/>
                  <w:vMerge w:val="restart"/>
                  <w:tcBorders>
                    <w:tl2br w:val="nil"/>
                    <w:tr2bl w:val="nil"/>
                  </w:tcBorders>
                  <w:noWrap w:val="0"/>
                  <w:vAlign w:val="center"/>
                </w:tcPr>
                <w:p w14:paraId="141F8D98">
                  <w:pPr>
                    <w:pStyle w:val="11"/>
                    <w:spacing w:after="0"/>
                    <w:ind w:left="0" w:leftChars="0" w:rightChars="0"/>
                    <w:jc w:val="center"/>
                    <w:rPr>
                      <w:rFonts w:hint="default"/>
                      <w:color w:val="auto"/>
                      <w:sz w:val="21"/>
                      <w:szCs w:val="21"/>
                      <w:highlight w:val="none"/>
                    </w:rPr>
                  </w:pPr>
                  <w:r>
                    <w:rPr>
                      <w:rFonts w:hint="default"/>
                      <w:color w:val="auto"/>
                      <w:sz w:val="21"/>
                      <w:szCs w:val="21"/>
                      <w:highlight w:val="none"/>
                    </w:rPr>
                    <w:t>标准来源</w:t>
                  </w:r>
                </w:p>
              </w:tc>
            </w:tr>
            <w:tr w14:paraId="314D8397">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CellMar>
                  <w:top w:w="0" w:type="dxa"/>
                  <w:left w:w="108" w:type="dxa"/>
                  <w:bottom w:w="0" w:type="dxa"/>
                  <w:right w:w="108" w:type="dxa"/>
                </w:tblCellMar>
              </w:tblPrEx>
              <w:trPr>
                <w:trHeight w:val="342" w:hRule="atLeast"/>
              </w:trPr>
              <w:tc>
                <w:tcPr>
                  <w:tcW w:w="1119" w:type="dxa"/>
                  <w:tcBorders>
                    <w:tl2br w:val="nil"/>
                    <w:tr2bl w:val="nil"/>
                  </w:tcBorders>
                  <w:noWrap w:val="0"/>
                  <w:vAlign w:val="center"/>
                </w:tcPr>
                <w:p w14:paraId="40681A0E">
                  <w:pPr>
                    <w:pStyle w:val="11"/>
                    <w:spacing w:after="0"/>
                    <w:ind w:left="0" w:leftChars="0" w:rightChars="0"/>
                    <w:jc w:val="center"/>
                    <w:rPr>
                      <w:rFonts w:hint="default"/>
                      <w:color w:val="auto"/>
                      <w:sz w:val="21"/>
                      <w:szCs w:val="21"/>
                      <w:highlight w:val="none"/>
                    </w:rPr>
                  </w:pPr>
                  <w:r>
                    <w:rPr>
                      <w:rFonts w:hint="default"/>
                      <w:color w:val="auto"/>
                      <w:sz w:val="21"/>
                      <w:szCs w:val="21"/>
                      <w:highlight w:val="none"/>
                    </w:rPr>
                    <w:t>颗粒物</w:t>
                  </w:r>
                </w:p>
              </w:tc>
              <w:tc>
                <w:tcPr>
                  <w:tcW w:w="1586" w:type="dxa"/>
                  <w:tcBorders>
                    <w:tl2br w:val="nil"/>
                    <w:tr2bl w:val="nil"/>
                  </w:tcBorders>
                  <w:noWrap w:val="0"/>
                  <w:vAlign w:val="center"/>
                </w:tcPr>
                <w:p w14:paraId="3870FE5D">
                  <w:pPr>
                    <w:pStyle w:val="11"/>
                    <w:spacing w:after="0"/>
                    <w:ind w:left="0" w:leftChars="0" w:right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c>
                <w:tcPr>
                  <w:tcW w:w="1683" w:type="dxa"/>
                  <w:vMerge w:val="restart"/>
                  <w:tcBorders>
                    <w:tl2br w:val="nil"/>
                    <w:tr2bl w:val="nil"/>
                  </w:tcBorders>
                  <w:noWrap w:val="0"/>
                  <w:vAlign w:val="center"/>
                </w:tcPr>
                <w:p w14:paraId="35B6B740">
                  <w:pPr>
                    <w:pStyle w:val="11"/>
                    <w:spacing w:after="0"/>
                    <w:ind w:left="0" w:leftChars="0" w:rightChars="0"/>
                    <w:jc w:val="center"/>
                    <w:rPr>
                      <w:rFonts w:hint="default"/>
                      <w:color w:val="auto"/>
                      <w:sz w:val="21"/>
                      <w:szCs w:val="21"/>
                      <w:highlight w:val="none"/>
                      <w:lang w:val="en-US" w:eastAsia="zh-CN"/>
                    </w:rPr>
                  </w:pPr>
                  <w:r>
                    <w:rPr>
                      <w:rFonts w:hint="default"/>
                      <w:color w:val="auto"/>
                      <w:sz w:val="21"/>
                      <w:szCs w:val="21"/>
                      <w:highlight w:val="none"/>
                      <w:lang w:val="en-US" w:eastAsia="zh-CN"/>
                    </w:rPr>
                    <w:t>车间或生产设施排气筒</w:t>
                  </w:r>
                </w:p>
              </w:tc>
              <w:tc>
                <w:tcPr>
                  <w:tcW w:w="1313" w:type="dxa"/>
                  <w:tcBorders>
                    <w:tl2br w:val="nil"/>
                    <w:tr2bl w:val="nil"/>
                  </w:tcBorders>
                  <w:noWrap w:val="0"/>
                  <w:vAlign w:val="center"/>
                </w:tcPr>
                <w:p w14:paraId="5E09D254">
                  <w:pPr>
                    <w:pStyle w:val="11"/>
                    <w:spacing w:after="0"/>
                    <w:ind w:left="0" w:leftChars="0" w:rightChars="0"/>
                    <w:jc w:val="center"/>
                    <w:rPr>
                      <w:rFonts w:hint="default"/>
                      <w:color w:val="auto"/>
                      <w:sz w:val="21"/>
                      <w:szCs w:val="21"/>
                      <w:highlight w:val="none"/>
                      <w:lang w:val="en-US" w:eastAsia="zh-CN"/>
                    </w:rPr>
                  </w:pPr>
                  <w:r>
                    <w:rPr>
                      <w:rFonts w:hint="eastAsia"/>
                      <w:color w:val="auto"/>
                      <w:sz w:val="21"/>
                      <w:szCs w:val="21"/>
                      <w:highlight w:val="none"/>
                      <w:lang w:val="en-US" w:eastAsia="zh-CN"/>
                    </w:rPr>
                    <w:t>1.0</w:t>
                  </w:r>
                </w:p>
              </w:tc>
              <w:tc>
                <w:tcPr>
                  <w:tcW w:w="2609" w:type="dxa"/>
                  <w:vMerge w:val="restart"/>
                  <w:tcBorders>
                    <w:tl2br w:val="nil"/>
                    <w:tr2bl w:val="nil"/>
                  </w:tcBorders>
                  <w:noWrap w:val="0"/>
                  <w:vAlign w:val="center"/>
                </w:tcPr>
                <w:p w14:paraId="46750992">
                  <w:pPr>
                    <w:pStyle w:val="11"/>
                    <w:spacing w:after="0"/>
                    <w:ind w:left="0" w:leftChars="0" w:rightChars="0"/>
                    <w:jc w:val="center"/>
                    <w:rPr>
                      <w:rFonts w:hint="default"/>
                      <w:color w:val="auto"/>
                      <w:sz w:val="21"/>
                      <w:szCs w:val="21"/>
                      <w:highlight w:val="none"/>
                    </w:rPr>
                  </w:pPr>
                  <w:r>
                    <w:rPr>
                      <w:rFonts w:hint="default"/>
                      <w:color w:val="auto"/>
                      <w:sz w:val="21"/>
                      <w:szCs w:val="21"/>
                      <w:highlight w:val="none"/>
                    </w:rPr>
                    <w:t>《合成树脂工业污染物排放标准》（GB</w:t>
                  </w:r>
                  <w:r>
                    <w:rPr>
                      <w:rFonts w:hint="eastAsia"/>
                      <w:color w:val="auto"/>
                      <w:sz w:val="21"/>
                      <w:szCs w:val="21"/>
                      <w:highlight w:val="none"/>
                      <w:lang w:val="en-US" w:eastAsia="zh-CN"/>
                    </w:rPr>
                    <w:t xml:space="preserve"> </w:t>
                  </w:r>
                  <w:r>
                    <w:rPr>
                      <w:rFonts w:hint="default"/>
                      <w:color w:val="auto"/>
                      <w:sz w:val="21"/>
                      <w:szCs w:val="21"/>
                      <w:highlight w:val="none"/>
                    </w:rPr>
                    <w:t>31572-2015，含2024年第1号修改单）</w:t>
                  </w:r>
                </w:p>
              </w:tc>
            </w:tr>
            <w:tr w14:paraId="55784F0A">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CellMar>
                  <w:top w:w="0" w:type="dxa"/>
                  <w:left w:w="108" w:type="dxa"/>
                  <w:bottom w:w="0" w:type="dxa"/>
                  <w:right w:w="108" w:type="dxa"/>
                </w:tblCellMar>
              </w:tblPrEx>
              <w:tc>
                <w:tcPr>
                  <w:tcW w:w="1119" w:type="dxa"/>
                  <w:tcBorders>
                    <w:tl2br w:val="nil"/>
                    <w:tr2bl w:val="nil"/>
                  </w:tcBorders>
                  <w:noWrap w:val="0"/>
                  <w:vAlign w:val="center"/>
                </w:tcPr>
                <w:p w14:paraId="4385715D">
                  <w:pPr>
                    <w:pStyle w:val="11"/>
                    <w:spacing w:after="0"/>
                    <w:ind w:left="0" w:leftChars="0" w:rightChars="0"/>
                    <w:jc w:val="center"/>
                    <w:rPr>
                      <w:rFonts w:hint="eastAsia" w:eastAsia="宋体"/>
                      <w:color w:val="auto"/>
                      <w:sz w:val="21"/>
                      <w:szCs w:val="21"/>
                      <w:highlight w:val="none"/>
                      <w:lang w:eastAsia="zh-CN"/>
                    </w:rPr>
                  </w:pPr>
                  <w:r>
                    <w:rPr>
                      <w:rFonts w:hint="eastAsia"/>
                      <w:color w:val="auto"/>
                      <w:sz w:val="21"/>
                      <w:szCs w:val="21"/>
                      <w:highlight w:val="none"/>
                      <w:lang w:val="en-US" w:eastAsia="zh-CN"/>
                    </w:rPr>
                    <w:t>非甲烷总烃</w:t>
                  </w:r>
                </w:p>
              </w:tc>
              <w:tc>
                <w:tcPr>
                  <w:tcW w:w="1586" w:type="dxa"/>
                  <w:tcBorders>
                    <w:tl2br w:val="nil"/>
                    <w:tr2bl w:val="nil"/>
                  </w:tcBorders>
                  <w:noWrap w:val="0"/>
                  <w:vAlign w:val="center"/>
                </w:tcPr>
                <w:p w14:paraId="710B5F12">
                  <w:pPr>
                    <w:pStyle w:val="11"/>
                    <w:spacing w:after="0"/>
                    <w:ind w:left="0" w:leftChars="0" w:right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100</w:t>
                  </w:r>
                </w:p>
              </w:tc>
              <w:tc>
                <w:tcPr>
                  <w:tcW w:w="1683" w:type="dxa"/>
                  <w:vMerge w:val="continue"/>
                  <w:tcBorders>
                    <w:tl2br w:val="nil"/>
                    <w:tr2bl w:val="nil"/>
                  </w:tcBorders>
                  <w:noWrap w:val="0"/>
                  <w:vAlign w:val="center"/>
                </w:tcPr>
                <w:p w14:paraId="1060FB09">
                  <w:pPr>
                    <w:pStyle w:val="11"/>
                    <w:spacing w:after="0"/>
                    <w:ind w:left="0" w:leftChars="0" w:rightChars="0"/>
                    <w:jc w:val="center"/>
                    <w:rPr>
                      <w:rFonts w:hint="eastAsia"/>
                      <w:color w:val="auto"/>
                      <w:sz w:val="21"/>
                      <w:szCs w:val="21"/>
                      <w:highlight w:val="none"/>
                      <w:lang w:val="en-US" w:eastAsia="zh-CN"/>
                    </w:rPr>
                  </w:pPr>
                </w:p>
              </w:tc>
              <w:tc>
                <w:tcPr>
                  <w:tcW w:w="1313" w:type="dxa"/>
                  <w:tcBorders>
                    <w:tl2br w:val="nil"/>
                    <w:tr2bl w:val="nil"/>
                  </w:tcBorders>
                  <w:noWrap w:val="0"/>
                  <w:vAlign w:val="center"/>
                </w:tcPr>
                <w:p w14:paraId="461B9D32">
                  <w:pPr>
                    <w:pStyle w:val="11"/>
                    <w:spacing w:after="0"/>
                    <w:ind w:left="0" w:leftChars="0" w:rightChars="0"/>
                    <w:jc w:val="center"/>
                    <w:rPr>
                      <w:rFonts w:hint="default"/>
                      <w:color w:val="auto"/>
                      <w:sz w:val="21"/>
                      <w:szCs w:val="21"/>
                      <w:highlight w:val="none"/>
                      <w:lang w:val="en-US" w:eastAsia="zh-CN"/>
                    </w:rPr>
                  </w:pPr>
                  <w:r>
                    <w:rPr>
                      <w:rFonts w:hint="eastAsia"/>
                      <w:color w:val="auto"/>
                      <w:sz w:val="21"/>
                      <w:szCs w:val="21"/>
                      <w:highlight w:val="none"/>
                      <w:lang w:val="en-US" w:eastAsia="zh-CN"/>
                    </w:rPr>
                    <w:t>4.0</w:t>
                  </w:r>
                </w:p>
              </w:tc>
              <w:tc>
                <w:tcPr>
                  <w:tcW w:w="2609" w:type="dxa"/>
                  <w:vMerge w:val="continue"/>
                  <w:tcBorders>
                    <w:tl2br w:val="nil"/>
                    <w:tr2bl w:val="nil"/>
                  </w:tcBorders>
                  <w:noWrap w:val="0"/>
                  <w:vAlign w:val="center"/>
                </w:tcPr>
                <w:p w14:paraId="61E18FB3">
                  <w:pPr>
                    <w:pStyle w:val="11"/>
                    <w:spacing w:after="0"/>
                    <w:ind w:left="0" w:leftChars="0" w:rightChars="0"/>
                    <w:jc w:val="center"/>
                    <w:rPr>
                      <w:rFonts w:hint="default"/>
                      <w:color w:val="auto"/>
                      <w:sz w:val="21"/>
                      <w:szCs w:val="21"/>
                      <w:highlight w:val="none"/>
                    </w:rPr>
                  </w:pPr>
                </w:p>
              </w:tc>
            </w:tr>
          </w:tbl>
          <w:p w14:paraId="32590B60">
            <w:pPr>
              <w:spacing w:line="520" w:lineRule="exact"/>
              <w:jc w:val="center"/>
              <w:rPr>
                <w:b/>
                <w:sz w:val="24"/>
              </w:rPr>
            </w:pPr>
            <w:r>
              <w:rPr>
                <w:rFonts w:hint="eastAsia"/>
                <w:b/>
                <w:sz w:val="24"/>
              </w:rPr>
              <w:t>表</w:t>
            </w:r>
            <w:r>
              <w:rPr>
                <w:rFonts w:hint="eastAsia"/>
                <w:b/>
                <w:sz w:val="24"/>
                <w:lang w:val="en-US" w:eastAsia="zh-CN"/>
              </w:rPr>
              <w:t xml:space="preserve">3-2 </w:t>
            </w:r>
            <w:r>
              <w:rPr>
                <w:rFonts w:hint="eastAsia"/>
                <w:b/>
                <w:sz w:val="24"/>
              </w:rPr>
              <w:t xml:space="preserve">  厂区内VOCs无组织排放限值</w:t>
            </w:r>
          </w:p>
          <w:tbl>
            <w:tblPr>
              <w:tblStyle w:val="24"/>
              <w:tblW w:w="8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1583"/>
              <w:gridCol w:w="2657"/>
              <w:gridCol w:w="2625"/>
            </w:tblGrid>
            <w:tr w14:paraId="08AF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1" w:type="dxa"/>
                  <w:tcBorders>
                    <w:tl2br w:val="nil"/>
                    <w:tr2bl w:val="nil"/>
                  </w:tcBorders>
                  <w:noWrap w:val="0"/>
                  <w:vAlign w:val="center"/>
                </w:tcPr>
                <w:p w14:paraId="5CA5187B">
                  <w:pPr>
                    <w:spacing w:line="320" w:lineRule="exact"/>
                    <w:jc w:val="center"/>
                    <w:rPr>
                      <w:color w:val="000000"/>
                      <w:szCs w:val="21"/>
                    </w:rPr>
                  </w:pPr>
                  <w:r>
                    <w:rPr>
                      <w:color w:val="000000"/>
                      <w:szCs w:val="21"/>
                    </w:rPr>
                    <w:t>污染物项目</w:t>
                  </w:r>
                </w:p>
              </w:tc>
              <w:tc>
                <w:tcPr>
                  <w:tcW w:w="1583" w:type="dxa"/>
                  <w:tcBorders>
                    <w:tl2br w:val="nil"/>
                    <w:tr2bl w:val="nil"/>
                  </w:tcBorders>
                  <w:noWrap w:val="0"/>
                  <w:vAlign w:val="center"/>
                </w:tcPr>
                <w:p w14:paraId="01E45066">
                  <w:pPr>
                    <w:spacing w:line="320" w:lineRule="exact"/>
                    <w:jc w:val="center"/>
                    <w:rPr>
                      <w:color w:val="000000"/>
                      <w:szCs w:val="21"/>
                    </w:rPr>
                  </w:pPr>
                  <w:r>
                    <w:rPr>
                      <w:rFonts w:hint="eastAsia"/>
                      <w:color w:val="000000"/>
                      <w:szCs w:val="21"/>
                    </w:rPr>
                    <w:t>排放</w:t>
                  </w:r>
                  <w:r>
                    <w:rPr>
                      <w:color w:val="000000"/>
                      <w:szCs w:val="21"/>
                    </w:rPr>
                    <w:t>限值（mg/m</w:t>
                  </w:r>
                  <w:r>
                    <w:rPr>
                      <w:color w:val="000000"/>
                      <w:szCs w:val="21"/>
                      <w:vertAlign w:val="superscript"/>
                    </w:rPr>
                    <w:t>3</w:t>
                  </w:r>
                  <w:r>
                    <w:rPr>
                      <w:color w:val="000000"/>
                      <w:szCs w:val="21"/>
                    </w:rPr>
                    <w:t>）</w:t>
                  </w:r>
                </w:p>
              </w:tc>
              <w:tc>
                <w:tcPr>
                  <w:tcW w:w="2657" w:type="dxa"/>
                  <w:tcBorders>
                    <w:tl2br w:val="nil"/>
                    <w:tr2bl w:val="nil"/>
                  </w:tcBorders>
                  <w:noWrap w:val="0"/>
                  <w:vAlign w:val="center"/>
                </w:tcPr>
                <w:p w14:paraId="27320162">
                  <w:pPr>
                    <w:spacing w:line="320" w:lineRule="exact"/>
                    <w:jc w:val="center"/>
                    <w:rPr>
                      <w:color w:val="000000"/>
                      <w:szCs w:val="21"/>
                    </w:rPr>
                  </w:pPr>
                  <w:r>
                    <w:rPr>
                      <w:rFonts w:hint="eastAsia"/>
                      <w:color w:val="000000"/>
                      <w:szCs w:val="21"/>
                    </w:rPr>
                    <w:t>限值含义</w:t>
                  </w:r>
                </w:p>
              </w:tc>
              <w:tc>
                <w:tcPr>
                  <w:tcW w:w="2625" w:type="dxa"/>
                  <w:tcBorders>
                    <w:tl2br w:val="nil"/>
                    <w:tr2bl w:val="nil"/>
                  </w:tcBorders>
                  <w:noWrap w:val="0"/>
                  <w:vAlign w:val="center"/>
                </w:tcPr>
                <w:p w14:paraId="5036AA66">
                  <w:pPr>
                    <w:jc w:val="center"/>
                    <w:rPr>
                      <w:color w:val="000000"/>
                      <w:szCs w:val="21"/>
                    </w:rPr>
                  </w:pPr>
                  <w:r>
                    <w:rPr>
                      <w:color w:val="000000"/>
                      <w:szCs w:val="21"/>
                    </w:rPr>
                    <w:t>采用标准</w:t>
                  </w:r>
                </w:p>
              </w:tc>
            </w:tr>
            <w:tr w14:paraId="41A3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381" w:type="dxa"/>
                  <w:vMerge w:val="restart"/>
                  <w:tcBorders>
                    <w:tl2br w:val="nil"/>
                    <w:tr2bl w:val="nil"/>
                  </w:tcBorders>
                  <w:noWrap w:val="0"/>
                  <w:vAlign w:val="center"/>
                </w:tcPr>
                <w:p w14:paraId="5731A8C2">
                  <w:pPr>
                    <w:spacing w:line="320" w:lineRule="exact"/>
                    <w:jc w:val="center"/>
                    <w:rPr>
                      <w:color w:val="000000"/>
                      <w:szCs w:val="21"/>
                    </w:rPr>
                  </w:pPr>
                  <w:r>
                    <w:rPr>
                      <w:color w:val="000000"/>
                      <w:szCs w:val="21"/>
                    </w:rPr>
                    <w:t>非甲烷总烃</w:t>
                  </w:r>
                </w:p>
              </w:tc>
              <w:tc>
                <w:tcPr>
                  <w:tcW w:w="1583" w:type="dxa"/>
                  <w:tcBorders>
                    <w:tl2br w:val="nil"/>
                    <w:tr2bl w:val="nil"/>
                  </w:tcBorders>
                  <w:noWrap w:val="0"/>
                  <w:vAlign w:val="center"/>
                </w:tcPr>
                <w:p w14:paraId="78AE5F4E">
                  <w:pPr>
                    <w:spacing w:line="320" w:lineRule="exact"/>
                    <w:jc w:val="center"/>
                    <w:rPr>
                      <w:rFonts w:hint="default" w:eastAsia="宋体"/>
                      <w:color w:val="000000"/>
                      <w:szCs w:val="21"/>
                      <w:lang w:val="en-US" w:eastAsia="zh-CN"/>
                    </w:rPr>
                  </w:pPr>
                  <w:r>
                    <w:rPr>
                      <w:rFonts w:hint="eastAsia"/>
                      <w:color w:val="000000"/>
                      <w:szCs w:val="21"/>
                      <w:lang w:val="en-US" w:eastAsia="zh-CN"/>
                    </w:rPr>
                    <w:t>10</w:t>
                  </w:r>
                </w:p>
              </w:tc>
              <w:tc>
                <w:tcPr>
                  <w:tcW w:w="2657" w:type="dxa"/>
                  <w:tcBorders>
                    <w:tl2br w:val="nil"/>
                    <w:tr2bl w:val="nil"/>
                  </w:tcBorders>
                  <w:noWrap w:val="0"/>
                  <w:vAlign w:val="center"/>
                </w:tcPr>
                <w:p w14:paraId="3195D3A5">
                  <w:pPr>
                    <w:spacing w:line="320" w:lineRule="exact"/>
                    <w:jc w:val="center"/>
                    <w:rPr>
                      <w:color w:val="000000"/>
                      <w:szCs w:val="21"/>
                    </w:rPr>
                  </w:pPr>
                  <w:r>
                    <w:rPr>
                      <w:rFonts w:hint="eastAsia"/>
                      <w:color w:val="000000"/>
                      <w:szCs w:val="21"/>
                    </w:rPr>
                    <w:t>监控处1h平均浓度值</w:t>
                  </w:r>
                </w:p>
              </w:tc>
              <w:tc>
                <w:tcPr>
                  <w:tcW w:w="2625" w:type="dxa"/>
                  <w:vMerge w:val="restart"/>
                  <w:tcBorders>
                    <w:tl2br w:val="nil"/>
                    <w:tr2bl w:val="nil"/>
                  </w:tcBorders>
                  <w:noWrap w:val="0"/>
                  <w:vAlign w:val="center"/>
                </w:tcPr>
                <w:p w14:paraId="5CAC2632">
                  <w:pPr>
                    <w:jc w:val="center"/>
                    <w:rPr>
                      <w:color w:val="000000"/>
                      <w:szCs w:val="21"/>
                    </w:rPr>
                  </w:pPr>
                  <w:r>
                    <w:rPr>
                      <w:color w:val="000000"/>
                      <w:szCs w:val="21"/>
                    </w:rPr>
                    <w:t>《挥发性有机物无组织排放控制标准》（GB 37822—2019）</w:t>
                  </w:r>
                </w:p>
              </w:tc>
            </w:tr>
            <w:tr w14:paraId="4C8E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381" w:type="dxa"/>
                  <w:vMerge w:val="continue"/>
                  <w:tcBorders>
                    <w:tl2br w:val="nil"/>
                    <w:tr2bl w:val="nil"/>
                  </w:tcBorders>
                  <w:noWrap w:val="0"/>
                  <w:vAlign w:val="center"/>
                </w:tcPr>
                <w:p w14:paraId="3CF42A86">
                  <w:pPr>
                    <w:spacing w:line="320" w:lineRule="exact"/>
                    <w:jc w:val="center"/>
                    <w:rPr>
                      <w:color w:val="000000"/>
                      <w:szCs w:val="21"/>
                    </w:rPr>
                  </w:pPr>
                </w:p>
              </w:tc>
              <w:tc>
                <w:tcPr>
                  <w:tcW w:w="1583" w:type="dxa"/>
                  <w:tcBorders>
                    <w:tl2br w:val="nil"/>
                    <w:tr2bl w:val="nil"/>
                  </w:tcBorders>
                  <w:noWrap w:val="0"/>
                  <w:vAlign w:val="center"/>
                </w:tcPr>
                <w:p w14:paraId="37E30890">
                  <w:pPr>
                    <w:spacing w:line="320" w:lineRule="exact"/>
                    <w:jc w:val="center"/>
                    <w:rPr>
                      <w:rFonts w:hint="default" w:eastAsia="宋体"/>
                      <w:color w:val="000000"/>
                      <w:szCs w:val="21"/>
                      <w:lang w:val="en-US" w:eastAsia="zh-CN"/>
                    </w:rPr>
                  </w:pPr>
                  <w:r>
                    <w:rPr>
                      <w:rFonts w:hint="eastAsia"/>
                      <w:color w:val="000000"/>
                      <w:szCs w:val="21"/>
                      <w:lang w:val="en-US" w:eastAsia="zh-CN"/>
                    </w:rPr>
                    <w:t>30</w:t>
                  </w:r>
                </w:p>
              </w:tc>
              <w:tc>
                <w:tcPr>
                  <w:tcW w:w="2657" w:type="dxa"/>
                  <w:tcBorders>
                    <w:tl2br w:val="nil"/>
                    <w:tr2bl w:val="nil"/>
                  </w:tcBorders>
                  <w:noWrap w:val="0"/>
                  <w:vAlign w:val="center"/>
                </w:tcPr>
                <w:p w14:paraId="3808A18D">
                  <w:pPr>
                    <w:spacing w:line="320" w:lineRule="exact"/>
                    <w:jc w:val="center"/>
                    <w:rPr>
                      <w:color w:val="000000"/>
                      <w:szCs w:val="21"/>
                    </w:rPr>
                  </w:pPr>
                  <w:r>
                    <w:rPr>
                      <w:rFonts w:hint="eastAsia"/>
                      <w:color w:val="000000"/>
                      <w:szCs w:val="21"/>
                    </w:rPr>
                    <w:t>监控点处任意一次浓度值</w:t>
                  </w:r>
                </w:p>
              </w:tc>
              <w:tc>
                <w:tcPr>
                  <w:tcW w:w="2625" w:type="dxa"/>
                  <w:vMerge w:val="continue"/>
                  <w:tcBorders>
                    <w:tl2br w:val="nil"/>
                    <w:tr2bl w:val="nil"/>
                  </w:tcBorders>
                  <w:noWrap w:val="0"/>
                  <w:vAlign w:val="center"/>
                </w:tcPr>
                <w:p w14:paraId="7BB56AE7">
                  <w:pPr>
                    <w:spacing w:line="320" w:lineRule="exact"/>
                    <w:jc w:val="center"/>
                    <w:rPr>
                      <w:color w:val="000000"/>
                      <w:szCs w:val="21"/>
                    </w:rPr>
                  </w:pPr>
                </w:p>
              </w:tc>
            </w:tr>
          </w:tbl>
          <w:p w14:paraId="3F3C68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b/>
                <w:bCs/>
                <w:color w:val="auto"/>
                <w:sz w:val="24"/>
              </w:rPr>
            </w:pPr>
          </w:p>
          <w:p w14:paraId="0A3060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b/>
                <w:bCs/>
                <w:color w:val="auto"/>
                <w:sz w:val="24"/>
              </w:rPr>
            </w:pPr>
            <w:r>
              <w:rPr>
                <w:rFonts w:hint="eastAsia" w:ascii="宋体" w:hAnsi="宋体"/>
                <w:b/>
                <w:bCs/>
                <w:color w:val="auto"/>
                <w:sz w:val="24"/>
              </w:rPr>
              <w:t>表</w:t>
            </w:r>
            <w:r>
              <w:rPr>
                <w:rFonts w:hint="eastAsia" w:ascii="宋体" w:hAnsi="宋体"/>
                <w:b/>
                <w:bCs/>
                <w:color w:val="auto"/>
                <w:sz w:val="24"/>
                <w:lang w:val="en-US" w:eastAsia="zh-CN"/>
              </w:rPr>
              <w:t>3-3</w:t>
            </w:r>
            <w:r>
              <w:rPr>
                <w:rFonts w:hint="eastAsia" w:ascii="宋体" w:hAnsi="宋体"/>
                <w:b/>
                <w:bCs/>
                <w:color w:val="auto"/>
                <w:sz w:val="24"/>
              </w:rPr>
              <w:t xml:space="preserve">   </w:t>
            </w:r>
            <w:r>
              <w:rPr>
                <w:rFonts w:hint="eastAsia"/>
                <w:b/>
                <w:bCs/>
                <w:color w:val="auto"/>
                <w:kern w:val="0"/>
                <w:sz w:val="24"/>
                <w:lang w:val="en-US" w:eastAsia="zh-CN"/>
              </w:rPr>
              <w:t>恶臭污染物排放标准</w:t>
            </w:r>
          </w:p>
          <w:tbl>
            <w:tblPr>
              <w:tblStyle w:val="24"/>
              <w:tblW w:w="8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0"/>
              <w:gridCol w:w="824"/>
              <w:gridCol w:w="2820"/>
              <w:gridCol w:w="3089"/>
            </w:tblGrid>
            <w:tr w14:paraId="331B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1580" w:type="dxa"/>
                  <w:vMerge w:val="restart"/>
                  <w:tcBorders>
                    <w:tl2br w:val="nil"/>
                    <w:tr2bl w:val="nil"/>
                  </w:tcBorders>
                  <w:noWrap w:val="0"/>
                  <w:vAlign w:val="center"/>
                </w:tcPr>
                <w:p w14:paraId="12BDDAFF">
                  <w:pPr>
                    <w:jc w:val="center"/>
                    <w:rPr>
                      <w:rFonts w:hint="eastAsia"/>
                      <w:color w:val="auto"/>
                      <w:szCs w:val="21"/>
                    </w:rPr>
                  </w:pPr>
                  <w:r>
                    <w:rPr>
                      <w:rFonts w:hint="eastAsia"/>
                      <w:color w:val="auto"/>
                      <w:szCs w:val="21"/>
                    </w:rPr>
                    <w:t>污染物名称</w:t>
                  </w:r>
                </w:p>
              </w:tc>
              <w:tc>
                <w:tcPr>
                  <w:tcW w:w="824" w:type="dxa"/>
                  <w:vMerge w:val="restart"/>
                  <w:tcBorders>
                    <w:tl2br w:val="nil"/>
                    <w:tr2bl w:val="nil"/>
                  </w:tcBorders>
                  <w:noWrap w:val="0"/>
                  <w:vAlign w:val="center"/>
                </w:tcPr>
                <w:p w14:paraId="18B5623D">
                  <w:pPr>
                    <w:jc w:val="center"/>
                    <w:rPr>
                      <w:rFonts w:hint="eastAsia"/>
                      <w:color w:val="auto"/>
                      <w:szCs w:val="21"/>
                    </w:rPr>
                  </w:pPr>
                  <w:r>
                    <w:rPr>
                      <w:rFonts w:hint="eastAsia"/>
                      <w:color w:val="auto"/>
                      <w:szCs w:val="21"/>
                    </w:rPr>
                    <w:t>排放高度</w:t>
                  </w:r>
                  <w:r>
                    <w:rPr>
                      <w:color w:val="auto"/>
                      <w:szCs w:val="21"/>
                    </w:rPr>
                    <w:t>m</w:t>
                  </w:r>
                </w:p>
              </w:tc>
              <w:tc>
                <w:tcPr>
                  <w:tcW w:w="5909" w:type="dxa"/>
                  <w:gridSpan w:val="2"/>
                  <w:tcBorders>
                    <w:tl2br w:val="nil"/>
                    <w:tr2bl w:val="nil"/>
                  </w:tcBorders>
                  <w:noWrap w:val="0"/>
                  <w:vAlign w:val="center"/>
                </w:tcPr>
                <w:p w14:paraId="4A2DBBDD">
                  <w:pPr>
                    <w:jc w:val="center"/>
                    <w:rPr>
                      <w:rFonts w:hint="eastAsia"/>
                      <w:color w:val="auto"/>
                      <w:szCs w:val="21"/>
                    </w:rPr>
                  </w:pPr>
                  <w:r>
                    <w:rPr>
                      <w:rFonts w:hint="eastAsia"/>
                      <w:color w:val="auto"/>
                      <w:szCs w:val="21"/>
                    </w:rPr>
                    <w:t>标准</w:t>
                  </w:r>
                </w:p>
              </w:tc>
            </w:tr>
            <w:tr w14:paraId="3592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1580" w:type="dxa"/>
                  <w:vMerge w:val="continue"/>
                  <w:tcBorders>
                    <w:tl2br w:val="nil"/>
                    <w:tr2bl w:val="nil"/>
                  </w:tcBorders>
                  <w:noWrap w:val="0"/>
                  <w:vAlign w:val="center"/>
                </w:tcPr>
                <w:p w14:paraId="29DD1417">
                  <w:pPr>
                    <w:jc w:val="center"/>
                    <w:rPr>
                      <w:rFonts w:hint="eastAsia"/>
                      <w:color w:val="auto"/>
                      <w:szCs w:val="21"/>
                    </w:rPr>
                  </w:pPr>
                </w:p>
              </w:tc>
              <w:tc>
                <w:tcPr>
                  <w:tcW w:w="824" w:type="dxa"/>
                  <w:vMerge w:val="continue"/>
                  <w:tcBorders>
                    <w:tl2br w:val="nil"/>
                    <w:tr2bl w:val="nil"/>
                  </w:tcBorders>
                  <w:noWrap w:val="0"/>
                  <w:vAlign w:val="center"/>
                </w:tcPr>
                <w:p w14:paraId="5610185A">
                  <w:pPr>
                    <w:jc w:val="center"/>
                    <w:rPr>
                      <w:rFonts w:hint="eastAsia"/>
                      <w:color w:val="auto"/>
                      <w:szCs w:val="21"/>
                    </w:rPr>
                  </w:pPr>
                </w:p>
              </w:tc>
              <w:tc>
                <w:tcPr>
                  <w:tcW w:w="2820" w:type="dxa"/>
                  <w:tcBorders>
                    <w:tl2br w:val="nil"/>
                    <w:tr2bl w:val="nil"/>
                  </w:tcBorders>
                  <w:noWrap w:val="0"/>
                  <w:vAlign w:val="center"/>
                </w:tcPr>
                <w:p w14:paraId="4990AFBF">
                  <w:pPr>
                    <w:jc w:val="center"/>
                    <w:rPr>
                      <w:rFonts w:hint="default"/>
                      <w:color w:val="auto"/>
                      <w:szCs w:val="21"/>
                      <w:lang w:val="en-US"/>
                    </w:rPr>
                  </w:pPr>
                  <w:r>
                    <w:rPr>
                      <w:rFonts w:hint="eastAsia"/>
                      <w:color w:val="auto"/>
                      <w:szCs w:val="21"/>
                    </w:rPr>
                    <w:t>排放</w:t>
                  </w:r>
                  <w:r>
                    <w:rPr>
                      <w:rFonts w:hint="eastAsia"/>
                      <w:color w:val="auto"/>
                      <w:szCs w:val="21"/>
                      <w:lang w:val="en-US" w:eastAsia="zh-CN"/>
                    </w:rPr>
                    <w:t>量（无量纲）</w:t>
                  </w:r>
                </w:p>
              </w:tc>
              <w:tc>
                <w:tcPr>
                  <w:tcW w:w="3089" w:type="dxa"/>
                  <w:tcBorders>
                    <w:tl2br w:val="nil"/>
                    <w:tr2bl w:val="nil"/>
                  </w:tcBorders>
                  <w:noWrap w:val="0"/>
                  <w:vAlign w:val="center"/>
                </w:tcPr>
                <w:p w14:paraId="0F88348E">
                  <w:pPr>
                    <w:jc w:val="center"/>
                    <w:rPr>
                      <w:rFonts w:hint="eastAsia" w:eastAsia="宋体"/>
                      <w:color w:val="auto"/>
                      <w:szCs w:val="21"/>
                      <w:lang w:eastAsia="zh-CN"/>
                    </w:rPr>
                  </w:pPr>
                  <w:r>
                    <w:rPr>
                      <w:rFonts w:hint="eastAsia"/>
                      <w:color w:val="auto"/>
                      <w:szCs w:val="21"/>
                    </w:rPr>
                    <w:t>无组织排放浓度</w:t>
                  </w:r>
                  <w:r>
                    <w:rPr>
                      <w:rFonts w:hint="eastAsia"/>
                      <w:color w:val="auto"/>
                      <w:szCs w:val="21"/>
                      <w:lang w:eastAsia="zh-CN"/>
                    </w:rPr>
                    <w:t>（</w:t>
                  </w:r>
                  <w:r>
                    <w:rPr>
                      <w:rFonts w:hint="eastAsia"/>
                      <w:color w:val="auto"/>
                      <w:szCs w:val="21"/>
                      <w:lang w:val="en-US" w:eastAsia="zh-CN"/>
                    </w:rPr>
                    <w:t>无量纲</w:t>
                  </w:r>
                  <w:r>
                    <w:rPr>
                      <w:rFonts w:hint="eastAsia"/>
                      <w:color w:val="auto"/>
                      <w:szCs w:val="21"/>
                      <w:lang w:eastAsia="zh-CN"/>
                    </w:rPr>
                    <w:t>）</w:t>
                  </w:r>
                </w:p>
              </w:tc>
            </w:tr>
            <w:tr w14:paraId="6E88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1580" w:type="dxa"/>
                  <w:tcBorders>
                    <w:tl2br w:val="nil"/>
                    <w:tr2bl w:val="nil"/>
                  </w:tcBorders>
                  <w:noWrap w:val="0"/>
                  <w:vAlign w:val="center"/>
                </w:tcPr>
                <w:p w14:paraId="11A12B70">
                  <w:pPr>
                    <w:jc w:val="center"/>
                    <w:rPr>
                      <w:rFonts w:hint="default" w:eastAsia="宋体"/>
                      <w:color w:val="auto"/>
                      <w:szCs w:val="21"/>
                      <w:lang w:val="en-US" w:eastAsia="zh-CN"/>
                    </w:rPr>
                  </w:pPr>
                  <w:r>
                    <w:rPr>
                      <w:rFonts w:hint="eastAsia"/>
                      <w:color w:val="auto"/>
                      <w:szCs w:val="21"/>
                      <w:lang w:val="en-US" w:eastAsia="zh-CN"/>
                    </w:rPr>
                    <w:t>臭气浓度</w:t>
                  </w:r>
                </w:p>
              </w:tc>
              <w:tc>
                <w:tcPr>
                  <w:tcW w:w="824" w:type="dxa"/>
                  <w:tcBorders>
                    <w:tl2br w:val="nil"/>
                    <w:tr2bl w:val="nil"/>
                  </w:tcBorders>
                  <w:noWrap w:val="0"/>
                  <w:vAlign w:val="center"/>
                </w:tcPr>
                <w:p w14:paraId="5C642096">
                  <w:pPr>
                    <w:jc w:val="center"/>
                    <w:rPr>
                      <w:rFonts w:hint="default" w:eastAsia="宋体"/>
                      <w:color w:val="auto"/>
                      <w:szCs w:val="21"/>
                      <w:lang w:val="en-US" w:eastAsia="zh-CN"/>
                    </w:rPr>
                  </w:pPr>
                  <w:r>
                    <w:rPr>
                      <w:rFonts w:hint="eastAsia"/>
                      <w:color w:val="auto"/>
                      <w:szCs w:val="21"/>
                      <w:lang w:val="en-US" w:eastAsia="zh-CN"/>
                    </w:rPr>
                    <w:t>20</w:t>
                  </w:r>
                </w:p>
              </w:tc>
              <w:tc>
                <w:tcPr>
                  <w:tcW w:w="2820" w:type="dxa"/>
                  <w:tcBorders>
                    <w:tl2br w:val="nil"/>
                    <w:tr2bl w:val="nil"/>
                  </w:tcBorders>
                  <w:noWrap w:val="0"/>
                  <w:vAlign w:val="center"/>
                </w:tcPr>
                <w:p w14:paraId="0D7D36E1">
                  <w:pPr>
                    <w:jc w:val="center"/>
                    <w:rPr>
                      <w:rFonts w:hint="default" w:eastAsia="宋体"/>
                      <w:color w:val="auto"/>
                      <w:szCs w:val="21"/>
                      <w:lang w:val="en-US" w:eastAsia="zh-CN"/>
                    </w:rPr>
                  </w:pPr>
                  <w:r>
                    <w:rPr>
                      <w:rFonts w:hint="eastAsia"/>
                      <w:color w:val="auto"/>
                      <w:szCs w:val="21"/>
                      <w:lang w:val="en-US" w:eastAsia="zh-CN"/>
                    </w:rPr>
                    <w:t>4000</w:t>
                  </w:r>
                </w:p>
              </w:tc>
              <w:tc>
                <w:tcPr>
                  <w:tcW w:w="3089" w:type="dxa"/>
                  <w:tcBorders>
                    <w:tl2br w:val="nil"/>
                    <w:tr2bl w:val="nil"/>
                  </w:tcBorders>
                  <w:noWrap w:val="0"/>
                  <w:vAlign w:val="center"/>
                </w:tcPr>
                <w:p w14:paraId="5F2E37FF">
                  <w:pPr>
                    <w:jc w:val="center"/>
                    <w:rPr>
                      <w:rFonts w:hint="default" w:eastAsia="宋体"/>
                      <w:color w:val="auto"/>
                      <w:szCs w:val="21"/>
                      <w:lang w:val="en-US" w:eastAsia="zh-CN"/>
                    </w:rPr>
                  </w:pPr>
                  <w:r>
                    <w:rPr>
                      <w:rFonts w:hint="eastAsia"/>
                      <w:color w:val="auto"/>
                      <w:szCs w:val="21"/>
                      <w:lang w:val="en-US" w:eastAsia="zh-CN"/>
                    </w:rPr>
                    <w:t>20</w:t>
                  </w:r>
                </w:p>
              </w:tc>
            </w:tr>
          </w:tbl>
          <w:p w14:paraId="121D38C1">
            <w:pPr>
              <w:adjustRightInd w:val="0"/>
              <w:snapToGrid w:val="0"/>
              <w:spacing w:line="440" w:lineRule="exact"/>
              <w:ind w:firstLine="511" w:firstLineChars="212"/>
              <w:jc w:val="center"/>
              <w:rPr>
                <w:b/>
                <w:sz w:val="24"/>
              </w:rPr>
            </w:pPr>
            <w:r>
              <w:rPr>
                <w:b/>
                <w:sz w:val="24"/>
              </w:rPr>
              <w:t>表</w:t>
            </w:r>
            <w:r>
              <w:rPr>
                <w:rFonts w:hint="eastAsia"/>
                <w:b/>
                <w:sz w:val="24"/>
                <w:lang w:val="en-US" w:eastAsia="zh-CN"/>
              </w:rPr>
              <w:t>3-4</w:t>
            </w:r>
            <w:r>
              <w:rPr>
                <w:b/>
                <w:sz w:val="24"/>
              </w:rPr>
              <w:t xml:space="preserve">   项目油烟排放标准</w:t>
            </w:r>
          </w:p>
          <w:tbl>
            <w:tblPr>
              <w:tblStyle w:val="24"/>
              <w:tblW w:w="8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5"/>
              <w:gridCol w:w="4118"/>
            </w:tblGrid>
            <w:tr w14:paraId="2716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5" w:type="dxa"/>
                  <w:tcBorders>
                    <w:tl2br w:val="nil"/>
                    <w:tr2bl w:val="nil"/>
                  </w:tcBorders>
                  <w:noWrap w:val="0"/>
                  <w:vAlign w:val="center"/>
                </w:tcPr>
                <w:p w14:paraId="3F600F22">
                  <w:pPr>
                    <w:adjustRightInd w:val="0"/>
                    <w:snapToGrid w:val="0"/>
                    <w:jc w:val="center"/>
                    <w:rPr>
                      <w:bCs/>
                      <w:szCs w:val="21"/>
                    </w:rPr>
                  </w:pPr>
                  <w:r>
                    <w:rPr>
                      <w:bCs/>
                      <w:szCs w:val="21"/>
                    </w:rPr>
                    <w:t>规模</w:t>
                  </w:r>
                </w:p>
              </w:tc>
              <w:tc>
                <w:tcPr>
                  <w:tcW w:w="4118" w:type="dxa"/>
                  <w:tcBorders>
                    <w:tl2br w:val="nil"/>
                    <w:tr2bl w:val="nil"/>
                  </w:tcBorders>
                  <w:noWrap w:val="0"/>
                  <w:vAlign w:val="center"/>
                </w:tcPr>
                <w:p w14:paraId="2F94F59A">
                  <w:pPr>
                    <w:adjustRightInd w:val="0"/>
                    <w:snapToGrid w:val="0"/>
                    <w:jc w:val="center"/>
                    <w:rPr>
                      <w:bCs/>
                      <w:szCs w:val="21"/>
                    </w:rPr>
                  </w:pPr>
                  <w:r>
                    <w:rPr>
                      <w:rFonts w:hint="eastAsia"/>
                      <w:bCs/>
                      <w:szCs w:val="21"/>
                      <w:lang w:val="en-US" w:eastAsia="zh-CN"/>
                    </w:rPr>
                    <w:t>中</w:t>
                  </w:r>
                  <w:r>
                    <w:rPr>
                      <w:bCs/>
                      <w:szCs w:val="21"/>
                    </w:rPr>
                    <w:t>型</w:t>
                  </w:r>
                </w:p>
              </w:tc>
            </w:tr>
            <w:tr w14:paraId="7CA3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5" w:type="dxa"/>
                  <w:tcBorders>
                    <w:tl2br w:val="nil"/>
                    <w:tr2bl w:val="nil"/>
                  </w:tcBorders>
                  <w:noWrap w:val="0"/>
                  <w:vAlign w:val="center"/>
                </w:tcPr>
                <w:p w14:paraId="715ADC09">
                  <w:pPr>
                    <w:adjustRightInd w:val="0"/>
                    <w:snapToGrid w:val="0"/>
                    <w:jc w:val="center"/>
                    <w:rPr>
                      <w:szCs w:val="21"/>
                    </w:rPr>
                  </w:pPr>
                  <w:r>
                    <w:rPr>
                      <w:szCs w:val="21"/>
                    </w:rPr>
                    <w:t>最高允许排放浓度（mg/m</w:t>
                  </w:r>
                  <w:r>
                    <w:rPr>
                      <w:szCs w:val="21"/>
                      <w:vertAlign w:val="superscript"/>
                    </w:rPr>
                    <w:t>3</w:t>
                  </w:r>
                  <w:r>
                    <w:rPr>
                      <w:szCs w:val="21"/>
                    </w:rPr>
                    <w:t>）</w:t>
                  </w:r>
                </w:p>
              </w:tc>
              <w:tc>
                <w:tcPr>
                  <w:tcW w:w="4118" w:type="dxa"/>
                  <w:tcBorders>
                    <w:tl2br w:val="nil"/>
                    <w:tr2bl w:val="nil"/>
                  </w:tcBorders>
                  <w:noWrap w:val="0"/>
                  <w:vAlign w:val="center"/>
                </w:tcPr>
                <w:p w14:paraId="4EE2D138">
                  <w:pPr>
                    <w:adjustRightInd w:val="0"/>
                    <w:snapToGrid w:val="0"/>
                    <w:jc w:val="center"/>
                    <w:rPr>
                      <w:szCs w:val="21"/>
                    </w:rPr>
                  </w:pPr>
                  <w:r>
                    <w:rPr>
                      <w:szCs w:val="21"/>
                    </w:rPr>
                    <w:t>2.0</w:t>
                  </w:r>
                </w:p>
              </w:tc>
            </w:tr>
            <w:tr w14:paraId="4BD8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5" w:type="dxa"/>
                  <w:tcBorders>
                    <w:tl2br w:val="nil"/>
                    <w:tr2bl w:val="nil"/>
                  </w:tcBorders>
                  <w:noWrap w:val="0"/>
                  <w:vAlign w:val="center"/>
                </w:tcPr>
                <w:p w14:paraId="6DC95FB7">
                  <w:pPr>
                    <w:adjustRightInd w:val="0"/>
                    <w:snapToGrid w:val="0"/>
                    <w:jc w:val="center"/>
                    <w:rPr>
                      <w:szCs w:val="21"/>
                    </w:rPr>
                  </w:pPr>
                  <w:r>
                    <w:rPr>
                      <w:szCs w:val="21"/>
                    </w:rPr>
                    <w:t>净化设施最低去除率（%）</w:t>
                  </w:r>
                </w:p>
              </w:tc>
              <w:tc>
                <w:tcPr>
                  <w:tcW w:w="4118" w:type="dxa"/>
                  <w:tcBorders>
                    <w:tl2br w:val="nil"/>
                    <w:tr2bl w:val="nil"/>
                  </w:tcBorders>
                  <w:noWrap w:val="0"/>
                  <w:vAlign w:val="center"/>
                </w:tcPr>
                <w:p w14:paraId="52D55F7D">
                  <w:pPr>
                    <w:adjustRightInd w:val="0"/>
                    <w:snapToGrid w:val="0"/>
                    <w:jc w:val="center"/>
                    <w:rPr>
                      <w:rFonts w:hint="default" w:eastAsia="宋体"/>
                      <w:szCs w:val="21"/>
                      <w:lang w:val="en-US" w:eastAsia="zh-CN"/>
                    </w:rPr>
                  </w:pPr>
                  <w:r>
                    <w:rPr>
                      <w:rFonts w:hint="eastAsia"/>
                      <w:szCs w:val="21"/>
                      <w:lang w:val="en-US" w:eastAsia="zh-CN"/>
                    </w:rPr>
                    <w:t>75</w:t>
                  </w:r>
                </w:p>
              </w:tc>
            </w:tr>
          </w:tbl>
          <w:p w14:paraId="4F094141">
            <w:pPr>
              <w:widowControl/>
              <w:spacing w:line="520" w:lineRule="exact"/>
              <w:ind w:firstLine="482" w:firstLineChars="200"/>
              <w:jc w:val="left"/>
              <w:rPr>
                <w:rFonts w:hint="default" w:eastAsia="宋体"/>
                <w:color w:val="000000"/>
                <w:kern w:val="0"/>
                <w:sz w:val="24"/>
                <w:lang w:val="en-US" w:eastAsia="zh-CN"/>
              </w:rPr>
            </w:pPr>
            <w:r>
              <w:rPr>
                <w:rFonts w:hint="eastAsia"/>
                <w:b/>
                <w:bCs/>
                <w:sz w:val="24"/>
                <w:lang w:eastAsia="zh-CN"/>
              </w:rPr>
              <w:t>2.</w:t>
            </w:r>
            <w:r>
              <w:rPr>
                <w:rFonts w:hint="eastAsia"/>
                <w:b/>
                <w:bCs/>
                <w:kern w:val="0"/>
                <w:sz w:val="24"/>
              </w:rPr>
              <w:t>废水</w:t>
            </w:r>
          </w:p>
          <w:p w14:paraId="240F55CF">
            <w:pPr>
              <w:spacing w:line="520" w:lineRule="exact"/>
              <w:ind w:firstLine="480" w:firstLineChars="200"/>
              <w:contextualSpacing/>
              <w:rPr>
                <w:rFonts w:hint="eastAsia"/>
                <w:sz w:val="24"/>
              </w:rPr>
            </w:pPr>
            <w:r>
              <w:rPr>
                <w:rFonts w:hint="eastAsia"/>
                <w:color w:val="000000"/>
                <w:kern w:val="0"/>
                <w:sz w:val="24"/>
              </w:rPr>
              <w:t>营运期不产生工艺废水</w:t>
            </w:r>
            <w:r>
              <w:rPr>
                <w:rFonts w:hint="eastAsia"/>
                <w:color w:val="000000"/>
                <w:kern w:val="0"/>
                <w:sz w:val="24"/>
                <w:lang w:val="en-US" w:eastAsia="zh-CN"/>
              </w:rPr>
              <w:t>。</w:t>
            </w:r>
            <w:r>
              <w:rPr>
                <w:rFonts w:hint="eastAsia"/>
                <w:color w:val="000000"/>
                <w:kern w:val="0"/>
                <w:sz w:val="24"/>
              </w:rPr>
              <w:t>职工生活产生的生活污水执行</w:t>
            </w:r>
            <w:r>
              <w:rPr>
                <w:kern w:val="0"/>
                <w:sz w:val="24"/>
              </w:rPr>
              <w:t>《</w:t>
            </w:r>
            <w:r>
              <w:rPr>
                <w:rFonts w:hint="eastAsia"/>
                <w:kern w:val="0"/>
                <w:sz w:val="24"/>
              </w:rPr>
              <w:t>污水综合排放</w:t>
            </w:r>
            <w:r>
              <w:rPr>
                <w:color w:val="000000"/>
                <w:kern w:val="0"/>
                <w:sz w:val="24"/>
              </w:rPr>
              <w:t>标准》（GB</w:t>
            </w:r>
            <w:r>
              <w:rPr>
                <w:rFonts w:hint="eastAsia"/>
                <w:color w:val="000000"/>
                <w:kern w:val="0"/>
                <w:sz w:val="24"/>
              </w:rPr>
              <w:t>8978</w:t>
            </w:r>
            <w:r>
              <w:rPr>
                <w:color w:val="000000"/>
                <w:kern w:val="0"/>
                <w:sz w:val="24"/>
              </w:rPr>
              <w:t>-</w:t>
            </w:r>
            <w:r>
              <w:rPr>
                <w:rFonts w:hint="eastAsia"/>
                <w:color w:val="000000"/>
                <w:kern w:val="0"/>
                <w:sz w:val="24"/>
              </w:rPr>
              <w:t>1996</w:t>
            </w:r>
            <w:r>
              <w:rPr>
                <w:color w:val="000000"/>
                <w:kern w:val="0"/>
                <w:sz w:val="24"/>
              </w:rPr>
              <w:t>）</w:t>
            </w:r>
            <w:r>
              <w:rPr>
                <w:rFonts w:hint="eastAsia"/>
                <w:color w:val="000000"/>
                <w:kern w:val="0"/>
                <w:sz w:val="24"/>
              </w:rPr>
              <w:t>三级标准</w:t>
            </w:r>
            <w:r>
              <w:rPr>
                <w:rFonts w:hint="eastAsia"/>
                <w:sz w:val="24"/>
              </w:rPr>
              <w:t>。</w:t>
            </w:r>
          </w:p>
          <w:p w14:paraId="18800580">
            <w:pPr>
              <w:spacing w:line="520" w:lineRule="exact"/>
              <w:jc w:val="center"/>
              <w:rPr>
                <w:rFonts w:hint="eastAsia"/>
                <w:b/>
                <w:sz w:val="24"/>
              </w:rPr>
            </w:pPr>
            <w:r>
              <w:rPr>
                <w:rFonts w:hint="eastAsia"/>
                <w:b/>
                <w:sz w:val="24"/>
              </w:rPr>
              <w:t>表</w:t>
            </w:r>
            <w:r>
              <w:rPr>
                <w:rFonts w:hint="eastAsia"/>
                <w:b/>
                <w:sz w:val="24"/>
                <w:lang w:val="en-US" w:eastAsia="zh-CN"/>
              </w:rPr>
              <w:t xml:space="preserve">3-6 </w:t>
            </w:r>
            <w:r>
              <w:rPr>
                <w:rFonts w:hint="eastAsia"/>
                <w:b/>
                <w:sz w:val="24"/>
              </w:rPr>
              <w:t xml:space="preserve">  污水综合排放标准  单位：mg/L</w:t>
            </w:r>
          </w:p>
          <w:tbl>
            <w:tblPr>
              <w:tblStyle w:val="24"/>
              <w:tblW w:w="8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1886"/>
              <w:gridCol w:w="2047"/>
              <w:gridCol w:w="3124"/>
            </w:tblGrid>
            <w:tr w14:paraId="4547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56" w:type="dxa"/>
                  <w:noWrap w:val="0"/>
                  <w:vAlign w:val="center"/>
                </w:tcPr>
                <w:p w14:paraId="0DF84A58">
                  <w:pPr>
                    <w:adjustRightInd w:val="0"/>
                    <w:snapToGrid w:val="0"/>
                    <w:jc w:val="center"/>
                    <w:rPr>
                      <w:bCs/>
                      <w:szCs w:val="21"/>
                    </w:rPr>
                  </w:pPr>
                  <w:r>
                    <w:rPr>
                      <w:rFonts w:hint="eastAsia"/>
                      <w:bCs/>
                      <w:szCs w:val="21"/>
                    </w:rPr>
                    <w:t>序号</w:t>
                  </w:r>
                </w:p>
              </w:tc>
              <w:tc>
                <w:tcPr>
                  <w:tcW w:w="1886" w:type="dxa"/>
                  <w:noWrap w:val="0"/>
                  <w:vAlign w:val="center"/>
                </w:tcPr>
                <w:p w14:paraId="783C9B9A">
                  <w:pPr>
                    <w:adjustRightInd w:val="0"/>
                    <w:snapToGrid w:val="0"/>
                    <w:jc w:val="center"/>
                    <w:rPr>
                      <w:bCs/>
                      <w:szCs w:val="21"/>
                    </w:rPr>
                  </w:pPr>
                  <w:r>
                    <w:rPr>
                      <w:rFonts w:hint="eastAsia"/>
                      <w:bCs/>
                      <w:szCs w:val="21"/>
                    </w:rPr>
                    <w:t>项目</w:t>
                  </w:r>
                </w:p>
              </w:tc>
              <w:tc>
                <w:tcPr>
                  <w:tcW w:w="2047" w:type="dxa"/>
                  <w:noWrap w:val="0"/>
                  <w:vAlign w:val="center"/>
                </w:tcPr>
                <w:p w14:paraId="454E7109">
                  <w:pPr>
                    <w:adjustRightInd w:val="0"/>
                    <w:snapToGrid w:val="0"/>
                    <w:jc w:val="center"/>
                    <w:rPr>
                      <w:bCs/>
                      <w:szCs w:val="21"/>
                    </w:rPr>
                  </w:pPr>
                  <w:r>
                    <w:rPr>
                      <w:rFonts w:hint="eastAsia"/>
                      <w:bCs/>
                      <w:szCs w:val="21"/>
                    </w:rPr>
                    <w:t>标准值（mg/L）</w:t>
                  </w:r>
                </w:p>
              </w:tc>
              <w:tc>
                <w:tcPr>
                  <w:tcW w:w="3124" w:type="dxa"/>
                  <w:noWrap w:val="0"/>
                  <w:vAlign w:val="center"/>
                </w:tcPr>
                <w:p w14:paraId="550167A0">
                  <w:pPr>
                    <w:adjustRightInd w:val="0"/>
                    <w:snapToGrid w:val="0"/>
                    <w:jc w:val="center"/>
                    <w:rPr>
                      <w:bCs/>
                      <w:szCs w:val="21"/>
                    </w:rPr>
                  </w:pPr>
                  <w:r>
                    <w:rPr>
                      <w:rFonts w:hint="eastAsia"/>
                      <w:bCs/>
                      <w:szCs w:val="21"/>
                    </w:rPr>
                    <w:t>标准来源</w:t>
                  </w:r>
                </w:p>
              </w:tc>
            </w:tr>
            <w:tr w14:paraId="5E29B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56" w:type="dxa"/>
                  <w:noWrap w:val="0"/>
                  <w:vAlign w:val="center"/>
                </w:tcPr>
                <w:p w14:paraId="545F8513">
                  <w:pPr>
                    <w:adjustRightInd w:val="0"/>
                    <w:snapToGrid w:val="0"/>
                    <w:jc w:val="center"/>
                    <w:rPr>
                      <w:szCs w:val="21"/>
                    </w:rPr>
                  </w:pPr>
                  <w:r>
                    <w:rPr>
                      <w:szCs w:val="21"/>
                    </w:rPr>
                    <w:t>1</w:t>
                  </w:r>
                </w:p>
              </w:tc>
              <w:tc>
                <w:tcPr>
                  <w:tcW w:w="1886" w:type="dxa"/>
                  <w:noWrap w:val="0"/>
                  <w:vAlign w:val="center"/>
                </w:tcPr>
                <w:p w14:paraId="66F5E5B0">
                  <w:pPr>
                    <w:adjustRightInd w:val="0"/>
                    <w:snapToGrid w:val="0"/>
                    <w:jc w:val="center"/>
                    <w:rPr>
                      <w:szCs w:val="21"/>
                    </w:rPr>
                  </w:pPr>
                  <w:r>
                    <w:rPr>
                      <w:szCs w:val="21"/>
                    </w:rPr>
                    <w:t>pH</w:t>
                  </w:r>
                </w:p>
              </w:tc>
              <w:tc>
                <w:tcPr>
                  <w:tcW w:w="2047" w:type="dxa"/>
                  <w:noWrap w:val="0"/>
                  <w:vAlign w:val="center"/>
                </w:tcPr>
                <w:p w14:paraId="5026051B">
                  <w:pPr>
                    <w:adjustRightInd w:val="0"/>
                    <w:snapToGrid w:val="0"/>
                    <w:jc w:val="center"/>
                    <w:rPr>
                      <w:szCs w:val="21"/>
                    </w:rPr>
                  </w:pPr>
                  <w:r>
                    <w:rPr>
                      <w:szCs w:val="21"/>
                    </w:rPr>
                    <w:t>6</w:t>
                  </w:r>
                  <w:r>
                    <w:rPr>
                      <w:rFonts w:hint="eastAsia"/>
                      <w:szCs w:val="21"/>
                      <w:lang w:eastAsia="zh-CN"/>
                    </w:rPr>
                    <w:t>~</w:t>
                  </w:r>
                  <w:r>
                    <w:rPr>
                      <w:szCs w:val="21"/>
                    </w:rPr>
                    <w:t>9</w:t>
                  </w:r>
                </w:p>
              </w:tc>
              <w:tc>
                <w:tcPr>
                  <w:tcW w:w="3124" w:type="dxa"/>
                  <w:vMerge w:val="restart"/>
                  <w:noWrap w:val="0"/>
                  <w:vAlign w:val="center"/>
                </w:tcPr>
                <w:p w14:paraId="669F89CE">
                  <w:pPr>
                    <w:adjustRightInd w:val="0"/>
                    <w:snapToGrid w:val="0"/>
                    <w:jc w:val="center"/>
                    <w:rPr>
                      <w:szCs w:val="21"/>
                    </w:rPr>
                  </w:pPr>
                  <w:r>
                    <w:rPr>
                      <w:rFonts w:hint="eastAsia"/>
                      <w:szCs w:val="21"/>
                    </w:rPr>
                    <w:t>《污水综合排放标准》（GB8978-1996）中三级标准</w:t>
                  </w:r>
                </w:p>
              </w:tc>
            </w:tr>
            <w:tr w14:paraId="47D63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56" w:type="dxa"/>
                  <w:noWrap w:val="0"/>
                  <w:vAlign w:val="center"/>
                </w:tcPr>
                <w:p w14:paraId="32D2FBA0">
                  <w:pPr>
                    <w:adjustRightInd w:val="0"/>
                    <w:snapToGrid w:val="0"/>
                    <w:jc w:val="center"/>
                    <w:rPr>
                      <w:szCs w:val="21"/>
                    </w:rPr>
                  </w:pPr>
                  <w:r>
                    <w:rPr>
                      <w:szCs w:val="21"/>
                    </w:rPr>
                    <w:t>2</w:t>
                  </w:r>
                </w:p>
              </w:tc>
              <w:tc>
                <w:tcPr>
                  <w:tcW w:w="1886" w:type="dxa"/>
                  <w:noWrap w:val="0"/>
                  <w:vAlign w:val="center"/>
                </w:tcPr>
                <w:p w14:paraId="0A229126">
                  <w:pPr>
                    <w:adjustRightInd w:val="0"/>
                    <w:snapToGrid w:val="0"/>
                    <w:jc w:val="center"/>
                    <w:rPr>
                      <w:szCs w:val="21"/>
                    </w:rPr>
                  </w:pPr>
                  <w:r>
                    <w:rPr>
                      <w:szCs w:val="21"/>
                    </w:rPr>
                    <w:t>COD</w:t>
                  </w:r>
                </w:p>
              </w:tc>
              <w:tc>
                <w:tcPr>
                  <w:tcW w:w="2047" w:type="dxa"/>
                  <w:noWrap w:val="0"/>
                  <w:vAlign w:val="center"/>
                </w:tcPr>
                <w:p w14:paraId="6E0EE8DC">
                  <w:pPr>
                    <w:adjustRightInd w:val="0"/>
                    <w:snapToGrid w:val="0"/>
                    <w:jc w:val="center"/>
                    <w:rPr>
                      <w:szCs w:val="21"/>
                    </w:rPr>
                  </w:pPr>
                  <w:r>
                    <w:rPr>
                      <w:rFonts w:hint="eastAsia"/>
                      <w:szCs w:val="21"/>
                    </w:rPr>
                    <w:t>500</w:t>
                  </w:r>
                </w:p>
              </w:tc>
              <w:tc>
                <w:tcPr>
                  <w:tcW w:w="3124" w:type="dxa"/>
                  <w:vMerge w:val="continue"/>
                  <w:noWrap w:val="0"/>
                  <w:vAlign w:val="center"/>
                </w:tcPr>
                <w:p w14:paraId="559BDB98">
                  <w:pPr>
                    <w:adjustRightInd w:val="0"/>
                    <w:snapToGrid w:val="0"/>
                    <w:jc w:val="center"/>
                    <w:rPr>
                      <w:szCs w:val="21"/>
                    </w:rPr>
                  </w:pPr>
                </w:p>
              </w:tc>
            </w:tr>
            <w:tr w14:paraId="76D5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56" w:type="dxa"/>
                  <w:noWrap w:val="0"/>
                  <w:vAlign w:val="center"/>
                </w:tcPr>
                <w:p w14:paraId="0BE4CE38">
                  <w:pPr>
                    <w:adjustRightInd w:val="0"/>
                    <w:snapToGrid w:val="0"/>
                    <w:jc w:val="center"/>
                    <w:rPr>
                      <w:rFonts w:hint="eastAsia"/>
                      <w:szCs w:val="21"/>
                    </w:rPr>
                  </w:pPr>
                  <w:r>
                    <w:rPr>
                      <w:rFonts w:hint="eastAsia"/>
                      <w:szCs w:val="21"/>
                    </w:rPr>
                    <w:t>3</w:t>
                  </w:r>
                </w:p>
              </w:tc>
              <w:tc>
                <w:tcPr>
                  <w:tcW w:w="1886" w:type="dxa"/>
                  <w:noWrap w:val="0"/>
                  <w:vAlign w:val="center"/>
                </w:tcPr>
                <w:p w14:paraId="5389FB2F">
                  <w:pPr>
                    <w:adjustRightInd w:val="0"/>
                    <w:snapToGrid w:val="0"/>
                    <w:jc w:val="center"/>
                    <w:rPr>
                      <w:szCs w:val="21"/>
                    </w:rPr>
                  </w:pPr>
                  <w:r>
                    <w:rPr>
                      <w:szCs w:val="21"/>
                    </w:rPr>
                    <w:t>NH</w:t>
                  </w:r>
                  <w:r>
                    <w:rPr>
                      <w:szCs w:val="21"/>
                      <w:vertAlign w:val="subscript"/>
                    </w:rPr>
                    <w:t>3</w:t>
                  </w:r>
                  <w:r>
                    <w:rPr>
                      <w:szCs w:val="21"/>
                    </w:rPr>
                    <w:t>-N</w:t>
                  </w:r>
                </w:p>
              </w:tc>
              <w:tc>
                <w:tcPr>
                  <w:tcW w:w="2047" w:type="dxa"/>
                  <w:noWrap w:val="0"/>
                  <w:vAlign w:val="center"/>
                </w:tcPr>
                <w:p w14:paraId="412E861E">
                  <w:pPr>
                    <w:adjustRightInd w:val="0"/>
                    <w:snapToGrid w:val="0"/>
                    <w:jc w:val="center"/>
                    <w:rPr>
                      <w:szCs w:val="21"/>
                    </w:rPr>
                  </w:pPr>
                  <w:r>
                    <w:rPr>
                      <w:rFonts w:hint="eastAsia"/>
                      <w:szCs w:val="21"/>
                    </w:rPr>
                    <w:t>/</w:t>
                  </w:r>
                </w:p>
              </w:tc>
              <w:tc>
                <w:tcPr>
                  <w:tcW w:w="3124" w:type="dxa"/>
                  <w:vMerge w:val="continue"/>
                  <w:noWrap w:val="0"/>
                  <w:vAlign w:val="center"/>
                </w:tcPr>
                <w:p w14:paraId="21474C0E">
                  <w:pPr>
                    <w:adjustRightInd w:val="0"/>
                    <w:snapToGrid w:val="0"/>
                    <w:jc w:val="center"/>
                    <w:rPr>
                      <w:szCs w:val="21"/>
                    </w:rPr>
                  </w:pPr>
                </w:p>
              </w:tc>
            </w:tr>
            <w:tr w14:paraId="72F3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56" w:type="dxa"/>
                  <w:noWrap w:val="0"/>
                  <w:vAlign w:val="center"/>
                </w:tcPr>
                <w:p w14:paraId="44D47CBF">
                  <w:pPr>
                    <w:adjustRightInd w:val="0"/>
                    <w:snapToGrid w:val="0"/>
                    <w:jc w:val="center"/>
                    <w:rPr>
                      <w:rFonts w:hint="eastAsia"/>
                      <w:szCs w:val="21"/>
                    </w:rPr>
                  </w:pPr>
                  <w:r>
                    <w:rPr>
                      <w:rFonts w:hint="eastAsia"/>
                      <w:szCs w:val="21"/>
                    </w:rPr>
                    <w:t>4</w:t>
                  </w:r>
                </w:p>
              </w:tc>
              <w:tc>
                <w:tcPr>
                  <w:tcW w:w="1886" w:type="dxa"/>
                  <w:noWrap w:val="0"/>
                  <w:vAlign w:val="center"/>
                </w:tcPr>
                <w:p w14:paraId="6160493D">
                  <w:pPr>
                    <w:adjustRightInd w:val="0"/>
                    <w:snapToGrid w:val="0"/>
                    <w:jc w:val="center"/>
                    <w:rPr>
                      <w:rFonts w:hint="eastAsia"/>
                      <w:szCs w:val="21"/>
                    </w:rPr>
                  </w:pPr>
                  <w:r>
                    <w:rPr>
                      <w:rFonts w:hint="eastAsia"/>
                      <w:szCs w:val="21"/>
                    </w:rPr>
                    <w:t>BOD</w:t>
                  </w:r>
                </w:p>
              </w:tc>
              <w:tc>
                <w:tcPr>
                  <w:tcW w:w="2047" w:type="dxa"/>
                  <w:noWrap w:val="0"/>
                  <w:vAlign w:val="center"/>
                </w:tcPr>
                <w:p w14:paraId="257787FA">
                  <w:pPr>
                    <w:adjustRightInd w:val="0"/>
                    <w:snapToGrid w:val="0"/>
                    <w:jc w:val="center"/>
                    <w:rPr>
                      <w:rFonts w:hint="eastAsia"/>
                      <w:szCs w:val="21"/>
                    </w:rPr>
                  </w:pPr>
                  <w:r>
                    <w:rPr>
                      <w:rFonts w:hint="eastAsia"/>
                      <w:szCs w:val="21"/>
                    </w:rPr>
                    <w:t>300</w:t>
                  </w:r>
                </w:p>
              </w:tc>
              <w:tc>
                <w:tcPr>
                  <w:tcW w:w="3124" w:type="dxa"/>
                  <w:vMerge w:val="continue"/>
                  <w:noWrap w:val="0"/>
                  <w:vAlign w:val="center"/>
                </w:tcPr>
                <w:p w14:paraId="0B6D1235">
                  <w:pPr>
                    <w:adjustRightInd w:val="0"/>
                    <w:snapToGrid w:val="0"/>
                    <w:jc w:val="center"/>
                    <w:rPr>
                      <w:szCs w:val="21"/>
                    </w:rPr>
                  </w:pPr>
                </w:p>
              </w:tc>
            </w:tr>
            <w:tr w14:paraId="1A13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56" w:type="dxa"/>
                  <w:noWrap w:val="0"/>
                  <w:vAlign w:val="center"/>
                </w:tcPr>
                <w:p w14:paraId="0B5AB999">
                  <w:pPr>
                    <w:adjustRightInd w:val="0"/>
                    <w:snapToGrid w:val="0"/>
                    <w:jc w:val="center"/>
                    <w:rPr>
                      <w:rFonts w:hint="eastAsia"/>
                      <w:szCs w:val="21"/>
                    </w:rPr>
                  </w:pPr>
                  <w:r>
                    <w:rPr>
                      <w:rFonts w:hint="eastAsia"/>
                      <w:szCs w:val="21"/>
                    </w:rPr>
                    <w:t>5</w:t>
                  </w:r>
                </w:p>
              </w:tc>
              <w:tc>
                <w:tcPr>
                  <w:tcW w:w="1886" w:type="dxa"/>
                  <w:noWrap w:val="0"/>
                  <w:vAlign w:val="center"/>
                </w:tcPr>
                <w:p w14:paraId="680F85C7">
                  <w:pPr>
                    <w:adjustRightInd w:val="0"/>
                    <w:snapToGrid w:val="0"/>
                    <w:jc w:val="center"/>
                    <w:rPr>
                      <w:szCs w:val="21"/>
                    </w:rPr>
                  </w:pPr>
                  <w:r>
                    <w:rPr>
                      <w:rFonts w:hint="eastAsia"/>
                      <w:szCs w:val="21"/>
                    </w:rPr>
                    <w:t>SS</w:t>
                  </w:r>
                </w:p>
              </w:tc>
              <w:tc>
                <w:tcPr>
                  <w:tcW w:w="2047" w:type="dxa"/>
                  <w:noWrap w:val="0"/>
                  <w:vAlign w:val="center"/>
                </w:tcPr>
                <w:p w14:paraId="05A17C0E">
                  <w:pPr>
                    <w:adjustRightInd w:val="0"/>
                    <w:snapToGrid w:val="0"/>
                    <w:jc w:val="center"/>
                    <w:rPr>
                      <w:szCs w:val="21"/>
                    </w:rPr>
                  </w:pPr>
                  <w:r>
                    <w:rPr>
                      <w:rFonts w:hint="eastAsia"/>
                      <w:szCs w:val="21"/>
                    </w:rPr>
                    <w:t>400</w:t>
                  </w:r>
                </w:p>
              </w:tc>
              <w:tc>
                <w:tcPr>
                  <w:tcW w:w="3124" w:type="dxa"/>
                  <w:vMerge w:val="continue"/>
                  <w:noWrap w:val="0"/>
                  <w:vAlign w:val="center"/>
                </w:tcPr>
                <w:p w14:paraId="2446321B">
                  <w:pPr>
                    <w:adjustRightInd w:val="0"/>
                    <w:snapToGrid w:val="0"/>
                    <w:jc w:val="center"/>
                    <w:rPr>
                      <w:szCs w:val="21"/>
                    </w:rPr>
                  </w:pPr>
                </w:p>
              </w:tc>
            </w:tr>
          </w:tbl>
          <w:p w14:paraId="16547144">
            <w:pPr>
              <w:spacing w:line="520" w:lineRule="exact"/>
              <w:ind w:firstLine="482" w:firstLineChars="200"/>
              <w:contextualSpacing/>
              <w:rPr>
                <w:rFonts w:hint="eastAsia"/>
                <w:b/>
                <w:bCs/>
                <w:sz w:val="24"/>
              </w:rPr>
            </w:pPr>
            <w:r>
              <w:rPr>
                <w:rFonts w:hint="eastAsia"/>
                <w:b/>
                <w:bCs/>
                <w:color w:val="000000"/>
                <w:sz w:val="24"/>
                <w:lang w:eastAsia="zh-CN"/>
              </w:rPr>
              <w:t>3.</w:t>
            </w:r>
            <w:r>
              <w:rPr>
                <w:b/>
                <w:bCs/>
                <w:sz w:val="24"/>
              </w:rPr>
              <w:t>噪声</w:t>
            </w:r>
          </w:p>
          <w:p w14:paraId="2C806175">
            <w:pPr>
              <w:spacing w:line="520" w:lineRule="exact"/>
              <w:ind w:firstLine="480" w:firstLineChars="200"/>
              <w:contextualSpacing/>
              <w:rPr>
                <w:rFonts w:hint="eastAsia"/>
                <w:sz w:val="24"/>
              </w:rPr>
            </w:pPr>
            <w:r>
              <w:rPr>
                <w:sz w:val="24"/>
              </w:rPr>
              <w:t>运营期项目区厂界噪声执行《工业企业厂界环境噪声排放标准》（GB12348-2008）中</w:t>
            </w:r>
            <w:r>
              <w:rPr>
                <w:rFonts w:hint="eastAsia"/>
                <w:sz w:val="24"/>
                <w:lang w:val="en-US" w:eastAsia="zh-CN"/>
              </w:rPr>
              <w:t>3</w:t>
            </w:r>
            <w:r>
              <w:rPr>
                <w:rFonts w:hint="eastAsia"/>
                <w:sz w:val="24"/>
              </w:rPr>
              <w:t>类</w:t>
            </w:r>
            <w:r>
              <w:rPr>
                <w:sz w:val="24"/>
              </w:rPr>
              <w:t>标准。</w:t>
            </w:r>
          </w:p>
          <w:p w14:paraId="3240AA33">
            <w:pPr>
              <w:widowControl/>
              <w:spacing w:line="520" w:lineRule="exact"/>
              <w:contextualSpacing/>
              <w:jc w:val="center"/>
              <w:rPr>
                <w:rFonts w:hint="eastAsia"/>
                <w:b/>
                <w:kern w:val="0"/>
                <w:sz w:val="24"/>
              </w:rPr>
            </w:pPr>
            <w:r>
              <w:rPr>
                <w:rFonts w:hint="eastAsia"/>
                <w:b/>
                <w:sz w:val="24"/>
              </w:rPr>
              <w:t>表</w:t>
            </w:r>
            <w:r>
              <w:rPr>
                <w:rFonts w:hint="eastAsia"/>
                <w:b/>
                <w:sz w:val="24"/>
                <w:lang w:val="en-US" w:eastAsia="zh-CN"/>
              </w:rPr>
              <w:t xml:space="preserve">3-7  </w:t>
            </w:r>
            <w:r>
              <w:rPr>
                <w:rFonts w:hint="eastAsia"/>
                <w:b/>
                <w:sz w:val="24"/>
              </w:rPr>
              <w:t xml:space="preserve">  </w:t>
            </w:r>
            <w:r>
              <w:rPr>
                <w:b/>
                <w:sz w:val="24"/>
              </w:rPr>
              <w:t>工业企业厂界环境噪声排放标准</w:t>
            </w:r>
          </w:p>
          <w:tbl>
            <w:tblPr>
              <w:tblStyle w:val="24"/>
              <w:tblW w:w="8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8"/>
              <w:gridCol w:w="2107"/>
              <w:gridCol w:w="2069"/>
              <w:gridCol w:w="2069"/>
            </w:tblGrid>
            <w:tr w14:paraId="771A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8" w:type="dxa"/>
                  <w:noWrap w:val="0"/>
                  <w:vAlign w:val="center"/>
                </w:tcPr>
                <w:p w14:paraId="767B3428">
                  <w:pPr>
                    <w:widowControl/>
                    <w:jc w:val="center"/>
                    <w:rPr>
                      <w:kern w:val="0"/>
                      <w:szCs w:val="21"/>
                    </w:rPr>
                  </w:pPr>
                  <w:r>
                    <w:rPr>
                      <w:rFonts w:hint="eastAsia"/>
                      <w:kern w:val="0"/>
                      <w:szCs w:val="21"/>
                    </w:rPr>
                    <w:t>类别</w:t>
                  </w:r>
                </w:p>
              </w:tc>
              <w:tc>
                <w:tcPr>
                  <w:tcW w:w="2107" w:type="dxa"/>
                  <w:noWrap w:val="0"/>
                  <w:vAlign w:val="center"/>
                </w:tcPr>
                <w:p w14:paraId="7D212735">
                  <w:pPr>
                    <w:widowControl/>
                    <w:jc w:val="center"/>
                    <w:rPr>
                      <w:kern w:val="0"/>
                      <w:szCs w:val="21"/>
                    </w:rPr>
                  </w:pPr>
                  <w:r>
                    <w:rPr>
                      <w:rFonts w:hint="eastAsia"/>
                      <w:kern w:val="0"/>
                      <w:szCs w:val="21"/>
                    </w:rPr>
                    <w:t>单位</w:t>
                  </w:r>
                </w:p>
              </w:tc>
              <w:tc>
                <w:tcPr>
                  <w:tcW w:w="2069" w:type="dxa"/>
                  <w:noWrap w:val="0"/>
                  <w:vAlign w:val="center"/>
                </w:tcPr>
                <w:p w14:paraId="3081CFF2">
                  <w:pPr>
                    <w:widowControl/>
                    <w:jc w:val="center"/>
                    <w:rPr>
                      <w:kern w:val="0"/>
                      <w:szCs w:val="21"/>
                    </w:rPr>
                  </w:pPr>
                  <w:r>
                    <w:rPr>
                      <w:rFonts w:hint="eastAsia"/>
                      <w:kern w:val="0"/>
                      <w:szCs w:val="21"/>
                    </w:rPr>
                    <w:t>昼间</w:t>
                  </w:r>
                </w:p>
              </w:tc>
              <w:tc>
                <w:tcPr>
                  <w:tcW w:w="2069" w:type="dxa"/>
                  <w:noWrap w:val="0"/>
                  <w:vAlign w:val="center"/>
                </w:tcPr>
                <w:p w14:paraId="2D016D82">
                  <w:pPr>
                    <w:widowControl/>
                    <w:jc w:val="center"/>
                    <w:rPr>
                      <w:kern w:val="0"/>
                      <w:szCs w:val="21"/>
                    </w:rPr>
                  </w:pPr>
                  <w:r>
                    <w:rPr>
                      <w:rFonts w:hint="eastAsia"/>
                      <w:kern w:val="0"/>
                      <w:szCs w:val="21"/>
                    </w:rPr>
                    <w:t>夜间</w:t>
                  </w:r>
                </w:p>
              </w:tc>
            </w:tr>
            <w:tr w14:paraId="4FF1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8" w:type="dxa"/>
                  <w:noWrap w:val="0"/>
                  <w:vAlign w:val="center"/>
                </w:tcPr>
                <w:p w14:paraId="379D2B0A">
                  <w:pPr>
                    <w:widowControl/>
                    <w:jc w:val="center"/>
                    <w:rPr>
                      <w:kern w:val="0"/>
                      <w:szCs w:val="21"/>
                    </w:rPr>
                  </w:pPr>
                  <w:r>
                    <w:rPr>
                      <w:rFonts w:hint="eastAsia"/>
                      <w:kern w:val="0"/>
                      <w:szCs w:val="21"/>
                      <w:lang w:val="en-US" w:eastAsia="zh-CN"/>
                    </w:rPr>
                    <w:t>3</w:t>
                  </w:r>
                  <w:r>
                    <w:rPr>
                      <w:rFonts w:hint="eastAsia"/>
                      <w:kern w:val="0"/>
                      <w:szCs w:val="21"/>
                    </w:rPr>
                    <w:t>类</w:t>
                  </w:r>
                </w:p>
              </w:tc>
              <w:tc>
                <w:tcPr>
                  <w:tcW w:w="2107" w:type="dxa"/>
                  <w:noWrap w:val="0"/>
                  <w:vAlign w:val="center"/>
                </w:tcPr>
                <w:p w14:paraId="7C89D9A3">
                  <w:pPr>
                    <w:widowControl/>
                    <w:jc w:val="center"/>
                    <w:rPr>
                      <w:kern w:val="0"/>
                      <w:szCs w:val="21"/>
                    </w:rPr>
                  </w:pPr>
                  <w:r>
                    <w:rPr>
                      <w:rFonts w:hint="eastAsia"/>
                      <w:kern w:val="0"/>
                      <w:szCs w:val="21"/>
                    </w:rPr>
                    <w:t>dB</w:t>
                  </w:r>
                  <w:r>
                    <w:rPr>
                      <w:rFonts w:hint="eastAsia"/>
                      <w:kern w:val="0"/>
                      <w:szCs w:val="21"/>
                      <w:lang w:eastAsia="zh-CN"/>
                    </w:rPr>
                    <w:t>(</w:t>
                  </w:r>
                  <w:r>
                    <w:rPr>
                      <w:rFonts w:hint="eastAsia"/>
                      <w:kern w:val="0"/>
                      <w:szCs w:val="21"/>
                    </w:rPr>
                    <w:t>A</w:t>
                  </w:r>
                  <w:r>
                    <w:rPr>
                      <w:rFonts w:hint="eastAsia"/>
                      <w:kern w:val="0"/>
                      <w:szCs w:val="21"/>
                      <w:lang w:eastAsia="zh-CN"/>
                    </w:rPr>
                    <w:t>)</w:t>
                  </w:r>
                </w:p>
              </w:tc>
              <w:tc>
                <w:tcPr>
                  <w:tcW w:w="2069" w:type="dxa"/>
                  <w:noWrap w:val="0"/>
                  <w:vAlign w:val="center"/>
                </w:tcPr>
                <w:p w14:paraId="1B32115F">
                  <w:pPr>
                    <w:widowControl/>
                    <w:jc w:val="center"/>
                    <w:rPr>
                      <w:rFonts w:hint="default" w:eastAsia="宋体"/>
                      <w:kern w:val="0"/>
                      <w:szCs w:val="21"/>
                      <w:lang w:val="en-US" w:eastAsia="zh-CN"/>
                    </w:rPr>
                  </w:pPr>
                  <w:r>
                    <w:rPr>
                      <w:rFonts w:hint="eastAsia"/>
                      <w:kern w:val="0"/>
                      <w:szCs w:val="21"/>
                      <w:lang w:val="en-US" w:eastAsia="zh-CN"/>
                    </w:rPr>
                    <w:t>65</w:t>
                  </w:r>
                </w:p>
              </w:tc>
              <w:tc>
                <w:tcPr>
                  <w:tcW w:w="2069" w:type="dxa"/>
                  <w:noWrap w:val="0"/>
                  <w:vAlign w:val="center"/>
                </w:tcPr>
                <w:p w14:paraId="65011FCC">
                  <w:pPr>
                    <w:widowControl/>
                    <w:jc w:val="center"/>
                    <w:rPr>
                      <w:rFonts w:hint="default" w:eastAsia="宋体"/>
                      <w:kern w:val="0"/>
                      <w:szCs w:val="21"/>
                      <w:lang w:val="en-US" w:eastAsia="zh-CN"/>
                    </w:rPr>
                  </w:pPr>
                  <w:r>
                    <w:rPr>
                      <w:rFonts w:hint="eastAsia"/>
                      <w:kern w:val="0"/>
                      <w:szCs w:val="21"/>
                      <w:lang w:val="en-US" w:eastAsia="zh-CN"/>
                    </w:rPr>
                    <w:t>55</w:t>
                  </w:r>
                </w:p>
              </w:tc>
            </w:tr>
          </w:tbl>
          <w:p w14:paraId="16AFBF12">
            <w:pPr>
              <w:spacing w:line="520" w:lineRule="exact"/>
              <w:ind w:firstLine="482" w:firstLineChars="200"/>
              <w:jc w:val="left"/>
              <w:rPr>
                <w:rFonts w:hint="eastAsia"/>
                <w:b/>
                <w:bCs/>
                <w:color w:val="000000"/>
                <w:sz w:val="24"/>
              </w:rPr>
            </w:pPr>
            <w:r>
              <w:rPr>
                <w:rFonts w:hint="eastAsia"/>
                <w:b/>
                <w:bCs/>
                <w:color w:val="000000"/>
                <w:sz w:val="24"/>
                <w:lang w:eastAsia="zh-CN"/>
              </w:rPr>
              <w:t>4.</w:t>
            </w:r>
            <w:r>
              <w:rPr>
                <w:b/>
                <w:bCs/>
                <w:color w:val="000000"/>
                <w:sz w:val="24"/>
              </w:rPr>
              <w:t>固废</w:t>
            </w:r>
          </w:p>
          <w:p w14:paraId="33179BDD">
            <w:pPr>
              <w:spacing w:line="520" w:lineRule="exact"/>
              <w:ind w:firstLine="480" w:firstLineChars="200"/>
              <w:jc w:val="left"/>
              <w:rPr>
                <w:rFonts w:hint="default" w:ascii="Times New Roman" w:hAnsi="Times New Roman" w:cs="Times New Roman"/>
                <w:color w:val="000000"/>
                <w:sz w:val="24"/>
              </w:rPr>
            </w:pPr>
            <w:r>
              <w:rPr>
                <w:rFonts w:hint="default" w:ascii="Times New Roman" w:hAnsi="Times New Roman" w:cs="Times New Roman"/>
                <w:color w:val="000000"/>
                <w:sz w:val="24"/>
              </w:rPr>
              <w:t>本项目产生的一般工业固体废物其贮存</w:t>
            </w:r>
            <w:r>
              <w:rPr>
                <w:rFonts w:hint="eastAsia" w:cs="Times New Roman"/>
                <w:color w:val="000000"/>
                <w:sz w:val="24"/>
                <w:lang w:val="en-US" w:eastAsia="zh-CN"/>
              </w:rPr>
              <w:t>执行</w:t>
            </w:r>
            <w:r>
              <w:rPr>
                <w:rFonts w:hint="default" w:ascii="Times New Roman" w:hAnsi="Times New Roman" w:cs="Times New Roman"/>
                <w:color w:val="000000"/>
                <w:sz w:val="24"/>
              </w:rPr>
              <w:t>《一般工业固体废物贮存和填埋污染控制标准》（GB18599-2020）中的相关要求。</w:t>
            </w:r>
          </w:p>
          <w:p w14:paraId="40B6EF27">
            <w:pPr>
              <w:spacing w:line="520" w:lineRule="exact"/>
              <w:ind w:firstLine="480" w:firstLineChars="200"/>
              <w:jc w:val="left"/>
              <w:rPr>
                <w:rFonts w:hint="eastAsia" w:ascii="Times New Roman" w:hAnsi="Times New Roman" w:eastAsia="宋体" w:cs="Times New Roman"/>
                <w:color w:val="000000"/>
                <w:sz w:val="24"/>
                <w:lang w:eastAsia="zh-CN"/>
              </w:rPr>
            </w:pPr>
            <w:r>
              <w:rPr>
                <w:rFonts w:hint="default" w:ascii="Times New Roman" w:hAnsi="Times New Roman" w:cs="Times New Roman"/>
                <w:color w:val="000000"/>
                <w:sz w:val="24"/>
              </w:rPr>
              <w:t>危险废物贮存执行《危险废物贮存污染控制标准》（GB</w:t>
            </w:r>
            <w:r>
              <w:rPr>
                <w:rFonts w:hint="eastAsia" w:cs="Times New Roman"/>
                <w:color w:val="000000"/>
                <w:sz w:val="24"/>
                <w:lang w:val="en-US" w:eastAsia="zh-CN"/>
              </w:rPr>
              <w:t>18597</w:t>
            </w:r>
            <w:r>
              <w:rPr>
                <w:rFonts w:hint="default" w:ascii="Times New Roman" w:hAnsi="Times New Roman" w:cs="Times New Roman"/>
                <w:color w:val="000000"/>
                <w:sz w:val="24"/>
              </w:rPr>
              <w:t>-2023）</w:t>
            </w:r>
            <w:r>
              <w:rPr>
                <w:rFonts w:hint="eastAsia" w:ascii="Times New Roman" w:hAnsi="Times New Roman" w:cs="Times New Roman"/>
                <w:color w:val="000000"/>
                <w:sz w:val="24"/>
                <w:lang w:eastAsia="zh-CN"/>
              </w:rPr>
              <w:t>。</w:t>
            </w:r>
          </w:p>
          <w:p w14:paraId="64A83640">
            <w:pPr>
              <w:adjustRightInd w:val="0"/>
              <w:snapToGrid w:val="0"/>
              <w:jc w:val="center"/>
              <w:rPr>
                <w:rFonts w:ascii="宋体" w:hAnsi="宋体" w:cs="宋体"/>
                <w:kern w:val="0"/>
                <w:szCs w:val="21"/>
              </w:rPr>
            </w:pPr>
          </w:p>
        </w:tc>
      </w:tr>
      <w:tr w14:paraId="64A55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451" w:type="dxa"/>
            <w:noWrap w:val="0"/>
            <w:vAlign w:val="center"/>
          </w:tcPr>
          <w:p w14:paraId="35B5A7A0">
            <w:pPr>
              <w:adjustRightInd w:val="0"/>
              <w:snapToGrid w:val="0"/>
              <w:jc w:val="center"/>
              <w:rPr>
                <w:rFonts w:hint="eastAsia" w:ascii="宋体" w:hAnsi="宋体" w:cs="宋体"/>
                <w:kern w:val="0"/>
                <w:szCs w:val="21"/>
              </w:rPr>
            </w:pPr>
            <w:r>
              <w:rPr>
                <w:rFonts w:hint="eastAsia" w:ascii="宋体" w:hAnsi="宋体" w:cs="宋体"/>
                <w:kern w:val="0"/>
                <w:szCs w:val="21"/>
              </w:rPr>
              <w:t>总量</w:t>
            </w:r>
          </w:p>
          <w:p w14:paraId="3A7DF4F8">
            <w:pPr>
              <w:adjustRightInd w:val="0"/>
              <w:snapToGrid w:val="0"/>
              <w:jc w:val="center"/>
              <w:rPr>
                <w:rFonts w:hint="eastAsia" w:ascii="宋体" w:hAnsi="宋体" w:cs="宋体"/>
                <w:kern w:val="0"/>
                <w:szCs w:val="21"/>
              </w:rPr>
            </w:pPr>
            <w:r>
              <w:rPr>
                <w:rFonts w:hint="eastAsia" w:ascii="宋体" w:hAnsi="宋体" w:cs="宋体"/>
                <w:kern w:val="0"/>
                <w:szCs w:val="21"/>
              </w:rPr>
              <w:t>控制</w:t>
            </w:r>
          </w:p>
          <w:p w14:paraId="30C7DDF6">
            <w:pPr>
              <w:adjustRightInd w:val="0"/>
              <w:snapToGrid w:val="0"/>
              <w:jc w:val="center"/>
              <w:rPr>
                <w:rFonts w:ascii="宋体" w:hAnsi="宋体" w:cs="宋体"/>
                <w:kern w:val="0"/>
                <w:szCs w:val="21"/>
              </w:rPr>
            </w:pPr>
            <w:r>
              <w:rPr>
                <w:rFonts w:hint="eastAsia" w:ascii="宋体" w:hAnsi="宋体" w:cs="宋体"/>
                <w:kern w:val="0"/>
                <w:szCs w:val="21"/>
              </w:rPr>
              <w:t>指标</w:t>
            </w:r>
          </w:p>
        </w:tc>
        <w:tc>
          <w:tcPr>
            <w:tcW w:w="8539" w:type="dxa"/>
            <w:noWrap w:val="0"/>
            <w:vAlign w:val="center"/>
          </w:tcPr>
          <w:p w14:paraId="051089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根据国家对实施污染物排放总量控制的要求以及本项目的工艺特征和污染物排放的特点，本环评确定建设项目污染物排放总量控制因子为废气中非甲烷总烃。本项目生活污水经化粪池</w:t>
            </w:r>
            <w:r>
              <w:rPr>
                <w:rFonts w:hint="eastAsia" w:cs="Times New Roman"/>
                <w:color w:val="auto"/>
                <w:sz w:val="24"/>
                <w:lang w:val="en-US" w:eastAsia="zh-CN"/>
              </w:rPr>
              <w:t>预处理后排入园区污水管网，最终进入轮台县新城区生活污水处理厂</w:t>
            </w:r>
            <w:r>
              <w:rPr>
                <w:rFonts w:hint="eastAsia" w:ascii="Times New Roman" w:hAnsi="Times New Roman" w:eastAsia="宋体" w:cs="Times New Roman"/>
                <w:color w:val="auto"/>
                <w:sz w:val="24"/>
                <w:lang w:eastAsia="zh-CN"/>
              </w:rPr>
              <w:t>处理，水污染物总量纳入污水处理厂生活源内，因此本项目不再重复计算水污染物总量控制指标。</w:t>
            </w:r>
          </w:p>
          <w:p w14:paraId="2ED8995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根据废气污染源源强分析，本项目污染物总量控制指标为：非甲烷总烃：</w:t>
            </w:r>
            <w:r>
              <w:rPr>
                <w:rFonts w:hint="eastAsia" w:cs="Times New Roman"/>
                <w:color w:val="auto"/>
                <w:sz w:val="24"/>
                <w:lang w:val="en-US" w:eastAsia="zh-CN"/>
              </w:rPr>
              <w:t>2.717</w:t>
            </w:r>
            <w:r>
              <w:rPr>
                <w:rFonts w:hint="eastAsia" w:ascii="Times New Roman" w:hAnsi="Times New Roman" w:eastAsia="宋体" w:cs="Times New Roman"/>
                <w:color w:val="auto"/>
                <w:sz w:val="24"/>
                <w:lang w:eastAsia="zh-CN"/>
              </w:rPr>
              <w:t>t/a。</w:t>
            </w:r>
          </w:p>
          <w:p w14:paraId="5062C853">
            <w:pPr>
              <w:keepNext w:val="0"/>
              <w:keepLines w:val="0"/>
              <w:pageBreakBefore w:val="0"/>
              <w:widowControl w:val="0"/>
              <w:kinsoku/>
              <w:wordWrap/>
              <w:overflowPunct/>
              <w:topLinePunct w:val="0"/>
              <w:autoSpaceDE/>
              <w:autoSpaceDN/>
              <w:bidi w:val="0"/>
              <w:adjustRightInd/>
              <w:snapToGrid/>
              <w:spacing w:before="313" w:beforeLines="100" w:line="360" w:lineRule="auto"/>
              <w:ind w:firstLine="480" w:firstLineChars="200"/>
              <w:jc w:val="left"/>
              <w:textAlignment w:val="auto"/>
              <w:rPr>
                <w:rFonts w:hint="eastAsia" w:ascii="Times New Roman" w:hAnsi="Times New Roman" w:eastAsia="宋体" w:cs="Times New Roman"/>
                <w:sz w:val="24"/>
                <w:lang w:eastAsia="zh-CN"/>
              </w:rPr>
            </w:pPr>
          </w:p>
          <w:p w14:paraId="27E8342D">
            <w:pPr>
              <w:adjustRightInd w:val="0"/>
              <w:snapToGrid w:val="0"/>
              <w:rPr>
                <w:rFonts w:ascii="宋体" w:hAnsi="宋体" w:cs="宋体"/>
                <w:kern w:val="0"/>
                <w:szCs w:val="21"/>
              </w:rPr>
            </w:pPr>
          </w:p>
        </w:tc>
      </w:tr>
    </w:tbl>
    <w:p w14:paraId="3310378F">
      <w:pPr>
        <w:pStyle w:val="21"/>
        <w:jc w:val="center"/>
        <w:outlineLvl w:val="0"/>
        <w:rPr>
          <w:rFonts w:ascii="黑体" w:hAnsi="黑体" w:eastAsia="黑体"/>
          <w:snapToGrid w:val="0"/>
          <w:sz w:val="30"/>
          <w:szCs w:val="30"/>
        </w:rPr>
      </w:pPr>
      <w:r>
        <w:rPr>
          <w:rFonts w:ascii="黑体" w:hAnsi="黑体" w:eastAsia="黑体"/>
          <w:snapToGrid w:val="0"/>
          <w:sz w:val="36"/>
          <w:szCs w:val="36"/>
        </w:rPr>
        <w:br w:type="page"/>
      </w:r>
      <w:r>
        <w:rPr>
          <w:rFonts w:hint="eastAsia" w:ascii="黑体" w:hAnsi="黑体" w:eastAsia="黑体"/>
          <w:snapToGrid w:val="0"/>
          <w:sz w:val="30"/>
          <w:szCs w:val="30"/>
        </w:rPr>
        <w:t>四、主要环境影响和保护措施</w:t>
      </w:r>
    </w:p>
    <w:tbl>
      <w:tblPr>
        <w:tblStyle w:val="24"/>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47"/>
        <w:gridCol w:w="8534"/>
      </w:tblGrid>
      <w:tr w14:paraId="1C8EC5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50" w:hRule="atLeast"/>
          <w:jc w:val="center"/>
        </w:trPr>
        <w:tc>
          <w:tcPr>
            <w:tcW w:w="447" w:type="dxa"/>
            <w:noWrap w:val="0"/>
            <w:tcMar>
              <w:left w:w="28" w:type="dxa"/>
              <w:right w:w="28" w:type="dxa"/>
            </w:tcMar>
            <w:vAlign w:val="center"/>
          </w:tcPr>
          <w:p w14:paraId="78DDB69D">
            <w:pPr>
              <w:pStyle w:val="21"/>
              <w:adjustRightInd w:val="0"/>
              <w:snapToGrid w:val="0"/>
              <w:spacing w:before="0" w:beforeAutospacing="0" w:after="0" w:afterAutospacing="0"/>
              <w:jc w:val="center"/>
              <w:rPr>
                <w:rFonts w:hint="eastAsia" w:cs="宋体"/>
                <w:kern w:val="2"/>
                <w:sz w:val="21"/>
                <w:szCs w:val="21"/>
              </w:rPr>
            </w:pPr>
            <w:r>
              <w:rPr>
                <w:rFonts w:hint="eastAsia" w:cs="宋体"/>
                <w:kern w:val="2"/>
                <w:sz w:val="21"/>
                <w:szCs w:val="21"/>
              </w:rPr>
              <w:t>施工</w:t>
            </w:r>
          </w:p>
          <w:p w14:paraId="17C4D3CB">
            <w:pPr>
              <w:pStyle w:val="21"/>
              <w:adjustRightInd w:val="0"/>
              <w:snapToGrid w:val="0"/>
              <w:spacing w:before="0" w:beforeAutospacing="0" w:after="0" w:afterAutospacing="0"/>
              <w:jc w:val="center"/>
              <w:rPr>
                <w:rFonts w:hint="eastAsia" w:cs="宋体"/>
                <w:kern w:val="2"/>
                <w:sz w:val="21"/>
                <w:szCs w:val="21"/>
              </w:rPr>
            </w:pPr>
            <w:r>
              <w:rPr>
                <w:rFonts w:hint="eastAsia" w:cs="宋体"/>
                <w:kern w:val="2"/>
                <w:sz w:val="21"/>
                <w:szCs w:val="21"/>
              </w:rPr>
              <w:t>期环</w:t>
            </w:r>
          </w:p>
          <w:p w14:paraId="239B82D3">
            <w:pPr>
              <w:pStyle w:val="21"/>
              <w:adjustRightInd w:val="0"/>
              <w:snapToGrid w:val="0"/>
              <w:spacing w:before="0" w:beforeAutospacing="0" w:after="0" w:afterAutospacing="0"/>
              <w:jc w:val="center"/>
              <w:rPr>
                <w:rFonts w:hint="eastAsia" w:cs="宋体"/>
                <w:kern w:val="2"/>
                <w:sz w:val="21"/>
                <w:szCs w:val="21"/>
              </w:rPr>
            </w:pPr>
            <w:r>
              <w:rPr>
                <w:rFonts w:hint="eastAsia" w:cs="宋体"/>
                <w:kern w:val="2"/>
                <w:sz w:val="21"/>
                <w:szCs w:val="21"/>
              </w:rPr>
              <w:t>境保</w:t>
            </w:r>
          </w:p>
          <w:p w14:paraId="07732218">
            <w:pPr>
              <w:pStyle w:val="21"/>
              <w:adjustRightInd w:val="0"/>
              <w:snapToGrid w:val="0"/>
              <w:spacing w:before="0" w:beforeAutospacing="0" w:after="0" w:afterAutospacing="0"/>
              <w:jc w:val="center"/>
              <w:rPr>
                <w:rFonts w:hint="eastAsia" w:cs="宋体"/>
                <w:kern w:val="2"/>
                <w:sz w:val="21"/>
                <w:szCs w:val="21"/>
              </w:rPr>
            </w:pPr>
            <w:r>
              <w:rPr>
                <w:rFonts w:hint="eastAsia" w:cs="宋体"/>
                <w:kern w:val="2"/>
                <w:sz w:val="21"/>
                <w:szCs w:val="21"/>
              </w:rPr>
              <w:t>护措</w:t>
            </w:r>
          </w:p>
          <w:p w14:paraId="5F3264E1">
            <w:pPr>
              <w:pStyle w:val="21"/>
              <w:adjustRightInd w:val="0"/>
              <w:snapToGrid w:val="0"/>
              <w:spacing w:before="0" w:beforeAutospacing="0" w:after="0" w:afterAutospacing="0"/>
              <w:jc w:val="center"/>
              <w:rPr>
                <w:rFonts w:hint="eastAsia" w:cs="宋体"/>
                <w:bCs/>
                <w:kern w:val="2"/>
                <w:sz w:val="21"/>
                <w:szCs w:val="21"/>
              </w:rPr>
            </w:pPr>
            <w:r>
              <w:rPr>
                <w:rFonts w:hint="eastAsia" w:cs="宋体"/>
                <w:kern w:val="2"/>
                <w:sz w:val="21"/>
                <w:szCs w:val="21"/>
              </w:rPr>
              <w:t>施</w:t>
            </w:r>
          </w:p>
        </w:tc>
        <w:tc>
          <w:tcPr>
            <w:tcW w:w="8534" w:type="dxa"/>
            <w:noWrap w:val="0"/>
            <w:vAlign w:val="center"/>
          </w:tcPr>
          <w:p w14:paraId="26A26997">
            <w:pPr>
              <w:pStyle w:val="50"/>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宋体" w:hAnsi="宋体" w:cs="宋体"/>
                <w:b/>
              </w:rPr>
            </w:pPr>
            <w:bookmarkStart w:id="5" w:name="_Toc168121379"/>
            <w:bookmarkStart w:id="6" w:name="_Toc168312904"/>
            <w:bookmarkStart w:id="7" w:name="_Toc168121571"/>
            <w:bookmarkStart w:id="8" w:name="_Toc156819103"/>
            <w:bookmarkStart w:id="9" w:name="_Toc167859200"/>
            <w:r>
              <w:rPr>
                <w:rFonts w:hint="eastAsia" w:ascii="宋体" w:hAnsi="宋体" w:cs="宋体"/>
                <w:b/>
              </w:rPr>
              <w:t>（一）施工期大气</w:t>
            </w:r>
            <w:bookmarkEnd w:id="5"/>
            <w:bookmarkEnd w:id="6"/>
            <w:bookmarkEnd w:id="7"/>
            <w:bookmarkEnd w:id="8"/>
            <w:bookmarkEnd w:id="9"/>
            <w:r>
              <w:rPr>
                <w:rFonts w:hint="eastAsia" w:ascii="宋体" w:hAnsi="宋体" w:cs="宋体"/>
                <w:b/>
              </w:rPr>
              <w:t>污染控制措施</w:t>
            </w:r>
          </w:p>
          <w:p w14:paraId="7A4A051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①施工方严格按照《防治城市扬尘污染技术规范》（HJ/T393-2007）中的要求，晴朗天气每周等时间间隔洒水二至七次，扬尘严重时加大洒水频次。一般原则每天早</w:t>
            </w:r>
            <w:r>
              <w:rPr>
                <w:rFonts w:hint="eastAsia" w:ascii="宋体" w:hAnsi="宋体" w:cs="宋体"/>
                <w:sz w:val="24"/>
                <w:lang w:eastAsia="zh-CN"/>
              </w:rPr>
              <w:t>（</w:t>
            </w:r>
            <w:r>
              <w:rPr>
                <w:rFonts w:hint="eastAsia" w:ascii="宋体" w:hAnsi="宋体" w:cs="宋体"/>
                <w:sz w:val="24"/>
              </w:rPr>
              <w:t>9</w:t>
            </w:r>
            <w:r>
              <w:rPr>
                <w:rFonts w:hint="eastAsia" w:ascii="宋体" w:hAnsi="宋体" w:cs="宋体"/>
                <w:sz w:val="24"/>
                <w:lang w:eastAsia="zh-CN"/>
              </w:rPr>
              <w:t>:</w:t>
            </w:r>
            <w:r>
              <w:rPr>
                <w:rFonts w:hint="eastAsia" w:ascii="宋体" w:hAnsi="宋体" w:cs="宋体"/>
                <w:sz w:val="24"/>
              </w:rPr>
              <w:t>00-10</w:t>
            </w:r>
            <w:r>
              <w:rPr>
                <w:rFonts w:hint="eastAsia" w:ascii="宋体" w:hAnsi="宋体" w:cs="宋体"/>
                <w:sz w:val="24"/>
                <w:lang w:eastAsia="zh-CN"/>
              </w:rPr>
              <w:t>:00）</w:t>
            </w:r>
            <w:r>
              <w:rPr>
                <w:rFonts w:hint="eastAsia" w:ascii="宋体" w:hAnsi="宋体" w:cs="宋体"/>
                <w:sz w:val="24"/>
              </w:rPr>
              <w:t>中</w:t>
            </w:r>
            <w:r>
              <w:rPr>
                <w:rFonts w:hint="eastAsia" w:ascii="宋体" w:hAnsi="宋体" w:cs="宋体"/>
                <w:sz w:val="24"/>
                <w:lang w:eastAsia="zh-CN"/>
              </w:rPr>
              <w:t>（</w:t>
            </w:r>
            <w:r>
              <w:rPr>
                <w:rFonts w:hint="eastAsia" w:ascii="宋体" w:hAnsi="宋体" w:cs="宋体"/>
                <w:sz w:val="24"/>
              </w:rPr>
              <w:t>13</w:t>
            </w:r>
            <w:r>
              <w:rPr>
                <w:rFonts w:hint="eastAsia" w:ascii="宋体" w:hAnsi="宋体" w:cs="宋体"/>
                <w:sz w:val="24"/>
                <w:lang w:eastAsia="zh-CN"/>
              </w:rPr>
              <w:t>:</w:t>
            </w:r>
            <w:r>
              <w:rPr>
                <w:rFonts w:hint="eastAsia" w:ascii="宋体" w:hAnsi="宋体" w:cs="宋体"/>
                <w:sz w:val="24"/>
              </w:rPr>
              <w:t>30-16</w:t>
            </w:r>
            <w:r>
              <w:rPr>
                <w:rFonts w:hint="eastAsia" w:ascii="宋体" w:hAnsi="宋体" w:cs="宋体"/>
                <w:sz w:val="24"/>
                <w:lang w:eastAsia="zh-CN"/>
              </w:rPr>
              <w:t>:00）</w:t>
            </w:r>
            <w:r>
              <w:rPr>
                <w:rFonts w:hint="eastAsia" w:ascii="宋体" w:hAnsi="宋体" w:cs="宋体"/>
                <w:sz w:val="24"/>
              </w:rPr>
              <w:t>晚</w:t>
            </w:r>
            <w:r>
              <w:rPr>
                <w:rFonts w:hint="eastAsia" w:ascii="宋体" w:hAnsi="宋体" w:cs="宋体"/>
                <w:sz w:val="24"/>
                <w:lang w:eastAsia="zh-CN"/>
              </w:rPr>
              <w:t>（</w:t>
            </w:r>
            <w:r>
              <w:rPr>
                <w:rFonts w:hint="eastAsia" w:ascii="宋体" w:hAnsi="宋体" w:cs="宋体"/>
                <w:sz w:val="24"/>
              </w:rPr>
              <w:t>18</w:t>
            </w:r>
            <w:r>
              <w:rPr>
                <w:rFonts w:hint="eastAsia" w:ascii="宋体" w:hAnsi="宋体" w:cs="宋体"/>
                <w:sz w:val="24"/>
                <w:lang w:eastAsia="zh-CN"/>
              </w:rPr>
              <w:t>:</w:t>
            </w:r>
            <w:r>
              <w:rPr>
                <w:rFonts w:hint="eastAsia" w:ascii="宋体" w:hAnsi="宋体" w:cs="宋体"/>
                <w:sz w:val="24"/>
              </w:rPr>
              <w:t>00-19</w:t>
            </w:r>
            <w:r>
              <w:rPr>
                <w:rFonts w:hint="eastAsia" w:ascii="宋体" w:hAnsi="宋体" w:cs="宋体"/>
                <w:sz w:val="24"/>
                <w:lang w:eastAsia="zh-CN"/>
              </w:rPr>
              <w:t>:</w:t>
            </w:r>
            <w:r>
              <w:rPr>
                <w:rFonts w:hint="eastAsia" w:ascii="宋体" w:hAnsi="宋体" w:cs="宋体"/>
                <w:sz w:val="24"/>
              </w:rPr>
              <w:t>00</w:t>
            </w:r>
            <w:r>
              <w:rPr>
                <w:rFonts w:hint="eastAsia" w:ascii="宋体" w:hAnsi="宋体" w:cs="宋体"/>
                <w:sz w:val="24"/>
                <w:lang w:eastAsia="zh-CN"/>
              </w:rPr>
              <w:t>）</w:t>
            </w:r>
            <w:r>
              <w:rPr>
                <w:rFonts w:hint="eastAsia" w:ascii="宋体" w:hAnsi="宋体" w:cs="宋体"/>
                <w:sz w:val="24"/>
              </w:rPr>
              <w:t>各洒水一次，当风速大于3级、夏季晴好的天气应每隔3个小时洒水一次；当风速大于4级，停止施工。</w:t>
            </w:r>
          </w:p>
          <w:p w14:paraId="2D65733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②</w:t>
            </w:r>
            <w:r>
              <w:rPr>
                <w:rFonts w:hint="eastAsia" w:hAnsi="宋体"/>
                <w:bCs/>
                <w:sz w:val="24"/>
              </w:rPr>
              <w:t>采取设置围栏、洒水压尘、加强物料防尘管理</w:t>
            </w:r>
            <w:r>
              <w:rPr>
                <w:rFonts w:hint="eastAsia" w:hAnsi="宋体"/>
                <w:bCs/>
                <w:sz w:val="24"/>
                <w:lang w:eastAsia="zh-CN"/>
              </w:rPr>
              <w:t>及</w:t>
            </w:r>
            <w:r>
              <w:rPr>
                <w:rFonts w:hint="eastAsia" w:hAnsi="宋体"/>
                <w:bCs/>
                <w:sz w:val="24"/>
              </w:rPr>
              <w:t>时清运施工垃圾等措施。</w:t>
            </w:r>
            <w:r>
              <w:rPr>
                <w:rFonts w:hint="eastAsia" w:ascii="宋体" w:hAnsi="宋体" w:cs="宋体"/>
                <w:sz w:val="24"/>
              </w:rPr>
              <w:t>运载设备材料的车辆为货车，车辆驶出装、卸场地前用水将</w:t>
            </w:r>
            <w:r>
              <w:rPr>
                <w:rFonts w:hint="eastAsia" w:ascii="宋体" w:hAnsi="宋体" w:cs="宋体"/>
                <w:sz w:val="24"/>
                <w:lang w:eastAsia="zh-CN"/>
              </w:rPr>
              <w:t>车厢外</w:t>
            </w:r>
            <w:r>
              <w:rPr>
                <w:rFonts w:hint="eastAsia" w:ascii="宋体" w:hAnsi="宋体" w:cs="宋体"/>
                <w:sz w:val="24"/>
              </w:rPr>
              <w:t>和轮胎冲洗干净，运输车辆行驶路线要尽量避开居民点和环境敏感点。</w:t>
            </w:r>
            <w:bookmarkStart w:id="10" w:name="_Toc168121381"/>
            <w:bookmarkStart w:id="11" w:name="_Toc168121573"/>
            <w:bookmarkStart w:id="12" w:name="_Toc167859202"/>
            <w:bookmarkStart w:id="13" w:name="_Toc168312906"/>
            <w:bookmarkStart w:id="14" w:name="_Toc156819106"/>
          </w:p>
          <w:p w14:paraId="0E50367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
                <w:bCs/>
                <w:sz w:val="24"/>
              </w:rPr>
            </w:pPr>
            <w:r>
              <w:rPr>
                <w:rFonts w:hint="eastAsia" w:ascii="宋体" w:hAnsi="宋体" w:cs="宋体"/>
                <w:b/>
                <w:sz w:val="24"/>
              </w:rPr>
              <w:t>（二）</w:t>
            </w:r>
            <w:bookmarkEnd w:id="10"/>
            <w:bookmarkEnd w:id="11"/>
            <w:bookmarkEnd w:id="12"/>
            <w:bookmarkEnd w:id="13"/>
            <w:bookmarkEnd w:id="14"/>
            <w:r>
              <w:rPr>
                <w:rFonts w:hint="eastAsia" w:ascii="宋体" w:hAnsi="宋体" w:cs="宋体"/>
                <w:b/>
                <w:bCs/>
                <w:sz w:val="24"/>
              </w:rPr>
              <w:t>施工期水污染控制措施</w:t>
            </w:r>
          </w:p>
          <w:p w14:paraId="7565944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本项目施工期生产废水包括工程养护水及进出施工场地车辆清洗废水等。生产废水经</w:t>
            </w:r>
            <w:r>
              <w:rPr>
                <w:rFonts w:hint="eastAsia" w:ascii="宋体" w:hAnsi="宋体" w:cs="宋体"/>
                <w:sz w:val="24"/>
                <w:lang w:val="en-US" w:eastAsia="zh-CN"/>
              </w:rPr>
              <w:t>临时</w:t>
            </w:r>
            <w:r>
              <w:rPr>
                <w:rFonts w:hint="eastAsia" w:ascii="宋体" w:hAnsi="宋体" w:cs="宋体"/>
                <w:sz w:val="24"/>
              </w:rPr>
              <w:t>沉淀池处理后全部用于施工现场喷洒道路，不外排，不会对周围环境造成不利影响。</w:t>
            </w:r>
          </w:p>
          <w:p w14:paraId="549DCBF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施工期生活</w:t>
            </w:r>
            <w:r>
              <w:rPr>
                <w:rFonts w:hint="eastAsia" w:ascii="宋体" w:hAnsi="宋体" w:cs="宋体"/>
                <w:sz w:val="24"/>
                <w:szCs w:val="24"/>
              </w:rPr>
              <w:t>污水</w:t>
            </w:r>
            <w:r>
              <w:rPr>
                <w:rFonts w:hint="eastAsia"/>
                <w:sz w:val="24"/>
                <w:szCs w:val="24"/>
                <w:lang w:val="en-US" w:eastAsia="zh-CN"/>
              </w:rPr>
              <w:t>经</w:t>
            </w:r>
            <w:r>
              <w:rPr>
                <w:rFonts w:hint="eastAsia" w:ascii="宋体" w:hAnsi="宋体" w:cs="宋体"/>
                <w:sz w:val="24"/>
                <w:szCs w:val="24"/>
                <w:lang w:val="en-US" w:eastAsia="zh-CN"/>
              </w:rPr>
              <w:t>化粪池预</w:t>
            </w:r>
            <w:r>
              <w:rPr>
                <w:rFonts w:hint="eastAsia" w:ascii="宋体" w:hAnsi="宋体" w:cs="宋体"/>
                <w:sz w:val="24"/>
                <w:lang w:val="en-US" w:eastAsia="zh-CN"/>
              </w:rPr>
              <w:t>处理后</w:t>
            </w:r>
            <w:r>
              <w:rPr>
                <w:rFonts w:hint="eastAsia" w:ascii="宋体" w:hAnsi="宋体" w:cs="宋体"/>
                <w:sz w:val="24"/>
              </w:rPr>
              <w:t>排入园区污水管网，由于施工期的废水对周围环境的影响不大，并随着施工期的完成而消除。</w:t>
            </w:r>
          </w:p>
          <w:p w14:paraId="56ED976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
                <w:sz w:val="24"/>
              </w:rPr>
            </w:pPr>
            <w:r>
              <w:rPr>
                <w:rFonts w:hint="eastAsia" w:ascii="宋体" w:hAnsi="宋体" w:cs="宋体"/>
                <w:b/>
                <w:sz w:val="24"/>
              </w:rPr>
              <w:t>（三）施工期噪声控制</w:t>
            </w:r>
            <w:r>
              <w:rPr>
                <w:rFonts w:hint="eastAsia" w:ascii="宋体" w:hAnsi="宋体" w:cs="宋体"/>
                <w:b/>
                <w:bCs/>
                <w:sz w:val="24"/>
              </w:rPr>
              <w:t>措施</w:t>
            </w:r>
          </w:p>
          <w:p w14:paraId="59D996F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①从声源上控制：建设单位与施工单位签订合同时，应要求其使用的主要机械设备为低噪声机械设备。同时在施工过程中施工单位应设专人对设备进行定期保养和维护，并负责对现场工作人员进行培训，严格按操作规范使用各类机械。</w:t>
            </w:r>
          </w:p>
          <w:p w14:paraId="4591126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kern w:val="24"/>
                <w:sz w:val="24"/>
                <w:lang w:val="zh-CN"/>
              </w:rPr>
            </w:pPr>
            <w:r>
              <w:rPr>
                <w:rFonts w:hint="eastAsia" w:ascii="宋体" w:hAnsi="宋体" w:cs="宋体"/>
                <w:sz w:val="24"/>
              </w:rPr>
              <w:t>②合理安排施工时间：</w:t>
            </w:r>
            <w:r>
              <w:rPr>
                <w:rFonts w:hint="eastAsia" w:ascii="宋体" w:hAnsi="宋体" w:cs="宋体"/>
                <w:kern w:val="24"/>
                <w:sz w:val="24"/>
                <w:lang w:val="zh-CN"/>
              </w:rPr>
              <w:t>首先制订施工计划时，应尽可能避免大量高噪声设备同时施工。除此之外，高噪声施工时间尽量安排在日间，减少夜间施工量。中午（14∶00-16∶00）及夜间（0∶00-8∶00）禁止施工。</w:t>
            </w:r>
          </w:p>
          <w:p w14:paraId="71C9E72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③合理布置施工现场。施工现场应合理布局，将施工中的固定噪声源相对集中摆放，闲置不用的设备立即关闭，降低施工噪声对周边声环境的影响。</w:t>
            </w:r>
          </w:p>
          <w:p w14:paraId="65FAD4D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sz w:val="24"/>
              </w:rPr>
            </w:pPr>
            <w:r>
              <w:rPr>
                <w:rFonts w:hint="eastAsia" w:ascii="宋体" w:hAnsi="宋体" w:cs="宋体"/>
                <w:sz w:val="24"/>
              </w:rPr>
              <w:t>④车辆出入施工现场时应低速、禁鸣。</w:t>
            </w:r>
          </w:p>
          <w:p w14:paraId="4D7BF702">
            <w:pPr>
              <w:keepNext w:val="0"/>
              <w:keepLines w:val="0"/>
              <w:pageBreakBefore w:val="0"/>
              <w:widowControl w:val="0"/>
              <w:kinsoku/>
              <w:wordWrap/>
              <w:overflowPunct/>
              <w:topLinePunct w:val="0"/>
              <w:autoSpaceDE/>
              <w:autoSpaceDN/>
              <w:bidi w:val="0"/>
              <w:adjustRightInd/>
              <w:snapToGrid/>
              <w:spacing w:line="520" w:lineRule="exact"/>
              <w:textAlignment w:val="auto"/>
              <w:outlineLvl w:val="1"/>
              <w:rPr>
                <w:rFonts w:hint="eastAsia" w:ascii="宋体" w:hAnsi="宋体" w:cs="宋体"/>
                <w:b/>
                <w:sz w:val="24"/>
              </w:rPr>
            </w:pPr>
            <w:bookmarkStart w:id="15" w:name="_Toc519840850"/>
            <w:bookmarkStart w:id="16" w:name="_Toc41270224"/>
            <w:bookmarkStart w:id="17" w:name="_Toc13105922"/>
            <w:bookmarkStart w:id="18" w:name="_Toc527339557"/>
            <w:bookmarkStart w:id="19" w:name="_Toc527339390"/>
            <w:bookmarkStart w:id="20" w:name="_Toc520705159"/>
            <w:bookmarkStart w:id="21" w:name="_Toc508028298"/>
            <w:r>
              <w:rPr>
                <w:rFonts w:hint="eastAsia" w:ascii="宋体" w:hAnsi="宋体" w:cs="宋体"/>
                <w:b/>
                <w:sz w:val="24"/>
              </w:rPr>
              <w:t>（四）施工期固废</w:t>
            </w:r>
            <w:bookmarkEnd w:id="15"/>
            <w:bookmarkEnd w:id="16"/>
            <w:bookmarkEnd w:id="17"/>
            <w:bookmarkEnd w:id="18"/>
            <w:bookmarkEnd w:id="19"/>
            <w:bookmarkEnd w:id="20"/>
            <w:bookmarkEnd w:id="21"/>
            <w:r>
              <w:rPr>
                <w:rFonts w:hint="eastAsia" w:ascii="宋体" w:hAnsi="宋体" w:cs="宋体"/>
                <w:b/>
                <w:bCs/>
                <w:sz w:val="24"/>
              </w:rPr>
              <w:t>控制措施</w:t>
            </w:r>
          </w:p>
          <w:p w14:paraId="1EF50D8C">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eastAsia="宋体"/>
              </w:rPr>
            </w:pPr>
            <w:r>
              <w:rPr>
                <w:rFonts w:hint="eastAsia" w:eastAsia="宋体"/>
              </w:rPr>
              <w:t>施工期的生活垃圾量很少，主要为少量工人用餐后的废弃饭盒、塑料袋等。如不及时清理，在气温适宜的条件下会滋生蚊虫、产生恶臭、传播疾病。采取定点放置垃圾箱集中收集，定期</w:t>
            </w:r>
            <w:r>
              <w:rPr>
                <w:rFonts w:hint="eastAsia" w:eastAsia="宋体"/>
                <w:lang w:val="en-US" w:eastAsia="zh-CN"/>
              </w:rPr>
              <w:t>交由环卫部门拉运</w:t>
            </w:r>
            <w:r>
              <w:rPr>
                <w:rFonts w:hint="eastAsia" w:eastAsia="宋体"/>
              </w:rPr>
              <w:t>处理</w:t>
            </w:r>
            <w:r>
              <w:rPr>
                <w:rFonts w:eastAsia="宋体"/>
              </w:rPr>
              <w:t>。</w:t>
            </w:r>
          </w:p>
          <w:p w14:paraId="535F7CE8">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color w:val="000000"/>
              </w:rPr>
            </w:pPr>
            <w:r>
              <w:rPr>
                <w:rFonts w:eastAsia="宋体"/>
              </w:rPr>
              <w:t>项目建筑垃圾主要来自散落的砂浆和混凝土，碎砖和碎混凝土块。</w:t>
            </w:r>
            <w:r>
              <w:rPr>
                <w:rFonts w:hint="eastAsia" w:eastAsia="宋体"/>
                <w:color w:val="000000"/>
              </w:rPr>
              <w:t>建筑垃圾不可随意丢弃，送往</w:t>
            </w:r>
            <w:r>
              <w:rPr>
                <w:rFonts w:hint="eastAsia" w:eastAsia="宋体"/>
                <w:color w:val="000000"/>
                <w:lang w:val="en-US" w:eastAsia="zh-CN"/>
              </w:rPr>
              <w:t>政府部门</w:t>
            </w:r>
            <w:r>
              <w:rPr>
                <w:rFonts w:hint="eastAsia" w:eastAsia="宋体"/>
                <w:color w:val="000000"/>
              </w:rPr>
              <w:t>指定的</w:t>
            </w:r>
            <w:r>
              <w:rPr>
                <w:rFonts w:hint="eastAsia" w:eastAsia="宋体"/>
                <w:color w:val="000000"/>
                <w:lang w:val="en-US" w:eastAsia="zh-CN"/>
              </w:rPr>
              <w:t>地点</w:t>
            </w:r>
            <w:r>
              <w:rPr>
                <w:rFonts w:hint="eastAsia" w:eastAsia="宋体"/>
                <w:color w:val="000000"/>
              </w:rPr>
              <w:t>进行处置</w:t>
            </w:r>
            <w:r>
              <w:rPr>
                <w:color w:val="000000"/>
              </w:rPr>
              <w:t>。</w:t>
            </w:r>
          </w:p>
          <w:p w14:paraId="6001199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sz w:val="24"/>
                <w:lang w:val="en-US" w:eastAsia="zh-CN"/>
              </w:rPr>
            </w:pPr>
            <w:r>
              <w:rPr>
                <w:rFonts w:hint="eastAsia" w:ascii="宋体" w:hAnsi="宋体" w:cs="宋体"/>
                <w:b/>
                <w:bCs/>
                <w:sz w:val="24"/>
                <w:lang w:val="en-US" w:eastAsia="zh-CN"/>
              </w:rPr>
              <w:t>（五）施工期水土保持、防沙治沙措施</w:t>
            </w:r>
          </w:p>
          <w:p w14:paraId="6BF3FE9F">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项目</w:t>
            </w:r>
            <w:r>
              <w:rPr>
                <w:rFonts w:hint="eastAsia"/>
                <w:sz w:val="24"/>
                <w:lang w:val="en-US" w:eastAsia="zh-CN"/>
              </w:rPr>
              <w:t>位于新疆巴州轮台县红桥石油服务区内</w:t>
            </w:r>
            <w:r>
              <w:rPr>
                <w:rFonts w:hint="eastAsia" w:eastAsia="宋体"/>
                <w:lang w:eastAsia="zh-CN"/>
              </w:rPr>
              <w:t>，区域气候干旱多风，施工过程中少量地表裸露区域易产生风蚀，施工单位应合理安排施工时序，缩小裸露土地范围，对临时堆放的土石方采取遮盖措施，施工结束后及时平整场地，对临时占用的空地进行压实整理，减少风蚀起沙，降低水土流失及沙尘影响</w:t>
            </w:r>
            <w:r>
              <w:rPr>
                <w:rFonts w:hint="eastAsia" w:ascii="宋体" w:hAnsi="宋体"/>
                <w:sz w:val="24"/>
                <w:lang w:val="en-US" w:eastAsia="zh-CN"/>
              </w:rPr>
              <w:t>。</w:t>
            </w:r>
          </w:p>
          <w:p w14:paraId="40A3B8E7">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lang w:val="en-US" w:eastAsia="zh-CN"/>
              </w:rPr>
            </w:pPr>
          </w:p>
          <w:p w14:paraId="1D9C5A5A">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lang w:val="en-US" w:eastAsia="zh-CN"/>
              </w:rPr>
            </w:pPr>
          </w:p>
          <w:p w14:paraId="0E92D491">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lang w:val="en-US" w:eastAsia="zh-CN"/>
              </w:rPr>
            </w:pPr>
          </w:p>
          <w:p w14:paraId="2CA1BD43">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lang w:val="en-US" w:eastAsia="zh-CN"/>
              </w:rPr>
            </w:pPr>
          </w:p>
          <w:p w14:paraId="7BE98AF5">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lang w:val="en-US" w:eastAsia="zh-CN"/>
              </w:rPr>
            </w:pPr>
          </w:p>
          <w:p w14:paraId="3113CA09">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lang w:val="en-US" w:eastAsia="zh-CN"/>
              </w:rPr>
            </w:pPr>
          </w:p>
          <w:p w14:paraId="74A2C8BD">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lang w:val="en-US" w:eastAsia="zh-CN"/>
              </w:rPr>
            </w:pPr>
          </w:p>
          <w:p w14:paraId="734ECA8B">
            <w:pPr>
              <w:pStyle w:val="53"/>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lang w:val="en-US" w:eastAsia="zh-CN"/>
              </w:rPr>
            </w:pPr>
          </w:p>
          <w:p w14:paraId="1B8D7C23">
            <w:pPr>
              <w:pStyle w:val="53"/>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Cs/>
                <w:spacing w:val="-10"/>
                <w:szCs w:val="21"/>
                <w:lang w:val="en-US" w:eastAsia="zh-CN"/>
              </w:rPr>
            </w:pPr>
          </w:p>
        </w:tc>
      </w:tr>
      <w:tr w14:paraId="3D8270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447" w:type="dxa"/>
            <w:noWrap w:val="0"/>
            <w:tcMar>
              <w:left w:w="28" w:type="dxa"/>
              <w:right w:w="28" w:type="dxa"/>
            </w:tcMar>
            <w:vAlign w:val="center"/>
          </w:tcPr>
          <w:p w14:paraId="41147C5D">
            <w:pPr>
              <w:adjustRightInd w:val="0"/>
              <w:snapToGrid w:val="0"/>
              <w:jc w:val="center"/>
              <w:rPr>
                <w:rFonts w:hint="eastAsia" w:ascii="宋体" w:hAnsi="宋体" w:cs="宋体"/>
                <w:bCs/>
                <w:szCs w:val="21"/>
              </w:rPr>
            </w:pPr>
            <w:r>
              <w:rPr>
                <w:rFonts w:hint="eastAsia" w:ascii="宋体" w:hAnsi="宋体" w:cs="宋体"/>
                <w:bCs/>
                <w:szCs w:val="21"/>
              </w:rPr>
              <w:t>运营</w:t>
            </w:r>
          </w:p>
          <w:p w14:paraId="212BBBF1">
            <w:pPr>
              <w:adjustRightInd w:val="0"/>
              <w:snapToGrid w:val="0"/>
              <w:jc w:val="center"/>
              <w:rPr>
                <w:rFonts w:hint="eastAsia" w:ascii="宋体" w:hAnsi="宋体" w:cs="宋体"/>
                <w:bCs/>
                <w:szCs w:val="21"/>
              </w:rPr>
            </w:pPr>
            <w:r>
              <w:rPr>
                <w:rFonts w:hint="eastAsia" w:ascii="宋体" w:hAnsi="宋体" w:cs="宋体"/>
                <w:bCs/>
                <w:szCs w:val="21"/>
              </w:rPr>
              <w:t>期环</w:t>
            </w:r>
          </w:p>
          <w:p w14:paraId="67856D5C">
            <w:pPr>
              <w:adjustRightInd w:val="0"/>
              <w:snapToGrid w:val="0"/>
              <w:jc w:val="center"/>
              <w:rPr>
                <w:rFonts w:hint="eastAsia" w:ascii="宋体" w:hAnsi="宋体" w:cs="宋体"/>
                <w:bCs/>
                <w:szCs w:val="21"/>
              </w:rPr>
            </w:pPr>
            <w:r>
              <w:rPr>
                <w:rFonts w:hint="eastAsia" w:ascii="宋体" w:hAnsi="宋体" w:cs="宋体"/>
                <w:bCs/>
                <w:szCs w:val="21"/>
              </w:rPr>
              <w:t>境影</w:t>
            </w:r>
          </w:p>
          <w:p w14:paraId="09F8B716">
            <w:pPr>
              <w:adjustRightInd w:val="0"/>
              <w:snapToGrid w:val="0"/>
              <w:jc w:val="center"/>
              <w:rPr>
                <w:rFonts w:hint="eastAsia" w:ascii="宋体" w:hAnsi="宋体" w:cs="宋体"/>
                <w:bCs/>
                <w:szCs w:val="21"/>
              </w:rPr>
            </w:pPr>
            <w:r>
              <w:rPr>
                <w:rFonts w:hint="eastAsia" w:ascii="宋体" w:hAnsi="宋体" w:cs="宋体"/>
                <w:bCs/>
                <w:szCs w:val="21"/>
              </w:rPr>
              <w:t>响和</w:t>
            </w:r>
          </w:p>
          <w:p w14:paraId="0F4285A6">
            <w:pPr>
              <w:adjustRightInd w:val="0"/>
              <w:snapToGrid w:val="0"/>
              <w:jc w:val="center"/>
              <w:rPr>
                <w:rFonts w:hint="eastAsia" w:ascii="宋体" w:hAnsi="宋体" w:cs="宋体"/>
                <w:bCs/>
                <w:szCs w:val="21"/>
              </w:rPr>
            </w:pPr>
            <w:r>
              <w:rPr>
                <w:rFonts w:hint="eastAsia" w:ascii="宋体" w:hAnsi="宋体" w:cs="宋体"/>
                <w:bCs/>
                <w:szCs w:val="21"/>
              </w:rPr>
              <w:t>保护</w:t>
            </w:r>
          </w:p>
          <w:p w14:paraId="7175FF73">
            <w:pPr>
              <w:adjustRightInd w:val="0"/>
              <w:snapToGrid w:val="0"/>
              <w:jc w:val="center"/>
              <w:rPr>
                <w:rFonts w:ascii="宋体" w:hAnsi="宋体" w:cs="宋体"/>
                <w:bCs/>
                <w:szCs w:val="21"/>
              </w:rPr>
            </w:pPr>
            <w:r>
              <w:rPr>
                <w:rFonts w:hint="eastAsia" w:ascii="宋体" w:hAnsi="宋体" w:cs="宋体"/>
                <w:bCs/>
                <w:szCs w:val="21"/>
              </w:rPr>
              <w:t>措施</w:t>
            </w:r>
          </w:p>
        </w:tc>
        <w:tc>
          <w:tcPr>
            <w:tcW w:w="8534" w:type="dxa"/>
            <w:noWrap w:val="0"/>
            <w:vAlign w:val="center"/>
          </w:tcPr>
          <w:p w14:paraId="363BF061">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宋体" w:hAnsi="宋体" w:cs="宋体"/>
                <w:b/>
                <w:sz w:val="24"/>
              </w:rPr>
            </w:pPr>
            <w:r>
              <w:rPr>
                <w:rFonts w:hint="eastAsia" w:ascii="宋体" w:hAnsi="宋体" w:cs="宋体"/>
                <w:b/>
                <w:sz w:val="24"/>
              </w:rPr>
              <w:t>运营期大气环境影响和保护措施</w:t>
            </w:r>
          </w:p>
          <w:p w14:paraId="1F72D51D">
            <w:pPr>
              <w:keepNext w:val="0"/>
              <w:keepLines w:val="0"/>
              <w:pageBreakBefore w:val="0"/>
              <w:kinsoku/>
              <w:wordWrap/>
              <w:overflowPunct/>
              <w:topLinePunct w:val="0"/>
              <w:autoSpaceDE/>
              <w:autoSpaceDN/>
              <w:bidi w:val="0"/>
              <w:spacing w:line="520" w:lineRule="exact"/>
              <w:ind w:firstLine="482" w:firstLineChars="200"/>
              <w:textAlignment w:val="auto"/>
              <w:rPr>
                <w:b/>
                <w:bCs/>
                <w:sz w:val="24"/>
              </w:rPr>
            </w:pPr>
            <w:r>
              <w:rPr>
                <w:rFonts w:hint="eastAsia"/>
                <w:b/>
                <w:bCs/>
                <w:sz w:val="24"/>
                <w:lang w:val="en-US" w:eastAsia="zh-CN"/>
              </w:rPr>
              <w:t>1.</w:t>
            </w:r>
            <w:r>
              <w:rPr>
                <w:b/>
                <w:bCs/>
                <w:sz w:val="24"/>
              </w:rPr>
              <w:t>大气污染工序及源强分析</w:t>
            </w:r>
          </w:p>
          <w:p w14:paraId="601867F0">
            <w:pPr>
              <w:pStyle w:val="51"/>
              <w:keepNext w:val="0"/>
              <w:keepLines w:val="0"/>
              <w:pageBreakBefore w:val="0"/>
              <w:tabs>
                <w:tab w:val="left" w:pos="2850"/>
                <w:tab w:val="left" w:pos="3918"/>
              </w:tabs>
              <w:kinsoku/>
              <w:wordWrap/>
              <w:overflowPunct/>
              <w:topLinePunct w:val="0"/>
              <w:autoSpaceDE/>
              <w:autoSpaceDN/>
              <w:bidi w:val="0"/>
              <w:adjustRightInd/>
              <w:snapToGrid/>
              <w:spacing w:before="0" w:beforeLines="0" w:line="520" w:lineRule="exact"/>
              <w:ind w:firstLine="480" w:firstLineChars="200"/>
              <w:textAlignment w:val="auto"/>
              <w:outlineLvl w:val="9"/>
              <w:rPr>
                <w:rFonts w:hint="default" w:eastAsia="宋体"/>
                <w:b w:val="0"/>
                <w:bCs w:val="0"/>
                <w:sz w:val="24"/>
                <w:szCs w:val="24"/>
                <w:lang w:val="en-US" w:eastAsia="zh-CN"/>
              </w:rPr>
            </w:pPr>
            <w:r>
              <w:rPr>
                <w:rFonts w:hint="eastAsia"/>
                <w:b w:val="0"/>
                <w:bCs w:val="0"/>
                <w:sz w:val="24"/>
                <w:szCs w:val="24"/>
                <w:lang w:val="en-US" w:eastAsia="zh-CN"/>
              </w:rPr>
              <w:t>1.1原料投料粉尘</w:t>
            </w:r>
          </w:p>
          <w:p w14:paraId="5CB164E9">
            <w:pPr>
              <w:pStyle w:val="51"/>
              <w:keepNext w:val="0"/>
              <w:keepLines w:val="0"/>
              <w:pageBreakBefore w:val="0"/>
              <w:tabs>
                <w:tab w:val="left" w:pos="2850"/>
                <w:tab w:val="left" w:pos="3918"/>
              </w:tabs>
              <w:kinsoku/>
              <w:wordWrap/>
              <w:overflowPunct/>
              <w:topLinePunct w:val="0"/>
              <w:autoSpaceDE/>
              <w:autoSpaceDN/>
              <w:bidi w:val="0"/>
              <w:spacing w:before="0" w:beforeLines="0" w:line="520" w:lineRule="exact"/>
              <w:ind w:firstLine="480" w:firstLineChars="200"/>
              <w:textAlignment w:val="auto"/>
              <w:outlineLvl w:val="9"/>
              <w:rPr>
                <w:b w:val="0"/>
                <w:sz w:val="24"/>
              </w:rPr>
            </w:pPr>
            <w:r>
              <w:rPr>
                <w:rFonts w:hint="eastAsia"/>
                <w:b w:val="0"/>
                <w:sz w:val="24"/>
                <w:lang w:eastAsia="zh-CN"/>
              </w:rPr>
              <w:t>项目聚乙烯、PE色母、抗老化母粒、PPA加工助剂、R001增韧母粒、消泡母粒、增粘母粒均为袋装固体颗粒，人工拆袋、投料作业过程颗粒摩擦会产生</w:t>
            </w:r>
            <w:r>
              <w:rPr>
                <w:rFonts w:hint="eastAsia"/>
                <w:b w:val="0"/>
                <w:sz w:val="24"/>
                <w:lang w:val="en-US" w:eastAsia="zh-CN"/>
              </w:rPr>
              <w:t>少量</w:t>
            </w:r>
            <w:r>
              <w:rPr>
                <w:rFonts w:hint="eastAsia"/>
                <w:b w:val="0"/>
                <w:sz w:val="24"/>
                <w:lang w:eastAsia="zh-CN"/>
              </w:rPr>
              <w:t>粉尘，参照《逸散性工业粉尘控制技术》</w:t>
            </w:r>
            <w:r>
              <w:rPr>
                <w:rFonts w:hint="eastAsia"/>
                <w:b w:val="0"/>
                <w:sz w:val="24"/>
                <w:lang w:val="en-US" w:eastAsia="zh-CN"/>
              </w:rPr>
              <w:t>中</w:t>
            </w:r>
            <w:r>
              <w:rPr>
                <w:rFonts w:hint="eastAsia"/>
                <w:b w:val="0"/>
                <w:sz w:val="24"/>
                <w:lang w:eastAsia="zh-CN"/>
              </w:rPr>
              <w:t>第十八章粒料加工厂袋装粒料人工卸料逸散尘排放因子，人工袋装塑料颗粒投料产污系数取0.02kg颗粒物/t原料，项目会产生投料粉尘的颗粒原料</w:t>
            </w:r>
            <w:r>
              <w:rPr>
                <w:rFonts w:hint="eastAsia"/>
                <w:b w:val="0"/>
                <w:sz w:val="24"/>
                <w:lang w:val="en-US" w:eastAsia="zh-CN"/>
              </w:rPr>
              <w:t>合计</w:t>
            </w:r>
            <w:r>
              <w:rPr>
                <w:rFonts w:hint="eastAsia"/>
                <w:b w:val="0"/>
                <w:sz w:val="24"/>
                <w:lang w:eastAsia="zh-CN"/>
              </w:rPr>
              <w:t>为</w:t>
            </w:r>
            <w:r>
              <w:rPr>
                <w:rFonts w:hint="eastAsia"/>
                <w:b w:val="0"/>
                <w:color w:val="000000"/>
                <w:sz w:val="24"/>
                <w:lang w:val="en-US" w:eastAsia="zh-CN"/>
              </w:rPr>
              <w:t>11780</w:t>
            </w:r>
            <w:r>
              <w:rPr>
                <w:rFonts w:hint="eastAsia"/>
                <w:b w:val="0"/>
                <w:sz w:val="24"/>
                <w:lang w:eastAsia="zh-CN"/>
              </w:rPr>
              <w:t>t/a，则</w:t>
            </w:r>
            <w:r>
              <w:rPr>
                <w:rFonts w:hint="eastAsia"/>
                <w:b w:val="0"/>
                <w:sz w:val="24"/>
                <w:lang w:val="en-US" w:eastAsia="zh-CN"/>
              </w:rPr>
              <w:t>颗粒物</w:t>
            </w:r>
            <w:r>
              <w:rPr>
                <w:rFonts w:hint="eastAsia"/>
                <w:b w:val="0"/>
                <w:sz w:val="24"/>
                <w:lang w:eastAsia="zh-CN"/>
              </w:rPr>
              <w:t>产生量为</w:t>
            </w:r>
            <w:r>
              <w:rPr>
                <w:rFonts w:hint="eastAsia"/>
                <w:b w:val="0"/>
                <w:sz w:val="24"/>
                <w:lang w:val="en-US" w:eastAsia="zh-CN"/>
              </w:rPr>
              <w:t>0.236</w:t>
            </w:r>
            <w:r>
              <w:rPr>
                <w:rFonts w:hint="eastAsia"/>
                <w:b w:val="0"/>
                <w:sz w:val="24"/>
                <w:lang w:eastAsia="zh-CN"/>
              </w:rPr>
              <w:t>t/a。本项目对</w:t>
            </w:r>
            <w:r>
              <w:rPr>
                <w:rFonts w:hint="eastAsia"/>
                <w:b w:val="0"/>
                <w:sz w:val="24"/>
                <w:lang w:val="en-US" w:eastAsia="zh-CN"/>
              </w:rPr>
              <w:t>投料口</w:t>
            </w:r>
            <w:r>
              <w:rPr>
                <w:rFonts w:hint="eastAsia"/>
                <w:b w:val="0"/>
                <w:sz w:val="24"/>
                <w:lang w:eastAsia="zh-CN"/>
              </w:rPr>
              <w:t>进行半围挡，再配合</w:t>
            </w:r>
            <w:r>
              <w:rPr>
                <w:rFonts w:hint="eastAsia"/>
                <w:b w:val="0"/>
                <w:sz w:val="24"/>
                <w:lang w:val="en-US" w:eastAsia="zh-CN"/>
              </w:rPr>
              <w:t>车间密闭</w:t>
            </w:r>
            <w:r>
              <w:rPr>
                <w:rFonts w:hint="eastAsia"/>
                <w:b w:val="0"/>
                <w:sz w:val="24"/>
                <w:lang w:eastAsia="zh-CN"/>
              </w:rPr>
              <w:t>，根据《排放源统计调查产排污核算方法和系数手册》（生态环境部公告2021年第24号）附表2“工业源固体物料堆场颗粒物核算系数手册”中附录4：粉尘控制措施控制效率：</w:t>
            </w:r>
            <w:r>
              <w:rPr>
                <w:rFonts w:hint="eastAsia"/>
                <w:b w:val="0"/>
                <w:sz w:val="24"/>
                <w:lang w:val="en-US" w:eastAsia="zh-CN"/>
              </w:rPr>
              <w:t>密闭式</w:t>
            </w:r>
            <w:r>
              <w:rPr>
                <w:rFonts w:hint="eastAsia"/>
                <w:b w:val="0"/>
                <w:sz w:val="24"/>
                <w:lang w:eastAsia="zh-CN"/>
              </w:rPr>
              <w:t>控制效率</w:t>
            </w:r>
            <w:r>
              <w:rPr>
                <w:rFonts w:hint="eastAsia"/>
                <w:b w:val="0"/>
                <w:sz w:val="24"/>
                <w:lang w:val="en-US" w:eastAsia="zh-CN"/>
              </w:rPr>
              <w:t>99</w:t>
            </w:r>
            <w:r>
              <w:rPr>
                <w:rFonts w:hint="eastAsia"/>
                <w:b w:val="0"/>
                <w:sz w:val="24"/>
                <w:lang w:eastAsia="zh-CN"/>
              </w:rPr>
              <w:t>%，则项目原料投料排放量为0.0</w:t>
            </w:r>
            <w:r>
              <w:rPr>
                <w:rFonts w:hint="eastAsia"/>
                <w:b w:val="0"/>
                <w:sz w:val="24"/>
                <w:lang w:val="en-US" w:eastAsia="zh-CN"/>
              </w:rPr>
              <w:t>02</w:t>
            </w:r>
            <w:r>
              <w:rPr>
                <w:rFonts w:hint="eastAsia"/>
                <w:b w:val="0"/>
                <w:sz w:val="24"/>
                <w:lang w:eastAsia="zh-CN"/>
              </w:rPr>
              <w:t>t/a。</w:t>
            </w:r>
          </w:p>
          <w:p w14:paraId="62191BF3">
            <w:pPr>
              <w:pStyle w:val="51"/>
              <w:keepNext w:val="0"/>
              <w:keepLines w:val="0"/>
              <w:pageBreakBefore w:val="0"/>
              <w:tabs>
                <w:tab w:val="left" w:pos="2850"/>
                <w:tab w:val="left" w:pos="3918"/>
              </w:tabs>
              <w:kinsoku/>
              <w:wordWrap/>
              <w:overflowPunct/>
              <w:topLinePunct w:val="0"/>
              <w:autoSpaceDE/>
              <w:autoSpaceDN/>
              <w:bidi w:val="0"/>
              <w:spacing w:before="0" w:beforeLines="0" w:line="520" w:lineRule="exact"/>
              <w:ind w:firstLine="480" w:firstLineChars="200"/>
              <w:textAlignment w:val="auto"/>
              <w:outlineLvl w:val="9"/>
              <w:rPr>
                <w:rFonts w:hint="eastAsia" w:eastAsia="宋体"/>
                <w:b w:val="0"/>
                <w:sz w:val="24"/>
                <w:lang w:eastAsia="zh-CN"/>
              </w:rPr>
            </w:pPr>
            <w:r>
              <w:rPr>
                <w:rFonts w:hint="eastAsia"/>
                <w:b w:val="0"/>
                <w:sz w:val="24"/>
                <w:lang w:val="en-US" w:eastAsia="zh-CN"/>
              </w:rPr>
              <w:t>1.2</w:t>
            </w:r>
            <w:r>
              <w:rPr>
                <w:rFonts w:hint="eastAsia"/>
                <w:b w:val="0"/>
                <w:sz w:val="24"/>
              </w:rPr>
              <w:t>吹膜</w:t>
            </w:r>
            <w:r>
              <w:rPr>
                <w:rFonts w:hint="eastAsia"/>
                <w:b w:val="0"/>
                <w:sz w:val="24"/>
                <w:lang w:val="en-US" w:eastAsia="zh-CN"/>
              </w:rPr>
              <w:t>、涂胶烘干废气</w:t>
            </w:r>
          </w:p>
          <w:p w14:paraId="0CE69553">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hint="default" w:cs="宋体" w:asciiTheme="minorAscii" w:hAnsiTheme="minorAscii"/>
                <w:b w:val="0"/>
                <w:bCs/>
                <w:spacing w:val="-10"/>
                <w:sz w:val="24"/>
                <w:lang w:val="en-US" w:eastAsia="zh-CN"/>
              </w:rPr>
            </w:pPr>
            <w:r>
              <w:rPr>
                <w:rFonts w:hint="eastAsia" w:cs="宋体" w:asciiTheme="minorAscii" w:hAnsiTheme="minorAscii"/>
                <w:b w:val="0"/>
                <w:bCs/>
                <w:spacing w:val="-10"/>
                <w:sz w:val="24"/>
                <w:lang w:val="en-US" w:eastAsia="zh-CN"/>
              </w:rPr>
              <w:t>（1）</w:t>
            </w:r>
            <w:r>
              <w:rPr>
                <w:rFonts w:hint="default" w:cs="宋体" w:asciiTheme="minorAscii" w:hAnsiTheme="minorAscii"/>
                <w:b w:val="0"/>
                <w:bCs/>
                <w:spacing w:val="-10"/>
                <w:sz w:val="24"/>
                <w:lang w:val="en-US" w:eastAsia="zh-CN"/>
              </w:rPr>
              <w:t>废气收集方案与集气罩参数</w:t>
            </w:r>
          </w:p>
          <w:p w14:paraId="3649B393">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rFonts w:hint="default" w:asciiTheme="minorAscii" w:hAnsiTheme="minorAscii"/>
                <w:sz w:val="24"/>
              </w:rPr>
            </w:pPr>
            <w:r>
              <w:rPr>
                <w:rFonts w:hint="eastAsia" w:asciiTheme="minorEastAsia" w:hAnsiTheme="minorEastAsia" w:eastAsiaTheme="minorEastAsia" w:cstheme="minorEastAsia"/>
                <w:b w:val="0"/>
                <w:bCs w:val="0"/>
                <w:sz w:val="24"/>
              </w:rPr>
              <w:t>①</w:t>
            </w:r>
            <w:r>
              <w:rPr>
                <w:rFonts w:hint="default" w:asciiTheme="minorAscii" w:hAnsiTheme="minorAscii"/>
                <w:sz w:val="24"/>
              </w:rPr>
              <w:t>吹膜机模头熔融挥发点位：每台吹膜机模头上方</w:t>
            </w:r>
            <w:r>
              <w:rPr>
                <w:rFonts w:hint="eastAsia" w:asciiTheme="minorAscii" w:hAnsiTheme="minorAscii"/>
                <w:sz w:val="24"/>
                <w:lang w:val="en-US" w:eastAsia="zh-CN"/>
              </w:rPr>
              <w:t>设置</w:t>
            </w:r>
            <w:r>
              <w:rPr>
                <w:rFonts w:hint="default" w:asciiTheme="minorAscii" w:hAnsiTheme="minorAscii"/>
                <w:sz w:val="24"/>
              </w:rPr>
              <w:t>顶吸式集气罩，罩口设置柔性软帘围挡，形成局部负压集气空间，单台罩口尺寸1.2 m×0.8 m，单台罩口面积0.96 m²；罩口控制风速取0.4~0.6 m/s（满足《挥发性有机物无组织排放控制标准》（GB 37822</w:t>
            </w:r>
            <w:r>
              <w:rPr>
                <w:rFonts w:hint="eastAsia" w:asciiTheme="minorAscii" w:hAnsiTheme="minorAscii"/>
                <w:sz w:val="24"/>
                <w:lang w:val="en-US" w:eastAsia="zh-CN"/>
              </w:rPr>
              <w:t>-</w:t>
            </w:r>
            <w:r>
              <w:rPr>
                <w:rFonts w:hint="default" w:asciiTheme="minorAscii" w:hAnsiTheme="minorAscii"/>
                <w:sz w:val="24"/>
              </w:rPr>
              <w:t>2019）对VOCs局部排风罩控制点风速不低于0.3 m/s要求），吹膜机合计风量9600 m³/h。</w:t>
            </w:r>
          </w:p>
          <w:p w14:paraId="72B54630">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rFonts w:hint="default" w:asciiTheme="minorAscii" w:hAnsiTheme="minorAscii"/>
                <w:sz w:val="24"/>
              </w:rPr>
            </w:pPr>
            <w:r>
              <w:rPr>
                <w:rFonts w:hint="eastAsia" w:asciiTheme="minorEastAsia" w:hAnsiTheme="minorEastAsia" w:eastAsiaTheme="minorEastAsia" w:cstheme="minorEastAsia"/>
                <w:sz w:val="24"/>
              </w:rPr>
              <w:t>②</w:t>
            </w:r>
            <w:r>
              <w:rPr>
                <w:rFonts w:hint="default" w:asciiTheme="minorAscii" w:hAnsiTheme="minorAscii"/>
                <w:sz w:val="24"/>
              </w:rPr>
              <w:t>涂胶配套密闭烘干烘箱：烘箱本体整体密闭封装，箱体缝隙做密封处理，仅薄膜进出通道预留窄缝，进出口位置设置软帘围挡减少废气外溢；缝隙处设置条缝侧吸集气罩对逸散废气进行捕集；单台烘箱进出口条缝集气罩总开口面积0.45 m²，罩口控制风速0.4</w:t>
            </w:r>
            <w:r>
              <w:rPr>
                <w:rFonts w:hint="default" w:asciiTheme="minorAscii" w:hAnsiTheme="minorAscii"/>
                <w:sz w:val="24"/>
                <w:lang w:val="en-US" w:eastAsia="zh-CN"/>
              </w:rPr>
              <w:t>-</w:t>
            </w:r>
            <w:r>
              <w:rPr>
                <w:rFonts w:hint="default" w:asciiTheme="minorAscii" w:hAnsiTheme="minorAscii"/>
                <w:sz w:val="24"/>
              </w:rPr>
              <w:t>0.6 m/s，涂胶</w:t>
            </w:r>
            <w:r>
              <w:rPr>
                <w:rFonts w:hint="eastAsia" w:asciiTheme="minorAscii" w:hAnsiTheme="minorAscii"/>
                <w:sz w:val="24"/>
                <w:lang w:val="en-US" w:eastAsia="zh-CN"/>
              </w:rPr>
              <w:t>机</w:t>
            </w:r>
            <w:r>
              <w:rPr>
                <w:rFonts w:hint="default" w:asciiTheme="minorAscii" w:hAnsiTheme="minorAscii"/>
                <w:sz w:val="24"/>
              </w:rPr>
              <w:t>合计风量5400 m³/h。</w:t>
            </w:r>
          </w:p>
          <w:p w14:paraId="5A310EA1">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rFonts w:hint="default" w:asciiTheme="minorAscii" w:hAnsiTheme="minorAscii"/>
                <w:sz w:val="24"/>
              </w:rPr>
            </w:pPr>
            <w:r>
              <w:rPr>
                <w:rFonts w:hint="eastAsia" w:asciiTheme="minorEastAsia" w:hAnsiTheme="minorEastAsia" w:eastAsiaTheme="minorEastAsia" w:cstheme="minorEastAsia"/>
                <w:sz w:val="24"/>
              </w:rPr>
              <w:t>③</w:t>
            </w:r>
            <w:r>
              <w:rPr>
                <w:rFonts w:hint="default" w:asciiTheme="minorAscii" w:hAnsiTheme="minorAscii"/>
                <w:sz w:val="24"/>
              </w:rPr>
              <w:t>系统总风量：</w:t>
            </w:r>
            <w:r>
              <w:rPr>
                <w:rFonts w:hint="eastAsia" w:asciiTheme="minorAscii" w:hAnsiTheme="minorAscii"/>
                <w:sz w:val="24"/>
                <w:lang w:val="en-US" w:eastAsia="zh-CN"/>
              </w:rPr>
              <w:t>项目吹膜机、涂胶机全部布置在车间三内，</w:t>
            </w:r>
            <w:r>
              <w:rPr>
                <w:rFonts w:hint="default" w:asciiTheme="minorAscii" w:hAnsiTheme="minorAscii"/>
                <w:sz w:val="24"/>
              </w:rPr>
              <w:t>各设备集气支管汇入总管，考虑管路漏风富余系数1.0，系统总设计风量15000 m³/h；排气筒高度20 m，废气最大工况风量15000 m³/h，烟气出口流速控制12</w:t>
            </w:r>
            <w:r>
              <w:rPr>
                <w:rFonts w:hint="default" w:asciiTheme="minorAscii" w:hAnsiTheme="minorAscii"/>
                <w:sz w:val="24"/>
                <w:lang w:val="en-US" w:eastAsia="zh-CN"/>
              </w:rPr>
              <w:t>-</w:t>
            </w:r>
            <w:r>
              <w:rPr>
                <w:rFonts w:hint="default" w:asciiTheme="minorAscii" w:hAnsiTheme="minorAscii"/>
                <w:sz w:val="24"/>
              </w:rPr>
              <w:t>16 m/s，经核算排气筒内径取0.6 m。</w:t>
            </w:r>
          </w:p>
          <w:p w14:paraId="27D0C0E2">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rFonts w:hint="eastAsia"/>
                <w:sz w:val="24"/>
              </w:rPr>
            </w:pPr>
            <w:r>
              <w:rPr>
                <w:rFonts w:hint="eastAsia" w:asciiTheme="minorEastAsia" w:hAnsiTheme="minorEastAsia" w:eastAsiaTheme="minorEastAsia" w:cstheme="minorEastAsia"/>
                <w:sz w:val="24"/>
              </w:rPr>
              <w:t>④</w:t>
            </w:r>
            <w:r>
              <w:rPr>
                <w:rFonts w:hint="default" w:asciiTheme="minorAscii" w:hAnsiTheme="minorAscii"/>
                <w:sz w:val="24"/>
              </w:rPr>
              <w:t>收集效率取值论证：吹膜模头顶吸罩、涂胶烘箱进出口条缝侧吸罩配套软帘围挡，形成局部负压；参照《挥发性有机物无组织排放控制标准》（GB 37822</w:t>
            </w:r>
            <w:r>
              <w:rPr>
                <w:rFonts w:hint="eastAsia" w:asciiTheme="minorAscii" w:hAnsiTheme="minorAscii"/>
                <w:sz w:val="24"/>
                <w:lang w:val="en-US" w:eastAsia="zh-CN"/>
              </w:rPr>
              <w:t>-</w:t>
            </w:r>
            <w:r>
              <w:rPr>
                <w:rFonts w:hint="default" w:asciiTheme="minorAscii" w:hAnsiTheme="minorAscii"/>
                <w:sz w:val="24"/>
              </w:rPr>
              <w:t>2019）及塑料制品挤出、涂布同类工程实践，该类局部密闭负压集气系统收集效率工程取值区间85%～95%；本项目罩口控制风速0.4‑0.6 m/s 满足标准要求，本次源强核算保守取收集效率90%，未被收集的10%以无组织形式在车间内逸散</w:t>
            </w:r>
            <w:r>
              <w:rPr>
                <w:rFonts w:hint="eastAsia" w:asciiTheme="minorAscii" w:hAnsiTheme="minorAscii"/>
                <w:sz w:val="24"/>
                <w:lang w:eastAsia="zh-CN"/>
              </w:rPr>
              <w:t>。</w:t>
            </w:r>
          </w:p>
          <w:p w14:paraId="0A46410B">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rFonts w:hint="default" w:eastAsia="宋体"/>
                <w:sz w:val="24"/>
                <w:lang w:val="en-US" w:eastAsia="zh-CN"/>
              </w:rPr>
            </w:pPr>
            <w:r>
              <w:rPr>
                <w:rFonts w:hint="eastAsia"/>
                <w:sz w:val="24"/>
                <w:lang w:val="en-US" w:eastAsia="zh-CN"/>
              </w:rPr>
              <w:t>（2）废气源强</w:t>
            </w:r>
          </w:p>
          <w:p w14:paraId="34155332">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rFonts w:hint="eastAsia"/>
                <w:sz w:val="24"/>
              </w:rPr>
            </w:pPr>
            <w:r>
              <w:rPr>
                <w:rFonts w:hint="eastAsia"/>
                <w:sz w:val="24"/>
              </w:rPr>
              <w:t>①吹膜废气：本项目吹膜生产工序有机废气产生量根据《排放源统计调查产排污核算方法和系数手册》（2021）中《292 塑料制品行业系数手册》中2921塑料薄膜制造行业系数表，注（吹）塑工序挥发性有机物（以非甲烷总烃计）产污系数为2.5千克/吨-产品。本项目年产打包机膜1</w:t>
            </w:r>
            <w:r>
              <w:rPr>
                <w:rFonts w:hint="eastAsia"/>
                <w:sz w:val="24"/>
                <w:lang w:val="en-US" w:eastAsia="zh-CN"/>
              </w:rPr>
              <w:t>2</w:t>
            </w:r>
            <w:r>
              <w:rPr>
                <w:rFonts w:hint="eastAsia"/>
                <w:sz w:val="24"/>
              </w:rPr>
              <w:t>000t/a，则非甲烷总烃产生量为</w:t>
            </w:r>
            <w:r>
              <w:rPr>
                <w:rFonts w:hint="eastAsia"/>
                <w:sz w:val="24"/>
                <w:lang w:val="en-US" w:eastAsia="zh-CN"/>
              </w:rPr>
              <w:t>30</w:t>
            </w:r>
            <w:r>
              <w:rPr>
                <w:rFonts w:hint="eastAsia"/>
                <w:sz w:val="24"/>
              </w:rPr>
              <w:t>t/a，年生产300天，每天运行8小时，年运行2400小时，产生速率</w:t>
            </w:r>
            <w:r>
              <w:rPr>
                <w:rFonts w:hint="eastAsia"/>
                <w:sz w:val="24"/>
                <w:lang w:val="en-US" w:eastAsia="zh-CN"/>
              </w:rPr>
              <w:t>12.5</w:t>
            </w:r>
            <w:r>
              <w:rPr>
                <w:rFonts w:hint="eastAsia"/>
                <w:sz w:val="24"/>
              </w:rPr>
              <w:t>kg/h。</w:t>
            </w:r>
          </w:p>
          <w:p w14:paraId="4CA66209">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sz w:val="24"/>
              </w:rPr>
            </w:pPr>
            <w:r>
              <w:rPr>
                <w:rFonts w:hint="eastAsia"/>
                <w:sz w:val="24"/>
              </w:rPr>
              <w:t>②涂胶</w:t>
            </w:r>
            <w:r>
              <w:rPr>
                <w:rFonts w:hint="eastAsia"/>
                <w:sz w:val="24"/>
                <w:lang w:val="en-US" w:eastAsia="zh-CN"/>
              </w:rPr>
              <w:t>烘干</w:t>
            </w:r>
            <w:r>
              <w:rPr>
                <w:rFonts w:hint="eastAsia"/>
                <w:sz w:val="24"/>
              </w:rPr>
              <w:t>废气：依据292塑料制品行业系数手册中2.3系数表中未涉及的产污系数及污染治理效率中相关规定：292塑料制品的生产过程中，如果包含胶黏工艺，废气指标可参考2437地毯/挂毯行业胶黏工段的产污系数，因此本项目涂胶生产工序有机废气产生量根据《排放源统计调查产排污核算方法和系数手册》（2021）中《243工艺美术及礼仪用品制造行业系数手册》中2437地毯、挂毯制造行业系数表</w:t>
            </w:r>
            <w:r>
              <w:rPr>
                <w:rFonts w:hint="eastAsia"/>
                <w:sz w:val="24"/>
                <w:lang w:eastAsia="zh-CN"/>
              </w:rPr>
              <w:t>（</w:t>
            </w:r>
            <w:r>
              <w:rPr>
                <w:rFonts w:hint="eastAsia"/>
                <w:sz w:val="24"/>
              </w:rPr>
              <w:t>续1</w:t>
            </w:r>
            <w:r>
              <w:rPr>
                <w:rFonts w:hint="eastAsia"/>
                <w:sz w:val="24"/>
                <w:lang w:eastAsia="zh-CN"/>
              </w:rPr>
              <w:t>）</w:t>
            </w:r>
            <w:r>
              <w:rPr>
                <w:rFonts w:hint="eastAsia"/>
                <w:sz w:val="24"/>
              </w:rPr>
              <w:t>进行核算，涂胶（背胶黏胶）工序挥发性有机物（以非甲烷总烃计）产污系数为9.28×10</w:t>
            </w:r>
            <w:r>
              <w:rPr>
                <w:rFonts w:hint="eastAsia"/>
                <w:sz w:val="24"/>
                <w:vertAlign w:val="superscript"/>
              </w:rPr>
              <w:t>-1</w:t>
            </w:r>
            <w:r>
              <w:rPr>
                <w:rFonts w:hint="eastAsia"/>
                <w:sz w:val="24"/>
              </w:rPr>
              <w:t>千克/吨-原料。本项目涂胶用量为200t/a，年生产300天，每天运行8小时，年运行2400小时，非甲烷总烃的产生量为0.186t/a，产生速率为0.08kg/h</w:t>
            </w:r>
            <w:r>
              <w:rPr>
                <w:sz w:val="24"/>
              </w:rPr>
              <w:t>。</w:t>
            </w:r>
          </w:p>
          <w:p w14:paraId="1D45B8DA">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rFonts w:hint="eastAsia" w:eastAsia="宋体"/>
                <w:sz w:val="24"/>
                <w:lang w:val="en-US" w:eastAsia="zh-CN"/>
              </w:rPr>
            </w:pPr>
            <w:r>
              <w:rPr>
                <w:rFonts w:hint="eastAsia"/>
                <w:sz w:val="24"/>
              </w:rPr>
              <w:t>根据《排放源统计调查产排污核算方法和系数手册》—292 塑料制品行业系数手册中2921塑料薄膜制造行业系数表</w:t>
            </w:r>
            <w:r>
              <w:rPr>
                <w:rFonts w:hint="eastAsia"/>
                <w:sz w:val="24"/>
                <w:lang w:val="en-US" w:eastAsia="zh-CN"/>
              </w:rPr>
              <w:t>以及《催化燃烧法工业有机废气治理工程技术规范》（HJ 2027-2013）</w:t>
            </w:r>
            <w:r>
              <w:rPr>
                <w:rFonts w:hint="eastAsia"/>
                <w:sz w:val="24"/>
              </w:rPr>
              <w:t>可知，活性炭吸附对非甲烷总烃的去除效率为21%，催化燃烧分解效率≥</w:t>
            </w:r>
            <w:r>
              <w:rPr>
                <w:rFonts w:hint="eastAsia"/>
                <w:sz w:val="24"/>
                <w:lang w:val="en-US" w:eastAsia="zh-CN"/>
              </w:rPr>
              <w:t>90</w:t>
            </w:r>
            <w:r>
              <w:rPr>
                <w:rFonts w:hint="eastAsia"/>
                <w:sz w:val="24"/>
              </w:rPr>
              <w:t>%</w:t>
            </w:r>
            <w:r>
              <w:rPr>
                <w:rFonts w:hint="eastAsia"/>
                <w:sz w:val="24"/>
                <w:lang w:eastAsia="zh-CN"/>
              </w:rPr>
              <w:t>，</w:t>
            </w:r>
            <w:r>
              <w:rPr>
                <w:rFonts w:hint="eastAsia"/>
                <w:sz w:val="24"/>
                <w:lang w:val="en-US" w:eastAsia="zh-CN"/>
              </w:rPr>
              <w:t>本次评价</w:t>
            </w:r>
            <w:r>
              <w:rPr>
                <w:rFonts w:hint="eastAsia"/>
                <w:sz w:val="24"/>
                <w:lang w:eastAsia="zh-CN"/>
              </w:rPr>
              <w:t>综合处理效率按90%保守计算，</w:t>
            </w:r>
            <w:r>
              <w:rPr>
                <w:rFonts w:hint="eastAsia"/>
                <w:sz w:val="24"/>
              </w:rPr>
              <w:t>本项目</w:t>
            </w:r>
            <w:r>
              <w:rPr>
                <w:rFonts w:hint="eastAsia"/>
                <w:sz w:val="24"/>
                <w:lang w:val="en-US" w:eastAsia="zh-CN"/>
              </w:rPr>
              <w:t>吹膜及涂胶烘干产生的有机废气</w:t>
            </w:r>
            <w:r>
              <w:rPr>
                <w:rFonts w:hint="eastAsia"/>
                <w:sz w:val="24"/>
              </w:rPr>
              <w:t>采用</w:t>
            </w:r>
            <w:r>
              <w:rPr>
                <w:rFonts w:hint="eastAsia"/>
                <w:sz w:val="24"/>
                <w:lang w:eastAsia="zh-CN"/>
              </w:rPr>
              <w:t>活性炭吸附/脱附+催化燃烧（热源采用电加热）</w:t>
            </w:r>
            <w:r>
              <w:rPr>
                <w:rFonts w:hint="eastAsia"/>
                <w:sz w:val="24"/>
                <w:lang w:val="en-US" w:eastAsia="zh-CN"/>
              </w:rPr>
              <w:t>处理后20m排气筒排放</w:t>
            </w:r>
            <w:r>
              <w:rPr>
                <w:rFonts w:hint="eastAsia"/>
                <w:sz w:val="24"/>
              </w:rPr>
              <w:t>，项目吹膜挤出、涂胶烘干产污工位设置密闭负压集气罩，集气罩罩口控制风速0.4~0.6m/s，配套设备软帘围挡减少废气逃逸；废气收集效率取值依据《挥发性有机物无组织排放控制标准》（GB 37822-2019）相关管控要求，塑料制品挤出、涂布密闭集气系统工程取值区间</w:t>
            </w:r>
            <w:r>
              <w:rPr>
                <w:rFonts w:hint="eastAsia"/>
                <w:sz w:val="24"/>
                <w:lang w:eastAsia="zh-CN"/>
              </w:rPr>
              <w:t>85%～95%</w:t>
            </w:r>
            <w:r>
              <w:rPr>
                <w:rFonts w:hint="eastAsia"/>
                <w:sz w:val="24"/>
              </w:rPr>
              <w:t>，本次</w:t>
            </w:r>
            <w:r>
              <w:rPr>
                <w:rFonts w:hint="eastAsia"/>
                <w:sz w:val="24"/>
                <w:lang w:val="en-US" w:eastAsia="zh-CN"/>
              </w:rPr>
              <w:t>评价收集效率</w:t>
            </w:r>
            <w:r>
              <w:rPr>
                <w:rFonts w:hint="eastAsia"/>
                <w:sz w:val="24"/>
              </w:rPr>
              <w:t>取90%</w:t>
            </w:r>
            <w:r>
              <w:rPr>
                <w:rFonts w:hint="eastAsia"/>
                <w:sz w:val="24"/>
                <w:lang w:val="en-US" w:eastAsia="zh-CN"/>
              </w:rPr>
              <w:t>计算</w:t>
            </w:r>
            <w:r>
              <w:rPr>
                <w:rFonts w:hint="eastAsia" w:ascii="Calibri" w:hAnsi="Calibri" w:eastAsia="宋体" w:cs="Calibri"/>
                <w:snapToGrid w:val="0"/>
                <w:color w:val="000000"/>
                <w:spacing w:val="-4"/>
                <w:kern w:val="0"/>
                <w:sz w:val="24"/>
                <w:szCs w:val="24"/>
                <w:lang w:val="en-US" w:eastAsia="zh-CN" w:bidi="ar-SA"/>
              </w:rPr>
              <w:t>，</w:t>
            </w:r>
            <w:r>
              <w:rPr>
                <w:rFonts w:hint="default" w:ascii="Calibri" w:hAnsi="Calibri" w:eastAsia="宋体" w:cs="Calibri"/>
                <w:snapToGrid w:val="0"/>
                <w:color w:val="000000"/>
                <w:spacing w:val="-4"/>
                <w:kern w:val="0"/>
                <w:sz w:val="24"/>
                <w:szCs w:val="24"/>
                <w:lang w:val="en-US" w:eastAsia="en-US" w:bidi="ar-SA"/>
              </w:rPr>
              <w:t>设计处理风量</w:t>
            </w:r>
            <w:r>
              <w:rPr>
                <w:rFonts w:hint="eastAsia" w:ascii="Calibri" w:hAnsi="Calibri" w:eastAsia="宋体" w:cs="Calibri"/>
                <w:snapToGrid w:val="0"/>
                <w:color w:val="000000"/>
                <w:spacing w:val="-4"/>
                <w:kern w:val="0"/>
                <w:sz w:val="24"/>
                <w:szCs w:val="24"/>
                <w:lang w:val="en-US" w:eastAsia="zh-CN" w:bidi="ar-SA"/>
              </w:rPr>
              <w:t>15</w:t>
            </w:r>
            <w:r>
              <w:rPr>
                <w:rFonts w:hint="default" w:ascii="Calibri" w:hAnsi="Calibri" w:eastAsia="宋体" w:cs="Calibri"/>
                <w:snapToGrid w:val="0"/>
                <w:color w:val="000000"/>
                <w:spacing w:val="-4"/>
                <w:kern w:val="0"/>
                <w:sz w:val="24"/>
                <w:szCs w:val="24"/>
                <w:lang w:val="en-US" w:eastAsia="en-US" w:bidi="ar-SA"/>
              </w:rPr>
              <w:t>000m</w:t>
            </w:r>
            <w:r>
              <w:rPr>
                <w:rFonts w:hint="default" w:ascii="Calibri" w:hAnsi="Calibri" w:eastAsia="宋体" w:cs="Calibri"/>
                <w:snapToGrid w:val="0"/>
                <w:color w:val="000000"/>
                <w:spacing w:val="-4"/>
                <w:kern w:val="0"/>
                <w:sz w:val="24"/>
                <w:szCs w:val="24"/>
                <w:vertAlign w:val="superscript"/>
                <w:lang w:val="en-US" w:eastAsia="en-US" w:bidi="ar-SA"/>
              </w:rPr>
              <w:t>3</w:t>
            </w:r>
            <w:r>
              <w:rPr>
                <w:rFonts w:hint="default" w:ascii="Calibri" w:hAnsi="Calibri" w:eastAsia="宋体" w:cs="Calibri"/>
                <w:snapToGrid w:val="0"/>
                <w:color w:val="000000"/>
                <w:spacing w:val="-4"/>
                <w:kern w:val="0"/>
                <w:sz w:val="24"/>
                <w:szCs w:val="24"/>
                <w:lang w:val="en-US" w:eastAsia="en-US" w:bidi="ar-SA"/>
              </w:rPr>
              <w:t>/h</w:t>
            </w:r>
            <w:r>
              <w:rPr>
                <w:rFonts w:hint="eastAsia" w:ascii="Calibri" w:hAnsi="Calibri" w:eastAsia="宋体" w:cs="Calibri"/>
                <w:snapToGrid w:val="0"/>
                <w:color w:val="000000"/>
                <w:spacing w:val="-4"/>
                <w:kern w:val="0"/>
                <w:sz w:val="24"/>
                <w:szCs w:val="24"/>
                <w:lang w:val="en-US" w:eastAsia="zh-CN" w:bidi="ar-SA"/>
              </w:rPr>
              <w:t>，则</w:t>
            </w:r>
            <w:r>
              <w:rPr>
                <w:rFonts w:hint="eastAsia"/>
                <w:sz w:val="24"/>
              </w:rPr>
              <w:t>有机废气</w:t>
            </w:r>
            <w:r>
              <w:rPr>
                <w:rFonts w:hint="eastAsia"/>
                <w:sz w:val="24"/>
                <w:lang w:val="en-US" w:eastAsia="zh-CN"/>
              </w:rPr>
              <w:t>经处理后</w:t>
            </w:r>
            <w:r>
              <w:rPr>
                <w:rFonts w:hint="eastAsia"/>
                <w:sz w:val="24"/>
              </w:rPr>
              <w:t>有组织排放量为</w:t>
            </w:r>
            <w:r>
              <w:rPr>
                <w:rFonts w:hint="eastAsia"/>
                <w:sz w:val="24"/>
                <w:lang w:val="en-US" w:eastAsia="zh-CN"/>
              </w:rPr>
              <w:t>2.717</w:t>
            </w:r>
            <w:r>
              <w:rPr>
                <w:rFonts w:hint="eastAsia"/>
                <w:sz w:val="24"/>
              </w:rPr>
              <w:t>t/a，排放速率为</w:t>
            </w:r>
            <w:r>
              <w:rPr>
                <w:rFonts w:hint="eastAsia"/>
                <w:sz w:val="24"/>
                <w:lang w:val="en-US" w:eastAsia="zh-CN"/>
              </w:rPr>
              <w:t>1.13</w:t>
            </w:r>
            <w:r>
              <w:rPr>
                <w:rFonts w:hint="eastAsia"/>
                <w:sz w:val="24"/>
              </w:rPr>
              <w:t>kg/h，排放浓度为</w:t>
            </w:r>
            <w:r>
              <w:rPr>
                <w:rFonts w:hint="eastAsia"/>
                <w:sz w:val="24"/>
                <w:lang w:val="en-US" w:eastAsia="zh-CN"/>
              </w:rPr>
              <w:t>75.465</w:t>
            </w:r>
            <w:r>
              <w:rPr>
                <w:rFonts w:hint="eastAsia"/>
                <w:sz w:val="24"/>
              </w:rPr>
              <w:t>mg/m</w:t>
            </w:r>
            <w:r>
              <w:rPr>
                <w:rFonts w:hint="eastAsia"/>
                <w:sz w:val="24"/>
                <w:vertAlign w:val="superscript"/>
              </w:rPr>
              <w:t>3</w:t>
            </w:r>
            <w:r>
              <w:rPr>
                <w:rFonts w:hint="eastAsia"/>
                <w:sz w:val="24"/>
              </w:rPr>
              <w:t>。集气罩未收集的无组织非甲烷总烃排放量为</w:t>
            </w:r>
            <w:r>
              <w:rPr>
                <w:rFonts w:hint="eastAsia"/>
                <w:sz w:val="24"/>
                <w:lang w:val="en-US" w:eastAsia="zh-CN"/>
              </w:rPr>
              <w:t>3.019</w:t>
            </w:r>
            <w:r>
              <w:rPr>
                <w:rFonts w:hint="eastAsia"/>
                <w:sz w:val="24"/>
              </w:rPr>
              <w:t>t/a</w:t>
            </w:r>
            <w:r>
              <w:rPr>
                <w:rFonts w:hint="eastAsia"/>
                <w:sz w:val="24"/>
                <w:lang w:eastAsia="zh-CN"/>
              </w:rPr>
              <w:t>。</w:t>
            </w:r>
          </w:p>
          <w:p w14:paraId="2F6A343C">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sz w:val="24"/>
                <w:szCs w:val="24"/>
              </w:rPr>
            </w:pPr>
            <w:r>
              <w:rPr>
                <w:rFonts w:hint="eastAsia" w:cs="Times New Roman"/>
                <w:color w:val="auto"/>
                <w:sz w:val="24"/>
                <w:szCs w:val="24"/>
                <w:lang w:val="en-US" w:eastAsia="zh-CN"/>
              </w:rPr>
              <w:t>③臭气浓度：本项目使用聚乙烯、PE色母等原料等塑料原料加热至165℃-195℃后，熔融成液体，项目所使用的塑料原料在165℃-195℃的温度下，均不发生分解反应，但是各原料熔融过程中，原料内的组成成分会散发出少量的异味，本项目的异味以臭气浓度表征。母粒高分子材料吹膜工序中产生异味和产生的非甲烷总烃经集气罩收集后，经</w:t>
            </w:r>
            <w:r>
              <w:rPr>
                <w:rFonts w:hint="eastAsia"/>
                <w:sz w:val="24"/>
                <w:lang w:eastAsia="zh-CN"/>
              </w:rPr>
              <w:t>活性炭吸附/脱附+催化燃烧（热源采用电加热）</w:t>
            </w:r>
            <w:r>
              <w:rPr>
                <w:rFonts w:hint="eastAsia"/>
                <w:sz w:val="24"/>
                <w:lang w:val="en-US" w:eastAsia="zh-CN"/>
              </w:rPr>
              <w:t>处理后</w:t>
            </w:r>
            <w:r>
              <w:rPr>
                <w:rFonts w:hint="eastAsia" w:cs="Times New Roman"/>
                <w:color w:val="auto"/>
                <w:sz w:val="24"/>
                <w:szCs w:val="24"/>
                <w:lang w:val="en-US" w:eastAsia="zh-CN"/>
              </w:rPr>
              <w:t>通过20m排气筒排放，未收集部分经车间通风设施无组织排放。</w:t>
            </w:r>
          </w:p>
          <w:p w14:paraId="3DD100AF">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sz w:val="24"/>
              </w:rPr>
            </w:pPr>
            <w:r>
              <w:rPr>
                <w:rFonts w:hint="eastAsia"/>
                <w:sz w:val="24"/>
                <w:lang w:val="en-US" w:eastAsia="zh-CN"/>
              </w:rPr>
              <w:t>1.3</w:t>
            </w:r>
            <w:r>
              <w:rPr>
                <w:sz w:val="24"/>
              </w:rPr>
              <w:t>油烟废气</w:t>
            </w:r>
          </w:p>
          <w:p w14:paraId="1922232C">
            <w:pPr>
              <w:keepNext w:val="0"/>
              <w:keepLines w:val="0"/>
              <w:pageBreakBefore w:val="0"/>
              <w:tabs>
                <w:tab w:val="left" w:pos="2850"/>
              </w:tabs>
              <w:kinsoku/>
              <w:wordWrap/>
              <w:overflowPunct/>
              <w:topLinePunct w:val="0"/>
              <w:autoSpaceDE/>
              <w:autoSpaceDN/>
              <w:bidi w:val="0"/>
              <w:spacing w:line="520" w:lineRule="exact"/>
              <w:ind w:firstLine="480" w:firstLineChars="200"/>
              <w:textAlignment w:val="auto"/>
              <w:outlineLvl w:val="0"/>
              <w:rPr>
                <w:sz w:val="24"/>
              </w:rPr>
            </w:pPr>
            <w:r>
              <w:rPr>
                <w:sz w:val="24"/>
              </w:rPr>
              <w:t>本项目设置1个职工食堂，设</w:t>
            </w:r>
            <w:r>
              <w:rPr>
                <w:rFonts w:hint="eastAsia"/>
                <w:sz w:val="24"/>
                <w:lang w:val="en-US" w:eastAsia="zh-CN"/>
              </w:rPr>
              <w:t>3</w:t>
            </w:r>
            <w:r>
              <w:rPr>
                <w:sz w:val="24"/>
              </w:rPr>
              <w:t>个灶台，属</w:t>
            </w:r>
            <w:r>
              <w:rPr>
                <w:rFonts w:hint="eastAsia"/>
                <w:sz w:val="24"/>
                <w:lang w:val="en-US" w:eastAsia="zh-CN"/>
              </w:rPr>
              <w:t>中</w:t>
            </w:r>
            <w:r>
              <w:rPr>
                <w:sz w:val="24"/>
              </w:rPr>
              <w:t>型规模。</w:t>
            </w:r>
            <w:r>
              <w:rPr>
                <w:rFonts w:hint="eastAsia"/>
                <w:sz w:val="24"/>
              </w:rPr>
              <w:t>劳动</w:t>
            </w:r>
            <w:r>
              <w:rPr>
                <w:sz w:val="24"/>
              </w:rPr>
              <w:t>定员</w:t>
            </w:r>
            <w:r>
              <w:rPr>
                <w:rFonts w:hint="eastAsia"/>
                <w:sz w:val="24"/>
                <w:lang w:val="en-US" w:eastAsia="zh-CN"/>
              </w:rPr>
              <w:t>140</w:t>
            </w:r>
            <w:r>
              <w:rPr>
                <w:sz w:val="24"/>
              </w:rPr>
              <w:t>人，人均耗油量约为30g/p·餐，</w:t>
            </w:r>
            <w:r>
              <w:rPr>
                <w:rFonts w:hint="eastAsia"/>
                <w:sz w:val="24"/>
                <w:lang w:val="en-US" w:eastAsia="zh-CN"/>
              </w:rPr>
              <w:t>1天2餐计，</w:t>
            </w:r>
            <w:r>
              <w:rPr>
                <w:sz w:val="24"/>
              </w:rPr>
              <w:t>即</w:t>
            </w:r>
            <w:r>
              <w:rPr>
                <w:rFonts w:hint="eastAsia"/>
                <w:sz w:val="24"/>
                <w:lang w:val="en-US" w:eastAsia="zh-CN"/>
              </w:rPr>
              <w:t>8.4</w:t>
            </w:r>
            <w:r>
              <w:rPr>
                <w:sz w:val="24"/>
              </w:rPr>
              <w:t>kg/d，食堂油烟气中油烟含量占耗油量的2%，则油烟废气产生量约0.</w:t>
            </w:r>
            <w:r>
              <w:rPr>
                <w:rFonts w:hint="eastAsia"/>
                <w:sz w:val="24"/>
                <w:lang w:val="en-US" w:eastAsia="zh-CN"/>
              </w:rPr>
              <w:t>168</w:t>
            </w:r>
            <w:r>
              <w:rPr>
                <w:sz w:val="24"/>
              </w:rPr>
              <w:t>kg/d、</w:t>
            </w:r>
            <w:r>
              <w:rPr>
                <w:rFonts w:hint="eastAsia"/>
                <w:sz w:val="24"/>
                <w:lang w:val="en-US" w:eastAsia="zh-CN"/>
              </w:rPr>
              <w:t>50.4</w:t>
            </w:r>
            <w:r>
              <w:rPr>
                <w:sz w:val="24"/>
              </w:rPr>
              <w:t>kg/a（年使用</w:t>
            </w:r>
            <w:r>
              <w:rPr>
                <w:rFonts w:hint="eastAsia"/>
                <w:sz w:val="24"/>
                <w:lang w:val="en-US" w:eastAsia="zh-CN"/>
              </w:rPr>
              <w:t>300</w:t>
            </w:r>
            <w:r>
              <w:rPr>
                <w:sz w:val="24"/>
              </w:rPr>
              <w:t>天）。食堂的</w:t>
            </w:r>
            <w:r>
              <w:rPr>
                <w:rFonts w:hint="eastAsia"/>
                <w:sz w:val="24"/>
                <w:lang w:val="en-US" w:eastAsia="zh-CN"/>
              </w:rPr>
              <w:t>油烟净化器</w:t>
            </w:r>
            <w:r>
              <w:rPr>
                <w:sz w:val="24"/>
              </w:rPr>
              <w:t>总风量为</w:t>
            </w:r>
            <w:r>
              <w:rPr>
                <w:rFonts w:hint="eastAsia"/>
                <w:sz w:val="24"/>
                <w:lang w:val="en-US" w:eastAsia="zh-CN"/>
              </w:rPr>
              <w:t>60</w:t>
            </w:r>
            <w:r>
              <w:rPr>
                <w:sz w:val="24"/>
              </w:rPr>
              <w:t>00m</w:t>
            </w:r>
            <w:r>
              <w:rPr>
                <w:sz w:val="24"/>
                <w:vertAlign w:val="superscript"/>
              </w:rPr>
              <w:t>3</w:t>
            </w:r>
            <w:r>
              <w:rPr>
                <w:sz w:val="24"/>
              </w:rPr>
              <w:t>/h</w:t>
            </w:r>
            <w:r>
              <w:rPr>
                <w:rFonts w:hint="eastAsia"/>
                <w:sz w:val="24"/>
                <w:lang w:eastAsia="zh-CN"/>
              </w:rPr>
              <w:t>，</w:t>
            </w:r>
            <w:r>
              <w:rPr>
                <w:sz w:val="24"/>
              </w:rPr>
              <w:t>日均烹饪时间</w:t>
            </w:r>
            <w:r>
              <w:rPr>
                <w:rFonts w:hint="eastAsia"/>
                <w:sz w:val="24"/>
                <w:lang w:val="en-US" w:eastAsia="zh-CN"/>
              </w:rPr>
              <w:t>4</w:t>
            </w:r>
            <w:r>
              <w:rPr>
                <w:sz w:val="24"/>
              </w:rPr>
              <w:t>h，通过企业净化效率在</w:t>
            </w:r>
            <w:r>
              <w:rPr>
                <w:rFonts w:hint="eastAsia"/>
                <w:sz w:val="24"/>
                <w:lang w:val="en-US" w:eastAsia="zh-CN"/>
              </w:rPr>
              <w:t>75</w:t>
            </w:r>
            <w:r>
              <w:rPr>
                <w:sz w:val="24"/>
              </w:rPr>
              <w:t>%以上的油烟净化装置处理，最终通过建筑物屋顶高空排放，则排放量为</w:t>
            </w:r>
            <w:r>
              <w:rPr>
                <w:rFonts w:hint="eastAsia"/>
                <w:sz w:val="24"/>
                <w:lang w:val="en-US" w:eastAsia="zh-CN"/>
              </w:rPr>
              <w:t>12.6</w:t>
            </w:r>
            <w:r>
              <w:rPr>
                <w:sz w:val="24"/>
              </w:rPr>
              <w:t>kg/a，排放速率为0.</w:t>
            </w:r>
            <w:r>
              <w:rPr>
                <w:rFonts w:hint="eastAsia"/>
                <w:sz w:val="24"/>
                <w:lang w:val="en-US" w:eastAsia="zh-CN"/>
              </w:rPr>
              <w:t>01</w:t>
            </w:r>
            <w:r>
              <w:rPr>
                <w:sz w:val="24"/>
              </w:rPr>
              <w:t>kg/h，油烟排放浓度为</w:t>
            </w:r>
            <w:r>
              <w:rPr>
                <w:rFonts w:hint="eastAsia"/>
                <w:sz w:val="24"/>
                <w:lang w:val="en-US" w:eastAsia="zh-CN"/>
              </w:rPr>
              <w:t>1.75</w:t>
            </w:r>
            <w:r>
              <w:rPr>
                <w:sz w:val="24"/>
              </w:rPr>
              <w:t>mg/m</w:t>
            </w:r>
            <w:r>
              <w:rPr>
                <w:sz w:val="24"/>
                <w:vertAlign w:val="superscript"/>
              </w:rPr>
              <w:t>3</w:t>
            </w:r>
            <w:r>
              <w:rPr>
                <w:sz w:val="24"/>
              </w:rPr>
              <w:t>，能满足《饮食业油烟排放标准</w:t>
            </w:r>
            <w:r>
              <w:rPr>
                <w:rFonts w:hint="eastAsia"/>
                <w:sz w:val="24"/>
                <w:lang w:eastAsia="zh-CN"/>
              </w:rPr>
              <w:t>（</w:t>
            </w:r>
            <w:r>
              <w:rPr>
                <w:sz w:val="24"/>
              </w:rPr>
              <w:t>试行</w:t>
            </w:r>
            <w:r>
              <w:rPr>
                <w:rFonts w:hint="eastAsia"/>
                <w:sz w:val="24"/>
                <w:lang w:eastAsia="zh-CN"/>
              </w:rPr>
              <w:t>）</w:t>
            </w:r>
            <w:r>
              <w:rPr>
                <w:sz w:val="24"/>
              </w:rPr>
              <w:t>》（GB18483-2001）中的相关要求。</w:t>
            </w:r>
          </w:p>
          <w:p w14:paraId="5227787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b/>
                <w:bCs/>
                <w:kern w:val="2"/>
                <w:sz w:val="24"/>
                <w:szCs w:val="24"/>
                <w:lang w:val="en-US" w:eastAsia="zh-CN" w:bidi="ar-SA"/>
              </w:rPr>
            </w:pPr>
            <w:r>
              <w:rPr>
                <w:rFonts w:hint="eastAsia" w:ascii="宋体" w:hAnsi="宋体" w:cs="宋体"/>
                <w:sz w:val="24"/>
              </w:rPr>
              <w:t>本项目废气污染源强统计见表</w:t>
            </w:r>
            <w:r>
              <w:rPr>
                <w:rFonts w:hint="eastAsia" w:ascii="宋体" w:hAnsi="宋体" w:cs="宋体"/>
                <w:sz w:val="24"/>
                <w:lang w:val="en-US" w:eastAsia="zh-CN"/>
              </w:rPr>
              <w:t>4-1</w:t>
            </w:r>
            <w:r>
              <w:rPr>
                <w:rFonts w:hint="eastAsia" w:ascii="宋体" w:hAnsi="宋体" w:cs="宋体"/>
                <w:sz w:val="24"/>
              </w:rPr>
              <w:t>。</w:t>
            </w:r>
            <w:r>
              <w:rPr>
                <w:rFonts w:hint="eastAsia" w:ascii="宋体" w:hAnsi="宋体" w:cs="宋体"/>
                <w:sz w:val="24"/>
                <w:lang w:val="en-US" w:eastAsia="zh-CN"/>
              </w:rPr>
              <w:t>废气排放口基本情况表见表4-2。</w:t>
            </w:r>
          </w:p>
          <w:p w14:paraId="70DB1D2E">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center"/>
              <w:textAlignment w:val="auto"/>
              <w:rPr>
                <w:rFonts w:hint="eastAsia"/>
                <w:b/>
                <w:bCs/>
                <w:sz w:val="24"/>
              </w:rPr>
            </w:pPr>
            <w:r>
              <w:rPr>
                <w:rFonts w:hint="eastAsia"/>
                <w:b/>
                <w:bCs/>
                <w:sz w:val="24"/>
              </w:rPr>
              <w:t>表</w:t>
            </w:r>
            <w:r>
              <w:rPr>
                <w:rFonts w:hint="eastAsia"/>
                <w:b/>
                <w:bCs/>
                <w:sz w:val="24"/>
                <w:lang w:val="en-US" w:eastAsia="zh-CN"/>
              </w:rPr>
              <w:t>4-1</w:t>
            </w:r>
            <w:r>
              <w:rPr>
                <w:rFonts w:hint="eastAsia"/>
                <w:b/>
                <w:bCs/>
                <w:sz w:val="24"/>
              </w:rPr>
              <w:t xml:space="preserve">   废气污染源源强核算结果一览表</w:t>
            </w:r>
          </w:p>
          <w:tbl>
            <w:tblPr>
              <w:tblStyle w:val="24"/>
              <w:tblW w:w="8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
              <w:gridCol w:w="464"/>
              <w:gridCol w:w="520"/>
              <w:gridCol w:w="336"/>
              <w:gridCol w:w="510"/>
              <w:gridCol w:w="519"/>
              <w:gridCol w:w="778"/>
              <w:gridCol w:w="407"/>
              <w:gridCol w:w="537"/>
              <w:gridCol w:w="464"/>
              <w:gridCol w:w="499"/>
              <w:gridCol w:w="563"/>
              <w:gridCol w:w="582"/>
              <w:gridCol w:w="580"/>
              <w:gridCol w:w="801"/>
              <w:gridCol w:w="409"/>
            </w:tblGrid>
            <w:tr w14:paraId="3D8E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 w:type="dxa"/>
                  <w:vMerge w:val="restart"/>
                  <w:noWrap w:val="0"/>
                  <w:vAlign w:val="center"/>
                </w:tcPr>
                <w:p w14:paraId="65FB5D5F">
                  <w:pPr>
                    <w:jc w:val="center"/>
                    <w:rPr>
                      <w:rFonts w:hint="default" w:ascii="Calibri" w:hAnsi="Calibri"/>
                      <w:color w:val="auto"/>
                      <w:sz w:val="21"/>
                      <w:szCs w:val="21"/>
                    </w:rPr>
                  </w:pPr>
                  <w:r>
                    <w:rPr>
                      <w:rFonts w:hint="default" w:ascii="Calibri" w:hAnsi="Calibri"/>
                      <w:color w:val="auto"/>
                      <w:sz w:val="21"/>
                      <w:szCs w:val="21"/>
                    </w:rPr>
                    <w:t>序号</w:t>
                  </w:r>
                </w:p>
              </w:tc>
              <w:tc>
                <w:tcPr>
                  <w:tcW w:w="464" w:type="dxa"/>
                  <w:vMerge w:val="restart"/>
                  <w:noWrap w:val="0"/>
                  <w:vAlign w:val="center"/>
                </w:tcPr>
                <w:p w14:paraId="474FCF3D">
                  <w:pPr>
                    <w:jc w:val="center"/>
                    <w:rPr>
                      <w:rFonts w:hint="default" w:ascii="Calibri" w:hAnsi="Calibri"/>
                      <w:color w:val="auto"/>
                      <w:sz w:val="21"/>
                      <w:szCs w:val="21"/>
                    </w:rPr>
                  </w:pPr>
                  <w:r>
                    <w:rPr>
                      <w:rFonts w:hint="default" w:ascii="Calibri" w:hAnsi="Calibri"/>
                      <w:color w:val="auto"/>
                      <w:sz w:val="21"/>
                      <w:szCs w:val="21"/>
                    </w:rPr>
                    <w:t>产排污环节</w:t>
                  </w:r>
                </w:p>
              </w:tc>
              <w:tc>
                <w:tcPr>
                  <w:tcW w:w="520" w:type="dxa"/>
                  <w:vMerge w:val="restart"/>
                  <w:noWrap w:val="0"/>
                  <w:vAlign w:val="center"/>
                </w:tcPr>
                <w:p w14:paraId="446D56EE">
                  <w:pPr>
                    <w:jc w:val="center"/>
                    <w:rPr>
                      <w:rFonts w:hint="default" w:ascii="Calibri" w:hAnsi="Calibri"/>
                      <w:color w:val="auto"/>
                      <w:sz w:val="21"/>
                      <w:szCs w:val="21"/>
                    </w:rPr>
                  </w:pPr>
                  <w:r>
                    <w:rPr>
                      <w:rFonts w:hint="default" w:ascii="Calibri" w:hAnsi="Calibri"/>
                      <w:color w:val="auto"/>
                      <w:sz w:val="21"/>
                      <w:szCs w:val="21"/>
                    </w:rPr>
                    <w:t>污染物种类</w:t>
                  </w:r>
                </w:p>
              </w:tc>
              <w:tc>
                <w:tcPr>
                  <w:tcW w:w="336" w:type="dxa"/>
                  <w:vMerge w:val="restart"/>
                  <w:noWrap w:val="0"/>
                  <w:vAlign w:val="center"/>
                </w:tcPr>
                <w:p w14:paraId="38546BD0">
                  <w:pPr>
                    <w:jc w:val="center"/>
                    <w:rPr>
                      <w:rFonts w:hint="default" w:ascii="Calibri" w:hAnsi="Calibri"/>
                      <w:color w:val="auto"/>
                      <w:sz w:val="21"/>
                      <w:szCs w:val="21"/>
                    </w:rPr>
                  </w:pPr>
                  <w:r>
                    <w:rPr>
                      <w:rFonts w:hint="default" w:ascii="Calibri" w:hAnsi="Calibri"/>
                      <w:color w:val="auto"/>
                      <w:sz w:val="21"/>
                      <w:szCs w:val="21"/>
                    </w:rPr>
                    <w:t>排放形式</w:t>
                  </w:r>
                </w:p>
              </w:tc>
              <w:tc>
                <w:tcPr>
                  <w:tcW w:w="510" w:type="dxa"/>
                  <w:vMerge w:val="restart"/>
                  <w:noWrap w:val="0"/>
                  <w:vAlign w:val="center"/>
                </w:tcPr>
                <w:p w14:paraId="31B1D727">
                  <w:pPr>
                    <w:jc w:val="center"/>
                    <w:rPr>
                      <w:rFonts w:hint="default" w:ascii="Calibri" w:hAnsi="Calibri"/>
                      <w:color w:val="auto"/>
                      <w:sz w:val="21"/>
                      <w:szCs w:val="21"/>
                    </w:rPr>
                  </w:pPr>
                  <w:r>
                    <w:rPr>
                      <w:rFonts w:hint="default" w:ascii="Calibri" w:hAnsi="Calibri"/>
                      <w:color w:val="auto"/>
                      <w:sz w:val="21"/>
                      <w:szCs w:val="21"/>
                    </w:rPr>
                    <w:t>污染物产生量</w:t>
                  </w:r>
                  <w:r>
                    <w:rPr>
                      <w:rFonts w:hint="eastAsia" w:ascii="Calibri" w:hAnsi="Calibri"/>
                      <w:color w:val="auto"/>
                      <w:sz w:val="21"/>
                      <w:szCs w:val="21"/>
                      <w:lang w:eastAsia="zh-CN"/>
                    </w:rPr>
                    <w:t>（</w:t>
                  </w:r>
                  <w:r>
                    <w:rPr>
                      <w:rFonts w:hint="default" w:ascii="Calibri" w:hAnsi="Calibri"/>
                      <w:color w:val="auto"/>
                      <w:sz w:val="21"/>
                      <w:szCs w:val="21"/>
                    </w:rPr>
                    <w:t>t/a</w:t>
                  </w:r>
                  <w:r>
                    <w:rPr>
                      <w:rFonts w:hint="eastAsia" w:ascii="Calibri" w:hAnsi="Calibri"/>
                      <w:color w:val="auto"/>
                      <w:sz w:val="21"/>
                      <w:szCs w:val="21"/>
                      <w:lang w:eastAsia="zh-CN"/>
                    </w:rPr>
                    <w:t>）</w:t>
                  </w:r>
                </w:p>
              </w:tc>
              <w:tc>
                <w:tcPr>
                  <w:tcW w:w="519" w:type="dxa"/>
                  <w:vMerge w:val="restart"/>
                  <w:noWrap w:val="0"/>
                  <w:vAlign w:val="center"/>
                </w:tcPr>
                <w:p w14:paraId="4B14D268">
                  <w:pPr>
                    <w:jc w:val="center"/>
                    <w:rPr>
                      <w:rFonts w:hint="default" w:ascii="Calibri" w:hAnsi="Calibri"/>
                      <w:color w:val="auto"/>
                      <w:sz w:val="21"/>
                      <w:szCs w:val="21"/>
                    </w:rPr>
                  </w:pPr>
                  <w:r>
                    <w:rPr>
                      <w:rFonts w:hint="default" w:ascii="Calibri" w:hAnsi="Calibri"/>
                      <w:color w:val="auto"/>
                      <w:sz w:val="21"/>
                      <w:szCs w:val="21"/>
                    </w:rPr>
                    <w:t>污染物产生速率</w:t>
                  </w:r>
                  <w:r>
                    <w:rPr>
                      <w:rFonts w:hint="eastAsia" w:ascii="Calibri" w:hAnsi="Calibri"/>
                      <w:color w:val="auto"/>
                      <w:sz w:val="21"/>
                      <w:szCs w:val="21"/>
                      <w:lang w:eastAsia="zh-CN"/>
                    </w:rPr>
                    <w:t>（</w:t>
                  </w:r>
                  <w:r>
                    <w:rPr>
                      <w:rFonts w:hint="default" w:ascii="Calibri" w:hAnsi="Calibri"/>
                      <w:color w:val="auto"/>
                      <w:sz w:val="21"/>
                      <w:szCs w:val="21"/>
                    </w:rPr>
                    <w:t>kg/h</w:t>
                  </w:r>
                  <w:r>
                    <w:rPr>
                      <w:rFonts w:hint="eastAsia" w:ascii="Calibri" w:hAnsi="Calibri"/>
                      <w:color w:val="auto"/>
                      <w:sz w:val="21"/>
                      <w:szCs w:val="21"/>
                      <w:lang w:eastAsia="zh-CN"/>
                    </w:rPr>
                    <w:t>）</w:t>
                  </w:r>
                </w:p>
              </w:tc>
              <w:tc>
                <w:tcPr>
                  <w:tcW w:w="778" w:type="dxa"/>
                  <w:vMerge w:val="restart"/>
                  <w:noWrap w:val="0"/>
                  <w:vAlign w:val="center"/>
                </w:tcPr>
                <w:p w14:paraId="29E4569F">
                  <w:pPr>
                    <w:jc w:val="center"/>
                    <w:rPr>
                      <w:rFonts w:hint="default" w:ascii="Calibri" w:hAnsi="Calibri"/>
                      <w:color w:val="auto"/>
                      <w:sz w:val="21"/>
                      <w:szCs w:val="21"/>
                    </w:rPr>
                  </w:pPr>
                  <w:r>
                    <w:rPr>
                      <w:rFonts w:hint="default" w:ascii="Calibri" w:hAnsi="Calibri"/>
                      <w:color w:val="auto"/>
                      <w:sz w:val="21"/>
                      <w:szCs w:val="21"/>
                    </w:rPr>
                    <w:t>污染物产生浓度</w:t>
                  </w:r>
                </w:p>
                <w:p w14:paraId="71C149F7">
                  <w:pPr>
                    <w:pStyle w:val="18"/>
                    <w:ind w:firstLine="0" w:firstLineChars="0"/>
                    <w:jc w:val="center"/>
                    <w:rPr>
                      <w:rFonts w:hint="default" w:ascii="Calibri" w:hAnsi="Calibri"/>
                      <w:color w:val="auto"/>
                      <w:sz w:val="21"/>
                      <w:szCs w:val="21"/>
                    </w:rPr>
                  </w:pPr>
                  <w:r>
                    <w:rPr>
                      <w:rFonts w:hint="default" w:ascii="Calibri" w:hAnsi="Calibri"/>
                      <w:color w:val="auto"/>
                      <w:sz w:val="21"/>
                      <w:szCs w:val="21"/>
                    </w:rPr>
                    <w:t>(mg/m</w:t>
                  </w:r>
                  <w:r>
                    <w:rPr>
                      <w:rFonts w:hint="default" w:ascii="Calibri" w:hAnsi="Calibri"/>
                      <w:color w:val="auto"/>
                      <w:sz w:val="21"/>
                      <w:szCs w:val="21"/>
                      <w:vertAlign w:val="superscript"/>
                    </w:rPr>
                    <w:t>3</w:t>
                  </w:r>
                  <w:r>
                    <w:rPr>
                      <w:rFonts w:hint="default" w:ascii="Calibri" w:hAnsi="Calibri"/>
                      <w:color w:val="auto"/>
                      <w:sz w:val="21"/>
                      <w:szCs w:val="21"/>
                    </w:rPr>
                    <w:t>)</w:t>
                  </w:r>
                </w:p>
              </w:tc>
              <w:tc>
                <w:tcPr>
                  <w:tcW w:w="1907" w:type="dxa"/>
                  <w:gridSpan w:val="4"/>
                  <w:noWrap w:val="0"/>
                  <w:vAlign w:val="center"/>
                </w:tcPr>
                <w:p w14:paraId="61D4123C">
                  <w:pPr>
                    <w:jc w:val="center"/>
                    <w:rPr>
                      <w:rFonts w:hint="default" w:ascii="Calibri" w:hAnsi="Calibri"/>
                      <w:color w:val="auto"/>
                      <w:sz w:val="21"/>
                      <w:szCs w:val="21"/>
                    </w:rPr>
                  </w:pPr>
                  <w:r>
                    <w:rPr>
                      <w:rFonts w:hint="default" w:ascii="Calibri" w:hAnsi="Calibri"/>
                      <w:color w:val="auto"/>
                      <w:sz w:val="21"/>
                      <w:szCs w:val="21"/>
                    </w:rPr>
                    <w:t>污染治理设施</w:t>
                  </w:r>
                </w:p>
              </w:tc>
              <w:tc>
                <w:tcPr>
                  <w:tcW w:w="563" w:type="dxa"/>
                  <w:vMerge w:val="restart"/>
                  <w:noWrap w:val="0"/>
                  <w:vAlign w:val="center"/>
                </w:tcPr>
                <w:p w14:paraId="25D15830">
                  <w:pPr>
                    <w:jc w:val="center"/>
                    <w:rPr>
                      <w:rFonts w:hint="default" w:ascii="Calibri" w:hAnsi="Calibri"/>
                      <w:color w:val="auto"/>
                      <w:sz w:val="21"/>
                      <w:szCs w:val="21"/>
                    </w:rPr>
                  </w:pPr>
                  <w:r>
                    <w:rPr>
                      <w:rFonts w:hint="default" w:ascii="Calibri" w:hAnsi="Calibri"/>
                      <w:color w:val="auto"/>
                      <w:sz w:val="21"/>
                      <w:szCs w:val="21"/>
                    </w:rPr>
                    <w:t>污染物排放量（t/a）</w:t>
                  </w:r>
                </w:p>
              </w:tc>
              <w:tc>
                <w:tcPr>
                  <w:tcW w:w="582" w:type="dxa"/>
                  <w:vMerge w:val="restart"/>
                  <w:noWrap w:val="0"/>
                  <w:vAlign w:val="center"/>
                </w:tcPr>
                <w:p w14:paraId="52E76804">
                  <w:pPr>
                    <w:jc w:val="center"/>
                    <w:rPr>
                      <w:rFonts w:hint="default" w:ascii="Calibri" w:hAnsi="Calibri"/>
                      <w:color w:val="auto"/>
                      <w:sz w:val="21"/>
                      <w:szCs w:val="21"/>
                    </w:rPr>
                  </w:pPr>
                  <w:r>
                    <w:rPr>
                      <w:rFonts w:hint="default" w:ascii="Calibri" w:hAnsi="Calibri"/>
                      <w:color w:val="auto"/>
                      <w:sz w:val="21"/>
                      <w:szCs w:val="21"/>
                    </w:rPr>
                    <w:t>污染物 排放速率（kg/h</w:t>
                  </w:r>
                  <w:r>
                    <w:rPr>
                      <w:rFonts w:hint="eastAsia" w:ascii="Calibri" w:hAnsi="Calibri"/>
                      <w:color w:val="auto"/>
                      <w:sz w:val="21"/>
                      <w:szCs w:val="21"/>
                      <w:lang w:eastAsia="zh-CN"/>
                    </w:rPr>
                    <w:t>）</w:t>
                  </w:r>
                </w:p>
              </w:tc>
              <w:tc>
                <w:tcPr>
                  <w:tcW w:w="580" w:type="dxa"/>
                  <w:vMerge w:val="restart"/>
                  <w:noWrap w:val="0"/>
                  <w:vAlign w:val="center"/>
                </w:tcPr>
                <w:p w14:paraId="1A169EAA">
                  <w:pPr>
                    <w:jc w:val="center"/>
                    <w:rPr>
                      <w:rFonts w:hint="default" w:ascii="Calibri" w:hAnsi="Calibri"/>
                      <w:color w:val="auto"/>
                      <w:sz w:val="21"/>
                      <w:szCs w:val="21"/>
                    </w:rPr>
                  </w:pPr>
                  <w:r>
                    <w:rPr>
                      <w:rFonts w:hint="default" w:ascii="Calibri" w:hAnsi="Calibri"/>
                      <w:color w:val="auto"/>
                      <w:sz w:val="21"/>
                      <w:szCs w:val="21"/>
                    </w:rPr>
                    <w:t>污染物排放浓度</w:t>
                  </w:r>
                </w:p>
                <w:p w14:paraId="2E52A9B6">
                  <w:pPr>
                    <w:jc w:val="center"/>
                    <w:rPr>
                      <w:rFonts w:hint="default" w:ascii="Calibri" w:hAnsi="Calibri"/>
                      <w:color w:val="auto"/>
                      <w:sz w:val="21"/>
                      <w:szCs w:val="21"/>
                    </w:rPr>
                  </w:pPr>
                  <w:r>
                    <w:rPr>
                      <w:rFonts w:hint="default" w:ascii="Calibri" w:hAnsi="Calibri"/>
                      <w:color w:val="auto"/>
                      <w:sz w:val="21"/>
                      <w:szCs w:val="21"/>
                    </w:rPr>
                    <w:t>(mg/m</w:t>
                  </w:r>
                  <w:r>
                    <w:rPr>
                      <w:rFonts w:hint="default" w:ascii="Calibri" w:hAnsi="Calibri"/>
                      <w:color w:val="auto"/>
                      <w:sz w:val="21"/>
                      <w:szCs w:val="21"/>
                      <w:vertAlign w:val="superscript"/>
                    </w:rPr>
                    <w:t>3</w:t>
                  </w:r>
                  <w:r>
                    <w:rPr>
                      <w:rFonts w:hint="default" w:ascii="Calibri" w:hAnsi="Calibri"/>
                      <w:color w:val="auto"/>
                      <w:sz w:val="21"/>
                      <w:szCs w:val="21"/>
                    </w:rPr>
                    <w:t>)</w:t>
                  </w:r>
                </w:p>
              </w:tc>
              <w:tc>
                <w:tcPr>
                  <w:tcW w:w="801" w:type="dxa"/>
                  <w:vMerge w:val="restart"/>
                  <w:noWrap w:val="0"/>
                  <w:vAlign w:val="center"/>
                </w:tcPr>
                <w:p w14:paraId="65ACDB50">
                  <w:pPr>
                    <w:jc w:val="center"/>
                    <w:rPr>
                      <w:rFonts w:hint="default" w:ascii="Calibri" w:hAnsi="Calibri"/>
                      <w:color w:val="auto"/>
                      <w:sz w:val="21"/>
                      <w:szCs w:val="21"/>
                    </w:rPr>
                  </w:pPr>
                  <w:r>
                    <w:rPr>
                      <w:rFonts w:hint="default" w:ascii="Calibri" w:hAnsi="Calibri"/>
                      <w:color w:val="auto"/>
                      <w:sz w:val="21"/>
                      <w:szCs w:val="21"/>
                    </w:rPr>
                    <w:t>排放口名称</w:t>
                  </w:r>
                </w:p>
              </w:tc>
              <w:tc>
                <w:tcPr>
                  <w:tcW w:w="409" w:type="dxa"/>
                  <w:vMerge w:val="restart"/>
                  <w:noWrap w:val="0"/>
                  <w:vAlign w:val="center"/>
                </w:tcPr>
                <w:p w14:paraId="3F7F41F4">
                  <w:pPr>
                    <w:jc w:val="center"/>
                    <w:rPr>
                      <w:rFonts w:hint="default" w:ascii="Calibri" w:hAnsi="Calibri" w:eastAsia="宋体"/>
                      <w:color w:val="auto"/>
                      <w:sz w:val="21"/>
                      <w:szCs w:val="21"/>
                      <w:lang w:eastAsia="zh-CN"/>
                    </w:rPr>
                  </w:pPr>
                  <w:r>
                    <w:rPr>
                      <w:rFonts w:hint="default" w:ascii="Calibri" w:hAnsi="Calibri"/>
                      <w:color w:val="auto"/>
                      <w:sz w:val="21"/>
                      <w:szCs w:val="21"/>
                      <w:lang w:eastAsia="zh-CN"/>
                    </w:rPr>
                    <w:t>排放口编号</w:t>
                  </w:r>
                </w:p>
              </w:tc>
            </w:tr>
            <w:tr w14:paraId="6486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 w:type="dxa"/>
                  <w:vMerge w:val="continue"/>
                  <w:noWrap w:val="0"/>
                  <w:vAlign w:val="center"/>
                </w:tcPr>
                <w:p w14:paraId="72166ECF">
                  <w:pPr>
                    <w:jc w:val="center"/>
                    <w:rPr>
                      <w:rFonts w:hint="default" w:ascii="Calibri" w:hAnsi="Calibri"/>
                      <w:color w:val="auto"/>
                      <w:sz w:val="21"/>
                      <w:szCs w:val="21"/>
                    </w:rPr>
                  </w:pPr>
                </w:p>
              </w:tc>
              <w:tc>
                <w:tcPr>
                  <w:tcW w:w="464" w:type="dxa"/>
                  <w:vMerge w:val="continue"/>
                  <w:noWrap w:val="0"/>
                  <w:vAlign w:val="center"/>
                </w:tcPr>
                <w:p w14:paraId="49D5548E">
                  <w:pPr>
                    <w:jc w:val="center"/>
                    <w:rPr>
                      <w:rFonts w:hint="default" w:ascii="Calibri" w:hAnsi="Calibri"/>
                      <w:color w:val="auto"/>
                      <w:sz w:val="21"/>
                      <w:szCs w:val="21"/>
                    </w:rPr>
                  </w:pPr>
                </w:p>
              </w:tc>
              <w:tc>
                <w:tcPr>
                  <w:tcW w:w="520" w:type="dxa"/>
                  <w:vMerge w:val="continue"/>
                  <w:noWrap w:val="0"/>
                  <w:vAlign w:val="center"/>
                </w:tcPr>
                <w:p w14:paraId="76E08FDB">
                  <w:pPr>
                    <w:jc w:val="center"/>
                    <w:rPr>
                      <w:rFonts w:hint="default" w:ascii="Calibri" w:hAnsi="Calibri"/>
                      <w:color w:val="auto"/>
                      <w:sz w:val="21"/>
                      <w:szCs w:val="21"/>
                    </w:rPr>
                  </w:pPr>
                </w:p>
              </w:tc>
              <w:tc>
                <w:tcPr>
                  <w:tcW w:w="336" w:type="dxa"/>
                  <w:vMerge w:val="continue"/>
                  <w:noWrap w:val="0"/>
                  <w:vAlign w:val="center"/>
                </w:tcPr>
                <w:p w14:paraId="6A8314B5">
                  <w:pPr>
                    <w:jc w:val="center"/>
                    <w:rPr>
                      <w:rFonts w:hint="default" w:ascii="Calibri" w:hAnsi="Calibri"/>
                      <w:color w:val="auto"/>
                      <w:sz w:val="21"/>
                      <w:szCs w:val="21"/>
                    </w:rPr>
                  </w:pPr>
                </w:p>
              </w:tc>
              <w:tc>
                <w:tcPr>
                  <w:tcW w:w="510" w:type="dxa"/>
                  <w:vMerge w:val="continue"/>
                  <w:noWrap w:val="0"/>
                  <w:vAlign w:val="center"/>
                </w:tcPr>
                <w:p w14:paraId="6B9F348A">
                  <w:pPr>
                    <w:jc w:val="center"/>
                    <w:rPr>
                      <w:rFonts w:hint="default" w:ascii="Calibri" w:hAnsi="Calibri"/>
                      <w:color w:val="auto"/>
                      <w:sz w:val="21"/>
                      <w:szCs w:val="21"/>
                    </w:rPr>
                  </w:pPr>
                </w:p>
              </w:tc>
              <w:tc>
                <w:tcPr>
                  <w:tcW w:w="519" w:type="dxa"/>
                  <w:vMerge w:val="continue"/>
                  <w:noWrap w:val="0"/>
                  <w:vAlign w:val="center"/>
                </w:tcPr>
                <w:p w14:paraId="0315B071">
                  <w:pPr>
                    <w:pStyle w:val="18"/>
                    <w:ind w:firstLine="0" w:firstLineChars="0"/>
                    <w:jc w:val="center"/>
                    <w:rPr>
                      <w:rFonts w:hint="default" w:ascii="Calibri" w:hAnsi="Calibri"/>
                      <w:color w:val="auto"/>
                      <w:sz w:val="21"/>
                      <w:szCs w:val="21"/>
                    </w:rPr>
                  </w:pPr>
                </w:p>
              </w:tc>
              <w:tc>
                <w:tcPr>
                  <w:tcW w:w="778" w:type="dxa"/>
                  <w:vMerge w:val="continue"/>
                  <w:noWrap w:val="0"/>
                  <w:vAlign w:val="center"/>
                </w:tcPr>
                <w:p w14:paraId="35A15B14">
                  <w:pPr>
                    <w:pStyle w:val="18"/>
                    <w:ind w:firstLine="0" w:firstLineChars="0"/>
                    <w:jc w:val="center"/>
                    <w:rPr>
                      <w:rFonts w:hint="default" w:ascii="Calibri" w:hAnsi="Calibri"/>
                      <w:color w:val="auto"/>
                      <w:sz w:val="21"/>
                      <w:szCs w:val="21"/>
                    </w:rPr>
                  </w:pPr>
                </w:p>
              </w:tc>
              <w:tc>
                <w:tcPr>
                  <w:tcW w:w="407" w:type="dxa"/>
                  <w:noWrap w:val="0"/>
                  <w:vAlign w:val="center"/>
                </w:tcPr>
                <w:p w14:paraId="6420A2A0">
                  <w:pPr>
                    <w:jc w:val="center"/>
                    <w:rPr>
                      <w:rFonts w:hint="default" w:ascii="Calibri" w:hAnsi="Calibri"/>
                      <w:color w:val="auto"/>
                      <w:sz w:val="21"/>
                      <w:szCs w:val="21"/>
                    </w:rPr>
                  </w:pPr>
                  <w:r>
                    <w:rPr>
                      <w:rFonts w:hint="default" w:ascii="Calibri" w:hAnsi="Calibri"/>
                      <w:color w:val="auto"/>
                      <w:sz w:val="21"/>
                      <w:szCs w:val="21"/>
                    </w:rPr>
                    <w:t>名称及工艺</w:t>
                  </w:r>
                </w:p>
              </w:tc>
              <w:tc>
                <w:tcPr>
                  <w:tcW w:w="537" w:type="dxa"/>
                  <w:noWrap w:val="0"/>
                  <w:vAlign w:val="center"/>
                </w:tcPr>
                <w:p w14:paraId="540379D8">
                  <w:pPr>
                    <w:jc w:val="center"/>
                    <w:rPr>
                      <w:rFonts w:hint="default" w:ascii="Calibri" w:hAnsi="Calibri"/>
                      <w:color w:val="auto"/>
                      <w:sz w:val="21"/>
                      <w:szCs w:val="21"/>
                    </w:rPr>
                  </w:pPr>
                  <w:r>
                    <w:rPr>
                      <w:rFonts w:hint="default" w:ascii="Calibri" w:hAnsi="Calibri"/>
                      <w:color w:val="auto"/>
                      <w:sz w:val="21"/>
                      <w:szCs w:val="21"/>
                    </w:rPr>
                    <w:t>收集效率%</w:t>
                  </w:r>
                </w:p>
              </w:tc>
              <w:tc>
                <w:tcPr>
                  <w:tcW w:w="464" w:type="dxa"/>
                  <w:noWrap w:val="0"/>
                  <w:vAlign w:val="center"/>
                </w:tcPr>
                <w:p w14:paraId="5D5EF4B4">
                  <w:pPr>
                    <w:jc w:val="center"/>
                    <w:rPr>
                      <w:rFonts w:hint="default" w:ascii="Calibri" w:hAnsi="Calibri"/>
                      <w:color w:val="auto"/>
                      <w:sz w:val="21"/>
                      <w:szCs w:val="21"/>
                    </w:rPr>
                  </w:pPr>
                  <w:r>
                    <w:rPr>
                      <w:rFonts w:hint="default" w:ascii="Calibri" w:hAnsi="Calibri"/>
                      <w:color w:val="auto"/>
                      <w:sz w:val="21"/>
                      <w:szCs w:val="21"/>
                    </w:rPr>
                    <w:t>去除效率%</w:t>
                  </w:r>
                </w:p>
              </w:tc>
              <w:tc>
                <w:tcPr>
                  <w:tcW w:w="499" w:type="dxa"/>
                  <w:noWrap w:val="0"/>
                  <w:vAlign w:val="center"/>
                </w:tcPr>
                <w:p w14:paraId="60E4C19B">
                  <w:pPr>
                    <w:jc w:val="center"/>
                    <w:rPr>
                      <w:rFonts w:hint="default" w:ascii="Calibri" w:hAnsi="Calibri"/>
                      <w:color w:val="auto"/>
                      <w:sz w:val="21"/>
                      <w:szCs w:val="21"/>
                    </w:rPr>
                  </w:pPr>
                  <w:r>
                    <w:rPr>
                      <w:rFonts w:hint="default" w:ascii="Calibri" w:hAnsi="Calibri"/>
                      <w:color w:val="auto"/>
                      <w:sz w:val="21"/>
                      <w:szCs w:val="21"/>
                    </w:rPr>
                    <w:t>是否为可行技术</w:t>
                  </w:r>
                </w:p>
              </w:tc>
              <w:tc>
                <w:tcPr>
                  <w:tcW w:w="563" w:type="dxa"/>
                  <w:vMerge w:val="continue"/>
                  <w:noWrap w:val="0"/>
                  <w:vAlign w:val="center"/>
                </w:tcPr>
                <w:p w14:paraId="2B6FD966">
                  <w:pPr>
                    <w:jc w:val="center"/>
                    <w:rPr>
                      <w:rFonts w:hint="default" w:ascii="Calibri" w:hAnsi="Calibri"/>
                      <w:color w:val="auto"/>
                      <w:sz w:val="21"/>
                      <w:szCs w:val="21"/>
                    </w:rPr>
                  </w:pPr>
                </w:p>
              </w:tc>
              <w:tc>
                <w:tcPr>
                  <w:tcW w:w="582" w:type="dxa"/>
                  <w:vMerge w:val="continue"/>
                  <w:noWrap w:val="0"/>
                  <w:vAlign w:val="center"/>
                </w:tcPr>
                <w:p w14:paraId="1CC682C9">
                  <w:pPr>
                    <w:jc w:val="center"/>
                    <w:rPr>
                      <w:rFonts w:hint="default" w:ascii="Calibri" w:hAnsi="Calibri"/>
                      <w:color w:val="auto"/>
                      <w:sz w:val="21"/>
                      <w:szCs w:val="21"/>
                    </w:rPr>
                  </w:pPr>
                </w:p>
              </w:tc>
              <w:tc>
                <w:tcPr>
                  <w:tcW w:w="580" w:type="dxa"/>
                  <w:vMerge w:val="continue"/>
                  <w:noWrap w:val="0"/>
                  <w:vAlign w:val="center"/>
                </w:tcPr>
                <w:p w14:paraId="484CD6C3">
                  <w:pPr>
                    <w:jc w:val="center"/>
                    <w:rPr>
                      <w:rFonts w:hint="default" w:ascii="Calibri" w:hAnsi="Calibri"/>
                      <w:color w:val="auto"/>
                      <w:sz w:val="21"/>
                      <w:szCs w:val="21"/>
                    </w:rPr>
                  </w:pPr>
                </w:p>
              </w:tc>
              <w:tc>
                <w:tcPr>
                  <w:tcW w:w="801" w:type="dxa"/>
                  <w:vMerge w:val="continue"/>
                  <w:noWrap w:val="0"/>
                  <w:vAlign w:val="center"/>
                </w:tcPr>
                <w:p w14:paraId="611EC67E">
                  <w:pPr>
                    <w:jc w:val="center"/>
                    <w:rPr>
                      <w:rFonts w:hint="default" w:ascii="Calibri" w:hAnsi="Calibri"/>
                      <w:color w:val="auto"/>
                      <w:sz w:val="21"/>
                      <w:szCs w:val="21"/>
                    </w:rPr>
                  </w:pPr>
                </w:p>
              </w:tc>
              <w:tc>
                <w:tcPr>
                  <w:tcW w:w="409" w:type="dxa"/>
                  <w:vMerge w:val="continue"/>
                  <w:noWrap w:val="0"/>
                  <w:vAlign w:val="center"/>
                </w:tcPr>
                <w:p w14:paraId="45CCB65A">
                  <w:pPr>
                    <w:jc w:val="center"/>
                    <w:rPr>
                      <w:rFonts w:hint="default" w:ascii="Calibri" w:hAnsi="Calibri"/>
                      <w:color w:val="auto"/>
                      <w:sz w:val="21"/>
                      <w:szCs w:val="21"/>
                    </w:rPr>
                  </w:pPr>
                </w:p>
              </w:tc>
            </w:tr>
            <w:tr w14:paraId="1440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331" w:type="dxa"/>
                  <w:noWrap w:val="0"/>
                  <w:vAlign w:val="center"/>
                </w:tcPr>
                <w:p w14:paraId="1A661396">
                  <w:pPr>
                    <w:jc w:val="center"/>
                    <w:rPr>
                      <w:rFonts w:hint="default" w:ascii="Calibri" w:hAnsi="Calibri"/>
                      <w:color w:val="auto"/>
                      <w:sz w:val="21"/>
                      <w:szCs w:val="21"/>
                    </w:rPr>
                  </w:pPr>
                  <w:r>
                    <w:rPr>
                      <w:rFonts w:hint="default" w:ascii="Calibri" w:hAnsi="Calibri"/>
                      <w:color w:val="auto"/>
                      <w:sz w:val="21"/>
                      <w:szCs w:val="21"/>
                    </w:rPr>
                    <w:t>1</w:t>
                  </w:r>
                </w:p>
              </w:tc>
              <w:tc>
                <w:tcPr>
                  <w:tcW w:w="464" w:type="dxa"/>
                  <w:noWrap w:val="0"/>
                  <w:vAlign w:val="center"/>
                </w:tcPr>
                <w:p w14:paraId="46539A03">
                  <w:pPr>
                    <w:jc w:val="center"/>
                    <w:rPr>
                      <w:rFonts w:hint="eastAsia" w:ascii="Calibri" w:hAnsi="Calibri" w:eastAsia="宋体"/>
                      <w:color w:val="auto"/>
                      <w:sz w:val="21"/>
                      <w:szCs w:val="21"/>
                      <w:lang w:val="en-US" w:eastAsia="zh-CN"/>
                    </w:rPr>
                  </w:pPr>
                  <w:r>
                    <w:rPr>
                      <w:rFonts w:hint="eastAsia" w:ascii="Calibri" w:hAnsi="Calibri"/>
                      <w:color w:val="auto"/>
                      <w:sz w:val="21"/>
                      <w:szCs w:val="21"/>
                      <w:lang w:val="en-US" w:eastAsia="zh-CN"/>
                    </w:rPr>
                    <w:t>投料</w:t>
                  </w:r>
                </w:p>
              </w:tc>
              <w:tc>
                <w:tcPr>
                  <w:tcW w:w="520" w:type="dxa"/>
                  <w:noWrap w:val="0"/>
                  <w:vAlign w:val="center"/>
                </w:tcPr>
                <w:p w14:paraId="2DB598B2">
                  <w:pPr>
                    <w:jc w:val="center"/>
                    <w:rPr>
                      <w:rFonts w:hint="default" w:ascii="Calibri" w:hAnsi="Calibri"/>
                      <w:color w:val="auto"/>
                      <w:sz w:val="21"/>
                      <w:szCs w:val="21"/>
                    </w:rPr>
                  </w:pPr>
                  <w:r>
                    <w:rPr>
                      <w:rFonts w:hint="default" w:ascii="Calibri" w:hAnsi="Calibri"/>
                      <w:color w:val="auto"/>
                      <w:sz w:val="21"/>
                      <w:szCs w:val="21"/>
                    </w:rPr>
                    <w:t>颗粒物</w:t>
                  </w:r>
                </w:p>
              </w:tc>
              <w:tc>
                <w:tcPr>
                  <w:tcW w:w="336" w:type="dxa"/>
                  <w:noWrap w:val="0"/>
                  <w:vAlign w:val="center"/>
                </w:tcPr>
                <w:p w14:paraId="061A5AED">
                  <w:pPr>
                    <w:jc w:val="center"/>
                    <w:rPr>
                      <w:rFonts w:hint="default" w:ascii="Calibri" w:hAnsi="Calibri"/>
                      <w:color w:val="auto"/>
                      <w:sz w:val="21"/>
                      <w:szCs w:val="21"/>
                    </w:rPr>
                  </w:pPr>
                  <w:r>
                    <w:rPr>
                      <w:rFonts w:hint="default" w:ascii="Calibri" w:hAnsi="Calibri"/>
                      <w:color w:val="auto"/>
                      <w:sz w:val="21"/>
                      <w:szCs w:val="21"/>
                    </w:rPr>
                    <w:t>无组织</w:t>
                  </w:r>
                </w:p>
              </w:tc>
              <w:tc>
                <w:tcPr>
                  <w:tcW w:w="510" w:type="dxa"/>
                  <w:noWrap w:val="0"/>
                  <w:vAlign w:val="center"/>
                </w:tcPr>
                <w:p w14:paraId="4700B0A6">
                  <w:pPr>
                    <w:jc w:val="center"/>
                    <w:rPr>
                      <w:rFonts w:hint="default" w:ascii="Calibri" w:hAnsi="Calibri" w:eastAsia="宋体"/>
                      <w:color w:val="auto"/>
                      <w:sz w:val="21"/>
                      <w:szCs w:val="21"/>
                      <w:lang w:val="en-US" w:eastAsia="zh-CN"/>
                    </w:rPr>
                  </w:pPr>
                  <w:r>
                    <w:rPr>
                      <w:rFonts w:hint="eastAsia" w:ascii="Calibri" w:hAnsi="Calibri"/>
                      <w:color w:val="auto"/>
                      <w:sz w:val="21"/>
                      <w:szCs w:val="21"/>
                      <w:lang w:val="en-US" w:eastAsia="zh-CN"/>
                    </w:rPr>
                    <w:t>0.236</w:t>
                  </w:r>
                </w:p>
              </w:tc>
              <w:tc>
                <w:tcPr>
                  <w:tcW w:w="519" w:type="dxa"/>
                  <w:noWrap w:val="0"/>
                  <w:vAlign w:val="center"/>
                </w:tcPr>
                <w:p w14:paraId="1CF69AD0">
                  <w:pPr>
                    <w:jc w:val="center"/>
                    <w:rPr>
                      <w:rFonts w:hint="default" w:ascii="Calibri" w:hAnsi="Calibri" w:eastAsia="宋体"/>
                      <w:color w:val="auto"/>
                      <w:sz w:val="21"/>
                      <w:szCs w:val="21"/>
                      <w:lang w:val="en-US" w:eastAsia="zh-CN"/>
                    </w:rPr>
                  </w:pPr>
                  <w:r>
                    <w:rPr>
                      <w:rFonts w:hint="eastAsia" w:ascii="Calibri" w:hAnsi="Calibri"/>
                      <w:color w:val="auto"/>
                      <w:sz w:val="21"/>
                      <w:szCs w:val="21"/>
                      <w:lang w:val="en-US" w:eastAsia="zh-CN"/>
                    </w:rPr>
                    <w:t>0.098</w:t>
                  </w:r>
                </w:p>
              </w:tc>
              <w:tc>
                <w:tcPr>
                  <w:tcW w:w="778" w:type="dxa"/>
                  <w:noWrap w:val="0"/>
                  <w:vAlign w:val="center"/>
                </w:tcPr>
                <w:p w14:paraId="723A401A">
                  <w:pPr>
                    <w:jc w:val="center"/>
                    <w:rPr>
                      <w:rFonts w:hint="default" w:ascii="Calibri" w:hAnsi="Calibri"/>
                      <w:color w:val="auto"/>
                      <w:sz w:val="21"/>
                      <w:szCs w:val="21"/>
                    </w:rPr>
                  </w:pPr>
                  <w:r>
                    <w:rPr>
                      <w:rFonts w:hint="default" w:ascii="Calibri" w:hAnsi="Calibri"/>
                      <w:color w:val="auto"/>
                      <w:sz w:val="21"/>
                      <w:szCs w:val="21"/>
                    </w:rPr>
                    <w:t>/</w:t>
                  </w:r>
                </w:p>
              </w:tc>
              <w:tc>
                <w:tcPr>
                  <w:tcW w:w="407" w:type="dxa"/>
                  <w:noWrap w:val="0"/>
                  <w:vAlign w:val="center"/>
                </w:tcPr>
                <w:p w14:paraId="0643B5E5">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料口</w:t>
                  </w:r>
                  <w:r>
                    <w:rPr>
                      <w:rFonts w:hint="eastAsia" w:ascii="Calibri" w:hAnsi="Calibri"/>
                      <w:color w:val="auto"/>
                      <w:sz w:val="21"/>
                      <w:szCs w:val="21"/>
                      <w:lang w:val="en-US" w:eastAsia="zh-CN"/>
                    </w:rPr>
                    <w:t>半围挡</w:t>
                  </w:r>
                  <w:r>
                    <w:rPr>
                      <w:rFonts w:hint="eastAsia" w:ascii="Calibri" w:hAnsi="Calibri" w:eastAsia="宋体"/>
                      <w:color w:val="auto"/>
                      <w:sz w:val="21"/>
                      <w:szCs w:val="21"/>
                      <w:lang w:val="en-US" w:eastAsia="zh-CN"/>
                    </w:rPr>
                    <w:t>+车间密闭</w:t>
                  </w:r>
                </w:p>
              </w:tc>
              <w:tc>
                <w:tcPr>
                  <w:tcW w:w="537" w:type="dxa"/>
                  <w:noWrap w:val="0"/>
                  <w:vAlign w:val="center"/>
                </w:tcPr>
                <w:p w14:paraId="1920CEBB">
                  <w:pPr>
                    <w:jc w:val="center"/>
                    <w:rPr>
                      <w:rFonts w:hint="default" w:ascii="Calibri" w:hAnsi="Calibri"/>
                      <w:color w:val="auto"/>
                      <w:sz w:val="21"/>
                      <w:szCs w:val="21"/>
                    </w:rPr>
                  </w:pPr>
                  <w:r>
                    <w:rPr>
                      <w:rFonts w:hint="default" w:ascii="Calibri" w:hAnsi="Calibri"/>
                      <w:color w:val="auto"/>
                      <w:sz w:val="21"/>
                      <w:szCs w:val="21"/>
                    </w:rPr>
                    <w:t>/</w:t>
                  </w:r>
                </w:p>
              </w:tc>
              <w:tc>
                <w:tcPr>
                  <w:tcW w:w="464" w:type="dxa"/>
                  <w:noWrap w:val="0"/>
                  <w:vAlign w:val="center"/>
                </w:tcPr>
                <w:p w14:paraId="46894A63">
                  <w:pPr>
                    <w:jc w:val="center"/>
                    <w:rPr>
                      <w:rFonts w:hint="default" w:ascii="Calibri" w:hAnsi="Calibri" w:eastAsia="宋体"/>
                      <w:color w:val="auto"/>
                      <w:sz w:val="21"/>
                      <w:szCs w:val="21"/>
                      <w:lang w:val="en-US" w:eastAsia="zh-CN"/>
                    </w:rPr>
                  </w:pPr>
                  <w:r>
                    <w:rPr>
                      <w:rFonts w:hint="eastAsia" w:ascii="Calibri" w:hAnsi="Calibri"/>
                      <w:color w:val="auto"/>
                      <w:sz w:val="21"/>
                      <w:szCs w:val="21"/>
                      <w:lang w:val="en-US" w:eastAsia="zh-CN"/>
                    </w:rPr>
                    <w:t>60+99</w:t>
                  </w:r>
                </w:p>
              </w:tc>
              <w:tc>
                <w:tcPr>
                  <w:tcW w:w="499" w:type="dxa"/>
                  <w:noWrap w:val="0"/>
                  <w:vAlign w:val="center"/>
                </w:tcPr>
                <w:p w14:paraId="2852B7E5">
                  <w:pPr>
                    <w:jc w:val="center"/>
                    <w:rPr>
                      <w:rFonts w:hint="default" w:ascii="Calibri" w:hAnsi="Calibri"/>
                      <w:color w:val="auto"/>
                      <w:sz w:val="21"/>
                      <w:szCs w:val="21"/>
                    </w:rPr>
                  </w:pPr>
                  <w:r>
                    <w:rPr>
                      <w:rFonts w:hint="default" w:ascii="Calibri" w:hAnsi="Calibri"/>
                      <w:color w:val="auto"/>
                      <w:sz w:val="21"/>
                      <w:szCs w:val="21"/>
                    </w:rPr>
                    <w:t>是</w:t>
                  </w:r>
                </w:p>
              </w:tc>
              <w:tc>
                <w:tcPr>
                  <w:tcW w:w="563" w:type="dxa"/>
                  <w:noWrap w:val="0"/>
                  <w:vAlign w:val="center"/>
                </w:tcPr>
                <w:p w14:paraId="4C0506BE">
                  <w:pPr>
                    <w:jc w:val="center"/>
                    <w:rPr>
                      <w:rFonts w:hint="default" w:ascii="Calibri" w:hAnsi="Calibri" w:eastAsia="宋体"/>
                      <w:color w:val="auto"/>
                      <w:sz w:val="21"/>
                      <w:szCs w:val="21"/>
                      <w:lang w:val="en-US" w:eastAsia="zh-CN"/>
                    </w:rPr>
                  </w:pPr>
                  <w:r>
                    <w:rPr>
                      <w:rFonts w:hint="eastAsia" w:ascii="Calibri" w:hAnsi="Calibri"/>
                      <w:color w:val="auto"/>
                      <w:sz w:val="21"/>
                      <w:szCs w:val="21"/>
                      <w:lang w:val="en-US" w:eastAsia="zh-CN"/>
                    </w:rPr>
                    <w:t>0.002</w:t>
                  </w:r>
                </w:p>
              </w:tc>
              <w:tc>
                <w:tcPr>
                  <w:tcW w:w="582" w:type="dxa"/>
                  <w:noWrap w:val="0"/>
                  <w:vAlign w:val="center"/>
                </w:tcPr>
                <w:p w14:paraId="50F5DCC5">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0.00</w:t>
                  </w:r>
                  <w:r>
                    <w:rPr>
                      <w:rFonts w:hint="eastAsia" w:ascii="Calibri" w:hAnsi="Calibri"/>
                      <w:color w:val="auto"/>
                      <w:sz w:val="21"/>
                      <w:szCs w:val="21"/>
                      <w:lang w:val="en-US" w:eastAsia="zh-CN"/>
                    </w:rPr>
                    <w:t>1</w:t>
                  </w:r>
                </w:p>
              </w:tc>
              <w:tc>
                <w:tcPr>
                  <w:tcW w:w="580" w:type="dxa"/>
                  <w:noWrap w:val="0"/>
                  <w:vAlign w:val="center"/>
                </w:tcPr>
                <w:p w14:paraId="3AA7897D">
                  <w:pPr>
                    <w:jc w:val="center"/>
                    <w:rPr>
                      <w:rFonts w:hint="default" w:ascii="Calibri" w:hAnsi="Calibri"/>
                      <w:color w:val="auto"/>
                      <w:sz w:val="21"/>
                      <w:szCs w:val="21"/>
                    </w:rPr>
                  </w:pPr>
                  <w:r>
                    <w:rPr>
                      <w:rFonts w:hint="default" w:ascii="Calibri" w:hAnsi="Calibri"/>
                      <w:color w:val="auto"/>
                      <w:sz w:val="21"/>
                      <w:szCs w:val="21"/>
                    </w:rPr>
                    <w:t>/</w:t>
                  </w:r>
                </w:p>
              </w:tc>
              <w:tc>
                <w:tcPr>
                  <w:tcW w:w="801" w:type="dxa"/>
                  <w:noWrap w:val="0"/>
                  <w:vAlign w:val="center"/>
                </w:tcPr>
                <w:p w14:paraId="32375B64">
                  <w:pPr>
                    <w:jc w:val="center"/>
                    <w:rPr>
                      <w:rFonts w:hint="default" w:ascii="Calibri" w:hAnsi="Calibri" w:eastAsia="宋体"/>
                      <w:color w:val="auto"/>
                      <w:sz w:val="21"/>
                      <w:szCs w:val="21"/>
                      <w:lang w:eastAsia="zh-CN"/>
                    </w:rPr>
                  </w:pPr>
                  <w:r>
                    <w:rPr>
                      <w:rFonts w:hint="default" w:ascii="Calibri" w:hAnsi="Calibri"/>
                      <w:color w:val="auto"/>
                      <w:sz w:val="21"/>
                      <w:szCs w:val="21"/>
                      <w:lang w:val="en-US" w:eastAsia="zh-CN"/>
                    </w:rPr>
                    <w:t>/</w:t>
                  </w:r>
                </w:p>
              </w:tc>
              <w:tc>
                <w:tcPr>
                  <w:tcW w:w="409" w:type="dxa"/>
                  <w:noWrap w:val="0"/>
                  <w:vAlign w:val="center"/>
                </w:tcPr>
                <w:p w14:paraId="6A383F09">
                  <w:pPr>
                    <w:jc w:val="center"/>
                    <w:rPr>
                      <w:rFonts w:hint="default" w:ascii="Calibri" w:hAnsi="Calibri"/>
                      <w:color w:val="auto"/>
                      <w:sz w:val="21"/>
                      <w:szCs w:val="21"/>
                      <w:lang w:val="en-US" w:eastAsia="zh-CN"/>
                    </w:rPr>
                  </w:pPr>
                  <w:r>
                    <w:rPr>
                      <w:rFonts w:hint="default" w:ascii="Calibri" w:hAnsi="Calibri"/>
                      <w:color w:val="auto"/>
                      <w:sz w:val="21"/>
                      <w:szCs w:val="21"/>
                      <w:lang w:val="en-US" w:eastAsia="zh-CN"/>
                    </w:rPr>
                    <w:t>/</w:t>
                  </w:r>
                </w:p>
              </w:tc>
            </w:tr>
            <w:tr w14:paraId="6DCE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331" w:type="dxa"/>
                  <w:vMerge w:val="restart"/>
                  <w:noWrap w:val="0"/>
                  <w:vAlign w:val="center"/>
                </w:tcPr>
                <w:p w14:paraId="2276FC50">
                  <w:pPr>
                    <w:jc w:val="center"/>
                    <w:rPr>
                      <w:rFonts w:hint="default" w:ascii="Calibri" w:hAnsi="Calibri" w:eastAsia="宋体"/>
                      <w:color w:val="auto"/>
                      <w:sz w:val="21"/>
                      <w:szCs w:val="21"/>
                      <w:lang w:val="en-US" w:eastAsia="zh-CN"/>
                    </w:rPr>
                  </w:pPr>
                  <w:r>
                    <w:rPr>
                      <w:rFonts w:hint="default" w:ascii="Calibri" w:hAnsi="Calibri"/>
                      <w:color w:val="auto"/>
                      <w:sz w:val="21"/>
                      <w:szCs w:val="21"/>
                      <w:lang w:val="en-US" w:eastAsia="zh-CN"/>
                    </w:rPr>
                    <w:t>2</w:t>
                  </w:r>
                </w:p>
              </w:tc>
              <w:tc>
                <w:tcPr>
                  <w:tcW w:w="464" w:type="dxa"/>
                  <w:vMerge w:val="restart"/>
                  <w:noWrap w:val="0"/>
                  <w:vAlign w:val="center"/>
                </w:tcPr>
                <w:p w14:paraId="09FE66C5">
                  <w:pPr>
                    <w:jc w:val="center"/>
                    <w:rPr>
                      <w:rFonts w:hint="default" w:ascii="Calibri" w:hAnsi="Calibri" w:eastAsia="宋体"/>
                      <w:bCs/>
                      <w:color w:val="auto"/>
                      <w:sz w:val="21"/>
                      <w:szCs w:val="21"/>
                      <w:lang w:val="en-US" w:eastAsia="zh-CN"/>
                    </w:rPr>
                  </w:pPr>
                  <w:r>
                    <w:rPr>
                      <w:rFonts w:hint="eastAsia" w:ascii="Calibri" w:hAnsi="Calibri" w:eastAsia="宋体"/>
                      <w:bCs/>
                      <w:color w:val="auto"/>
                      <w:sz w:val="21"/>
                      <w:szCs w:val="21"/>
                      <w:lang w:val="en-US" w:eastAsia="zh-CN"/>
                    </w:rPr>
                    <w:t>吹膜、涂胶烘干</w:t>
                  </w:r>
                </w:p>
              </w:tc>
              <w:tc>
                <w:tcPr>
                  <w:tcW w:w="520" w:type="dxa"/>
                  <w:vMerge w:val="restart"/>
                  <w:noWrap w:val="0"/>
                  <w:vAlign w:val="center"/>
                </w:tcPr>
                <w:p w14:paraId="0B831E42">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非甲烷总烃</w:t>
                  </w:r>
                </w:p>
              </w:tc>
              <w:tc>
                <w:tcPr>
                  <w:tcW w:w="336" w:type="dxa"/>
                  <w:noWrap w:val="0"/>
                  <w:vAlign w:val="center"/>
                </w:tcPr>
                <w:p w14:paraId="6DEE1A2E">
                  <w:pPr>
                    <w:jc w:val="center"/>
                    <w:rPr>
                      <w:rFonts w:hint="default" w:ascii="Calibri" w:hAnsi="Calibri" w:eastAsia="宋体"/>
                      <w:color w:val="auto"/>
                      <w:sz w:val="21"/>
                      <w:szCs w:val="21"/>
                      <w:lang w:eastAsia="zh-CN"/>
                    </w:rPr>
                  </w:pPr>
                  <w:r>
                    <w:rPr>
                      <w:rFonts w:hint="eastAsia" w:ascii="Calibri" w:hAnsi="Calibri"/>
                      <w:color w:val="auto"/>
                      <w:sz w:val="21"/>
                      <w:szCs w:val="21"/>
                      <w:lang w:val="en-US" w:eastAsia="zh-CN"/>
                    </w:rPr>
                    <w:t>有</w:t>
                  </w:r>
                  <w:r>
                    <w:rPr>
                      <w:rFonts w:hint="default" w:ascii="Calibri" w:hAnsi="Calibri"/>
                      <w:color w:val="auto"/>
                      <w:sz w:val="21"/>
                      <w:szCs w:val="21"/>
                      <w:lang w:eastAsia="zh-CN"/>
                    </w:rPr>
                    <w:t>组织</w:t>
                  </w:r>
                </w:p>
              </w:tc>
              <w:tc>
                <w:tcPr>
                  <w:tcW w:w="510" w:type="dxa"/>
                  <w:noWrap w:val="0"/>
                  <w:vAlign w:val="center"/>
                </w:tcPr>
                <w:p w14:paraId="30F61C6B">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27.167</w:t>
                  </w:r>
                </w:p>
              </w:tc>
              <w:tc>
                <w:tcPr>
                  <w:tcW w:w="519" w:type="dxa"/>
                  <w:noWrap w:val="0"/>
                  <w:vAlign w:val="center"/>
                </w:tcPr>
                <w:p w14:paraId="0B6DE6A1">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11.319</w:t>
                  </w:r>
                </w:p>
              </w:tc>
              <w:tc>
                <w:tcPr>
                  <w:tcW w:w="778" w:type="dxa"/>
                  <w:noWrap w:val="0"/>
                  <w:vAlign w:val="center"/>
                </w:tcPr>
                <w:p w14:paraId="2903E4ED">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754.64</w:t>
                  </w:r>
                </w:p>
              </w:tc>
              <w:tc>
                <w:tcPr>
                  <w:tcW w:w="407" w:type="dxa"/>
                  <w:noWrap w:val="0"/>
                  <w:vAlign w:val="center"/>
                </w:tcPr>
                <w:p w14:paraId="3059F13D">
                  <w:pPr>
                    <w:jc w:val="center"/>
                    <w:rPr>
                      <w:rFonts w:hint="default" w:ascii="Calibri" w:hAnsi="Calibri" w:eastAsia="宋体"/>
                      <w:color w:val="auto"/>
                      <w:sz w:val="21"/>
                      <w:szCs w:val="21"/>
                      <w:lang w:eastAsia="zh-CN"/>
                    </w:rPr>
                  </w:pPr>
                  <w:r>
                    <w:rPr>
                      <w:rFonts w:hint="default" w:ascii="Calibri" w:hAnsi="Calibri" w:eastAsia="宋体"/>
                      <w:color w:val="auto"/>
                      <w:sz w:val="21"/>
                      <w:szCs w:val="21"/>
                      <w:lang w:eastAsia="zh-CN"/>
                    </w:rPr>
                    <w:t>活性炭吸附/脱附+催化燃烧（热源采用电加热）</w:t>
                  </w:r>
                </w:p>
              </w:tc>
              <w:tc>
                <w:tcPr>
                  <w:tcW w:w="537" w:type="dxa"/>
                  <w:noWrap w:val="0"/>
                  <w:vAlign w:val="center"/>
                </w:tcPr>
                <w:p w14:paraId="1BDB166B">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90%</w:t>
                  </w:r>
                </w:p>
              </w:tc>
              <w:tc>
                <w:tcPr>
                  <w:tcW w:w="464" w:type="dxa"/>
                  <w:noWrap w:val="0"/>
                  <w:vAlign w:val="center"/>
                </w:tcPr>
                <w:p w14:paraId="777C1000">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90%</w:t>
                  </w:r>
                </w:p>
              </w:tc>
              <w:tc>
                <w:tcPr>
                  <w:tcW w:w="499" w:type="dxa"/>
                  <w:noWrap w:val="0"/>
                  <w:vAlign w:val="center"/>
                </w:tcPr>
                <w:p w14:paraId="17FBFF1A">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是</w:t>
                  </w:r>
                </w:p>
              </w:tc>
              <w:tc>
                <w:tcPr>
                  <w:tcW w:w="563" w:type="dxa"/>
                  <w:noWrap w:val="0"/>
                  <w:vAlign w:val="center"/>
                </w:tcPr>
                <w:p w14:paraId="67D7E4D7">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2.717</w:t>
                  </w:r>
                </w:p>
              </w:tc>
              <w:tc>
                <w:tcPr>
                  <w:tcW w:w="582" w:type="dxa"/>
                  <w:noWrap w:val="0"/>
                  <w:vAlign w:val="center"/>
                </w:tcPr>
                <w:p w14:paraId="0412DC73">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1.13</w:t>
                  </w:r>
                </w:p>
              </w:tc>
              <w:tc>
                <w:tcPr>
                  <w:tcW w:w="580" w:type="dxa"/>
                  <w:noWrap w:val="0"/>
                  <w:vAlign w:val="center"/>
                </w:tcPr>
                <w:p w14:paraId="173B68D3">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75.465</w:t>
                  </w:r>
                </w:p>
              </w:tc>
              <w:tc>
                <w:tcPr>
                  <w:tcW w:w="801" w:type="dxa"/>
                  <w:noWrap w:val="0"/>
                  <w:vAlign w:val="center"/>
                </w:tcPr>
                <w:p w14:paraId="31DF841A">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吹膜涂胶烘干排放口</w:t>
                  </w:r>
                </w:p>
              </w:tc>
              <w:tc>
                <w:tcPr>
                  <w:tcW w:w="409" w:type="dxa"/>
                  <w:noWrap w:val="0"/>
                  <w:vAlign w:val="center"/>
                </w:tcPr>
                <w:p w14:paraId="33EEF0C8">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DA001</w:t>
                  </w:r>
                </w:p>
              </w:tc>
            </w:tr>
            <w:tr w14:paraId="73AF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331" w:type="dxa"/>
                  <w:vMerge w:val="continue"/>
                  <w:noWrap w:val="0"/>
                  <w:vAlign w:val="center"/>
                </w:tcPr>
                <w:p w14:paraId="2EF4EBC9">
                  <w:pPr>
                    <w:jc w:val="center"/>
                    <w:rPr>
                      <w:rFonts w:hint="default" w:ascii="Calibri" w:hAnsi="Calibri"/>
                      <w:color w:val="auto"/>
                      <w:sz w:val="21"/>
                      <w:szCs w:val="21"/>
                      <w:lang w:val="en-US" w:eastAsia="zh-CN"/>
                    </w:rPr>
                  </w:pPr>
                </w:p>
              </w:tc>
              <w:tc>
                <w:tcPr>
                  <w:tcW w:w="464" w:type="dxa"/>
                  <w:vMerge w:val="continue"/>
                  <w:noWrap w:val="0"/>
                  <w:vAlign w:val="center"/>
                </w:tcPr>
                <w:p w14:paraId="112FB744">
                  <w:pPr>
                    <w:jc w:val="center"/>
                    <w:rPr>
                      <w:rFonts w:hint="eastAsia" w:ascii="Calibri" w:hAnsi="Calibri" w:eastAsia="宋体"/>
                      <w:bCs/>
                      <w:color w:val="auto"/>
                      <w:sz w:val="21"/>
                      <w:szCs w:val="21"/>
                      <w:lang w:val="en-US" w:eastAsia="zh-CN"/>
                    </w:rPr>
                  </w:pPr>
                </w:p>
              </w:tc>
              <w:tc>
                <w:tcPr>
                  <w:tcW w:w="520" w:type="dxa"/>
                  <w:vMerge w:val="continue"/>
                  <w:noWrap w:val="0"/>
                  <w:vAlign w:val="center"/>
                </w:tcPr>
                <w:p w14:paraId="49CEE70F">
                  <w:pPr>
                    <w:jc w:val="center"/>
                    <w:rPr>
                      <w:rFonts w:hint="eastAsia" w:ascii="Calibri" w:hAnsi="Calibri" w:eastAsia="宋体"/>
                      <w:color w:val="auto"/>
                      <w:sz w:val="21"/>
                      <w:szCs w:val="21"/>
                      <w:lang w:val="en-US" w:eastAsia="zh-CN"/>
                    </w:rPr>
                  </w:pPr>
                </w:p>
              </w:tc>
              <w:tc>
                <w:tcPr>
                  <w:tcW w:w="336" w:type="dxa"/>
                  <w:noWrap w:val="0"/>
                  <w:vAlign w:val="center"/>
                </w:tcPr>
                <w:p w14:paraId="7993F28F">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无组织</w:t>
                  </w:r>
                </w:p>
              </w:tc>
              <w:tc>
                <w:tcPr>
                  <w:tcW w:w="510" w:type="dxa"/>
                  <w:noWrap w:val="0"/>
                  <w:vAlign w:val="center"/>
                </w:tcPr>
                <w:p w14:paraId="14B9AB45">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3.019</w:t>
                  </w:r>
                </w:p>
              </w:tc>
              <w:tc>
                <w:tcPr>
                  <w:tcW w:w="519" w:type="dxa"/>
                  <w:noWrap w:val="0"/>
                  <w:vAlign w:val="center"/>
                </w:tcPr>
                <w:p w14:paraId="05D4E232">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1.258</w:t>
                  </w:r>
                </w:p>
              </w:tc>
              <w:tc>
                <w:tcPr>
                  <w:tcW w:w="778" w:type="dxa"/>
                  <w:noWrap w:val="0"/>
                  <w:vAlign w:val="center"/>
                </w:tcPr>
                <w:p w14:paraId="5F540CFF">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w:t>
                  </w:r>
                </w:p>
              </w:tc>
              <w:tc>
                <w:tcPr>
                  <w:tcW w:w="407" w:type="dxa"/>
                  <w:noWrap w:val="0"/>
                  <w:vAlign w:val="center"/>
                </w:tcPr>
                <w:p w14:paraId="323F58E7">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车间通风</w:t>
                  </w:r>
                </w:p>
              </w:tc>
              <w:tc>
                <w:tcPr>
                  <w:tcW w:w="537" w:type="dxa"/>
                  <w:noWrap w:val="0"/>
                  <w:vAlign w:val="center"/>
                </w:tcPr>
                <w:p w14:paraId="7ED530A9">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w:t>
                  </w:r>
                </w:p>
              </w:tc>
              <w:tc>
                <w:tcPr>
                  <w:tcW w:w="464" w:type="dxa"/>
                  <w:noWrap w:val="0"/>
                  <w:vAlign w:val="center"/>
                </w:tcPr>
                <w:p w14:paraId="5B578127">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w:t>
                  </w:r>
                </w:p>
              </w:tc>
              <w:tc>
                <w:tcPr>
                  <w:tcW w:w="499" w:type="dxa"/>
                  <w:noWrap w:val="0"/>
                  <w:vAlign w:val="center"/>
                </w:tcPr>
                <w:p w14:paraId="3D40C6B2">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是</w:t>
                  </w:r>
                </w:p>
              </w:tc>
              <w:tc>
                <w:tcPr>
                  <w:tcW w:w="563" w:type="dxa"/>
                  <w:noWrap w:val="0"/>
                  <w:vAlign w:val="center"/>
                </w:tcPr>
                <w:p w14:paraId="54485372">
                  <w:pPr>
                    <w:jc w:val="center"/>
                    <w:rPr>
                      <w:rFonts w:hint="default" w:ascii="Calibri" w:hAnsi="Calibri"/>
                      <w:color w:val="auto"/>
                      <w:sz w:val="21"/>
                      <w:szCs w:val="21"/>
                      <w:lang w:val="en-US" w:eastAsia="zh-CN"/>
                    </w:rPr>
                  </w:pPr>
                  <w:r>
                    <w:rPr>
                      <w:rFonts w:hint="eastAsia" w:ascii="Calibri" w:hAnsi="Calibri" w:eastAsia="宋体"/>
                      <w:color w:val="auto"/>
                      <w:sz w:val="21"/>
                      <w:szCs w:val="21"/>
                      <w:lang w:val="en-US" w:eastAsia="zh-CN"/>
                    </w:rPr>
                    <w:t>3.019</w:t>
                  </w:r>
                </w:p>
              </w:tc>
              <w:tc>
                <w:tcPr>
                  <w:tcW w:w="582" w:type="dxa"/>
                  <w:noWrap w:val="0"/>
                  <w:vAlign w:val="center"/>
                </w:tcPr>
                <w:p w14:paraId="6BA2F668">
                  <w:pPr>
                    <w:jc w:val="center"/>
                    <w:rPr>
                      <w:rFonts w:hint="default" w:ascii="Calibri" w:hAnsi="Calibri"/>
                      <w:color w:val="auto"/>
                      <w:sz w:val="21"/>
                      <w:szCs w:val="21"/>
                      <w:lang w:val="en-US" w:eastAsia="zh-CN"/>
                    </w:rPr>
                  </w:pPr>
                  <w:r>
                    <w:rPr>
                      <w:rFonts w:hint="eastAsia" w:ascii="Calibri" w:hAnsi="Calibri" w:eastAsia="宋体"/>
                      <w:color w:val="auto"/>
                      <w:sz w:val="21"/>
                      <w:szCs w:val="21"/>
                      <w:lang w:val="en-US" w:eastAsia="zh-CN"/>
                    </w:rPr>
                    <w:t>1.258</w:t>
                  </w:r>
                </w:p>
              </w:tc>
              <w:tc>
                <w:tcPr>
                  <w:tcW w:w="580" w:type="dxa"/>
                  <w:noWrap w:val="0"/>
                  <w:vAlign w:val="center"/>
                </w:tcPr>
                <w:p w14:paraId="447DBE2A">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w:t>
                  </w:r>
                </w:p>
              </w:tc>
              <w:tc>
                <w:tcPr>
                  <w:tcW w:w="801" w:type="dxa"/>
                  <w:noWrap w:val="0"/>
                  <w:vAlign w:val="center"/>
                </w:tcPr>
                <w:p w14:paraId="04BD0BF3">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w:t>
                  </w:r>
                </w:p>
              </w:tc>
              <w:tc>
                <w:tcPr>
                  <w:tcW w:w="409" w:type="dxa"/>
                  <w:noWrap w:val="0"/>
                  <w:vAlign w:val="center"/>
                </w:tcPr>
                <w:p w14:paraId="3234C0E6">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w:t>
                  </w:r>
                </w:p>
              </w:tc>
            </w:tr>
            <w:tr w14:paraId="096D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331" w:type="dxa"/>
                  <w:noWrap w:val="0"/>
                  <w:vAlign w:val="center"/>
                </w:tcPr>
                <w:p w14:paraId="11477300">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6</w:t>
                  </w:r>
                </w:p>
              </w:tc>
              <w:tc>
                <w:tcPr>
                  <w:tcW w:w="464" w:type="dxa"/>
                  <w:noWrap w:val="0"/>
                  <w:vAlign w:val="center"/>
                </w:tcPr>
                <w:p w14:paraId="480F5B2C">
                  <w:pPr>
                    <w:jc w:val="center"/>
                    <w:rPr>
                      <w:rFonts w:hint="default" w:ascii="Calibri" w:hAnsi="Calibri"/>
                      <w:bCs/>
                      <w:color w:val="auto"/>
                      <w:sz w:val="21"/>
                      <w:szCs w:val="21"/>
                      <w:lang w:val="en-US" w:eastAsia="zh-CN"/>
                    </w:rPr>
                  </w:pPr>
                  <w:r>
                    <w:rPr>
                      <w:rFonts w:hint="eastAsia" w:ascii="Calibri" w:hAnsi="Calibri"/>
                      <w:bCs/>
                      <w:color w:val="auto"/>
                      <w:sz w:val="21"/>
                      <w:szCs w:val="21"/>
                      <w:lang w:val="en-US" w:eastAsia="zh-CN"/>
                    </w:rPr>
                    <w:t>食堂</w:t>
                  </w:r>
                </w:p>
              </w:tc>
              <w:tc>
                <w:tcPr>
                  <w:tcW w:w="520" w:type="dxa"/>
                  <w:noWrap w:val="0"/>
                  <w:vAlign w:val="center"/>
                </w:tcPr>
                <w:p w14:paraId="404947A8">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油烟</w:t>
                  </w:r>
                </w:p>
              </w:tc>
              <w:tc>
                <w:tcPr>
                  <w:tcW w:w="336" w:type="dxa"/>
                  <w:noWrap w:val="0"/>
                  <w:vAlign w:val="center"/>
                </w:tcPr>
                <w:p w14:paraId="7B0ABE9B">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有组织</w:t>
                  </w:r>
                </w:p>
              </w:tc>
              <w:tc>
                <w:tcPr>
                  <w:tcW w:w="510" w:type="dxa"/>
                  <w:noWrap w:val="0"/>
                  <w:vAlign w:val="center"/>
                </w:tcPr>
                <w:p w14:paraId="6FF8A76B">
                  <w:pPr>
                    <w:jc w:val="center"/>
                    <w:rPr>
                      <w:rFonts w:hint="default" w:ascii="Calibri" w:hAnsi="Calibri"/>
                      <w:bCs/>
                      <w:color w:val="auto"/>
                      <w:sz w:val="21"/>
                      <w:szCs w:val="21"/>
                      <w:lang w:val="en-US" w:eastAsia="zh-CN"/>
                    </w:rPr>
                  </w:pPr>
                  <w:r>
                    <w:rPr>
                      <w:rFonts w:hint="eastAsia" w:ascii="Calibri" w:hAnsi="Calibri"/>
                      <w:bCs/>
                      <w:color w:val="auto"/>
                      <w:sz w:val="21"/>
                      <w:szCs w:val="21"/>
                      <w:lang w:val="en-US" w:eastAsia="zh-CN"/>
                    </w:rPr>
                    <w:t>50.4kg/a</w:t>
                  </w:r>
                </w:p>
              </w:tc>
              <w:tc>
                <w:tcPr>
                  <w:tcW w:w="519" w:type="dxa"/>
                  <w:noWrap w:val="0"/>
                  <w:vAlign w:val="center"/>
                </w:tcPr>
                <w:p w14:paraId="61F7C728">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0.042</w:t>
                  </w:r>
                </w:p>
              </w:tc>
              <w:tc>
                <w:tcPr>
                  <w:tcW w:w="778" w:type="dxa"/>
                  <w:noWrap w:val="0"/>
                  <w:vAlign w:val="center"/>
                </w:tcPr>
                <w:p w14:paraId="1F703728">
                  <w:pPr>
                    <w:jc w:val="center"/>
                    <w:rPr>
                      <w:rFonts w:hint="default" w:ascii="Calibri" w:hAnsi="Calibri" w:eastAsia="宋体" w:cs="Times New Roman"/>
                      <w:bCs/>
                      <w:color w:val="auto"/>
                      <w:sz w:val="21"/>
                      <w:szCs w:val="21"/>
                      <w:lang w:val="en-US" w:eastAsia="zh-CN"/>
                    </w:rPr>
                  </w:pPr>
                  <w:r>
                    <w:rPr>
                      <w:rFonts w:hint="eastAsia" w:ascii="Calibri" w:hAnsi="Calibri" w:eastAsia="宋体" w:cs="Times New Roman"/>
                      <w:bCs/>
                      <w:color w:val="auto"/>
                      <w:sz w:val="21"/>
                      <w:szCs w:val="21"/>
                      <w:lang w:val="en-US" w:eastAsia="zh-CN"/>
                    </w:rPr>
                    <w:t>7</w:t>
                  </w:r>
                </w:p>
              </w:tc>
              <w:tc>
                <w:tcPr>
                  <w:tcW w:w="407" w:type="dxa"/>
                  <w:noWrap w:val="0"/>
                  <w:vAlign w:val="center"/>
                </w:tcPr>
                <w:p w14:paraId="58AA3063">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油烟净化装置</w:t>
                  </w:r>
                </w:p>
              </w:tc>
              <w:tc>
                <w:tcPr>
                  <w:tcW w:w="537" w:type="dxa"/>
                  <w:noWrap w:val="0"/>
                  <w:vAlign w:val="center"/>
                </w:tcPr>
                <w:p w14:paraId="0D8BBC11">
                  <w:pPr>
                    <w:spacing w:line="240" w:lineRule="auto"/>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464" w:type="dxa"/>
                  <w:noWrap w:val="0"/>
                  <w:vAlign w:val="center"/>
                </w:tcPr>
                <w:p w14:paraId="120E2111">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75</w:t>
                  </w:r>
                </w:p>
              </w:tc>
              <w:tc>
                <w:tcPr>
                  <w:tcW w:w="499" w:type="dxa"/>
                  <w:noWrap w:val="0"/>
                  <w:vAlign w:val="center"/>
                </w:tcPr>
                <w:p w14:paraId="041EA43A">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是</w:t>
                  </w:r>
                </w:p>
              </w:tc>
              <w:tc>
                <w:tcPr>
                  <w:tcW w:w="563" w:type="dxa"/>
                  <w:noWrap w:val="0"/>
                  <w:vAlign w:val="center"/>
                </w:tcPr>
                <w:p w14:paraId="44EA2CE9">
                  <w:pPr>
                    <w:jc w:val="center"/>
                    <w:rPr>
                      <w:rFonts w:hint="default" w:ascii="Calibri" w:hAnsi="Calibri"/>
                      <w:bCs/>
                      <w:color w:val="auto"/>
                      <w:sz w:val="21"/>
                      <w:szCs w:val="21"/>
                      <w:lang w:val="en-US" w:eastAsia="zh-CN"/>
                    </w:rPr>
                  </w:pPr>
                  <w:r>
                    <w:rPr>
                      <w:rFonts w:hint="eastAsia" w:ascii="Calibri" w:hAnsi="Calibri"/>
                      <w:bCs/>
                      <w:color w:val="auto"/>
                      <w:sz w:val="21"/>
                      <w:szCs w:val="21"/>
                      <w:lang w:val="en-US" w:eastAsia="zh-CN"/>
                    </w:rPr>
                    <w:t>12.6kg/a</w:t>
                  </w:r>
                </w:p>
              </w:tc>
              <w:tc>
                <w:tcPr>
                  <w:tcW w:w="582" w:type="dxa"/>
                  <w:noWrap w:val="0"/>
                  <w:vAlign w:val="center"/>
                </w:tcPr>
                <w:p w14:paraId="2024DB05">
                  <w:pPr>
                    <w:jc w:val="center"/>
                    <w:rPr>
                      <w:rFonts w:hint="default" w:ascii="Calibri" w:hAnsi="Calibri" w:eastAsia="宋体"/>
                      <w:color w:val="auto"/>
                      <w:sz w:val="21"/>
                      <w:szCs w:val="21"/>
                      <w:lang w:val="en-US" w:eastAsia="zh-CN"/>
                    </w:rPr>
                  </w:pPr>
                  <w:r>
                    <w:rPr>
                      <w:rFonts w:hint="eastAsia" w:ascii="Calibri" w:hAnsi="Calibri" w:eastAsia="宋体"/>
                      <w:color w:val="auto"/>
                      <w:sz w:val="21"/>
                      <w:szCs w:val="21"/>
                      <w:lang w:val="en-US" w:eastAsia="zh-CN"/>
                    </w:rPr>
                    <w:t>0.01</w:t>
                  </w:r>
                </w:p>
              </w:tc>
              <w:tc>
                <w:tcPr>
                  <w:tcW w:w="580" w:type="dxa"/>
                  <w:noWrap w:val="0"/>
                  <w:vAlign w:val="center"/>
                </w:tcPr>
                <w:p w14:paraId="38FFDDA6">
                  <w:pPr>
                    <w:jc w:val="center"/>
                    <w:rPr>
                      <w:rFonts w:hint="default" w:ascii="Calibri" w:hAnsi="Calibri" w:eastAsia="宋体"/>
                      <w:bCs/>
                      <w:color w:val="auto"/>
                      <w:sz w:val="21"/>
                      <w:szCs w:val="21"/>
                      <w:lang w:val="en-US" w:eastAsia="zh-CN"/>
                    </w:rPr>
                  </w:pPr>
                  <w:r>
                    <w:rPr>
                      <w:rFonts w:hint="eastAsia" w:ascii="Calibri" w:hAnsi="Calibri" w:eastAsia="宋体"/>
                      <w:bCs/>
                      <w:color w:val="auto"/>
                      <w:sz w:val="21"/>
                      <w:szCs w:val="21"/>
                      <w:lang w:val="en-US" w:eastAsia="zh-CN"/>
                    </w:rPr>
                    <w:t>1.75</w:t>
                  </w:r>
                </w:p>
              </w:tc>
              <w:tc>
                <w:tcPr>
                  <w:tcW w:w="801" w:type="dxa"/>
                  <w:noWrap w:val="0"/>
                  <w:vAlign w:val="center"/>
                </w:tcPr>
                <w:p w14:paraId="37F8ED3D">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w:t>
                  </w:r>
                </w:p>
              </w:tc>
              <w:tc>
                <w:tcPr>
                  <w:tcW w:w="409" w:type="dxa"/>
                  <w:noWrap w:val="0"/>
                  <w:vAlign w:val="center"/>
                </w:tcPr>
                <w:p w14:paraId="180339A9">
                  <w:pPr>
                    <w:jc w:val="center"/>
                    <w:rPr>
                      <w:rFonts w:hint="default" w:ascii="Calibri" w:hAnsi="Calibri"/>
                      <w:color w:val="auto"/>
                      <w:sz w:val="21"/>
                      <w:szCs w:val="21"/>
                      <w:lang w:val="en-US" w:eastAsia="zh-CN"/>
                    </w:rPr>
                  </w:pPr>
                  <w:r>
                    <w:rPr>
                      <w:rFonts w:hint="eastAsia" w:ascii="Calibri" w:hAnsi="Calibri"/>
                      <w:color w:val="auto"/>
                      <w:sz w:val="21"/>
                      <w:szCs w:val="21"/>
                      <w:lang w:val="en-US" w:eastAsia="zh-CN"/>
                    </w:rPr>
                    <w:t>/</w:t>
                  </w:r>
                </w:p>
              </w:tc>
            </w:tr>
          </w:tbl>
          <w:p w14:paraId="7C222970">
            <w:pPr>
              <w:adjustRightInd w:val="0"/>
              <w:snapToGrid w:val="0"/>
              <w:spacing w:before="120" w:beforeLines="50"/>
              <w:ind w:firstLine="442" w:firstLineChars="200"/>
              <w:jc w:val="center"/>
              <w:rPr>
                <w:rFonts w:hint="eastAsia" w:ascii="宋体" w:hAnsi="宋体" w:cs="宋体"/>
                <w:b/>
                <w:bCs/>
                <w:spacing w:val="-10"/>
                <w:sz w:val="24"/>
              </w:rPr>
            </w:pPr>
            <w:r>
              <w:rPr>
                <w:rFonts w:hint="eastAsia" w:ascii="宋体" w:hAnsi="宋体" w:cs="宋体"/>
                <w:b/>
                <w:bCs/>
                <w:spacing w:val="-10"/>
                <w:sz w:val="24"/>
              </w:rPr>
              <w:t>表</w:t>
            </w:r>
            <w:r>
              <w:rPr>
                <w:rFonts w:hint="eastAsia" w:ascii="宋体" w:hAnsi="宋体" w:cs="宋体"/>
                <w:b/>
                <w:bCs/>
                <w:spacing w:val="-10"/>
                <w:sz w:val="24"/>
                <w:lang w:val="en-US" w:eastAsia="zh-CN"/>
              </w:rPr>
              <w:t>4-2</w:t>
            </w:r>
            <w:r>
              <w:rPr>
                <w:rFonts w:hint="eastAsia" w:ascii="宋体" w:hAnsi="宋体" w:cs="宋体"/>
                <w:b/>
                <w:bCs/>
                <w:spacing w:val="-10"/>
                <w:sz w:val="24"/>
              </w:rPr>
              <w:t xml:space="preserve"> </w:t>
            </w:r>
            <w:r>
              <w:rPr>
                <w:rFonts w:hint="eastAsia" w:ascii="宋体" w:hAnsi="宋体" w:cs="宋体"/>
                <w:b/>
                <w:bCs/>
                <w:spacing w:val="-10"/>
                <w:sz w:val="24"/>
                <w:lang w:val="en-US" w:eastAsia="zh-CN"/>
              </w:rPr>
              <w:t xml:space="preserve"> </w:t>
            </w:r>
            <w:r>
              <w:rPr>
                <w:rFonts w:hint="eastAsia" w:ascii="宋体" w:hAnsi="宋体" w:cs="宋体"/>
                <w:b/>
                <w:bCs/>
                <w:spacing w:val="-10"/>
                <w:sz w:val="24"/>
              </w:rPr>
              <w:t xml:space="preserve">  废气排放口基本</w:t>
            </w:r>
            <w:r>
              <w:rPr>
                <w:rFonts w:hint="eastAsia" w:ascii="宋体" w:hAnsi="宋体" w:cs="宋体"/>
                <w:b/>
                <w:bCs/>
                <w:spacing w:val="-10"/>
                <w:sz w:val="24"/>
                <w:lang w:eastAsia="zh-CN"/>
              </w:rPr>
              <w:t>情况</w:t>
            </w:r>
            <w:r>
              <w:rPr>
                <w:rFonts w:hint="eastAsia" w:ascii="宋体" w:hAnsi="宋体" w:cs="宋体"/>
                <w:b/>
                <w:bCs/>
                <w:spacing w:val="-10"/>
                <w:sz w:val="24"/>
              </w:rPr>
              <w:t>表</w:t>
            </w:r>
          </w:p>
          <w:tbl>
            <w:tblPr>
              <w:tblStyle w:val="24"/>
              <w:tblW w:w="8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880"/>
              <w:gridCol w:w="1882"/>
              <w:gridCol w:w="1032"/>
              <w:gridCol w:w="1249"/>
              <w:gridCol w:w="904"/>
              <w:gridCol w:w="1112"/>
            </w:tblGrid>
            <w:tr w14:paraId="2C67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dxa"/>
                  <w:tcBorders>
                    <w:tl2br w:val="nil"/>
                    <w:tr2bl w:val="nil"/>
                  </w:tcBorders>
                  <w:noWrap w:val="0"/>
                  <w:vAlign w:val="center"/>
                </w:tcPr>
                <w:p w14:paraId="36267902">
                  <w:pPr>
                    <w:adjustRightInd w:val="0"/>
                    <w:snapToGrid w:val="0"/>
                    <w:jc w:val="center"/>
                    <w:rPr>
                      <w:rFonts w:hint="default" w:ascii="Calibri" w:hAnsi="Calibri"/>
                      <w:bCs/>
                      <w:spacing w:val="-10"/>
                      <w:sz w:val="21"/>
                      <w:szCs w:val="21"/>
                    </w:rPr>
                  </w:pPr>
                  <w:r>
                    <w:rPr>
                      <w:rFonts w:hint="default" w:ascii="Calibri" w:hAnsi="Calibri"/>
                      <w:bCs/>
                      <w:spacing w:val="-10"/>
                      <w:sz w:val="21"/>
                      <w:szCs w:val="21"/>
                    </w:rPr>
                    <w:t>排放口名称</w:t>
                  </w:r>
                </w:p>
              </w:tc>
              <w:tc>
                <w:tcPr>
                  <w:tcW w:w="880" w:type="dxa"/>
                  <w:tcBorders>
                    <w:tl2br w:val="nil"/>
                    <w:tr2bl w:val="nil"/>
                  </w:tcBorders>
                  <w:noWrap w:val="0"/>
                  <w:vAlign w:val="center"/>
                </w:tcPr>
                <w:p w14:paraId="44C9C7C8">
                  <w:pPr>
                    <w:adjustRightInd w:val="0"/>
                    <w:snapToGrid w:val="0"/>
                    <w:jc w:val="center"/>
                    <w:rPr>
                      <w:rFonts w:hint="default" w:ascii="Calibri" w:hAnsi="Calibri"/>
                      <w:bCs/>
                      <w:spacing w:val="-10"/>
                      <w:sz w:val="21"/>
                      <w:szCs w:val="21"/>
                    </w:rPr>
                  </w:pPr>
                  <w:r>
                    <w:rPr>
                      <w:rFonts w:hint="default" w:ascii="Calibri" w:hAnsi="Calibri"/>
                      <w:bCs/>
                      <w:spacing w:val="-10"/>
                      <w:sz w:val="21"/>
                      <w:szCs w:val="21"/>
                    </w:rPr>
                    <w:t>排放口编号</w:t>
                  </w:r>
                </w:p>
              </w:tc>
              <w:tc>
                <w:tcPr>
                  <w:tcW w:w="1882" w:type="dxa"/>
                  <w:tcBorders>
                    <w:tl2br w:val="nil"/>
                    <w:tr2bl w:val="nil"/>
                  </w:tcBorders>
                  <w:noWrap w:val="0"/>
                  <w:vAlign w:val="center"/>
                </w:tcPr>
                <w:p w14:paraId="074B3C6B">
                  <w:pPr>
                    <w:adjustRightInd w:val="0"/>
                    <w:snapToGrid w:val="0"/>
                    <w:jc w:val="center"/>
                    <w:rPr>
                      <w:rFonts w:hint="default" w:ascii="Calibri" w:hAnsi="Calibri"/>
                      <w:bCs/>
                      <w:spacing w:val="-10"/>
                      <w:sz w:val="21"/>
                      <w:szCs w:val="21"/>
                    </w:rPr>
                  </w:pPr>
                  <w:r>
                    <w:rPr>
                      <w:rFonts w:hint="default" w:ascii="Calibri" w:hAnsi="Calibri"/>
                      <w:bCs/>
                      <w:spacing w:val="-10"/>
                      <w:sz w:val="21"/>
                      <w:szCs w:val="21"/>
                    </w:rPr>
                    <w:t>地理坐标</w:t>
                  </w:r>
                </w:p>
              </w:tc>
              <w:tc>
                <w:tcPr>
                  <w:tcW w:w="1032" w:type="dxa"/>
                  <w:tcBorders>
                    <w:tl2br w:val="nil"/>
                    <w:tr2bl w:val="nil"/>
                  </w:tcBorders>
                  <w:noWrap w:val="0"/>
                  <w:vAlign w:val="center"/>
                </w:tcPr>
                <w:p w14:paraId="15B5FD27">
                  <w:pPr>
                    <w:adjustRightInd w:val="0"/>
                    <w:snapToGrid w:val="0"/>
                    <w:jc w:val="center"/>
                    <w:rPr>
                      <w:rFonts w:hint="default" w:ascii="Calibri" w:hAnsi="Calibri"/>
                      <w:bCs/>
                      <w:spacing w:val="-10"/>
                      <w:sz w:val="21"/>
                      <w:szCs w:val="21"/>
                    </w:rPr>
                  </w:pPr>
                  <w:r>
                    <w:rPr>
                      <w:rFonts w:hint="default" w:ascii="Calibri" w:hAnsi="Calibri"/>
                      <w:bCs/>
                      <w:spacing w:val="-10"/>
                      <w:sz w:val="21"/>
                      <w:szCs w:val="21"/>
                    </w:rPr>
                    <w:t>排气筒高度/m</w:t>
                  </w:r>
                </w:p>
              </w:tc>
              <w:tc>
                <w:tcPr>
                  <w:tcW w:w="1249" w:type="dxa"/>
                  <w:tcBorders>
                    <w:tl2br w:val="nil"/>
                    <w:tr2bl w:val="nil"/>
                  </w:tcBorders>
                  <w:noWrap w:val="0"/>
                  <w:vAlign w:val="center"/>
                </w:tcPr>
                <w:p w14:paraId="21F4B2DD">
                  <w:pPr>
                    <w:adjustRightInd w:val="0"/>
                    <w:snapToGrid w:val="0"/>
                    <w:jc w:val="center"/>
                    <w:rPr>
                      <w:rFonts w:hint="default" w:ascii="Calibri" w:hAnsi="Calibri"/>
                      <w:bCs/>
                      <w:spacing w:val="-10"/>
                      <w:sz w:val="21"/>
                      <w:szCs w:val="21"/>
                    </w:rPr>
                  </w:pPr>
                  <w:r>
                    <w:rPr>
                      <w:rFonts w:hint="default" w:ascii="Calibri" w:hAnsi="Calibri"/>
                      <w:bCs/>
                      <w:spacing w:val="-10"/>
                      <w:sz w:val="21"/>
                      <w:szCs w:val="21"/>
                    </w:rPr>
                    <w:t>排气筒出口内径/m</w:t>
                  </w:r>
                </w:p>
              </w:tc>
              <w:tc>
                <w:tcPr>
                  <w:tcW w:w="904" w:type="dxa"/>
                  <w:tcBorders>
                    <w:tl2br w:val="nil"/>
                    <w:tr2bl w:val="nil"/>
                  </w:tcBorders>
                  <w:noWrap w:val="0"/>
                  <w:vAlign w:val="center"/>
                </w:tcPr>
                <w:p w14:paraId="34DFB185">
                  <w:pPr>
                    <w:adjustRightInd w:val="0"/>
                    <w:snapToGrid w:val="0"/>
                    <w:jc w:val="center"/>
                    <w:rPr>
                      <w:rFonts w:hint="default" w:ascii="Calibri" w:hAnsi="Calibri"/>
                      <w:bCs/>
                      <w:spacing w:val="-10"/>
                      <w:sz w:val="21"/>
                      <w:szCs w:val="21"/>
                    </w:rPr>
                  </w:pPr>
                  <w:r>
                    <w:rPr>
                      <w:rFonts w:hint="default" w:ascii="Calibri" w:hAnsi="Calibri"/>
                      <w:bCs/>
                      <w:spacing w:val="-10"/>
                      <w:sz w:val="21"/>
                      <w:szCs w:val="21"/>
                    </w:rPr>
                    <w:t>烟气温度/℃</w:t>
                  </w:r>
                </w:p>
              </w:tc>
              <w:tc>
                <w:tcPr>
                  <w:tcW w:w="1112" w:type="dxa"/>
                  <w:tcBorders>
                    <w:tl2br w:val="nil"/>
                    <w:tr2bl w:val="nil"/>
                  </w:tcBorders>
                  <w:noWrap w:val="0"/>
                  <w:vAlign w:val="center"/>
                </w:tcPr>
                <w:p w14:paraId="6E2117E0">
                  <w:pPr>
                    <w:adjustRightInd w:val="0"/>
                    <w:snapToGrid w:val="0"/>
                    <w:jc w:val="center"/>
                    <w:rPr>
                      <w:rFonts w:hint="default" w:ascii="Calibri" w:hAnsi="Calibri"/>
                      <w:bCs/>
                      <w:spacing w:val="-10"/>
                      <w:sz w:val="21"/>
                      <w:szCs w:val="21"/>
                    </w:rPr>
                  </w:pPr>
                  <w:r>
                    <w:rPr>
                      <w:rFonts w:hint="default" w:ascii="Calibri" w:hAnsi="Calibri"/>
                      <w:bCs/>
                      <w:spacing w:val="-10"/>
                      <w:sz w:val="21"/>
                      <w:szCs w:val="21"/>
                    </w:rPr>
                    <w:t>类型</w:t>
                  </w:r>
                </w:p>
              </w:tc>
            </w:tr>
            <w:tr w14:paraId="5C55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dxa"/>
                  <w:tcBorders>
                    <w:tl2br w:val="nil"/>
                    <w:tr2bl w:val="nil"/>
                  </w:tcBorders>
                  <w:noWrap w:val="0"/>
                  <w:vAlign w:val="center"/>
                </w:tcPr>
                <w:p w14:paraId="7F69D011">
                  <w:pPr>
                    <w:adjustRightInd w:val="0"/>
                    <w:snapToGrid w:val="0"/>
                    <w:jc w:val="center"/>
                    <w:rPr>
                      <w:rFonts w:hint="default" w:ascii="Calibri" w:hAnsi="Calibri" w:eastAsia="宋体"/>
                      <w:bCs/>
                      <w:spacing w:val="-10"/>
                      <w:sz w:val="21"/>
                      <w:szCs w:val="21"/>
                      <w:lang w:val="en-US" w:eastAsia="zh-CN"/>
                    </w:rPr>
                  </w:pPr>
                  <w:r>
                    <w:rPr>
                      <w:rFonts w:hint="eastAsia" w:ascii="Calibri" w:hAnsi="Calibri"/>
                      <w:bCs/>
                      <w:spacing w:val="-10"/>
                      <w:sz w:val="21"/>
                      <w:szCs w:val="21"/>
                      <w:lang w:val="en-US" w:eastAsia="zh-CN"/>
                    </w:rPr>
                    <w:t>吹膜涂胶烘干排放口</w:t>
                  </w:r>
                </w:p>
              </w:tc>
              <w:tc>
                <w:tcPr>
                  <w:tcW w:w="880" w:type="dxa"/>
                  <w:tcBorders>
                    <w:tl2br w:val="nil"/>
                    <w:tr2bl w:val="nil"/>
                  </w:tcBorders>
                  <w:noWrap w:val="0"/>
                  <w:vAlign w:val="center"/>
                </w:tcPr>
                <w:p w14:paraId="3BC3F495">
                  <w:pPr>
                    <w:adjustRightInd w:val="0"/>
                    <w:snapToGrid w:val="0"/>
                    <w:jc w:val="center"/>
                    <w:rPr>
                      <w:rFonts w:hint="default" w:ascii="Calibri" w:hAnsi="Calibri"/>
                      <w:bCs/>
                      <w:spacing w:val="-10"/>
                      <w:sz w:val="21"/>
                      <w:szCs w:val="21"/>
                    </w:rPr>
                  </w:pPr>
                  <w:r>
                    <w:rPr>
                      <w:rFonts w:hint="default" w:ascii="Calibri" w:hAnsi="Calibri"/>
                      <w:bCs/>
                      <w:sz w:val="21"/>
                      <w:szCs w:val="21"/>
                    </w:rPr>
                    <w:t>DA001</w:t>
                  </w:r>
                </w:p>
              </w:tc>
              <w:tc>
                <w:tcPr>
                  <w:tcW w:w="1882" w:type="dxa"/>
                  <w:tcBorders>
                    <w:tl2br w:val="nil"/>
                    <w:tr2bl w:val="nil"/>
                  </w:tcBorders>
                  <w:noWrap w:val="0"/>
                  <w:vAlign w:val="center"/>
                </w:tcPr>
                <w:p w14:paraId="679042F7">
                  <w:pPr>
                    <w:adjustRightInd w:val="0"/>
                    <w:snapToGrid w:val="0"/>
                    <w:jc w:val="center"/>
                    <w:rPr>
                      <w:rFonts w:hint="default" w:ascii="Calibri" w:hAnsi="Calibri"/>
                      <w:bCs/>
                      <w:spacing w:val="-10"/>
                      <w:sz w:val="21"/>
                      <w:szCs w:val="21"/>
                    </w:rPr>
                  </w:pPr>
                  <w:r>
                    <w:rPr>
                      <w:rFonts w:hint="eastAsia" w:ascii="Calibri" w:hAnsi="Calibri"/>
                      <w:bCs/>
                      <w:spacing w:val="-10"/>
                      <w:sz w:val="21"/>
                      <w:szCs w:val="21"/>
                      <w:lang w:val="en-US" w:eastAsia="zh-CN"/>
                    </w:rPr>
                    <w:t>东经</w:t>
                  </w:r>
                  <w:r>
                    <w:rPr>
                      <w:rFonts w:hint="default" w:ascii="Calibri" w:hAnsi="Calibri"/>
                      <w:bCs/>
                      <w:spacing w:val="-10"/>
                      <w:sz w:val="21"/>
                      <w:szCs w:val="21"/>
                    </w:rPr>
                    <w:t>84°18′48.202″</w:t>
                  </w:r>
                  <w:r>
                    <w:rPr>
                      <w:rFonts w:hint="eastAsia" w:ascii="Calibri" w:hAnsi="Calibri"/>
                      <w:bCs/>
                      <w:spacing w:val="-10"/>
                      <w:sz w:val="21"/>
                      <w:szCs w:val="21"/>
                      <w:lang w:val="en-US" w:eastAsia="zh-CN"/>
                    </w:rPr>
                    <w:t>北纬</w:t>
                  </w:r>
                  <w:r>
                    <w:rPr>
                      <w:rFonts w:hint="default" w:ascii="Calibri" w:hAnsi="Calibri"/>
                      <w:bCs/>
                      <w:spacing w:val="-10"/>
                      <w:sz w:val="21"/>
                      <w:szCs w:val="21"/>
                    </w:rPr>
                    <w:t>41°46′49.778″</w:t>
                  </w:r>
                </w:p>
              </w:tc>
              <w:tc>
                <w:tcPr>
                  <w:tcW w:w="1032" w:type="dxa"/>
                  <w:tcBorders>
                    <w:tl2br w:val="nil"/>
                    <w:tr2bl w:val="nil"/>
                  </w:tcBorders>
                  <w:noWrap w:val="0"/>
                  <w:vAlign w:val="center"/>
                </w:tcPr>
                <w:p w14:paraId="6D23A271">
                  <w:pPr>
                    <w:adjustRightInd w:val="0"/>
                    <w:snapToGrid w:val="0"/>
                    <w:jc w:val="center"/>
                    <w:rPr>
                      <w:rFonts w:hint="default" w:ascii="Calibri" w:hAnsi="Calibri" w:eastAsia="宋体"/>
                      <w:bCs/>
                      <w:spacing w:val="-10"/>
                      <w:sz w:val="21"/>
                      <w:szCs w:val="21"/>
                      <w:lang w:val="en-US" w:eastAsia="zh-CN"/>
                    </w:rPr>
                  </w:pPr>
                  <w:r>
                    <w:rPr>
                      <w:rFonts w:hint="eastAsia" w:ascii="Calibri" w:hAnsi="Calibri"/>
                      <w:bCs/>
                      <w:spacing w:val="-10"/>
                      <w:sz w:val="21"/>
                      <w:szCs w:val="21"/>
                      <w:lang w:val="en-US" w:eastAsia="zh-CN"/>
                    </w:rPr>
                    <w:t>20</w:t>
                  </w:r>
                </w:p>
              </w:tc>
              <w:tc>
                <w:tcPr>
                  <w:tcW w:w="1249" w:type="dxa"/>
                  <w:tcBorders>
                    <w:tl2br w:val="nil"/>
                    <w:tr2bl w:val="nil"/>
                  </w:tcBorders>
                  <w:noWrap w:val="0"/>
                  <w:vAlign w:val="center"/>
                </w:tcPr>
                <w:p w14:paraId="1F7F3041">
                  <w:pPr>
                    <w:adjustRightInd w:val="0"/>
                    <w:snapToGrid w:val="0"/>
                    <w:jc w:val="center"/>
                    <w:rPr>
                      <w:rFonts w:hint="default" w:ascii="Calibri" w:hAnsi="Calibri" w:eastAsia="宋体"/>
                      <w:bCs/>
                      <w:spacing w:val="-10"/>
                      <w:sz w:val="21"/>
                      <w:szCs w:val="21"/>
                      <w:lang w:val="en-US" w:eastAsia="zh-CN"/>
                    </w:rPr>
                  </w:pPr>
                  <w:r>
                    <w:rPr>
                      <w:rFonts w:hint="eastAsia" w:ascii="Calibri" w:hAnsi="Calibri"/>
                      <w:bCs/>
                      <w:spacing w:val="-10"/>
                      <w:sz w:val="21"/>
                      <w:szCs w:val="21"/>
                      <w:lang w:val="en-US" w:eastAsia="zh-CN"/>
                    </w:rPr>
                    <w:t>0.6</w:t>
                  </w:r>
                </w:p>
              </w:tc>
              <w:tc>
                <w:tcPr>
                  <w:tcW w:w="904" w:type="dxa"/>
                  <w:tcBorders>
                    <w:tl2br w:val="nil"/>
                    <w:tr2bl w:val="nil"/>
                  </w:tcBorders>
                  <w:noWrap w:val="0"/>
                  <w:vAlign w:val="center"/>
                </w:tcPr>
                <w:p w14:paraId="293CFDB7">
                  <w:pPr>
                    <w:adjustRightInd w:val="0"/>
                    <w:snapToGrid w:val="0"/>
                    <w:jc w:val="center"/>
                    <w:rPr>
                      <w:rFonts w:hint="default" w:ascii="Calibri" w:hAnsi="Calibri" w:eastAsia="宋体"/>
                      <w:bCs/>
                      <w:spacing w:val="-10"/>
                      <w:sz w:val="21"/>
                      <w:szCs w:val="21"/>
                      <w:lang w:val="en-US" w:eastAsia="zh-CN"/>
                    </w:rPr>
                  </w:pPr>
                  <w:r>
                    <w:rPr>
                      <w:rFonts w:hint="eastAsia" w:ascii="Calibri" w:hAnsi="Calibri"/>
                      <w:bCs/>
                      <w:spacing w:val="-10"/>
                      <w:sz w:val="21"/>
                      <w:szCs w:val="21"/>
                      <w:lang w:val="en-US" w:eastAsia="zh-CN"/>
                    </w:rPr>
                    <w:t>70</w:t>
                  </w:r>
                </w:p>
              </w:tc>
              <w:tc>
                <w:tcPr>
                  <w:tcW w:w="1112" w:type="dxa"/>
                  <w:tcBorders>
                    <w:tl2br w:val="nil"/>
                    <w:tr2bl w:val="nil"/>
                  </w:tcBorders>
                  <w:noWrap w:val="0"/>
                  <w:vAlign w:val="center"/>
                </w:tcPr>
                <w:p w14:paraId="503B1AF3">
                  <w:pPr>
                    <w:adjustRightInd w:val="0"/>
                    <w:snapToGrid w:val="0"/>
                    <w:jc w:val="center"/>
                    <w:rPr>
                      <w:rFonts w:hint="default" w:ascii="Calibri" w:hAnsi="Calibri"/>
                      <w:bCs/>
                      <w:spacing w:val="-10"/>
                      <w:sz w:val="21"/>
                      <w:szCs w:val="21"/>
                    </w:rPr>
                  </w:pPr>
                  <w:r>
                    <w:rPr>
                      <w:rFonts w:hint="default" w:ascii="Calibri" w:hAnsi="Calibri"/>
                      <w:bCs/>
                      <w:spacing w:val="-10"/>
                      <w:sz w:val="21"/>
                      <w:szCs w:val="21"/>
                    </w:rPr>
                    <w:t>一般排放口</w:t>
                  </w:r>
                </w:p>
              </w:tc>
            </w:tr>
          </w:tbl>
          <w:p w14:paraId="5A1BB439">
            <w:pPr>
              <w:keepNext w:val="0"/>
              <w:keepLines w:val="0"/>
              <w:pageBreakBefore w:val="0"/>
              <w:widowControl w:val="0"/>
              <w:kinsoku/>
              <w:wordWrap/>
              <w:overflowPunct/>
              <w:topLinePunct w:val="0"/>
              <w:autoSpaceDE/>
              <w:autoSpaceDN/>
              <w:bidi w:val="0"/>
              <w:adjustRightInd w:val="0"/>
              <w:snapToGrid w:val="0"/>
              <w:spacing w:line="520" w:lineRule="exact"/>
              <w:ind w:firstLine="442" w:firstLineChars="200"/>
              <w:textAlignment w:val="auto"/>
              <w:rPr>
                <w:rFonts w:hint="eastAsia" w:ascii="宋体" w:hAnsi="宋体" w:cs="宋体"/>
                <w:b/>
                <w:spacing w:val="-10"/>
                <w:sz w:val="24"/>
              </w:rPr>
            </w:pPr>
            <w:r>
              <w:rPr>
                <w:rFonts w:hint="eastAsia" w:ascii="宋体" w:hAnsi="宋体" w:cs="宋体"/>
                <w:b/>
                <w:spacing w:val="-10"/>
                <w:sz w:val="24"/>
                <w:lang w:val="en-US" w:eastAsia="zh-CN"/>
              </w:rPr>
              <w:t>3</w:t>
            </w:r>
            <w:r>
              <w:rPr>
                <w:rFonts w:hint="eastAsia" w:ascii="宋体" w:hAnsi="宋体" w:cs="宋体"/>
                <w:b/>
                <w:spacing w:val="-10"/>
                <w:sz w:val="24"/>
                <w:lang w:eastAsia="zh-CN"/>
              </w:rPr>
              <w:t>.</w:t>
            </w:r>
            <w:r>
              <w:rPr>
                <w:b/>
                <w:bCs/>
                <w:sz w:val="24"/>
              </w:rPr>
              <w:t>非正常排污的源强统计与分析</w:t>
            </w:r>
          </w:p>
          <w:p w14:paraId="7B411F4A">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hint="eastAsia" w:ascii="宋体" w:hAnsi="宋体" w:cs="宋体"/>
                <w:bCs/>
                <w:spacing w:val="-10"/>
                <w:sz w:val="24"/>
              </w:rPr>
            </w:pPr>
            <w:r>
              <w:rPr>
                <w:rFonts w:hint="eastAsia" w:ascii="宋体" w:hAnsi="宋体" w:cs="宋体"/>
                <w:bCs/>
                <w:spacing w:val="-10"/>
                <w:sz w:val="24"/>
              </w:rPr>
              <w:t>本项目非正常排放主要是指生产过程中废气处理设施故障情况下造成污染物超标排放；非正常排放大小及频率与生产装置的工艺水平、操作管理水平等因素有密切关系，若没有严格的处理措施，往往是造成污染的重要因素。</w:t>
            </w:r>
          </w:p>
          <w:p w14:paraId="4C64FC54">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hint="eastAsia" w:ascii="宋体" w:hAnsi="宋体" w:cs="宋体"/>
                <w:bCs/>
                <w:spacing w:val="-10"/>
                <w:sz w:val="24"/>
              </w:rPr>
            </w:pPr>
            <w:r>
              <w:rPr>
                <w:rFonts w:hint="eastAsia" w:ascii="宋体" w:hAnsi="宋体" w:cs="宋体"/>
                <w:bCs/>
                <w:spacing w:val="-10"/>
                <w:sz w:val="24"/>
              </w:rPr>
              <w:t>本项目非正常工况主要包括开、停车，检修；电力供应突然中断；除尘设备故障。项目非正常工况会引起污染物的非正常排放。本项目非正常工况下情况分析如下：</w:t>
            </w:r>
          </w:p>
          <w:p w14:paraId="62C04162">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ascii="宋体" w:hAnsi="宋体" w:cs="宋体"/>
                <w:bCs/>
                <w:spacing w:val="-10"/>
                <w:sz w:val="24"/>
              </w:rPr>
            </w:pPr>
            <w:r>
              <w:rPr>
                <w:rFonts w:ascii="宋体" w:hAnsi="宋体" w:cs="宋体"/>
                <w:bCs/>
                <w:spacing w:val="-10"/>
                <w:sz w:val="24"/>
              </w:rPr>
              <w:t>①开停车</w:t>
            </w:r>
          </w:p>
          <w:p w14:paraId="23E484F2">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ascii="宋体" w:hAnsi="宋体" w:cs="宋体"/>
                <w:bCs/>
                <w:spacing w:val="-10"/>
                <w:sz w:val="24"/>
              </w:rPr>
            </w:pPr>
            <w:r>
              <w:rPr>
                <w:rFonts w:ascii="宋体" w:hAnsi="宋体" w:cs="宋体"/>
                <w:bCs/>
                <w:spacing w:val="-10"/>
                <w:sz w:val="24"/>
              </w:rPr>
              <w:t>项目计划停车，装置首先要停工，生产</w:t>
            </w:r>
            <w:r>
              <w:rPr>
                <w:rFonts w:hint="eastAsia" w:ascii="宋体" w:hAnsi="宋体" w:cs="宋体"/>
                <w:bCs/>
                <w:spacing w:val="-10"/>
                <w:sz w:val="24"/>
              </w:rPr>
              <w:t>设备</w:t>
            </w:r>
            <w:r>
              <w:rPr>
                <w:rFonts w:ascii="宋体" w:hAnsi="宋体" w:cs="宋体"/>
                <w:bCs/>
                <w:spacing w:val="-10"/>
                <w:sz w:val="24"/>
              </w:rPr>
              <w:t>及环保设施等同步进行检修、维护和保养后，再开工生产。</w:t>
            </w:r>
          </w:p>
          <w:p w14:paraId="6BAB07C5">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ascii="宋体" w:hAnsi="宋体" w:cs="宋体"/>
                <w:bCs/>
                <w:spacing w:val="-10"/>
                <w:sz w:val="24"/>
              </w:rPr>
            </w:pPr>
            <w:r>
              <w:rPr>
                <w:rFonts w:ascii="宋体" w:hAnsi="宋体" w:cs="宋体"/>
                <w:bCs/>
                <w:spacing w:val="-10"/>
                <w:sz w:val="24"/>
              </w:rPr>
              <w:t>②设备故障</w:t>
            </w:r>
          </w:p>
          <w:p w14:paraId="7C8A7C46">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ascii="宋体" w:hAnsi="宋体" w:cs="宋体"/>
                <w:bCs/>
                <w:spacing w:val="-10"/>
                <w:sz w:val="24"/>
              </w:rPr>
            </w:pPr>
            <w:r>
              <w:rPr>
                <w:rFonts w:ascii="宋体" w:hAnsi="宋体" w:cs="宋体"/>
                <w:bCs/>
                <w:spacing w:val="-10"/>
                <w:sz w:val="24"/>
              </w:rPr>
              <w:t>当生产系统出现停电、</w:t>
            </w:r>
            <w:r>
              <w:rPr>
                <w:rFonts w:hint="eastAsia" w:ascii="宋体" w:hAnsi="宋体" w:cs="宋体"/>
                <w:bCs/>
                <w:spacing w:val="-10"/>
                <w:sz w:val="24"/>
              </w:rPr>
              <w:t>气泵、机电</w:t>
            </w:r>
            <w:r>
              <w:rPr>
                <w:rFonts w:ascii="宋体" w:hAnsi="宋体" w:cs="宋体"/>
                <w:bCs/>
                <w:spacing w:val="-10"/>
                <w:sz w:val="24"/>
              </w:rPr>
              <w:t>故</w:t>
            </w:r>
            <w:r>
              <w:rPr>
                <w:rFonts w:ascii="宋体" w:hAnsi="宋体" w:cs="宋体"/>
                <w:bCs/>
                <w:spacing w:val="-10"/>
                <w:sz w:val="24"/>
                <w:szCs w:val="24"/>
              </w:rPr>
              <w:t>障</w:t>
            </w:r>
            <w:r>
              <w:rPr>
                <w:rFonts w:hint="eastAsia"/>
                <w:sz w:val="24"/>
                <w:szCs w:val="24"/>
                <w:lang w:val="en-US" w:eastAsia="zh-CN"/>
              </w:rPr>
              <w:t>时</w:t>
            </w:r>
            <w:r>
              <w:rPr>
                <w:rFonts w:ascii="宋体" w:hAnsi="宋体" w:cs="宋体"/>
                <w:bCs/>
                <w:spacing w:val="-10"/>
                <w:sz w:val="24"/>
                <w:szCs w:val="24"/>
              </w:rPr>
              <w:t>，由于</w:t>
            </w:r>
            <w:r>
              <w:rPr>
                <w:rFonts w:hint="eastAsia" w:ascii="宋体" w:hAnsi="宋体" w:cs="宋体"/>
                <w:bCs/>
                <w:spacing w:val="-10"/>
                <w:sz w:val="24"/>
                <w:szCs w:val="24"/>
              </w:rPr>
              <w:t>本项目</w:t>
            </w:r>
            <w:r>
              <w:rPr>
                <w:rFonts w:ascii="宋体" w:hAnsi="宋体" w:cs="宋体"/>
                <w:bCs/>
                <w:spacing w:val="-10"/>
                <w:sz w:val="24"/>
              </w:rPr>
              <w:t>控制系统采用DCS自动控制系统，因此出现上述情况的概率较低</w:t>
            </w:r>
            <w:r>
              <w:rPr>
                <w:rFonts w:hint="eastAsia" w:ascii="宋体" w:hAnsi="宋体" w:cs="宋体"/>
                <w:bCs/>
                <w:spacing w:val="-10"/>
                <w:sz w:val="24"/>
              </w:rPr>
              <w:t>，就算出现上述情况也会停机检修，</w:t>
            </w:r>
            <w:r>
              <w:rPr>
                <w:rFonts w:ascii="宋体" w:hAnsi="宋体" w:cs="宋体"/>
                <w:bCs/>
                <w:spacing w:val="-10"/>
                <w:sz w:val="24"/>
              </w:rPr>
              <w:t>非正常工况产生的废气量均比正常工况的小，污染物也比正常工况时产生量少，废气经</w:t>
            </w:r>
            <w:r>
              <w:rPr>
                <w:rFonts w:hint="eastAsia" w:ascii="宋体" w:hAnsi="宋体" w:cs="宋体"/>
                <w:bCs/>
                <w:spacing w:val="-10"/>
                <w:sz w:val="24"/>
              </w:rPr>
              <w:t>除尘设备</w:t>
            </w:r>
            <w:r>
              <w:rPr>
                <w:rFonts w:ascii="宋体" w:hAnsi="宋体" w:cs="宋体"/>
                <w:bCs/>
                <w:spacing w:val="-10"/>
                <w:sz w:val="24"/>
              </w:rPr>
              <w:t>处理后排放对周围环境的影响也相应地比正常工况轻。因此本次评价不考虑开停车及设备检修产生的污染物影响。</w:t>
            </w:r>
          </w:p>
          <w:p w14:paraId="62A55B4D">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ascii="宋体" w:hAnsi="宋体" w:cs="宋体"/>
                <w:bCs/>
                <w:spacing w:val="-10"/>
                <w:sz w:val="24"/>
              </w:rPr>
            </w:pPr>
            <w:r>
              <w:rPr>
                <w:rFonts w:ascii="宋体" w:hAnsi="宋体" w:cs="宋体"/>
                <w:bCs/>
                <w:spacing w:val="-10"/>
                <w:sz w:val="24"/>
              </w:rPr>
              <w:t>③</w:t>
            </w:r>
            <w:r>
              <w:rPr>
                <w:rFonts w:hint="eastAsia" w:ascii="宋体" w:hAnsi="宋体" w:cs="宋体"/>
                <w:bCs/>
                <w:spacing w:val="-10"/>
                <w:sz w:val="24"/>
              </w:rPr>
              <w:t>废气处理设施</w:t>
            </w:r>
            <w:r>
              <w:rPr>
                <w:rFonts w:ascii="宋体" w:hAnsi="宋体" w:cs="宋体"/>
                <w:bCs/>
                <w:spacing w:val="-10"/>
                <w:sz w:val="24"/>
              </w:rPr>
              <w:t>效率降低</w:t>
            </w:r>
          </w:p>
          <w:p w14:paraId="6DE15674">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ascii="宋体" w:hAnsi="宋体" w:cs="宋体"/>
                <w:bCs/>
                <w:spacing w:val="-10"/>
                <w:sz w:val="24"/>
              </w:rPr>
            </w:pPr>
            <w:r>
              <w:rPr>
                <w:rFonts w:hint="eastAsia" w:ascii="宋体" w:hAnsi="宋体" w:cs="宋体"/>
                <w:bCs/>
                <w:spacing w:val="-10"/>
                <w:sz w:val="24"/>
              </w:rPr>
              <w:t>废气处理设施</w:t>
            </w:r>
            <w:r>
              <w:rPr>
                <w:rFonts w:ascii="宋体" w:hAnsi="宋体" w:cs="宋体"/>
                <w:bCs/>
                <w:spacing w:val="-10"/>
                <w:sz w:val="24"/>
              </w:rPr>
              <w:t>效率降低的原因是长时间未检修、没有做到定期更换，导致</w:t>
            </w:r>
            <w:r>
              <w:rPr>
                <w:rFonts w:hint="eastAsia" w:ascii="宋体" w:hAnsi="宋体" w:cs="宋体"/>
                <w:bCs/>
                <w:spacing w:val="-10"/>
                <w:sz w:val="24"/>
              </w:rPr>
              <w:t>处理</w:t>
            </w:r>
            <w:r>
              <w:rPr>
                <w:rFonts w:ascii="宋体" w:hAnsi="宋体" w:cs="宋体"/>
                <w:bCs/>
                <w:spacing w:val="-10"/>
                <w:sz w:val="24"/>
              </w:rPr>
              <w:t>效率变低，污染物超标排放。加强日常管理，做到定期检修、定期更换。</w:t>
            </w:r>
          </w:p>
          <w:p w14:paraId="0CDA7904">
            <w:pPr>
              <w:keepNext w:val="0"/>
              <w:keepLines w:val="0"/>
              <w:pageBreakBefore w:val="0"/>
              <w:widowControl w:val="0"/>
              <w:kinsoku/>
              <w:wordWrap/>
              <w:overflowPunct/>
              <w:topLinePunct w:val="0"/>
              <w:autoSpaceDE/>
              <w:autoSpaceDN/>
              <w:bidi w:val="0"/>
              <w:adjustRightInd w:val="0"/>
              <w:snapToGrid w:val="0"/>
              <w:spacing w:line="520" w:lineRule="exact"/>
              <w:ind w:firstLine="440" w:firstLineChars="200"/>
              <w:textAlignment w:val="auto"/>
              <w:rPr>
                <w:rFonts w:ascii="宋体" w:hAnsi="宋体" w:cs="宋体"/>
                <w:bCs/>
                <w:spacing w:val="-10"/>
                <w:sz w:val="24"/>
              </w:rPr>
            </w:pPr>
            <w:r>
              <w:rPr>
                <w:rFonts w:ascii="宋体" w:hAnsi="宋体" w:cs="宋体"/>
                <w:bCs/>
                <w:spacing w:val="-10"/>
                <w:sz w:val="24"/>
              </w:rPr>
              <w:t>本项目非正常工况</w:t>
            </w:r>
            <w:r>
              <w:rPr>
                <w:rFonts w:hint="eastAsia" w:ascii="宋体" w:hAnsi="宋体" w:cs="宋体"/>
                <w:bCs/>
                <w:spacing w:val="-10"/>
                <w:sz w:val="24"/>
              </w:rPr>
              <w:t>废气处理设施</w:t>
            </w:r>
            <w:r>
              <w:rPr>
                <w:rFonts w:ascii="宋体" w:hAnsi="宋体" w:cs="宋体"/>
                <w:bCs/>
                <w:spacing w:val="-10"/>
                <w:sz w:val="24"/>
              </w:rPr>
              <w:t>处理效率无法达到设计效率时，出现频次约</w:t>
            </w:r>
            <w:r>
              <w:rPr>
                <w:rFonts w:hint="eastAsia" w:ascii="宋体" w:hAnsi="宋体" w:cs="宋体"/>
                <w:bCs/>
                <w:spacing w:val="-10"/>
                <w:sz w:val="24"/>
                <w:lang w:val="en-US" w:eastAsia="zh-CN"/>
              </w:rPr>
              <w:t>1</w:t>
            </w:r>
            <w:r>
              <w:rPr>
                <w:rFonts w:ascii="宋体" w:hAnsi="宋体" w:cs="宋体"/>
                <w:bCs/>
                <w:spacing w:val="-10"/>
                <w:sz w:val="24"/>
              </w:rPr>
              <w:t>次/年，非正常工况年排放时间按1h时间计算，废气在未经有效处理的情</w:t>
            </w:r>
            <w:r>
              <w:rPr>
                <w:rFonts w:hint="eastAsia" w:ascii="宋体" w:hAnsi="宋体" w:cs="宋体"/>
                <w:bCs/>
                <w:spacing w:val="-10"/>
                <w:sz w:val="24"/>
                <w:lang w:eastAsia="zh-CN"/>
              </w:rPr>
              <w:t>况下</w:t>
            </w:r>
            <w:r>
              <w:rPr>
                <w:rFonts w:ascii="宋体" w:hAnsi="宋体" w:cs="宋体"/>
                <w:bCs/>
                <w:spacing w:val="-10"/>
                <w:sz w:val="24"/>
              </w:rPr>
              <w:t>通过排气筒排放，非正常工况下废气排放详</w:t>
            </w:r>
            <w:r>
              <w:rPr>
                <w:rFonts w:hint="eastAsia" w:ascii="宋体" w:hAnsi="宋体" w:cs="宋体"/>
                <w:bCs/>
                <w:spacing w:val="-10"/>
                <w:sz w:val="24"/>
                <w:lang w:eastAsia="zh-CN"/>
              </w:rPr>
              <w:t>见表</w:t>
            </w:r>
            <w:r>
              <w:rPr>
                <w:rFonts w:hint="eastAsia" w:ascii="宋体" w:hAnsi="宋体" w:cs="宋体"/>
                <w:bCs/>
                <w:spacing w:val="-10"/>
                <w:sz w:val="24"/>
                <w:lang w:val="en-US" w:eastAsia="zh-CN"/>
              </w:rPr>
              <w:t>4-3</w:t>
            </w:r>
            <w:r>
              <w:rPr>
                <w:rFonts w:ascii="宋体" w:hAnsi="宋体" w:cs="宋体"/>
                <w:bCs/>
                <w:spacing w:val="-10"/>
                <w:sz w:val="24"/>
              </w:rPr>
              <w:t>。</w:t>
            </w:r>
          </w:p>
          <w:p w14:paraId="6FB832E4">
            <w:pPr>
              <w:keepNext w:val="0"/>
              <w:keepLines w:val="0"/>
              <w:pageBreakBefore w:val="0"/>
              <w:widowControl w:val="0"/>
              <w:kinsoku/>
              <w:wordWrap/>
              <w:overflowPunct/>
              <w:topLinePunct w:val="0"/>
              <w:autoSpaceDE/>
              <w:autoSpaceDN/>
              <w:bidi w:val="0"/>
              <w:adjustRightInd w:val="0"/>
              <w:snapToGrid w:val="0"/>
              <w:spacing w:line="520" w:lineRule="exact"/>
              <w:ind w:firstLine="442" w:firstLineChars="200"/>
              <w:jc w:val="center"/>
              <w:textAlignment w:val="auto"/>
              <w:rPr>
                <w:rFonts w:hint="eastAsia" w:ascii="宋体" w:hAnsi="宋体" w:eastAsia="宋体" w:cs="宋体"/>
                <w:bCs/>
                <w:spacing w:val="-10"/>
                <w:sz w:val="24"/>
                <w:lang w:val="en-US" w:eastAsia="zh-CN"/>
              </w:rPr>
            </w:pPr>
            <w:r>
              <w:rPr>
                <w:rFonts w:hint="eastAsia" w:ascii="宋体" w:hAnsi="宋体" w:cs="宋体"/>
                <w:b/>
                <w:bCs/>
                <w:spacing w:val="-10"/>
                <w:sz w:val="24"/>
              </w:rPr>
              <w:t>表</w:t>
            </w:r>
            <w:r>
              <w:rPr>
                <w:rFonts w:hint="eastAsia" w:ascii="宋体" w:hAnsi="宋体" w:cs="宋体"/>
                <w:b/>
                <w:bCs/>
                <w:spacing w:val="-10"/>
                <w:sz w:val="24"/>
                <w:lang w:val="en-US" w:eastAsia="zh-CN"/>
              </w:rPr>
              <w:t xml:space="preserve">4-3 </w:t>
            </w:r>
            <w:r>
              <w:rPr>
                <w:rFonts w:hint="eastAsia" w:ascii="宋体" w:hAnsi="宋体" w:cs="宋体"/>
                <w:b/>
                <w:bCs/>
                <w:spacing w:val="-10"/>
                <w:sz w:val="24"/>
              </w:rPr>
              <w:t xml:space="preserve">  本项目非正常工况污染物产排情况</w:t>
            </w:r>
          </w:p>
          <w:tbl>
            <w:tblPr>
              <w:tblStyle w:val="24"/>
              <w:tblW w:w="8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041"/>
              <w:gridCol w:w="747"/>
              <w:gridCol w:w="928"/>
              <w:gridCol w:w="1004"/>
              <w:gridCol w:w="928"/>
              <w:gridCol w:w="945"/>
              <w:gridCol w:w="838"/>
              <w:gridCol w:w="1066"/>
            </w:tblGrid>
            <w:tr w14:paraId="58B4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dxa"/>
                  <w:noWrap w:val="0"/>
                  <w:vAlign w:val="center"/>
                </w:tcPr>
                <w:p w14:paraId="2D5213DE">
                  <w:pPr>
                    <w:adjustRightInd w:val="0"/>
                    <w:snapToGrid w:val="0"/>
                    <w:spacing w:line="320" w:lineRule="exact"/>
                    <w:jc w:val="center"/>
                    <w:rPr>
                      <w:bCs/>
                      <w:spacing w:val="-10"/>
                      <w:sz w:val="21"/>
                      <w:szCs w:val="21"/>
                    </w:rPr>
                  </w:pPr>
                  <w:r>
                    <w:rPr>
                      <w:bCs/>
                      <w:spacing w:val="-10"/>
                      <w:sz w:val="21"/>
                      <w:szCs w:val="21"/>
                    </w:rPr>
                    <w:t>污染源</w:t>
                  </w:r>
                </w:p>
              </w:tc>
              <w:tc>
                <w:tcPr>
                  <w:tcW w:w="1041" w:type="dxa"/>
                  <w:noWrap w:val="0"/>
                  <w:vAlign w:val="center"/>
                </w:tcPr>
                <w:p w14:paraId="233ED13A">
                  <w:pPr>
                    <w:adjustRightInd w:val="0"/>
                    <w:snapToGrid w:val="0"/>
                    <w:spacing w:line="320" w:lineRule="exact"/>
                    <w:jc w:val="center"/>
                    <w:rPr>
                      <w:bCs/>
                      <w:spacing w:val="-10"/>
                      <w:sz w:val="21"/>
                      <w:szCs w:val="21"/>
                    </w:rPr>
                  </w:pPr>
                  <w:r>
                    <w:rPr>
                      <w:bCs/>
                      <w:spacing w:val="-10"/>
                      <w:sz w:val="21"/>
                      <w:szCs w:val="21"/>
                    </w:rPr>
                    <w:t>非正常排放原因</w:t>
                  </w:r>
                </w:p>
              </w:tc>
              <w:tc>
                <w:tcPr>
                  <w:tcW w:w="747" w:type="dxa"/>
                  <w:noWrap w:val="0"/>
                  <w:vAlign w:val="center"/>
                </w:tcPr>
                <w:p w14:paraId="6B18DE2F">
                  <w:pPr>
                    <w:adjustRightInd w:val="0"/>
                    <w:snapToGrid w:val="0"/>
                    <w:spacing w:line="320" w:lineRule="exact"/>
                    <w:jc w:val="center"/>
                    <w:rPr>
                      <w:bCs/>
                      <w:spacing w:val="-10"/>
                      <w:sz w:val="21"/>
                      <w:szCs w:val="21"/>
                    </w:rPr>
                  </w:pPr>
                  <w:r>
                    <w:rPr>
                      <w:bCs/>
                      <w:spacing w:val="-10"/>
                      <w:sz w:val="21"/>
                      <w:szCs w:val="21"/>
                    </w:rPr>
                    <w:t>污染物</w:t>
                  </w:r>
                </w:p>
              </w:tc>
              <w:tc>
                <w:tcPr>
                  <w:tcW w:w="928" w:type="dxa"/>
                  <w:noWrap w:val="0"/>
                  <w:vAlign w:val="center"/>
                </w:tcPr>
                <w:p w14:paraId="4A1A71B5">
                  <w:pPr>
                    <w:adjustRightInd w:val="0"/>
                    <w:snapToGrid w:val="0"/>
                    <w:spacing w:line="320" w:lineRule="exact"/>
                    <w:jc w:val="center"/>
                    <w:rPr>
                      <w:bCs/>
                      <w:spacing w:val="-10"/>
                      <w:sz w:val="21"/>
                      <w:szCs w:val="21"/>
                    </w:rPr>
                  </w:pPr>
                  <w:r>
                    <w:rPr>
                      <w:bCs/>
                      <w:spacing w:val="-10"/>
                      <w:sz w:val="21"/>
                      <w:szCs w:val="21"/>
                    </w:rPr>
                    <w:t>非正常排放浓度/(mg/m³)</w:t>
                  </w:r>
                </w:p>
              </w:tc>
              <w:tc>
                <w:tcPr>
                  <w:tcW w:w="1004" w:type="dxa"/>
                  <w:noWrap w:val="0"/>
                  <w:vAlign w:val="center"/>
                </w:tcPr>
                <w:p w14:paraId="3C2CDED8">
                  <w:pPr>
                    <w:pStyle w:val="18"/>
                    <w:spacing w:line="320" w:lineRule="exact"/>
                    <w:ind w:left="0" w:firstLine="0" w:firstLineChars="0"/>
                    <w:jc w:val="center"/>
                    <w:rPr>
                      <w:sz w:val="21"/>
                      <w:szCs w:val="21"/>
                    </w:rPr>
                  </w:pPr>
                  <w:r>
                    <w:rPr>
                      <w:sz w:val="21"/>
                      <w:szCs w:val="21"/>
                    </w:rPr>
                    <w:t>非正常排放速率</w:t>
                  </w:r>
                  <w:r>
                    <w:rPr>
                      <w:rFonts w:hint="eastAsia"/>
                      <w:sz w:val="21"/>
                      <w:szCs w:val="21"/>
                      <w:lang w:eastAsia="zh-CN"/>
                    </w:rPr>
                    <w:t>（</w:t>
                  </w:r>
                  <w:r>
                    <w:rPr>
                      <w:sz w:val="21"/>
                      <w:szCs w:val="21"/>
                    </w:rPr>
                    <w:t>kg/h</w:t>
                  </w:r>
                  <w:r>
                    <w:rPr>
                      <w:rFonts w:hint="eastAsia"/>
                      <w:sz w:val="21"/>
                      <w:szCs w:val="21"/>
                      <w:lang w:eastAsia="zh-CN"/>
                    </w:rPr>
                    <w:t>）</w:t>
                  </w:r>
                </w:p>
              </w:tc>
              <w:tc>
                <w:tcPr>
                  <w:tcW w:w="928" w:type="dxa"/>
                  <w:noWrap w:val="0"/>
                  <w:vAlign w:val="center"/>
                </w:tcPr>
                <w:p w14:paraId="0F2DB3DE">
                  <w:pPr>
                    <w:adjustRightInd w:val="0"/>
                    <w:snapToGrid w:val="0"/>
                    <w:spacing w:line="320" w:lineRule="exact"/>
                    <w:jc w:val="center"/>
                    <w:rPr>
                      <w:bCs/>
                      <w:spacing w:val="-10"/>
                      <w:sz w:val="21"/>
                      <w:szCs w:val="21"/>
                    </w:rPr>
                  </w:pPr>
                  <w:r>
                    <w:rPr>
                      <w:bCs/>
                      <w:spacing w:val="-10"/>
                      <w:sz w:val="21"/>
                      <w:szCs w:val="21"/>
                    </w:rPr>
                    <w:t>单次持续时间</w:t>
                  </w:r>
                </w:p>
                <w:p w14:paraId="0EF785E8">
                  <w:pPr>
                    <w:adjustRightInd w:val="0"/>
                    <w:snapToGrid w:val="0"/>
                    <w:spacing w:line="320" w:lineRule="exact"/>
                    <w:jc w:val="center"/>
                    <w:rPr>
                      <w:bCs/>
                      <w:spacing w:val="-10"/>
                      <w:sz w:val="21"/>
                      <w:szCs w:val="21"/>
                    </w:rPr>
                  </w:pPr>
                  <w:r>
                    <w:rPr>
                      <w:bCs/>
                      <w:spacing w:val="-10"/>
                      <w:sz w:val="21"/>
                      <w:szCs w:val="21"/>
                    </w:rPr>
                    <w:t>/h</w:t>
                  </w:r>
                </w:p>
              </w:tc>
              <w:tc>
                <w:tcPr>
                  <w:tcW w:w="945" w:type="dxa"/>
                  <w:noWrap w:val="0"/>
                  <w:vAlign w:val="center"/>
                </w:tcPr>
                <w:p w14:paraId="7A9304F4">
                  <w:pPr>
                    <w:widowControl/>
                    <w:adjustRightInd w:val="0"/>
                    <w:snapToGrid w:val="0"/>
                    <w:spacing w:line="320" w:lineRule="exact"/>
                    <w:jc w:val="center"/>
                    <w:rPr>
                      <w:bCs/>
                      <w:spacing w:val="-10"/>
                      <w:sz w:val="21"/>
                      <w:szCs w:val="21"/>
                    </w:rPr>
                  </w:pPr>
                  <w:r>
                    <w:rPr>
                      <w:bCs/>
                      <w:spacing w:val="-10"/>
                      <w:sz w:val="21"/>
                      <w:szCs w:val="21"/>
                    </w:rPr>
                    <w:t>年发生频次</w:t>
                  </w:r>
                </w:p>
                <w:p w14:paraId="0B564716">
                  <w:pPr>
                    <w:widowControl/>
                    <w:adjustRightInd w:val="0"/>
                    <w:snapToGrid w:val="0"/>
                    <w:spacing w:line="320" w:lineRule="exact"/>
                    <w:jc w:val="center"/>
                    <w:rPr>
                      <w:bCs/>
                      <w:spacing w:val="-10"/>
                      <w:sz w:val="21"/>
                      <w:szCs w:val="21"/>
                    </w:rPr>
                  </w:pPr>
                  <w:r>
                    <w:rPr>
                      <w:bCs/>
                      <w:spacing w:val="-10"/>
                      <w:sz w:val="21"/>
                      <w:szCs w:val="21"/>
                    </w:rPr>
                    <w:t>次/年</w:t>
                  </w:r>
                </w:p>
              </w:tc>
              <w:tc>
                <w:tcPr>
                  <w:tcW w:w="838" w:type="dxa"/>
                  <w:noWrap w:val="0"/>
                  <w:vAlign w:val="center"/>
                </w:tcPr>
                <w:p w14:paraId="62BC33D5">
                  <w:pPr>
                    <w:adjustRightInd w:val="0"/>
                    <w:snapToGrid w:val="0"/>
                    <w:spacing w:line="320" w:lineRule="exact"/>
                    <w:jc w:val="center"/>
                    <w:rPr>
                      <w:bCs/>
                      <w:spacing w:val="-10"/>
                      <w:sz w:val="21"/>
                      <w:szCs w:val="21"/>
                    </w:rPr>
                  </w:pPr>
                  <w:r>
                    <w:rPr>
                      <w:bCs/>
                      <w:spacing w:val="-10"/>
                      <w:sz w:val="21"/>
                      <w:szCs w:val="21"/>
                    </w:rPr>
                    <w:t>排放量</w:t>
                  </w:r>
                </w:p>
                <w:p w14:paraId="03C3C5D8">
                  <w:pPr>
                    <w:adjustRightInd w:val="0"/>
                    <w:snapToGrid w:val="0"/>
                    <w:spacing w:line="320" w:lineRule="exact"/>
                    <w:jc w:val="center"/>
                    <w:rPr>
                      <w:bCs/>
                      <w:spacing w:val="-10"/>
                      <w:sz w:val="21"/>
                      <w:szCs w:val="21"/>
                    </w:rPr>
                  </w:pPr>
                  <w:r>
                    <w:rPr>
                      <w:bCs/>
                      <w:spacing w:val="-10"/>
                      <w:sz w:val="21"/>
                      <w:szCs w:val="21"/>
                    </w:rPr>
                    <w:t>(</w:t>
                  </w:r>
                  <w:r>
                    <w:rPr>
                      <w:rFonts w:hint="eastAsia"/>
                      <w:bCs/>
                      <w:spacing w:val="-10"/>
                      <w:sz w:val="21"/>
                      <w:szCs w:val="21"/>
                      <w:lang w:val="en-US" w:eastAsia="zh-CN"/>
                    </w:rPr>
                    <w:t>kg</w:t>
                  </w:r>
                  <w:r>
                    <w:rPr>
                      <w:bCs/>
                      <w:spacing w:val="-10"/>
                      <w:sz w:val="21"/>
                      <w:szCs w:val="21"/>
                    </w:rPr>
                    <w:t>)</w:t>
                  </w:r>
                </w:p>
              </w:tc>
              <w:tc>
                <w:tcPr>
                  <w:tcW w:w="1066" w:type="dxa"/>
                  <w:noWrap w:val="0"/>
                  <w:vAlign w:val="center"/>
                </w:tcPr>
                <w:p w14:paraId="1D6BC9BA">
                  <w:pPr>
                    <w:adjustRightInd w:val="0"/>
                    <w:snapToGrid w:val="0"/>
                    <w:spacing w:line="320" w:lineRule="exact"/>
                    <w:jc w:val="center"/>
                    <w:rPr>
                      <w:bCs/>
                      <w:spacing w:val="-10"/>
                      <w:sz w:val="21"/>
                      <w:szCs w:val="21"/>
                    </w:rPr>
                  </w:pPr>
                  <w:r>
                    <w:rPr>
                      <w:bCs/>
                      <w:spacing w:val="-10"/>
                      <w:sz w:val="21"/>
                      <w:szCs w:val="21"/>
                    </w:rPr>
                    <w:t>应对措施</w:t>
                  </w:r>
                </w:p>
              </w:tc>
            </w:tr>
            <w:tr w14:paraId="7024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dxa"/>
                  <w:noWrap w:val="0"/>
                  <w:vAlign w:val="center"/>
                </w:tcPr>
                <w:p w14:paraId="558D9394">
                  <w:pPr>
                    <w:spacing w:line="240" w:lineRule="auto"/>
                    <w:jc w:val="center"/>
                    <w:rPr>
                      <w:rFonts w:hint="default"/>
                      <w:bCs/>
                      <w:spacing w:val="-10"/>
                      <w:sz w:val="21"/>
                      <w:szCs w:val="21"/>
                      <w:lang w:val="en-US"/>
                    </w:rPr>
                  </w:pPr>
                  <w:r>
                    <w:rPr>
                      <w:rFonts w:hint="eastAsia" w:cs="Times New Roman"/>
                      <w:color w:val="auto"/>
                      <w:sz w:val="21"/>
                      <w:szCs w:val="21"/>
                      <w:highlight w:val="none"/>
                      <w:lang w:val="en-US" w:eastAsia="zh-CN"/>
                    </w:rPr>
                    <w:t>DA001</w:t>
                  </w:r>
                </w:p>
              </w:tc>
              <w:tc>
                <w:tcPr>
                  <w:tcW w:w="1041" w:type="dxa"/>
                  <w:noWrap w:val="0"/>
                  <w:vAlign w:val="center"/>
                </w:tcPr>
                <w:p w14:paraId="3F8A6BD1">
                  <w:pPr>
                    <w:adjustRightInd w:val="0"/>
                    <w:snapToGrid w:val="0"/>
                    <w:spacing w:line="320" w:lineRule="exact"/>
                    <w:jc w:val="center"/>
                    <w:rPr>
                      <w:bCs/>
                      <w:spacing w:val="-10"/>
                      <w:sz w:val="21"/>
                      <w:szCs w:val="21"/>
                    </w:rPr>
                  </w:pPr>
                  <w:r>
                    <w:rPr>
                      <w:rFonts w:hint="eastAsia"/>
                      <w:bCs/>
                      <w:spacing w:val="-10"/>
                      <w:sz w:val="21"/>
                      <w:szCs w:val="21"/>
                    </w:rPr>
                    <w:t>废气治理设施故障，活性炭部分失效、催化燃烧工况异常，综合去除效率下降至50%</w:t>
                  </w:r>
                </w:p>
              </w:tc>
              <w:tc>
                <w:tcPr>
                  <w:tcW w:w="747" w:type="dxa"/>
                  <w:noWrap w:val="0"/>
                  <w:vAlign w:val="center"/>
                </w:tcPr>
                <w:p w14:paraId="577B1922">
                  <w:pPr>
                    <w:adjustRightInd w:val="0"/>
                    <w:snapToGrid w:val="0"/>
                    <w:spacing w:line="320" w:lineRule="exact"/>
                    <w:jc w:val="center"/>
                    <w:rPr>
                      <w:rFonts w:hint="eastAsia" w:eastAsia="宋体"/>
                      <w:bCs/>
                      <w:spacing w:val="-10"/>
                      <w:sz w:val="21"/>
                      <w:szCs w:val="21"/>
                      <w:lang w:eastAsia="zh-CN"/>
                    </w:rPr>
                  </w:pPr>
                  <w:r>
                    <w:rPr>
                      <w:rFonts w:hint="eastAsia"/>
                      <w:sz w:val="21"/>
                      <w:szCs w:val="21"/>
                      <w:lang w:val="en-US" w:eastAsia="zh-CN"/>
                    </w:rPr>
                    <w:t>非甲烷总烃</w:t>
                  </w:r>
                </w:p>
              </w:tc>
              <w:tc>
                <w:tcPr>
                  <w:tcW w:w="928" w:type="dxa"/>
                  <w:noWrap w:val="0"/>
                  <w:vAlign w:val="center"/>
                </w:tcPr>
                <w:p w14:paraId="456139BD">
                  <w:pPr>
                    <w:adjustRightInd w:val="0"/>
                    <w:snapToGrid w:val="0"/>
                    <w:spacing w:line="320" w:lineRule="exact"/>
                    <w:jc w:val="center"/>
                    <w:rPr>
                      <w:rFonts w:hint="default" w:eastAsia="宋体"/>
                      <w:bCs/>
                      <w:spacing w:val="-10"/>
                      <w:sz w:val="21"/>
                      <w:szCs w:val="21"/>
                      <w:lang w:val="en-US" w:eastAsia="zh-CN"/>
                    </w:rPr>
                  </w:pPr>
                  <w:r>
                    <w:rPr>
                      <w:rFonts w:hint="eastAsia"/>
                      <w:bCs/>
                      <w:spacing w:val="-10"/>
                      <w:sz w:val="21"/>
                      <w:szCs w:val="21"/>
                      <w:lang w:val="en-US" w:eastAsia="zh-CN"/>
                    </w:rPr>
                    <w:t>377.32</w:t>
                  </w:r>
                </w:p>
              </w:tc>
              <w:tc>
                <w:tcPr>
                  <w:tcW w:w="1004" w:type="dxa"/>
                  <w:noWrap w:val="0"/>
                  <w:vAlign w:val="center"/>
                </w:tcPr>
                <w:p w14:paraId="5E3DD3B2">
                  <w:pPr>
                    <w:adjustRightInd w:val="0"/>
                    <w:snapToGrid w:val="0"/>
                    <w:spacing w:line="320" w:lineRule="exact"/>
                    <w:jc w:val="center"/>
                    <w:rPr>
                      <w:rFonts w:hint="default"/>
                      <w:bCs/>
                      <w:spacing w:val="-10"/>
                      <w:sz w:val="21"/>
                      <w:szCs w:val="21"/>
                      <w:lang w:val="en-US" w:eastAsia="zh-CN"/>
                    </w:rPr>
                  </w:pPr>
                  <w:r>
                    <w:rPr>
                      <w:rFonts w:hint="eastAsia"/>
                      <w:bCs/>
                      <w:spacing w:val="-10"/>
                      <w:sz w:val="21"/>
                      <w:szCs w:val="21"/>
                      <w:lang w:val="en-US" w:eastAsia="zh-CN"/>
                    </w:rPr>
                    <w:t>5.661</w:t>
                  </w:r>
                </w:p>
              </w:tc>
              <w:tc>
                <w:tcPr>
                  <w:tcW w:w="928" w:type="dxa"/>
                  <w:noWrap w:val="0"/>
                  <w:vAlign w:val="center"/>
                </w:tcPr>
                <w:p w14:paraId="2EAA0793">
                  <w:pPr>
                    <w:adjustRightInd w:val="0"/>
                    <w:snapToGrid w:val="0"/>
                    <w:spacing w:line="320" w:lineRule="exact"/>
                    <w:jc w:val="center"/>
                    <w:rPr>
                      <w:bCs/>
                      <w:spacing w:val="-10"/>
                      <w:sz w:val="21"/>
                      <w:szCs w:val="21"/>
                    </w:rPr>
                  </w:pPr>
                  <w:r>
                    <w:rPr>
                      <w:bCs/>
                      <w:spacing w:val="-10"/>
                      <w:sz w:val="21"/>
                      <w:szCs w:val="21"/>
                    </w:rPr>
                    <w:t>1</w:t>
                  </w:r>
                </w:p>
              </w:tc>
              <w:tc>
                <w:tcPr>
                  <w:tcW w:w="945" w:type="dxa"/>
                  <w:noWrap w:val="0"/>
                  <w:vAlign w:val="center"/>
                </w:tcPr>
                <w:p w14:paraId="4A2C10D2">
                  <w:pPr>
                    <w:adjustRightInd w:val="0"/>
                    <w:snapToGrid w:val="0"/>
                    <w:spacing w:line="320" w:lineRule="exact"/>
                    <w:jc w:val="center"/>
                    <w:rPr>
                      <w:rFonts w:hint="eastAsia" w:eastAsia="宋体"/>
                      <w:bCs/>
                      <w:spacing w:val="-10"/>
                      <w:sz w:val="21"/>
                      <w:szCs w:val="21"/>
                      <w:lang w:eastAsia="zh-CN"/>
                    </w:rPr>
                  </w:pPr>
                  <w:r>
                    <w:rPr>
                      <w:rFonts w:hint="eastAsia"/>
                      <w:bCs/>
                      <w:spacing w:val="-10"/>
                      <w:sz w:val="21"/>
                      <w:szCs w:val="21"/>
                      <w:lang w:val="en-US" w:eastAsia="zh-CN"/>
                    </w:rPr>
                    <w:t>1</w:t>
                  </w:r>
                </w:p>
              </w:tc>
              <w:tc>
                <w:tcPr>
                  <w:tcW w:w="838" w:type="dxa"/>
                  <w:noWrap w:val="0"/>
                  <w:vAlign w:val="center"/>
                </w:tcPr>
                <w:p w14:paraId="3F79E47B">
                  <w:pPr>
                    <w:adjustRightInd w:val="0"/>
                    <w:snapToGrid w:val="0"/>
                    <w:spacing w:line="320" w:lineRule="exact"/>
                    <w:jc w:val="center"/>
                    <w:rPr>
                      <w:rFonts w:hint="default" w:eastAsia="宋体"/>
                      <w:bCs/>
                      <w:spacing w:val="-10"/>
                      <w:sz w:val="21"/>
                      <w:szCs w:val="21"/>
                      <w:lang w:val="en-US" w:eastAsia="zh-CN"/>
                    </w:rPr>
                  </w:pPr>
                  <w:r>
                    <w:rPr>
                      <w:rFonts w:hint="eastAsia"/>
                      <w:bCs/>
                      <w:spacing w:val="-10"/>
                      <w:sz w:val="21"/>
                      <w:szCs w:val="21"/>
                      <w:lang w:val="en-US" w:eastAsia="zh-CN"/>
                    </w:rPr>
                    <w:t>5.661</w:t>
                  </w:r>
                </w:p>
              </w:tc>
              <w:tc>
                <w:tcPr>
                  <w:tcW w:w="1066" w:type="dxa"/>
                  <w:noWrap w:val="0"/>
                  <w:vAlign w:val="center"/>
                </w:tcPr>
                <w:p w14:paraId="57C63BDB">
                  <w:pPr>
                    <w:adjustRightInd w:val="0"/>
                    <w:snapToGrid w:val="0"/>
                    <w:spacing w:line="320" w:lineRule="exact"/>
                    <w:jc w:val="center"/>
                    <w:rPr>
                      <w:bCs/>
                      <w:spacing w:val="-10"/>
                      <w:sz w:val="21"/>
                      <w:szCs w:val="21"/>
                    </w:rPr>
                  </w:pPr>
                  <w:r>
                    <w:rPr>
                      <w:rFonts w:hint="eastAsia"/>
                      <w:bCs/>
                      <w:spacing w:val="-10"/>
                      <w:sz w:val="21"/>
                      <w:szCs w:val="21"/>
                    </w:rPr>
                    <w:t>第一时间降低生产负荷，必要时停止生产；排查维修故障，待治理设施恢复正常处理效率后，方可恢复生产</w:t>
                  </w:r>
                </w:p>
              </w:tc>
            </w:tr>
          </w:tbl>
          <w:p w14:paraId="05E0198F">
            <w:pPr>
              <w:keepNext w:val="0"/>
              <w:keepLines w:val="0"/>
              <w:pageBreakBefore w:val="0"/>
              <w:kinsoku/>
              <w:wordWrap/>
              <w:overflowPunct/>
              <w:topLinePunct w:val="0"/>
              <w:autoSpaceDE/>
              <w:autoSpaceDN/>
              <w:bidi w:val="0"/>
              <w:adjustRightInd w:val="0"/>
              <w:snapToGrid w:val="0"/>
              <w:spacing w:line="520" w:lineRule="exact"/>
              <w:ind w:firstLine="440" w:firstLineChars="200"/>
              <w:textAlignment w:val="auto"/>
              <w:rPr>
                <w:rFonts w:hint="eastAsia" w:ascii="宋体" w:hAnsi="宋体" w:cs="宋体"/>
                <w:sz w:val="24"/>
              </w:rPr>
            </w:pPr>
            <w:r>
              <w:rPr>
                <w:rFonts w:hint="eastAsia" w:ascii="宋体" w:hAnsi="宋体" w:cs="宋体"/>
                <w:bCs/>
                <w:spacing w:val="-10"/>
                <w:sz w:val="24"/>
              </w:rPr>
              <w:t>为防止生产废气非正常工况排放，</w:t>
            </w:r>
            <w:r>
              <w:rPr>
                <w:sz w:val="24"/>
              </w:rPr>
              <w:t>及时检查废气处理装置的有效性和设备的运行情况，确保废气处理系统正常运行；开、停、检修要有预案，有严密周全的计划，降低非正常排放</w:t>
            </w:r>
            <w:r>
              <w:rPr>
                <w:rFonts w:hint="eastAsia"/>
                <w:sz w:val="24"/>
                <w:lang w:eastAsia="zh-CN"/>
              </w:rPr>
              <w:t>概率</w:t>
            </w:r>
            <w:r>
              <w:rPr>
                <w:sz w:val="24"/>
              </w:rPr>
              <w:t>，或使影响最小</w:t>
            </w:r>
            <w:r>
              <w:rPr>
                <w:rFonts w:hint="eastAsia" w:ascii="宋体" w:hAnsi="宋体" w:cs="宋体"/>
                <w:sz w:val="24"/>
              </w:rPr>
              <w:t>：</w:t>
            </w:r>
          </w:p>
          <w:p w14:paraId="5B4BD525">
            <w:pPr>
              <w:keepNext w:val="0"/>
              <w:keepLines w:val="0"/>
              <w:pageBreakBefore w:val="0"/>
              <w:kinsoku/>
              <w:wordWrap/>
              <w:overflowPunct/>
              <w:topLinePunct w:val="0"/>
              <w:autoSpaceDE/>
              <w:autoSpaceDN/>
              <w:bidi w:val="0"/>
              <w:spacing w:line="520" w:lineRule="exact"/>
              <w:ind w:firstLine="480" w:firstLineChars="200"/>
              <w:textAlignment w:val="auto"/>
              <w:rPr>
                <w:rFonts w:hint="eastAsia" w:ascii="宋体" w:hAnsi="宋体" w:cs="宋体"/>
                <w:sz w:val="24"/>
              </w:rPr>
            </w:pPr>
            <w:r>
              <w:rPr>
                <w:rFonts w:hint="eastAsia" w:ascii="宋体" w:hAnsi="宋体" w:cs="宋体"/>
                <w:sz w:val="24"/>
              </w:rPr>
              <w:t>①为确保项目</w:t>
            </w:r>
            <w:r>
              <w:rPr>
                <w:rFonts w:hint="eastAsia" w:ascii="宋体" w:hAnsi="宋体" w:cs="宋体"/>
                <w:sz w:val="24"/>
                <w:lang w:val="en-US" w:eastAsia="zh-CN"/>
              </w:rPr>
              <w:t>废气治理设施</w:t>
            </w:r>
            <w:r>
              <w:rPr>
                <w:rFonts w:hint="eastAsia" w:ascii="宋体" w:hAnsi="宋体" w:cs="宋体"/>
                <w:sz w:val="24"/>
              </w:rPr>
              <w:t>能够有效收集和处理，评价建议定期对废气治理设施检查和维修等；</w:t>
            </w:r>
          </w:p>
          <w:p w14:paraId="6E372F3C">
            <w:pPr>
              <w:pStyle w:val="51"/>
              <w:keepNext w:val="0"/>
              <w:keepLines w:val="0"/>
              <w:pageBreakBefore w:val="0"/>
              <w:tabs>
                <w:tab w:val="left" w:pos="2850"/>
                <w:tab w:val="left" w:pos="3918"/>
              </w:tabs>
              <w:kinsoku/>
              <w:wordWrap/>
              <w:overflowPunct/>
              <w:topLinePunct w:val="0"/>
              <w:autoSpaceDE/>
              <w:autoSpaceDN/>
              <w:bidi w:val="0"/>
              <w:spacing w:before="0" w:beforeLines="0" w:line="520" w:lineRule="exact"/>
              <w:ind w:firstLine="480" w:firstLineChars="200"/>
              <w:textAlignment w:val="auto"/>
              <w:outlineLvl w:val="9"/>
              <w:rPr>
                <w:b w:val="0"/>
                <w:sz w:val="24"/>
              </w:rPr>
            </w:pPr>
            <w:r>
              <w:rPr>
                <w:b w:val="0"/>
                <w:sz w:val="24"/>
              </w:rPr>
              <w:t>②应设有备用电源和备用处理设备和零件，以备停电或设备出现故障时保障及时更换使废气全部做到达标排放。</w:t>
            </w:r>
          </w:p>
          <w:p w14:paraId="6E8FF268">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ascii="宋体" w:hAnsi="宋体" w:cs="宋体"/>
                <w:b/>
                <w:bCs/>
                <w:sz w:val="24"/>
              </w:rPr>
            </w:pPr>
            <w:r>
              <w:rPr>
                <w:sz w:val="24"/>
              </w:rPr>
              <w:t>③对员工进行岗位培训。做好值班记录，实行岗位责任制</w:t>
            </w:r>
            <w:r>
              <w:rPr>
                <w:rFonts w:hint="eastAsia" w:ascii="宋体" w:hAnsi="宋体" w:cs="宋体"/>
                <w:sz w:val="24"/>
              </w:rPr>
              <w:t>。</w:t>
            </w:r>
          </w:p>
          <w:p w14:paraId="1C5FE8D0">
            <w:pPr>
              <w:keepNext w:val="0"/>
              <w:keepLines w:val="0"/>
              <w:pageBreakBefore w:val="0"/>
              <w:kinsoku/>
              <w:wordWrap/>
              <w:overflowPunct/>
              <w:topLinePunct w:val="0"/>
              <w:autoSpaceDE/>
              <w:autoSpaceDN/>
              <w:bidi w:val="0"/>
              <w:spacing w:line="520" w:lineRule="exact"/>
              <w:ind w:firstLine="482" w:firstLineChars="200"/>
              <w:textAlignment w:val="auto"/>
              <w:rPr>
                <w:rFonts w:hint="eastAsia"/>
                <w:b/>
                <w:bCs/>
                <w:sz w:val="24"/>
              </w:rPr>
            </w:pPr>
            <w:r>
              <w:rPr>
                <w:rFonts w:hint="eastAsia" w:ascii="宋体" w:hAnsi="宋体" w:cs="宋体"/>
                <w:b/>
                <w:bCs/>
                <w:sz w:val="24"/>
                <w:lang w:val="en-US" w:eastAsia="zh-CN"/>
              </w:rPr>
              <w:t>4.</w:t>
            </w:r>
            <w:r>
              <w:rPr>
                <w:rFonts w:hint="eastAsia" w:ascii="宋体" w:hAnsi="宋体" w:cs="宋体"/>
                <w:b/>
                <w:bCs/>
                <w:sz w:val="24"/>
              </w:rPr>
              <w:t>废气污染防治措施可行性分析</w:t>
            </w:r>
          </w:p>
          <w:p w14:paraId="2A036DCE">
            <w:pPr>
              <w:pStyle w:val="51"/>
              <w:keepNext w:val="0"/>
              <w:keepLines w:val="0"/>
              <w:pageBreakBefore w:val="0"/>
              <w:tabs>
                <w:tab w:val="left" w:pos="2850"/>
                <w:tab w:val="left" w:pos="3918"/>
              </w:tabs>
              <w:kinsoku/>
              <w:wordWrap/>
              <w:overflowPunct/>
              <w:topLinePunct w:val="0"/>
              <w:autoSpaceDE/>
              <w:autoSpaceDN/>
              <w:bidi w:val="0"/>
              <w:spacing w:before="0" w:beforeLines="0" w:line="520" w:lineRule="exact"/>
              <w:ind w:firstLine="480" w:firstLineChars="200"/>
              <w:textAlignment w:val="auto"/>
              <w:outlineLvl w:val="9"/>
              <w:rPr>
                <w:rFonts w:hint="default" w:cs="宋体" w:asciiTheme="minorAscii" w:hAnsiTheme="minorAscii"/>
                <w:b w:val="0"/>
                <w:sz w:val="24"/>
                <w:lang w:val="en-US" w:eastAsia="zh-CN"/>
              </w:rPr>
            </w:pPr>
            <w:r>
              <w:rPr>
                <w:rFonts w:hint="default" w:cs="宋体" w:asciiTheme="minorAscii" w:hAnsiTheme="minorAscii"/>
                <w:b w:val="0"/>
                <w:sz w:val="24"/>
                <w:lang w:val="en-US" w:eastAsia="zh-CN"/>
              </w:rPr>
              <w:t>（1）有机废气治理措施可行性分析</w:t>
            </w:r>
          </w:p>
          <w:p w14:paraId="4ACC335E">
            <w:pPr>
              <w:pStyle w:val="51"/>
              <w:keepNext w:val="0"/>
              <w:keepLines w:val="0"/>
              <w:pageBreakBefore w:val="0"/>
              <w:tabs>
                <w:tab w:val="left" w:pos="2850"/>
                <w:tab w:val="left" w:pos="3918"/>
              </w:tabs>
              <w:kinsoku/>
              <w:wordWrap/>
              <w:overflowPunct/>
              <w:topLinePunct w:val="0"/>
              <w:autoSpaceDE/>
              <w:autoSpaceDN/>
              <w:bidi w:val="0"/>
              <w:spacing w:before="0" w:beforeLines="0" w:line="520" w:lineRule="exact"/>
              <w:ind w:firstLine="480" w:firstLineChars="200"/>
              <w:textAlignment w:val="auto"/>
              <w:outlineLvl w:val="9"/>
              <w:rPr>
                <w:rFonts w:hint="default" w:cs="宋体" w:asciiTheme="minorAscii" w:hAnsiTheme="minorAscii"/>
                <w:b w:val="0"/>
                <w:sz w:val="24"/>
                <w:lang w:eastAsia="zh-CN"/>
              </w:rPr>
            </w:pPr>
            <w:r>
              <w:rPr>
                <w:rFonts w:hint="default" w:cs="宋体" w:asciiTheme="minorAscii" w:hAnsiTheme="minorAscii"/>
                <w:b w:val="0"/>
                <w:sz w:val="24"/>
                <w:lang w:eastAsia="zh-CN"/>
              </w:rPr>
              <w:t>本项目吹膜、涂胶烘干产生的工艺尾气主要组分为聚乙烯高温熔融释放的低分子烃类以及水性丙烯酸胶挥发产生的少量成膜助剂类有机组分；废气采用干式过滤棉预处理+活性炭吸附</w:t>
            </w:r>
            <w:r>
              <w:rPr>
                <w:rFonts w:hint="default" w:cs="宋体" w:asciiTheme="minorAscii" w:hAnsiTheme="minorAscii"/>
                <w:b w:val="0"/>
                <w:sz w:val="24"/>
                <w:lang w:val="en-US" w:eastAsia="zh-CN"/>
              </w:rPr>
              <w:t>/</w:t>
            </w:r>
            <w:r>
              <w:rPr>
                <w:rFonts w:hint="default" w:cs="宋体" w:asciiTheme="minorAscii" w:hAnsiTheme="minorAscii"/>
                <w:b w:val="0"/>
                <w:sz w:val="24"/>
                <w:lang w:eastAsia="zh-CN"/>
              </w:rPr>
              <w:t>脱附+电加热催化燃烧组合工艺处理后通过20m排气筒（DA001）排放。</w:t>
            </w:r>
          </w:p>
          <w:p w14:paraId="543834D7">
            <w:pPr>
              <w:pStyle w:val="51"/>
              <w:keepNext w:val="0"/>
              <w:keepLines w:val="0"/>
              <w:pageBreakBefore w:val="0"/>
              <w:tabs>
                <w:tab w:val="left" w:pos="2850"/>
                <w:tab w:val="left" w:pos="3918"/>
              </w:tabs>
              <w:kinsoku/>
              <w:wordWrap/>
              <w:overflowPunct/>
              <w:topLinePunct w:val="0"/>
              <w:autoSpaceDE/>
              <w:autoSpaceDN/>
              <w:bidi w:val="0"/>
              <w:spacing w:before="0" w:beforeLines="0" w:line="520" w:lineRule="exact"/>
              <w:ind w:firstLine="480" w:firstLineChars="200"/>
              <w:textAlignment w:val="auto"/>
              <w:outlineLvl w:val="9"/>
              <w:rPr>
                <w:rFonts w:hint="default" w:eastAsia="宋体" w:cs="宋体" w:asciiTheme="minorAscii" w:hAnsiTheme="minorAscii"/>
                <w:b w:val="0"/>
                <w:sz w:val="24"/>
                <w:lang w:eastAsia="zh-CN"/>
              </w:rPr>
            </w:pPr>
            <w:r>
              <w:rPr>
                <w:rFonts w:hint="default" w:cs="宋体" w:asciiTheme="minorAscii" w:hAnsiTheme="minorAscii"/>
                <w:b w:val="0"/>
                <w:sz w:val="24"/>
                <w:lang w:eastAsia="zh-CN"/>
              </w:rPr>
              <w:t>处理措施参考《排污许可证申请与核发技术规范 橡胶和塑料制品工业》（HJ1122—2020）中废气污染防治可行技术参考表的可行技术。本项目废气虽来源于水性胶体系，但废气中有机污染物仍属于烃类、酯类可催化氧化分解的有机组分，催化燃烧在适宜反应温度条件下可将该类VOCs氧化分解为二氧化碳和水，对本项目工艺废气具有良好处理适用性；前端设置干式过滤棉，拦截吹膜工序带入的少量塑料颗粒物，避免颗粒物堵塞活性炭及催化燃烧催化剂，保障整套装置长期稳定运行。经前文废气污染源强分析得知，处理后的非甲烷总烃满足《合成树脂工业污染物排放标准》（GB</w:t>
            </w:r>
            <w:r>
              <w:rPr>
                <w:rFonts w:hint="eastAsia" w:cs="宋体" w:asciiTheme="minorAscii" w:hAnsiTheme="minorAscii"/>
                <w:b w:val="0"/>
                <w:sz w:val="24"/>
                <w:lang w:val="en-US" w:eastAsia="zh-CN"/>
              </w:rPr>
              <w:t xml:space="preserve"> </w:t>
            </w:r>
            <w:r>
              <w:rPr>
                <w:rFonts w:hint="default" w:cs="宋体" w:asciiTheme="minorAscii" w:hAnsiTheme="minorAscii"/>
                <w:b w:val="0"/>
                <w:sz w:val="24"/>
                <w:lang w:eastAsia="zh-CN"/>
              </w:rPr>
              <w:t>31572</w:t>
            </w:r>
            <w:r>
              <w:rPr>
                <w:rFonts w:hint="eastAsia" w:cs="宋体" w:asciiTheme="minorAscii" w:hAnsiTheme="minorAscii"/>
                <w:b w:val="0"/>
                <w:sz w:val="24"/>
                <w:lang w:val="en-US" w:eastAsia="zh-CN"/>
              </w:rPr>
              <w:t>-</w:t>
            </w:r>
            <w:r>
              <w:rPr>
                <w:rFonts w:hint="default" w:cs="宋体" w:asciiTheme="minorAscii" w:hAnsiTheme="minorAscii"/>
                <w:b w:val="0"/>
                <w:sz w:val="24"/>
                <w:lang w:eastAsia="zh-CN"/>
              </w:rPr>
              <w:t>2015，含2024年第1号修改单）中非甲烷总烃限值要求，因此项目有机废气治理措施可行。</w:t>
            </w:r>
          </w:p>
          <w:p w14:paraId="1310FDF7">
            <w:pPr>
              <w:pStyle w:val="51"/>
              <w:keepNext w:val="0"/>
              <w:keepLines w:val="0"/>
              <w:pageBreakBefore w:val="0"/>
              <w:tabs>
                <w:tab w:val="left" w:pos="2850"/>
                <w:tab w:val="left" w:pos="3918"/>
              </w:tabs>
              <w:kinsoku/>
              <w:wordWrap/>
              <w:overflowPunct/>
              <w:topLinePunct w:val="0"/>
              <w:autoSpaceDE/>
              <w:autoSpaceDN/>
              <w:bidi w:val="0"/>
              <w:spacing w:before="0" w:beforeLines="0" w:line="520" w:lineRule="exact"/>
              <w:ind w:firstLine="480" w:firstLineChars="200"/>
              <w:textAlignment w:val="auto"/>
              <w:outlineLvl w:val="9"/>
              <w:rPr>
                <w:rFonts w:hint="eastAsia" w:ascii="宋体" w:hAnsi="宋体" w:cs="宋体"/>
                <w:b w:val="0"/>
                <w:sz w:val="24"/>
              </w:rPr>
            </w:pPr>
            <w:r>
              <w:rPr>
                <w:rFonts w:hint="eastAsia" w:ascii="宋体" w:hAnsi="宋体" w:cs="宋体"/>
                <w:b w:val="0"/>
                <w:sz w:val="24"/>
              </w:rPr>
              <w:t>（</w:t>
            </w:r>
            <w:r>
              <w:rPr>
                <w:rFonts w:hint="eastAsia" w:ascii="宋体" w:hAnsi="宋体" w:cs="宋体"/>
                <w:b w:val="0"/>
                <w:sz w:val="24"/>
                <w:lang w:val="en-US" w:eastAsia="zh-CN"/>
              </w:rPr>
              <w:t>2</w:t>
            </w:r>
            <w:r>
              <w:rPr>
                <w:rFonts w:hint="eastAsia" w:ascii="宋体" w:hAnsi="宋体" w:cs="宋体"/>
                <w:b w:val="0"/>
                <w:sz w:val="24"/>
              </w:rPr>
              <w:t>）</w:t>
            </w:r>
            <w:r>
              <w:rPr>
                <w:rFonts w:hint="eastAsia" w:ascii="宋体" w:hAnsi="宋体" w:cs="宋体"/>
                <w:b w:val="0"/>
                <w:sz w:val="24"/>
                <w:lang w:val="en-US" w:eastAsia="zh-CN"/>
              </w:rPr>
              <w:t>投料粉尘</w:t>
            </w:r>
            <w:r>
              <w:rPr>
                <w:rFonts w:hint="eastAsia" w:ascii="宋体" w:hAnsi="宋体" w:cs="宋体"/>
                <w:b w:val="0"/>
                <w:sz w:val="24"/>
              </w:rPr>
              <w:t>可行性分析</w:t>
            </w:r>
          </w:p>
          <w:p w14:paraId="1BB8FFC4">
            <w:pPr>
              <w:pStyle w:val="51"/>
              <w:keepNext w:val="0"/>
              <w:keepLines w:val="0"/>
              <w:pageBreakBefore w:val="0"/>
              <w:tabs>
                <w:tab w:val="left" w:pos="2850"/>
                <w:tab w:val="left" w:pos="3918"/>
              </w:tabs>
              <w:kinsoku/>
              <w:wordWrap/>
              <w:overflowPunct/>
              <w:topLinePunct w:val="0"/>
              <w:autoSpaceDE/>
              <w:autoSpaceDN/>
              <w:bidi w:val="0"/>
              <w:spacing w:before="0" w:beforeLines="0" w:line="520" w:lineRule="exact"/>
              <w:ind w:firstLine="480" w:firstLineChars="200"/>
              <w:textAlignment w:val="auto"/>
              <w:outlineLvl w:val="9"/>
              <w:rPr>
                <w:b w:val="0"/>
                <w:bCs/>
                <w:sz w:val="24"/>
              </w:rPr>
            </w:pPr>
            <w:r>
              <w:rPr>
                <w:rFonts w:hint="eastAsia"/>
                <w:b w:val="0"/>
                <w:bCs/>
                <w:sz w:val="24"/>
                <w:lang w:eastAsia="zh-CN"/>
              </w:rPr>
              <w:t>项目投料粉尘采用</w:t>
            </w:r>
            <w:r>
              <w:rPr>
                <w:rFonts w:hint="eastAsia"/>
                <w:b w:val="0"/>
                <w:bCs/>
                <w:sz w:val="24"/>
                <w:lang w:val="en-US" w:eastAsia="zh-CN"/>
              </w:rPr>
              <w:t>投料口</w:t>
            </w:r>
            <w:r>
              <w:rPr>
                <w:rFonts w:hint="eastAsia"/>
                <w:b w:val="0"/>
                <w:bCs/>
                <w:sz w:val="24"/>
                <w:lang w:eastAsia="zh-CN"/>
              </w:rPr>
              <w:t>半围挡+车间密闭的方式处理，最终排放量仅为0.00</w:t>
            </w:r>
            <w:r>
              <w:rPr>
                <w:rFonts w:hint="eastAsia"/>
                <w:b w:val="0"/>
                <w:bCs/>
                <w:sz w:val="24"/>
                <w:lang w:val="en-US" w:eastAsia="zh-CN"/>
              </w:rPr>
              <w:t>2</w:t>
            </w:r>
            <w:r>
              <w:rPr>
                <w:rFonts w:hint="eastAsia"/>
                <w:b w:val="0"/>
                <w:bCs/>
                <w:sz w:val="24"/>
                <w:lang w:eastAsia="zh-CN"/>
              </w:rPr>
              <w:t>t/a，无组织排放颗粒物可满足《大气污染物综合排放标准》（GB16297-1996）中无组织排放监控浓度限值要求，因此投料粉尘治理措施可行</w:t>
            </w:r>
            <w:r>
              <w:rPr>
                <w:b w:val="0"/>
                <w:bCs/>
                <w:sz w:val="24"/>
              </w:rPr>
              <w:t>。</w:t>
            </w:r>
          </w:p>
          <w:p w14:paraId="6136BF47">
            <w:pPr>
              <w:keepNext w:val="0"/>
              <w:keepLines w:val="0"/>
              <w:pageBreakBefore w:val="0"/>
              <w:kinsoku/>
              <w:wordWrap/>
              <w:overflowPunct/>
              <w:topLinePunct w:val="0"/>
              <w:autoSpaceDE/>
              <w:autoSpaceDN/>
              <w:bidi w:val="0"/>
              <w:spacing w:line="520" w:lineRule="exact"/>
              <w:ind w:firstLine="480" w:firstLineChars="200"/>
              <w:textAlignment w:val="auto"/>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3</w:t>
            </w:r>
            <w:r>
              <w:rPr>
                <w:rFonts w:hint="eastAsia" w:ascii="宋体" w:hAnsi="宋体" w:cs="宋体"/>
                <w:sz w:val="24"/>
              </w:rPr>
              <w:t>）油烟废气可行性分析</w:t>
            </w:r>
          </w:p>
          <w:p w14:paraId="299A293E">
            <w:pPr>
              <w:keepNext w:val="0"/>
              <w:keepLines w:val="0"/>
              <w:pageBreakBefore w:val="0"/>
              <w:kinsoku/>
              <w:wordWrap/>
              <w:overflowPunct/>
              <w:topLinePunct w:val="0"/>
              <w:autoSpaceDE/>
              <w:autoSpaceDN/>
              <w:bidi w:val="0"/>
              <w:spacing w:line="520" w:lineRule="exact"/>
              <w:ind w:firstLine="480" w:firstLineChars="200"/>
              <w:textAlignment w:val="auto"/>
              <w:rPr>
                <w:sz w:val="24"/>
              </w:rPr>
            </w:pPr>
            <w:r>
              <w:rPr>
                <w:sz w:val="24"/>
              </w:rPr>
              <w:t>本项目</w:t>
            </w:r>
            <w:r>
              <w:rPr>
                <w:snapToGrid w:val="0"/>
                <w:sz w:val="24"/>
              </w:rPr>
              <w:t>食堂烹饪油烟为间隙、不定量排放，厨房安装</w:t>
            </w:r>
            <w:r>
              <w:rPr>
                <w:sz w:val="24"/>
              </w:rPr>
              <w:t>净化效率在</w:t>
            </w:r>
            <w:r>
              <w:rPr>
                <w:rFonts w:hint="eastAsia"/>
                <w:sz w:val="24"/>
                <w:lang w:val="en-US" w:eastAsia="zh-CN"/>
              </w:rPr>
              <w:t>75</w:t>
            </w:r>
            <w:r>
              <w:rPr>
                <w:sz w:val="24"/>
              </w:rPr>
              <w:t>%以上的油烟净化装置</w:t>
            </w:r>
            <w:r>
              <w:rPr>
                <w:snapToGrid w:val="0"/>
                <w:sz w:val="24"/>
              </w:rPr>
              <w:t>对油烟进行处理，油烟经处理后，排放浓度可降至</w:t>
            </w:r>
            <w:r>
              <w:rPr>
                <w:rFonts w:hint="eastAsia"/>
                <w:snapToGrid w:val="0"/>
                <w:sz w:val="24"/>
                <w:lang w:val="en-US" w:eastAsia="zh-CN"/>
              </w:rPr>
              <w:t>1.75</w:t>
            </w:r>
            <w:r>
              <w:rPr>
                <w:snapToGrid w:val="0"/>
                <w:sz w:val="24"/>
              </w:rPr>
              <w:t>mg/m</w:t>
            </w:r>
            <w:r>
              <w:rPr>
                <w:snapToGrid w:val="0"/>
                <w:sz w:val="24"/>
                <w:vertAlign w:val="superscript"/>
              </w:rPr>
              <w:t>3</w:t>
            </w:r>
            <w:r>
              <w:rPr>
                <w:snapToGrid w:val="0"/>
                <w:sz w:val="24"/>
              </w:rPr>
              <w:t>，满足《饮食业油烟排放标准》（GB18483-2001）中的相关要求</w:t>
            </w:r>
            <w:r>
              <w:rPr>
                <w:sz w:val="24"/>
              </w:rPr>
              <w:t>。</w:t>
            </w:r>
          </w:p>
          <w:p w14:paraId="71D6ABF1">
            <w:pPr>
              <w:keepNext w:val="0"/>
              <w:keepLines w:val="0"/>
              <w:pageBreakBefore w:val="0"/>
              <w:kinsoku/>
              <w:wordWrap/>
              <w:overflowPunct/>
              <w:topLinePunct w:val="0"/>
              <w:autoSpaceDE/>
              <w:autoSpaceDN/>
              <w:bidi w:val="0"/>
              <w:spacing w:line="520" w:lineRule="exact"/>
              <w:ind w:firstLine="480" w:firstLineChars="200"/>
              <w:textAlignment w:val="auto"/>
              <w:rPr>
                <w:rFonts w:hint="eastAsia" w:ascii="宋体" w:hAnsi="宋体" w:cs="宋体"/>
                <w:sz w:val="24"/>
              </w:rPr>
            </w:pPr>
            <w:r>
              <w:rPr>
                <w:rFonts w:hint="eastAsia" w:ascii="宋体" w:hAnsi="宋体" w:cs="宋体"/>
                <w:bCs/>
                <w:sz w:val="24"/>
              </w:rPr>
              <w:t>在采取上述治理措施后，能实现废气达标排放，措施可行。</w:t>
            </w:r>
          </w:p>
          <w:p w14:paraId="2B7C2A18">
            <w:pPr>
              <w:keepNext w:val="0"/>
              <w:keepLines w:val="0"/>
              <w:pageBreakBefore w:val="0"/>
              <w:kinsoku/>
              <w:wordWrap/>
              <w:overflowPunct/>
              <w:topLinePunct w:val="0"/>
              <w:autoSpaceDE/>
              <w:autoSpaceDN/>
              <w:bidi w:val="0"/>
              <w:spacing w:line="520" w:lineRule="exact"/>
              <w:ind w:firstLine="482" w:firstLineChars="200"/>
              <w:textAlignment w:val="auto"/>
              <w:rPr>
                <w:rFonts w:hint="eastAsia"/>
                <w:b/>
                <w:bCs/>
                <w:sz w:val="24"/>
              </w:rPr>
            </w:pPr>
            <w:r>
              <w:rPr>
                <w:rFonts w:hint="eastAsia"/>
                <w:b/>
                <w:bCs/>
                <w:sz w:val="24"/>
                <w:lang w:val="en-US" w:eastAsia="zh-CN"/>
              </w:rPr>
              <w:t>5</w:t>
            </w:r>
            <w:r>
              <w:rPr>
                <w:rFonts w:hint="eastAsia"/>
                <w:b/>
                <w:bCs/>
                <w:sz w:val="24"/>
                <w:lang w:eastAsia="zh-CN"/>
              </w:rPr>
              <w:t>.</w:t>
            </w:r>
            <w:r>
              <w:rPr>
                <w:rFonts w:hint="eastAsia"/>
                <w:b/>
                <w:bCs/>
                <w:sz w:val="24"/>
              </w:rPr>
              <w:t>监测要求</w:t>
            </w:r>
          </w:p>
          <w:p w14:paraId="123A51C2">
            <w:pPr>
              <w:keepNext w:val="0"/>
              <w:keepLines w:val="0"/>
              <w:pageBreakBefore w:val="0"/>
              <w:kinsoku/>
              <w:wordWrap/>
              <w:overflowPunct/>
              <w:topLinePunct w:val="0"/>
              <w:autoSpaceDE/>
              <w:autoSpaceDN/>
              <w:bidi w:val="0"/>
              <w:adjustRightInd w:val="0"/>
              <w:snapToGrid w:val="0"/>
              <w:spacing w:line="520" w:lineRule="exact"/>
              <w:ind w:firstLine="440" w:firstLineChars="200"/>
              <w:textAlignment w:val="auto"/>
              <w:rPr>
                <w:b/>
                <w:bCs/>
                <w:sz w:val="24"/>
              </w:rPr>
            </w:pPr>
            <w:r>
              <w:rPr>
                <w:bCs/>
                <w:spacing w:val="-10"/>
                <w:sz w:val="24"/>
              </w:rPr>
              <w:t>根据《排污单位自行监测技术指南 总则》（HJ819-2017）</w:t>
            </w:r>
            <w:r>
              <w:rPr>
                <w:rFonts w:hint="eastAsia"/>
                <w:bCs/>
                <w:spacing w:val="-10"/>
                <w:sz w:val="24"/>
                <w:lang w:eastAsia="zh-CN"/>
              </w:rPr>
              <w:t>、《排污单位自行监测技术指南 橡胶和塑料制品》（HJ1207-2021）</w:t>
            </w:r>
            <w:r>
              <w:rPr>
                <w:rFonts w:hint="eastAsia"/>
                <w:bCs/>
                <w:spacing w:val="-10"/>
                <w:sz w:val="24"/>
              </w:rPr>
              <w:t>及《排污许可证申请与核发技术规范 橡胶和塑料制品工业》（HJ1122-2020）等相关要求制定，</w:t>
            </w:r>
            <w:r>
              <w:rPr>
                <w:bCs/>
                <w:spacing w:val="-10"/>
                <w:sz w:val="24"/>
              </w:rPr>
              <w:t>本项目大气监测计划</w:t>
            </w:r>
            <w:r>
              <w:rPr>
                <w:rFonts w:hint="eastAsia"/>
                <w:bCs/>
                <w:spacing w:val="-10"/>
                <w:sz w:val="24"/>
                <w:lang w:eastAsia="zh-CN"/>
              </w:rPr>
              <w:t>见表</w:t>
            </w:r>
            <w:r>
              <w:rPr>
                <w:rFonts w:hint="eastAsia"/>
                <w:bCs/>
                <w:spacing w:val="-10"/>
                <w:sz w:val="24"/>
                <w:lang w:val="en-US" w:eastAsia="zh-CN"/>
              </w:rPr>
              <w:t>4-4</w:t>
            </w:r>
            <w:r>
              <w:rPr>
                <w:bCs/>
                <w:spacing w:val="-10"/>
                <w:sz w:val="24"/>
              </w:rPr>
              <w:t>：</w:t>
            </w:r>
          </w:p>
          <w:p w14:paraId="5663B90B">
            <w:pPr>
              <w:keepNext w:val="0"/>
              <w:keepLines w:val="0"/>
              <w:pageBreakBefore w:val="0"/>
              <w:kinsoku/>
              <w:wordWrap/>
              <w:overflowPunct/>
              <w:topLinePunct w:val="0"/>
              <w:autoSpaceDE/>
              <w:autoSpaceDN/>
              <w:bidi w:val="0"/>
              <w:spacing w:line="520" w:lineRule="exact"/>
              <w:jc w:val="center"/>
              <w:textAlignment w:val="auto"/>
              <w:rPr>
                <w:b/>
                <w:bCs/>
                <w:sz w:val="24"/>
              </w:rPr>
            </w:pPr>
            <w:r>
              <w:rPr>
                <w:b/>
                <w:bCs/>
                <w:sz w:val="24"/>
              </w:rPr>
              <w:t>表</w:t>
            </w:r>
            <w:r>
              <w:rPr>
                <w:rFonts w:hint="eastAsia"/>
                <w:b/>
                <w:bCs/>
                <w:sz w:val="24"/>
                <w:lang w:val="en-US" w:eastAsia="zh-CN"/>
              </w:rPr>
              <w:t xml:space="preserve">4-4   </w:t>
            </w:r>
            <w:r>
              <w:rPr>
                <w:b/>
                <w:bCs/>
                <w:sz w:val="24"/>
              </w:rPr>
              <w:t xml:space="preserve"> </w:t>
            </w:r>
            <w:r>
              <w:rPr>
                <w:rFonts w:hint="eastAsia"/>
                <w:b/>
                <w:bCs/>
                <w:sz w:val="24"/>
              </w:rPr>
              <w:t>废气</w:t>
            </w:r>
            <w:r>
              <w:rPr>
                <w:b/>
                <w:bCs/>
                <w:sz w:val="24"/>
              </w:rPr>
              <w:t>环境监测计划</w:t>
            </w:r>
          </w:p>
          <w:tbl>
            <w:tblPr>
              <w:tblStyle w:val="24"/>
              <w:tblW w:w="8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1533"/>
              <w:gridCol w:w="1411"/>
              <w:gridCol w:w="1288"/>
              <w:gridCol w:w="2545"/>
            </w:tblGrid>
            <w:tr w14:paraId="5458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8" w:type="dxa"/>
                  <w:noWrap w:val="0"/>
                  <w:vAlign w:val="center"/>
                </w:tcPr>
                <w:p w14:paraId="58C0F02E">
                  <w:pPr>
                    <w:jc w:val="center"/>
                    <w:rPr>
                      <w:sz w:val="21"/>
                      <w:szCs w:val="21"/>
                    </w:rPr>
                  </w:pPr>
                  <w:r>
                    <w:rPr>
                      <w:rFonts w:hint="eastAsia"/>
                      <w:sz w:val="21"/>
                      <w:szCs w:val="21"/>
                    </w:rPr>
                    <w:t>类型</w:t>
                  </w:r>
                </w:p>
              </w:tc>
              <w:tc>
                <w:tcPr>
                  <w:tcW w:w="1533" w:type="dxa"/>
                  <w:noWrap w:val="0"/>
                  <w:vAlign w:val="center"/>
                </w:tcPr>
                <w:p w14:paraId="274BCA7E">
                  <w:pPr>
                    <w:jc w:val="center"/>
                    <w:rPr>
                      <w:sz w:val="21"/>
                      <w:szCs w:val="21"/>
                    </w:rPr>
                  </w:pPr>
                  <w:r>
                    <w:rPr>
                      <w:rFonts w:hint="eastAsia"/>
                      <w:sz w:val="21"/>
                      <w:szCs w:val="21"/>
                    </w:rPr>
                    <w:t>监测</w:t>
                  </w:r>
                  <w:r>
                    <w:rPr>
                      <w:sz w:val="21"/>
                      <w:szCs w:val="21"/>
                    </w:rPr>
                    <w:t>位置</w:t>
                  </w:r>
                </w:p>
              </w:tc>
              <w:tc>
                <w:tcPr>
                  <w:tcW w:w="1411" w:type="dxa"/>
                  <w:noWrap w:val="0"/>
                  <w:vAlign w:val="center"/>
                </w:tcPr>
                <w:p w14:paraId="529F4D2B">
                  <w:pPr>
                    <w:jc w:val="center"/>
                    <w:rPr>
                      <w:sz w:val="21"/>
                      <w:szCs w:val="21"/>
                    </w:rPr>
                  </w:pPr>
                  <w:r>
                    <w:rPr>
                      <w:sz w:val="21"/>
                      <w:szCs w:val="21"/>
                    </w:rPr>
                    <w:t>监测项目</w:t>
                  </w:r>
                </w:p>
              </w:tc>
              <w:tc>
                <w:tcPr>
                  <w:tcW w:w="1288" w:type="dxa"/>
                  <w:noWrap w:val="0"/>
                  <w:vAlign w:val="center"/>
                </w:tcPr>
                <w:p w14:paraId="205DB420">
                  <w:pPr>
                    <w:jc w:val="center"/>
                    <w:rPr>
                      <w:rFonts w:hint="eastAsia" w:eastAsia="宋体"/>
                      <w:sz w:val="21"/>
                      <w:szCs w:val="21"/>
                      <w:lang w:eastAsia="zh-CN"/>
                    </w:rPr>
                  </w:pPr>
                  <w:r>
                    <w:rPr>
                      <w:sz w:val="21"/>
                      <w:szCs w:val="21"/>
                    </w:rPr>
                    <w:t>监测频次</w:t>
                  </w:r>
                  <w:r>
                    <w:rPr>
                      <w:rFonts w:hint="eastAsia"/>
                      <w:sz w:val="21"/>
                      <w:szCs w:val="21"/>
                      <w:lang w:eastAsia="zh-CN"/>
                    </w:rPr>
                    <w:t>及监测记录</w:t>
                  </w:r>
                </w:p>
              </w:tc>
              <w:tc>
                <w:tcPr>
                  <w:tcW w:w="2545" w:type="dxa"/>
                  <w:noWrap w:val="0"/>
                  <w:vAlign w:val="center"/>
                </w:tcPr>
                <w:p w14:paraId="7B60D801">
                  <w:pPr>
                    <w:jc w:val="center"/>
                    <w:rPr>
                      <w:sz w:val="21"/>
                      <w:szCs w:val="21"/>
                    </w:rPr>
                  </w:pPr>
                  <w:r>
                    <w:rPr>
                      <w:sz w:val="21"/>
                      <w:szCs w:val="21"/>
                    </w:rPr>
                    <w:t>执行标准</w:t>
                  </w:r>
                </w:p>
              </w:tc>
            </w:tr>
            <w:tr w14:paraId="495F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8" w:type="dxa"/>
                  <w:noWrap w:val="0"/>
                  <w:vAlign w:val="center"/>
                </w:tcPr>
                <w:p w14:paraId="690C0E56">
                  <w:pPr>
                    <w:jc w:val="center"/>
                    <w:rPr>
                      <w:sz w:val="21"/>
                      <w:szCs w:val="21"/>
                    </w:rPr>
                  </w:pPr>
                  <w:r>
                    <w:rPr>
                      <w:rFonts w:hint="eastAsia"/>
                      <w:sz w:val="21"/>
                      <w:szCs w:val="21"/>
                    </w:rPr>
                    <w:t>厂界无组织废气</w:t>
                  </w:r>
                </w:p>
              </w:tc>
              <w:tc>
                <w:tcPr>
                  <w:tcW w:w="1533" w:type="dxa"/>
                  <w:noWrap w:val="0"/>
                  <w:vAlign w:val="center"/>
                </w:tcPr>
                <w:p w14:paraId="430FAFF6">
                  <w:pPr>
                    <w:jc w:val="center"/>
                    <w:rPr>
                      <w:rFonts w:hint="default" w:eastAsia="宋体"/>
                      <w:sz w:val="21"/>
                      <w:szCs w:val="21"/>
                      <w:lang w:val="en-US" w:eastAsia="zh-CN"/>
                    </w:rPr>
                  </w:pPr>
                  <w:r>
                    <w:rPr>
                      <w:sz w:val="21"/>
                      <w:szCs w:val="21"/>
                    </w:rPr>
                    <w:t>厂界</w:t>
                  </w:r>
                  <w:r>
                    <w:rPr>
                      <w:rFonts w:hint="eastAsia"/>
                      <w:sz w:val="21"/>
                      <w:szCs w:val="21"/>
                      <w:lang w:eastAsia="zh-CN"/>
                    </w:rPr>
                    <w:t>外上风向</w:t>
                  </w:r>
                  <w:r>
                    <w:rPr>
                      <w:rFonts w:hint="eastAsia"/>
                      <w:sz w:val="21"/>
                      <w:szCs w:val="21"/>
                      <w:lang w:val="en-US" w:eastAsia="zh-CN"/>
                    </w:rPr>
                    <w:t>1个监控点，下风向3个监测点</w:t>
                  </w:r>
                </w:p>
              </w:tc>
              <w:tc>
                <w:tcPr>
                  <w:tcW w:w="1411" w:type="dxa"/>
                  <w:noWrap w:val="0"/>
                  <w:vAlign w:val="center"/>
                </w:tcPr>
                <w:p w14:paraId="1C9C2CF2">
                  <w:pPr>
                    <w:jc w:val="center"/>
                    <w:rPr>
                      <w:rFonts w:hint="default" w:eastAsia="宋体"/>
                      <w:sz w:val="21"/>
                      <w:szCs w:val="21"/>
                      <w:lang w:val="en-US" w:eastAsia="zh-CN"/>
                    </w:rPr>
                  </w:pPr>
                  <w:r>
                    <w:rPr>
                      <w:sz w:val="21"/>
                      <w:szCs w:val="21"/>
                    </w:rPr>
                    <w:t>颗粒物</w:t>
                  </w:r>
                  <w:r>
                    <w:rPr>
                      <w:rFonts w:hint="eastAsia"/>
                      <w:sz w:val="21"/>
                      <w:szCs w:val="21"/>
                      <w:lang w:eastAsia="zh-CN"/>
                    </w:rPr>
                    <w:t>、</w:t>
                  </w:r>
                  <w:r>
                    <w:rPr>
                      <w:rFonts w:hint="eastAsia"/>
                      <w:sz w:val="21"/>
                      <w:szCs w:val="21"/>
                      <w:lang w:val="en-US" w:eastAsia="zh-CN"/>
                    </w:rPr>
                    <w:t>非甲烷总烃、臭气浓度</w:t>
                  </w:r>
                </w:p>
              </w:tc>
              <w:tc>
                <w:tcPr>
                  <w:tcW w:w="1288" w:type="dxa"/>
                  <w:noWrap w:val="0"/>
                  <w:vAlign w:val="center"/>
                </w:tcPr>
                <w:p w14:paraId="02FACC2A">
                  <w:pPr>
                    <w:jc w:val="center"/>
                    <w:rPr>
                      <w:rFonts w:hint="eastAsia" w:eastAsia="宋体"/>
                      <w:sz w:val="21"/>
                      <w:szCs w:val="21"/>
                      <w:lang w:eastAsia="zh-CN"/>
                    </w:rPr>
                  </w:pPr>
                  <w:r>
                    <w:rPr>
                      <w:sz w:val="21"/>
                      <w:szCs w:val="21"/>
                    </w:rPr>
                    <w:t>1次/年</w:t>
                  </w:r>
                </w:p>
              </w:tc>
              <w:tc>
                <w:tcPr>
                  <w:tcW w:w="2545" w:type="dxa"/>
                  <w:vMerge w:val="restart"/>
                  <w:noWrap w:val="0"/>
                  <w:vAlign w:val="center"/>
                </w:tcPr>
                <w:p w14:paraId="56573E38">
                  <w:pPr>
                    <w:jc w:val="center"/>
                    <w:rPr>
                      <w:rFonts w:hint="eastAsia" w:eastAsia="宋体"/>
                      <w:sz w:val="21"/>
                      <w:szCs w:val="21"/>
                      <w:lang w:eastAsia="zh-CN"/>
                    </w:rPr>
                  </w:pPr>
                  <w:r>
                    <w:rPr>
                      <w:rFonts w:hint="eastAsia"/>
                      <w:sz w:val="21"/>
                      <w:szCs w:val="21"/>
                    </w:rPr>
                    <w:t>《合成树脂工业污染物排放标准》（GB</w:t>
                  </w:r>
                  <w:r>
                    <w:rPr>
                      <w:rFonts w:hint="eastAsia"/>
                      <w:sz w:val="21"/>
                      <w:szCs w:val="21"/>
                      <w:lang w:val="en-US" w:eastAsia="zh-CN"/>
                    </w:rPr>
                    <w:t xml:space="preserve"> </w:t>
                  </w:r>
                  <w:r>
                    <w:rPr>
                      <w:rFonts w:hint="eastAsia"/>
                      <w:sz w:val="21"/>
                      <w:szCs w:val="21"/>
                    </w:rPr>
                    <w:t>31572-2015，含2024年第1号修改单）</w:t>
                  </w:r>
                  <w:r>
                    <w:rPr>
                      <w:rFonts w:hint="eastAsia"/>
                      <w:sz w:val="21"/>
                      <w:szCs w:val="21"/>
                      <w:lang w:eastAsia="zh-CN"/>
                    </w:rPr>
                    <w:t>、《恶臭污染物排放标准》（GB14554-93）</w:t>
                  </w:r>
                </w:p>
              </w:tc>
            </w:tr>
            <w:tr w14:paraId="4732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8" w:type="dxa"/>
                  <w:noWrap w:val="0"/>
                  <w:vAlign w:val="center"/>
                </w:tcPr>
                <w:p w14:paraId="28512A68">
                  <w:pPr>
                    <w:jc w:val="center"/>
                    <w:rPr>
                      <w:sz w:val="21"/>
                      <w:szCs w:val="21"/>
                    </w:rPr>
                  </w:pPr>
                  <w:r>
                    <w:rPr>
                      <w:rFonts w:hint="eastAsia"/>
                      <w:sz w:val="21"/>
                      <w:szCs w:val="21"/>
                    </w:rPr>
                    <w:t>厂区内VOCs无组织</w:t>
                  </w:r>
                </w:p>
              </w:tc>
              <w:tc>
                <w:tcPr>
                  <w:tcW w:w="1533" w:type="dxa"/>
                  <w:noWrap w:val="0"/>
                  <w:vAlign w:val="center"/>
                </w:tcPr>
                <w:p w14:paraId="5EFF1483">
                  <w:pPr>
                    <w:jc w:val="center"/>
                    <w:rPr>
                      <w:sz w:val="21"/>
                      <w:szCs w:val="21"/>
                    </w:rPr>
                  </w:pPr>
                  <w:r>
                    <w:rPr>
                      <w:rFonts w:hint="eastAsia"/>
                      <w:sz w:val="21"/>
                      <w:szCs w:val="21"/>
                    </w:rPr>
                    <w:t>生产车间外，厂房门窗通风口外</w:t>
                  </w:r>
                  <w:r>
                    <w:rPr>
                      <w:rFonts w:hint="eastAsia"/>
                      <w:sz w:val="21"/>
                      <w:szCs w:val="21"/>
                      <w:lang w:val="en-US" w:eastAsia="zh-CN"/>
                    </w:rPr>
                    <w:t>1</w:t>
                  </w:r>
                  <w:r>
                    <w:rPr>
                      <w:rFonts w:hint="eastAsia"/>
                      <w:sz w:val="21"/>
                      <w:szCs w:val="21"/>
                    </w:rPr>
                    <w:t>m、距离地面1.5m以上位置</w:t>
                  </w:r>
                </w:p>
              </w:tc>
              <w:tc>
                <w:tcPr>
                  <w:tcW w:w="1411" w:type="dxa"/>
                  <w:noWrap w:val="0"/>
                  <w:vAlign w:val="center"/>
                </w:tcPr>
                <w:p w14:paraId="68A03BAD">
                  <w:pPr>
                    <w:jc w:val="center"/>
                    <w:rPr>
                      <w:rFonts w:hint="eastAsia" w:eastAsia="宋体"/>
                      <w:sz w:val="21"/>
                      <w:szCs w:val="21"/>
                      <w:lang w:val="en-US" w:eastAsia="zh-CN"/>
                    </w:rPr>
                  </w:pPr>
                  <w:r>
                    <w:rPr>
                      <w:rFonts w:hint="eastAsia"/>
                      <w:sz w:val="21"/>
                      <w:szCs w:val="21"/>
                      <w:lang w:val="en-US" w:eastAsia="zh-CN"/>
                    </w:rPr>
                    <w:t>非甲烷总烃</w:t>
                  </w:r>
                </w:p>
              </w:tc>
              <w:tc>
                <w:tcPr>
                  <w:tcW w:w="1288" w:type="dxa"/>
                  <w:noWrap w:val="0"/>
                  <w:vAlign w:val="center"/>
                </w:tcPr>
                <w:p w14:paraId="27956706">
                  <w:pPr>
                    <w:jc w:val="center"/>
                    <w:rPr>
                      <w:sz w:val="21"/>
                      <w:szCs w:val="21"/>
                    </w:rPr>
                  </w:pPr>
                  <w:r>
                    <w:rPr>
                      <w:rFonts w:hint="eastAsia"/>
                      <w:sz w:val="21"/>
                      <w:szCs w:val="21"/>
                    </w:rPr>
                    <w:t>1次/年</w:t>
                  </w:r>
                </w:p>
              </w:tc>
              <w:tc>
                <w:tcPr>
                  <w:tcW w:w="2545" w:type="dxa"/>
                  <w:vMerge w:val="continue"/>
                  <w:noWrap w:val="0"/>
                  <w:vAlign w:val="center"/>
                </w:tcPr>
                <w:p w14:paraId="1713AFA4">
                  <w:pPr>
                    <w:jc w:val="center"/>
                    <w:rPr>
                      <w:rFonts w:hint="eastAsia"/>
                      <w:sz w:val="21"/>
                      <w:szCs w:val="21"/>
                    </w:rPr>
                  </w:pPr>
                </w:p>
              </w:tc>
            </w:tr>
            <w:tr w14:paraId="4D9B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8" w:type="dxa"/>
                  <w:noWrap w:val="0"/>
                  <w:vAlign w:val="center"/>
                </w:tcPr>
                <w:p w14:paraId="00046A03">
                  <w:pPr>
                    <w:jc w:val="center"/>
                    <w:rPr>
                      <w:rFonts w:hint="default" w:eastAsia="宋体"/>
                      <w:sz w:val="21"/>
                      <w:szCs w:val="21"/>
                      <w:lang w:val="en-US" w:eastAsia="zh-CN"/>
                    </w:rPr>
                  </w:pPr>
                  <w:r>
                    <w:rPr>
                      <w:rFonts w:hint="eastAsia"/>
                      <w:sz w:val="21"/>
                      <w:szCs w:val="21"/>
                      <w:lang w:val="en-US" w:eastAsia="zh-CN"/>
                    </w:rPr>
                    <w:t>有组织废气</w:t>
                  </w:r>
                </w:p>
              </w:tc>
              <w:tc>
                <w:tcPr>
                  <w:tcW w:w="1533" w:type="dxa"/>
                  <w:noWrap w:val="0"/>
                  <w:vAlign w:val="center"/>
                </w:tcPr>
                <w:p w14:paraId="435C97C4">
                  <w:pPr>
                    <w:jc w:val="center"/>
                    <w:rPr>
                      <w:rFonts w:hint="default" w:eastAsia="宋体"/>
                      <w:sz w:val="21"/>
                      <w:szCs w:val="21"/>
                      <w:lang w:val="en-US" w:eastAsia="zh-CN"/>
                    </w:rPr>
                  </w:pPr>
                  <w:r>
                    <w:rPr>
                      <w:rFonts w:hint="default" w:eastAsia="宋体"/>
                      <w:sz w:val="21"/>
                      <w:szCs w:val="21"/>
                      <w:lang w:val="en-US" w:eastAsia="zh-CN"/>
                    </w:rPr>
                    <w:t>排气筒DA001（治理设施出口）</w:t>
                  </w:r>
                </w:p>
              </w:tc>
              <w:tc>
                <w:tcPr>
                  <w:tcW w:w="1411" w:type="dxa"/>
                  <w:noWrap w:val="0"/>
                  <w:vAlign w:val="center"/>
                </w:tcPr>
                <w:p w14:paraId="5388E1EF">
                  <w:pPr>
                    <w:jc w:val="center"/>
                    <w:rPr>
                      <w:rFonts w:hint="default" w:eastAsia="宋体"/>
                      <w:sz w:val="21"/>
                      <w:szCs w:val="21"/>
                      <w:lang w:val="en-US" w:eastAsia="zh-CN"/>
                    </w:rPr>
                  </w:pPr>
                  <w:r>
                    <w:rPr>
                      <w:rFonts w:hint="eastAsia"/>
                      <w:sz w:val="21"/>
                      <w:szCs w:val="21"/>
                      <w:lang w:val="en-US" w:eastAsia="zh-CN"/>
                    </w:rPr>
                    <w:t>非甲烷总烃、臭气浓度</w:t>
                  </w:r>
                </w:p>
              </w:tc>
              <w:tc>
                <w:tcPr>
                  <w:tcW w:w="1288" w:type="dxa"/>
                  <w:noWrap w:val="0"/>
                  <w:vAlign w:val="center"/>
                </w:tcPr>
                <w:p w14:paraId="1E11BDB6">
                  <w:pPr>
                    <w:jc w:val="center"/>
                    <w:rPr>
                      <w:rFonts w:hint="default" w:eastAsia="宋体"/>
                      <w:sz w:val="21"/>
                      <w:szCs w:val="21"/>
                      <w:lang w:val="en-US" w:eastAsia="zh-CN"/>
                    </w:rPr>
                  </w:pPr>
                  <w:r>
                    <w:rPr>
                      <w:rFonts w:hint="eastAsia"/>
                      <w:sz w:val="21"/>
                      <w:szCs w:val="21"/>
                      <w:lang w:val="en-US" w:eastAsia="zh-CN"/>
                    </w:rPr>
                    <w:t>1次/半年</w:t>
                  </w:r>
                </w:p>
              </w:tc>
              <w:tc>
                <w:tcPr>
                  <w:tcW w:w="2545" w:type="dxa"/>
                  <w:vMerge w:val="continue"/>
                  <w:noWrap w:val="0"/>
                  <w:vAlign w:val="center"/>
                </w:tcPr>
                <w:p w14:paraId="57599387">
                  <w:pPr>
                    <w:jc w:val="center"/>
                    <w:rPr>
                      <w:rFonts w:hint="eastAsia"/>
                      <w:sz w:val="21"/>
                      <w:szCs w:val="21"/>
                    </w:rPr>
                  </w:pPr>
                </w:p>
              </w:tc>
            </w:tr>
          </w:tbl>
          <w:p w14:paraId="364A8C0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cs="宋体"/>
                <w:b/>
                <w:sz w:val="24"/>
              </w:rPr>
            </w:pPr>
            <w:r>
              <w:rPr>
                <w:rFonts w:hint="eastAsia" w:ascii="宋体" w:hAnsi="宋体" w:cs="宋体"/>
                <w:b/>
                <w:sz w:val="24"/>
              </w:rPr>
              <w:t>（二）运营期水环境影响和保护措施</w:t>
            </w:r>
          </w:p>
          <w:p w14:paraId="3FEEA77F">
            <w:pPr>
              <w:keepNext w:val="0"/>
              <w:keepLines w:val="0"/>
              <w:pageBreakBefore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bCs/>
                <w:sz w:val="24"/>
              </w:rPr>
            </w:pPr>
            <w:r>
              <w:rPr>
                <w:rFonts w:hint="eastAsia" w:ascii="宋体" w:hAnsi="宋体" w:cs="宋体"/>
                <w:b/>
                <w:bCs/>
                <w:sz w:val="24"/>
                <w:lang w:eastAsia="zh-CN"/>
              </w:rPr>
              <w:t>1.</w:t>
            </w:r>
            <w:r>
              <w:rPr>
                <w:rFonts w:hint="eastAsia" w:ascii="宋体" w:hAnsi="宋体" w:cs="宋体"/>
                <w:b/>
                <w:bCs/>
                <w:sz w:val="24"/>
              </w:rPr>
              <w:t>废水污染工序及源强分析</w:t>
            </w:r>
          </w:p>
          <w:p w14:paraId="0D005BF9">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bCs/>
                <w:sz w:val="24"/>
              </w:rPr>
            </w:pPr>
            <w:r>
              <w:rPr>
                <w:kern w:val="0"/>
                <w:sz w:val="24"/>
              </w:rPr>
              <w:t>本项目</w:t>
            </w:r>
            <w:r>
              <w:rPr>
                <w:rFonts w:hint="eastAsia"/>
                <w:kern w:val="0"/>
                <w:sz w:val="24"/>
                <w:lang w:val="en-US" w:eastAsia="zh-CN"/>
              </w:rPr>
              <w:t>无工艺废水产生，主要废水为</w:t>
            </w:r>
            <w:r>
              <w:rPr>
                <w:sz w:val="24"/>
              </w:rPr>
              <w:t>职工</w:t>
            </w:r>
            <w:r>
              <w:rPr>
                <w:sz w:val="24"/>
                <w:lang w:val="en-GB"/>
              </w:rPr>
              <w:t>生活污水</w:t>
            </w:r>
            <w:r>
              <w:rPr>
                <w:rFonts w:hint="eastAsia"/>
                <w:bCs/>
                <w:sz w:val="24"/>
              </w:rPr>
              <w:t>。</w:t>
            </w:r>
          </w:p>
          <w:p w14:paraId="5D94FD3A">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color w:val="000000"/>
                <w:sz w:val="24"/>
              </w:rPr>
            </w:pPr>
            <w:r>
              <w:rPr>
                <w:color w:val="000000"/>
                <w:sz w:val="24"/>
              </w:rPr>
              <w:t>本项目劳动定员</w:t>
            </w:r>
            <w:r>
              <w:rPr>
                <w:rFonts w:hint="eastAsia"/>
                <w:color w:val="000000"/>
                <w:sz w:val="24"/>
                <w:lang w:val="en-US" w:eastAsia="zh-CN"/>
              </w:rPr>
              <w:t>140</w:t>
            </w:r>
            <w:r>
              <w:rPr>
                <w:color w:val="000000"/>
                <w:sz w:val="24"/>
              </w:rPr>
              <w:t>人，</w:t>
            </w:r>
            <w:r>
              <w:rPr>
                <w:sz w:val="24"/>
              </w:rPr>
              <w:t>用水量按100L/人·日计</w:t>
            </w:r>
            <w:r>
              <w:rPr>
                <w:color w:val="000000"/>
                <w:sz w:val="24"/>
              </w:rPr>
              <w:t>，</w:t>
            </w:r>
            <w:r>
              <w:rPr>
                <w:rFonts w:hint="eastAsia"/>
                <w:color w:val="auto"/>
                <w:sz w:val="24"/>
              </w:rPr>
              <w:t>则生活用水量为</w:t>
            </w:r>
            <w:r>
              <w:rPr>
                <w:rFonts w:hint="eastAsia"/>
                <w:color w:val="auto"/>
                <w:sz w:val="24"/>
                <w:lang w:val="en-US" w:eastAsia="zh-CN"/>
              </w:rPr>
              <w:t>14</w:t>
            </w:r>
            <w:r>
              <w:rPr>
                <w:rFonts w:hint="eastAsia"/>
                <w:color w:val="auto"/>
                <w:sz w:val="24"/>
              </w:rPr>
              <w:t>m</w:t>
            </w:r>
            <w:r>
              <w:rPr>
                <w:rFonts w:hint="eastAsia"/>
                <w:color w:val="auto"/>
                <w:sz w:val="24"/>
                <w:vertAlign w:val="superscript"/>
              </w:rPr>
              <w:t>3</w:t>
            </w:r>
            <w:r>
              <w:rPr>
                <w:rFonts w:hint="eastAsia"/>
                <w:color w:val="auto"/>
                <w:sz w:val="24"/>
              </w:rPr>
              <w:t>/d（</w:t>
            </w:r>
            <w:r>
              <w:rPr>
                <w:rFonts w:hint="eastAsia"/>
                <w:color w:val="auto"/>
                <w:sz w:val="24"/>
                <w:lang w:val="en-US" w:eastAsia="zh-CN"/>
              </w:rPr>
              <w:t>4200</w:t>
            </w:r>
            <w:r>
              <w:rPr>
                <w:rFonts w:hint="eastAsia"/>
                <w:color w:val="auto"/>
                <w:sz w:val="24"/>
              </w:rPr>
              <w:t>m</w:t>
            </w:r>
            <w:r>
              <w:rPr>
                <w:rFonts w:hint="eastAsia"/>
                <w:color w:val="auto"/>
                <w:sz w:val="24"/>
                <w:vertAlign w:val="superscript"/>
              </w:rPr>
              <w:t>3</w:t>
            </w:r>
            <w:r>
              <w:rPr>
                <w:rFonts w:hint="eastAsia"/>
                <w:color w:val="auto"/>
                <w:sz w:val="24"/>
              </w:rPr>
              <w:t>/a）。排水系数按0.8计，则生活污水排放量约为</w:t>
            </w:r>
            <w:r>
              <w:rPr>
                <w:rFonts w:hint="eastAsia"/>
                <w:color w:val="auto"/>
                <w:sz w:val="24"/>
                <w:lang w:val="en-US" w:eastAsia="zh-CN"/>
              </w:rPr>
              <w:t>11.2</w:t>
            </w:r>
            <w:r>
              <w:rPr>
                <w:rFonts w:hint="eastAsia"/>
                <w:color w:val="auto"/>
                <w:sz w:val="24"/>
              </w:rPr>
              <w:t>m</w:t>
            </w:r>
            <w:r>
              <w:rPr>
                <w:rFonts w:hint="eastAsia"/>
                <w:color w:val="auto"/>
                <w:sz w:val="24"/>
                <w:vertAlign w:val="superscript"/>
              </w:rPr>
              <w:t>3</w:t>
            </w:r>
            <w:r>
              <w:rPr>
                <w:rFonts w:hint="eastAsia"/>
                <w:color w:val="auto"/>
                <w:sz w:val="24"/>
              </w:rPr>
              <w:t>/d（</w:t>
            </w:r>
            <w:r>
              <w:rPr>
                <w:rFonts w:hint="eastAsia"/>
                <w:color w:val="auto"/>
                <w:sz w:val="24"/>
                <w:lang w:val="en-US" w:eastAsia="zh-CN"/>
              </w:rPr>
              <w:t>3360</w:t>
            </w:r>
            <w:r>
              <w:rPr>
                <w:rFonts w:hint="eastAsia"/>
                <w:color w:val="auto"/>
                <w:sz w:val="24"/>
              </w:rPr>
              <w:t>m</w:t>
            </w:r>
            <w:r>
              <w:rPr>
                <w:rFonts w:hint="eastAsia"/>
                <w:color w:val="auto"/>
                <w:sz w:val="24"/>
                <w:vertAlign w:val="superscript"/>
              </w:rPr>
              <w:t>3</w:t>
            </w:r>
            <w:r>
              <w:rPr>
                <w:rFonts w:hint="eastAsia"/>
                <w:color w:val="auto"/>
                <w:sz w:val="24"/>
              </w:rPr>
              <w:t>/a）</w:t>
            </w:r>
            <w:r>
              <w:rPr>
                <w:color w:val="000000"/>
                <w:sz w:val="24"/>
              </w:rPr>
              <w:t>，生活污水浓度参照《建筑中水设计标准》（GB50336-2018）中生活污水中各污染物产生浓度，生活污水污染物浓度CODcr350mg/L，BOD5250mg/L，SS200mg/L，氨氮30mg/L。</w:t>
            </w:r>
            <w:r>
              <w:rPr>
                <w:sz w:val="24"/>
              </w:rPr>
              <w:t>废水收集到化粪池处理后</w:t>
            </w:r>
            <w:r>
              <w:rPr>
                <w:rFonts w:hint="eastAsia"/>
                <w:sz w:val="24"/>
                <w:lang w:val="en-US" w:eastAsia="zh-CN"/>
              </w:rPr>
              <w:t>排入园区污水管网，最终进入轮台县新城区生活污水处理厂处理</w:t>
            </w:r>
            <w:r>
              <w:rPr>
                <w:sz w:val="24"/>
              </w:rPr>
              <w:t>。</w:t>
            </w:r>
          </w:p>
          <w:p w14:paraId="6E16E505">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本项目生活废水中主要污染物的产生及排放情况见</w:t>
            </w:r>
            <w:r>
              <w:rPr>
                <w:rFonts w:hint="eastAsia" w:ascii="宋体" w:hAnsi="宋体" w:cs="宋体"/>
                <w:color w:val="000000"/>
                <w:sz w:val="24"/>
                <w:lang w:eastAsia="zh-CN"/>
              </w:rPr>
              <w:t>表</w:t>
            </w:r>
            <w:r>
              <w:rPr>
                <w:rFonts w:hint="eastAsia" w:ascii="宋体" w:hAnsi="宋体" w:cs="宋体"/>
                <w:color w:val="000000"/>
                <w:sz w:val="24"/>
                <w:lang w:val="en-US" w:eastAsia="zh-CN"/>
              </w:rPr>
              <w:t>4-5</w:t>
            </w:r>
            <w:r>
              <w:rPr>
                <w:rFonts w:hint="eastAsia" w:ascii="宋体" w:hAnsi="宋体" w:cs="宋体"/>
                <w:color w:val="000000"/>
                <w:sz w:val="24"/>
              </w:rPr>
              <w:t>。</w:t>
            </w:r>
          </w:p>
          <w:p w14:paraId="14EB35DE">
            <w:pPr>
              <w:keepNext w:val="0"/>
              <w:keepLines w:val="0"/>
              <w:pageBreakBefore w:val="0"/>
              <w:widowControl/>
              <w:kinsoku/>
              <w:wordWrap/>
              <w:overflowPunct/>
              <w:topLinePunct w:val="0"/>
              <w:autoSpaceDE/>
              <w:autoSpaceDN/>
              <w:bidi w:val="0"/>
              <w:adjustRightInd/>
              <w:snapToGrid/>
              <w:spacing w:line="520" w:lineRule="exact"/>
              <w:ind w:firstLine="198"/>
              <w:jc w:val="center"/>
              <w:textAlignment w:val="auto"/>
              <w:rPr>
                <w:rFonts w:hint="eastAsia" w:ascii="宋体" w:hAnsi="宋体" w:cs="宋体"/>
                <w:b/>
                <w:bCs/>
                <w:color w:val="000000"/>
                <w:kern w:val="0"/>
                <w:sz w:val="24"/>
              </w:rPr>
            </w:pPr>
            <w:bookmarkStart w:id="22" w:name="OLE_LINK7"/>
            <w:r>
              <w:rPr>
                <w:rFonts w:hint="eastAsia" w:ascii="宋体" w:hAnsi="宋体" w:cs="宋体"/>
                <w:b/>
                <w:bCs/>
                <w:color w:val="000000"/>
                <w:kern w:val="0"/>
                <w:sz w:val="24"/>
              </w:rPr>
              <w:t>表</w:t>
            </w:r>
            <w:r>
              <w:rPr>
                <w:rFonts w:hint="eastAsia" w:ascii="宋体" w:hAnsi="宋体" w:cs="宋体"/>
                <w:b/>
                <w:bCs/>
                <w:color w:val="000000"/>
                <w:kern w:val="0"/>
                <w:sz w:val="24"/>
                <w:lang w:val="en-US" w:eastAsia="zh-CN"/>
              </w:rPr>
              <w:t>4-5</w:t>
            </w:r>
            <w:r>
              <w:rPr>
                <w:rFonts w:hint="eastAsia" w:ascii="宋体" w:hAnsi="宋体" w:cs="宋体"/>
                <w:b/>
                <w:bCs/>
                <w:color w:val="000000"/>
                <w:kern w:val="0"/>
                <w:sz w:val="24"/>
              </w:rPr>
              <w:t xml:space="preserve">   项目生活废水产生和排放情况一览表</w:t>
            </w:r>
            <w:bookmarkEnd w:id="22"/>
          </w:p>
          <w:tbl>
            <w:tblPr>
              <w:tblStyle w:val="24"/>
              <w:tblW w:w="8285" w:type="dxa"/>
              <w:tblInd w:w="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41"/>
              <w:gridCol w:w="467"/>
              <w:gridCol w:w="943"/>
              <w:gridCol w:w="844"/>
              <w:gridCol w:w="1275"/>
              <w:gridCol w:w="792"/>
              <w:gridCol w:w="467"/>
              <w:gridCol w:w="1165"/>
              <w:gridCol w:w="824"/>
              <w:gridCol w:w="767"/>
            </w:tblGrid>
            <w:tr w14:paraId="3B16D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741" w:type="dxa"/>
                  <w:vMerge w:val="restart"/>
                  <w:noWrap w:val="0"/>
                  <w:vAlign w:val="center"/>
                </w:tcPr>
                <w:p w14:paraId="696F2311">
                  <w:pPr>
                    <w:jc w:val="center"/>
                    <w:rPr>
                      <w:szCs w:val="21"/>
                    </w:rPr>
                  </w:pPr>
                  <w:r>
                    <w:rPr>
                      <w:szCs w:val="21"/>
                    </w:rPr>
                    <w:t>污染物</w:t>
                  </w:r>
                </w:p>
              </w:tc>
              <w:tc>
                <w:tcPr>
                  <w:tcW w:w="2254" w:type="dxa"/>
                  <w:gridSpan w:val="3"/>
                  <w:noWrap w:val="0"/>
                  <w:vAlign w:val="center"/>
                </w:tcPr>
                <w:p w14:paraId="7063F068">
                  <w:pPr>
                    <w:jc w:val="center"/>
                    <w:rPr>
                      <w:rFonts w:hint="eastAsia"/>
                      <w:szCs w:val="21"/>
                    </w:rPr>
                  </w:pPr>
                  <w:r>
                    <w:rPr>
                      <w:rFonts w:hint="eastAsia"/>
                      <w:szCs w:val="21"/>
                    </w:rPr>
                    <w:t>污染物</w:t>
                  </w:r>
                  <w:r>
                    <w:rPr>
                      <w:szCs w:val="21"/>
                    </w:rPr>
                    <w:t>产生情况</w:t>
                  </w:r>
                </w:p>
              </w:tc>
              <w:tc>
                <w:tcPr>
                  <w:tcW w:w="2067" w:type="dxa"/>
                  <w:gridSpan w:val="2"/>
                  <w:noWrap w:val="0"/>
                  <w:vAlign w:val="center"/>
                </w:tcPr>
                <w:p w14:paraId="61667F5B">
                  <w:pPr>
                    <w:widowControl/>
                    <w:jc w:val="center"/>
                    <w:textAlignment w:val="center"/>
                    <w:rPr>
                      <w:rFonts w:hint="eastAsia"/>
                      <w:szCs w:val="21"/>
                    </w:rPr>
                  </w:pPr>
                  <w:r>
                    <w:rPr>
                      <w:color w:val="000000"/>
                      <w:kern w:val="0"/>
                      <w:szCs w:val="21"/>
                    </w:rPr>
                    <w:t>治理措施</w:t>
                  </w:r>
                </w:p>
              </w:tc>
              <w:tc>
                <w:tcPr>
                  <w:tcW w:w="2456" w:type="dxa"/>
                  <w:gridSpan w:val="3"/>
                  <w:noWrap w:val="0"/>
                  <w:vAlign w:val="center"/>
                </w:tcPr>
                <w:p w14:paraId="5F57B676">
                  <w:pPr>
                    <w:jc w:val="center"/>
                    <w:rPr>
                      <w:szCs w:val="21"/>
                    </w:rPr>
                  </w:pPr>
                  <w:r>
                    <w:rPr>
                      <w:rFonts w:hint="eastAsia"/>
                      <w:szCs w:val="21"/>
                    </w:rPr>
                    <w:t>污染物</w:t>
                  </w:r>
                  <w:r>
                    <w:rPr>
                      <w:szCs w:val="21"/>
                    </w:rPr>
                    <w:t>排放情况</w:t>
                  </w:r>
                </w:p>
              </w:tc>
              <w:tc>
                <w:tcPr>
                  <w:tcW w:w="767" w:type="dxa"/>
                  <w:vMerge w:val="restart"/>
                  <w:noWrap w:val="0"/>
                  <w:vAlign w:val="center"/>
                </w:tcPr>
                <w:p w14:paraId="1A38EC4A">
                  <w:pPr>
                    <w:jc w:val="center"/>
                    <w:rPr>
                      <w:szCs w:val="21"/>
                    </w:rPr>
                  </w:pPr>
                  <w:r>
                    <w:rPr>
                      <w:szCs w:val="21"/>
                    </w:rPr>
                    <w:t>排放标准</w:t>
                  </w:r>
                </w:p>
              </w:tc>
            </w:tr>
            <w:tr w14:paraId="420C9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14" w:hRule="atLeast"/>
              </w:trPr>
              <w:tc>
                <w:tcPr>
                  <w:tcW w:w="741" w:type="dxa"/>
                  <w:vMerge w:val="continue"/>
                  <w:noWrap w:val="0"/>
                  <w:vAlign w:val="center"/>
                </w:tcPr>
                <w:p w14:paraId="7C73F0E0">
                  <w:pPr>
                    <w:jc w:val="center"/>
                    <w:rPr>
                      <w:szCs w:val="21"/>
                    </w:rPr>
                  </w:pPr>
                </w:p>
              </w:tc>
              <w:tc>
                <w:tcPr>
                  <w:tcW w:w="467" w:type="dxa"/>
                  <w:vMerge w:val="restart"/>
                  <w:noWrap w:val="0"/>
                  <w:vAlign w:val="center"/>
                </w:tcPr>
                <w:p w14:paraId="1E1E5B6D">
                  <w:pPr>
                    <w:jc w:val="center"/>
                    <w:rPr>
                      <w:szCs w:val="21"/>
                    </w:rPr>
                  </w:pPr>
                  <w:r>
                    <w:rPr>
                      <w:color w:val="000000"/>
                      <w:kern w:val="0"/>
                      <w:szCs w:val="21"/>
                    </w:rPr>
                    <w:t>核算方法</w:t>
                  </w:r>
                </w:p>
              </w:tc>
              <w:tc>
                <w:tcPr>
                  <w:tcW w:w="943" w:type="dxa"/>
                  <w:noWrap w:val="0"/>
                  <w:vAlign w:val="center"/>
                </w:tcPr>
                <w:p w14:paraId="5596BAE6">
                  <w:pPr>
                    <w:jc w:val="center"/>
                    <w:rPr>
                      <w:szCs w:val="21"/>
                    </w:rPr>
                  </w:pPr>
                  <w:r>
                    <w:rPr>
                      <w:rFonts w:hint="eastAsia"/>
                      <w:szCs w:val="21"/>
                    </w:rPr>
                    <w:t>产生</w:t>
                  </w:r>
                  <w:r>
                    <w:rPr>
                      <w:szCs w:val="21"/>
                    </w:rPr>
                    <w:t>浓度</w:t>
                  </w:r>
                  <w:r>
                    <w:rPr>
                      <w:rFonts w:hint="eastAsia"/>
                      <w:szCs w:val="21"/>
                    </w:rPr>
                    <w:t>mg/L</w:t>
                  </w:r>
                </w:p>
              </w:tc>
              <w:tc>
                <w:tcPr>
                  <w:tcW w:w="844" w:type="dxa"/>
                  <w:noWrap w:val="0"/>
                  <w:vAlign w:val="center"/>
                </w:tcPr>
                <w:p w14:paraId="44CA58F5">
                  <w:pPr>
                    <w:jc w:val="center"/>
                    <w:rPr>
                      <w:szCs w:val="21"/>
                    </w:rPr>
                  </w:pPr>
                  <w:r>
                    <w:rPr>
                      <w:rFonts w:hint="eastAsia"/>
                      <w:color w:val="000000"/>
                      <w:kern w:val="0"/>
                      <w:szCs w:val="21"/>
                    </w:rPr>
                    <w:t>产生量t/a</w:t>
                  </w:r>
                </w:p>
              </w:tc>
              <w:tc>
                <w:tcPr>
                  <w:tcW w:w="1275" w:type="dxa"/>
                  <w:vMerge w:val="restart"/>
                  <w:noWrap w:val="0"/>
                  <w:vAlign w:val="center"/>
                </w:tcPr>
                <w:p w14:paraId="69C2F708">
                  <w:pPr>
                    <w:widowControl/>
                    <w:jc w:val="center"/>
                    <w:textAlignment w:val="center"/>
                    <w:rPr>
                      <w:szCs w:val="21"/>
                    </w:rPr>
                  </w:pPr>
                  <w:r>
                    <w:rPr>
                      <w:color w:val="000000"/>
                      <w:kern w:val="0"/>
                      <w:szCs w:val="21"/>
                    </w:rPr>
                    <w:t>工艺</w:t>
                  </w:r>
                </w:p>
              </w:tc>
              <w:tc>
                <w:tcPr>
                  <w:tcW w:w="792" w:type="dxa"/>
                  <w:noWrap w:val="0"/>
                  <w:vAlign w:val="center"/>
                </w:tcPr>
                <w:p w14:paraId="4712D5DE">
                  <w:pPr>
                    <w:widowControl/>
                    <w:jc w:val="center"/>
                    <w:textAlignment w:val="center"/>
                    <w:rPr>
                      <w:szCs w:val="21"/>
                    </w:rPr>
                  </w:pPr>
                  <w:r>
                    <w:rPr>
                      <w:color w:val="000000"/>
                      <w:kern w:val="0"/>
                      <w:szCs w:val="21"/>
                    </w:rPr>
                    <w:t>效率（%）</w:t>
                  </w:r>
                </w:p>
              </w:tc>
              <w:tc>
                <w:tcPr>
                  <w:tcW w:w="467" w:type="dxa"/>
                  <w:vMerge w:val="restart"/>
                  <w:noWrap w:val="0"/>
                  <w:vAlign w:val="center"/>
                </w:tcPr>
                <w:p w14:paraId="62726613">
                  <w:pPr>
                    <w:jc w:val="center"/>
                    <w:rPr>
                      <w:rFonts w:hint="eastAsia"/>
                      <w:szCs w:val="21"/>
                    </w:rPr>
                  </w:pPr>
                  <w:r>
                    <w:rPr>
                      <w:rFonts w:hint="eastAsia"/>
                      <w:szCs w:val="21"/>
                    </w:rPr>
                    <w:t>核算方法</w:t>
                  </w:r>
                </w:p>
              </w:tc>
              <w:tc>
                <w:tcPr>
                  <w:tcW w:w="1165" w:type="dxa"/>
                  <w:noWrap w:val="0"/>
                  <w:vAlign w:val="center"/>
                </w:tcPr>
                <w:p w14:paraId="1510188E">
                  <w:pPr>
                    <w:jc w:val="center"/>
                    <w:rPr>
                      <w:szCs w:val="21"/>
                    </w:rPr>
                  </w:pPr>
                  <w:r>
                    <w:rPr>
                      <w:rFonts w:hint="eastAsia"/>
                      <w:szCs w:val="21"/>
                    </w:rPr>
                    <w:t>排放</w:t>
                  </w:r>
                  <w:r>
                    <w:rPr>
                      <w:szCs w:val="21"/>
                    </w:rPr>
                    <w:t>浓度</w:t>
                  </w:r>
                  <w:r>
                    <w:rPr>
                      <w:rFonts w:hint="eastAsia"/>
                      <w:szCs w:val="21"/>
                    </w:rPr>
                    <w:t>mg/L</w:t>
                  </w:r>
                </w:p>
              </w:tc>
              <w:tc>
                <w:tcPr>
                  <w:tcW w:w="824" w:type="dxa"/>
                  <w:noWrap w:val="0"/>
                  <w:vAlign w:val="center"/>
                </w:tcPr>
                <w:p w14:paraId="24A9032B">
                  <w:pPr>
                    <w:jc w:val="center"/>
                    <w:rPr>
                      <w:szCs w:val="21"/>
                    </w:rPr>
                  </w:pPr>
                  <w:r>
                    <w:rPr>
                      <w:rFonts w:hint="eastAsia"/>
                      <w:szCs w:val="21"/>
                    </w:rPr>
                    <w:t>排放量</w:t>
                  </w:r>
                  <w:r>
                    <w:rPr>
                      <w:rFonts w:hint="eastAsia"/>
                      <w:color w:val="000000"/>
                      <w:kern w:val="0"/>
                      <w:szCs w:val="21"/>
                    </w:rPr>
                    <w:t>t/a</w:t>
                  </w:r>
                </w:p>
              </w:tc>
              <w:tc>
                <w:tcPr>
                  <w:tcW w:w="767" w:type="dxa"/>
                  <w:vMerge w:val="continue"/>
                  <w:noWrap w:val="0"/>
                  <w:vAlign w:val="center"/>
                </w:tcPr>
                <w:p w14:paraId="5A769DEB">
                  <w:pPr>
                    <w:jc w:val="center"/>
                    <w:rPr>
                      <w:szCs w:val="21"/>
                    </w:rPr>
                  </w:pPr>
                </w:p>
              </w:tc>
            </w:tr>
            <w:tr w14:paraId="27EB6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4" w:hRule="atLeast"/>
              </w:trPr>
              <w:tc>
                <w:tcPr>
                  <w:tcW w:w="741" w:type="dxa"/>
                  <w:noWrap w:val="0"/>
                  <w:vAlign w:val="center"/>
                </w:tcPr>
                <w:p w14:paraId="5D9AA2F1">
                  <w:pPr>
                    <w:jc w:val="center"/>
                    <w:rPr>
                      <w:rFonts w:hint="eastAsia" w:eastAsia="宋体"/>
                      <w:szCs w:val="21"/>
                      <w:lang w:val="en-US" w:eastAsia="zh-CN"/>
                    </w:rPr>
                  </w:pPr>
                  <w:r>
                    <w:rPr>
                      <w:szCs w:val="21"/>
                    </w:rPr>
                    <w:t>COD</w:t>
                  </w:r>
                  <w:r>
                    <w:rPr>
                      <w:rFonts w:hint="eastAsia"/>
                      <w:szCs w:val="21"/>
                      <w:lang w:val="en-US" w:eastAsia="zh-CN"/>
                    </w:rPr>
                    <w:t>cr</w:t>
                  </w:r>
                </w:p>
              </w:tc>
              <w:tc>
                <w:tcPr>
                  <w:tcW w:w="467" w:type="dxa"/>
                  <w:vMerge w:val="restart"/>
                  <w:noWrap w:val="0"/>
                  <w:vAlign w:val="center"/>
                </w:tcPr>
                <w:p w14:paraId="26EEBE78">
                  <w:pPr>
                    <w:jc w:val="center"/>
                    <w:rPr>
                      <w:rFonts w:hint="default" w:eastAsia="宋体"/>
                      <w:szCs w:val="21"/>
                      <w:lang w:val="en-US" w:eastAsia="zh-CN"/>
                    </w:rPr>
                  </w:pPr>
                  <w:r>
                    <w:rPr>
                      <w:rFonts w:hint="eastAsia"/>
                      <w:szCs w:val="21"/>
                      <w:lang w:val="en-US" w:eastAsia="zh-CN"/>
                    </w:rPr>
                    <w:t>产污系数法</w:t>
                  </w:r>
                </w:p>
              </w:tc>
              <w:tc>
                <w:tcPr>
                  <w:tcW w:w="943" w:type="dxa"/>
                  <w:noWrap w:val="0"/>
                  <w:vAlign w:val="center"/>
                </w:tcPr>
                <w:p w14:paraId="6BBF5B7F">
                  <w:pPr>
                    <w:widowControl/>
                    <w:jc w:val="center"/>
                    <w:textAlignment w:val="center"/>
                    <w:rPr>
                      <w:szCs w:val="21"/>
                    </w:rPr>
                  </w:pPr>
                  <w:r>
                    <w:rPr>
                      <w:rFonts w:hint="eastAsia"/>
                      <w:kern w:val="0"/>
                      <w:szCs w:val="21"/>
                    </w:rPr>
                    <w:t>350</w:t>
                  </w:r>
                </w:p>
              </w:tc>
              <w:tc>
                <w:tcPr>
                  <w:tcW w:w="844" w:type="dxa"/>
                  <w:noWrap w:val="0"/>
                  <w:vAlign w:val="center"/>
                </w:tcPr>
                <w:p w14:paraId="5D464F55">
                  <w:pPr>
                    <w:widowControl/>
                    <w:jc w:val="center"/>
                    <w:textAlignment w:val="center"/>
                    <w:rPr>
                      <w:rFonts w:hint="default" w:eastAsia="宋体"/>
                      <w:szCs w:val="21"/>
                      <w:lang w:val="en-US" w:eastAsia="zh-CN"/>
                    </w:rPr>
                  </w:pPr>
                  <w:r>
                    <w:rPr>
                      <w:rFonts w:hint="eastAsia"/>
                      <w:szCs w:val="21"/>
                      <w:lang w:val="en-US" w:eastAsia="zh-CN"/>
                    </w:rPr>
                    <w:t>1.176</w:t>
                  </w:r>
                </w:p>
              </w:tc>
              <w:tc>
                <w:tcPr>
                  <w:tcW w:w="1275" w:type="dxa"/>
                  <w:vMerge w:val="restart"/>
                  <w:noWrap w:val="0"/>
                  <w:vAlign w:val="center"/>
                </w:tcPr>
                <w:p w14:paraId="7EBD8503">
                  <w:pPr>
                    <w:widowControl/>
                    <w:jc w:val="center"/>
                    <w:textAlignment w:val="center"/>
                    <w:rPr>
                      <w:rFonts w:hint="default" w:eastAsia="宋体"/>
                      <w:szCs w:val="21"/>
                      <w:lang w:val="en-US" w:eastAsia="zh-CN"/>
                    </w:rPr>
                  </w:pPr>
                  <w:r>
                    <w:rPr>
                      <w:szCs w:val="21"/>
                    </w:rPr>
                    <w:t>化粪池</w:t>
                  </w:r>
                  <w:r>
                    <w:rPr>
                      <w:rFonts w:hint="eastAsia"/>
                      <w:szCs w:val="21"/>
                    </w:rPr>
                    <w:t>预</w:t>
                  </w:r>
                  <w:r>
                    <w:rPr>
                      <w:szCs w:val="21"/>
                    </w:rPr>
                    <w:t>处理后</w:t>
                  </w:r>
                  <w:r>
                    <w:rPr>
                      <w:rFonts w:hint="eastAsia"/>
                      <w:szCs w:val="21"/>
                    </w:rPr>
                    <w:t>排入</w:t>
                  </w:r>
                  <w:r>
                    <w:rPr>
                      <w:rFonts w:hint="eastAsia"/>
                      <w:szCs w:val="21"/>
                      <w:lang w:val="en-US" w:eastAsia="zh-CN"/>
                    </w:rPr>
                    <w:t>园区</w:t>
                  </w:r>
                  <w:r>
                    <w:rPr>
                      <w:rFonts w:hint="eastAsia"/>
                      <w:szCs w:val="21"/>
                    </w:rPr>
                    <w:t>污水管网</w:t>
                  </w:r>
                  <w:r>
                    <w:rPr>
                      <w:rFonts w:hint="eastAsia"/>
                      <w:szCs w:val="21"/>
                      <w:lang w:eastAsia="zh-CN"/>
                    </w:rPr>
                    <w:t>，</w:t>
                  </w:r>
                  <w:r>
                    <w:rPr>
                      <w:rFonts w:hint="eastAsia"/>
                      <w:szCs w:val="21"/>
                      <w:lang w:val="en-US" w:eastAsia="zh-CN"/>
                    </w:rPr>
                    <w:t>最终进入轮台县新城区生活污水处理厂处理</w:t>
                  </w:r>
                </w:p>
              </w:tc>
              <w:tc>
                <w:tcPr>
                  <w:tcW w:w="792" w:type="dxa"/>
                  <w:noWrap w:val="0"/>
                  <w:vAlign w:val="center"/>
                </w:tcPr>
                <w:p w14:paraId="306FBC4A">
                  <w:pPr>
                    <w:widowControl/>
                    <w:jc w:val="center"/>
                    <w:textAlignment w:val="center"/>
                    <w:rPr>
                      <w:szCs w:val="21"/>
                    </w:rPr>
                  </w:pPr>
                  <w:r>
                    <w:rPr>
                      <w:color w:val="000000"/>
                      <w:szCs w:val="21"/>
                    </w:rPr>
                    <w:t>15</w:t>
                  </w:r>
                </w:p>
              </w:tc>
              <w:tc>
                <w:tcPr>
                  <w:tcW w:w="467" w:type="dxa"/>
                  <w:vMerge w:val="restart"/>
                  <w:noWrap w:val="0"/>
                  <w:vAlign w:val="center"/>
                </w:tcPr>
                <w:p w14:paraId="4DF0A27D">
                  <w:pPr>
                    <w:widowControl/>
                    <w:jc w:val="center"/>
                    <w:textAlignment w:val="center"/>
                    <w:rPr>
                      <w:rFonts w:hint="default" w:eastAsia="宋体"/>
                      <w:szCs w:val="21"/>
                      <w:lang w:val="en-US" w:eastAsia="zh-CN"/>
                    </w:rPr>
                  </w:pPr>
                  <w:r>
                    <w:rPr>
                      <w:rFonts w:hint="eastAsia"/>
                      <w:szCs w:val="21"/>
                      <w:lang w:val="en-US" w:eastAsia="zh-CN"/>
                    </w:rPr>
                    <w:t>物料衡算法</w:t>
                  </w:r>
                </w:p>
              </w:tc>
              <w:tc>
                <w:tcPr>
                  <w:tcW w:w="1165" w:type="dxa"/>
                  <w:noWrap w:val="0"/>
                  <w:vAlign w:val="center"/>
                </w:tcPr>
                <w:p w14:paraId="456EA1EE">
                  <w:pPr>
                    <w:jc w:val="center"/>
                    <w:rPr>
                      <w:szCs w:val="21"/>
                    </w:rPr>
                  </w:pPr>
                  <w:r>
                    <w:rPr>
                      <w:rFonts w:hint="eastAsia"/>
                      <w:szCs w:val="21"/>
                    </w:rPr>
                    <w:t>297.5</w:t>
                  </w:r>
                </w:p>
              </w:tc>
              <w:tc>
                <w:tcPr>
                  <w:tcW w:w="824" w:type="dxa"/>
                  <w:noWrap w:val="0"/>
                  <w:vAlign w:val="center"/>
                </w:tcPr>
                <w:p w14:paraId="0E004CB2">
                  <w:pPr>
                    <w:jc w:val="center"/>
                    <w:rPr>
                      <w:rFonts w:hint="default" w:eastAsia="宋体"/>
                      <w:szCs w:val="21"/>
                      <w:lang w:val="en-US" w:eastAsia="zh-CN"/>
                    </w:rPr>
                  </w:pPr>
                  <w:r>
                    <w:rPr>
                      <w:rFonts w:hint="eastAsia"/>
                      <w:szCs w:val="21"/>
                      <w:lang w:val="en-US" w:eastAsia="zh-CN"/>
                    </w:rPr>
                    <w:t>0.999</w:t>
                  </w:r>
                </w:p>
              </w:tc>
              <w:tc>
                <w:tcPr>
                  <w:tcW w:w="767" w:type="dxa"/>
                  <w:noWrap w:val="0"/>
                  <w:vAlign w:val="center"/>
                </w:tcPr>
                <w:p w14:paraId="6B761C18">
                  <w:pPr>
                    <w:jc w:val="center"/>
                    <w:rPr>
                      <w:szCs w:val="21"/>
                    </w:rPr>
                  </w:pPr>
                  <w:r>
                    <w:rPr>
                      <w:szCs w:val="21"/>
                    </w:rPr>
                    <w:t>500</w:t>
                  </w:r>
                </w:p>
                <w:p w14:paraId="6B2F46B9">
                  <w:pPr>
                    <w:jc w:val="center"/>
                    <w:rPr>
                      <w:szCs w:val="21"/>
                    </w:rPr>
                  </w:pPr>
                  <w:r>
                    <w:rPr>
                      <w:szCs w:val="21"/>
                    </w:rPr>
                    <w:t>mg/L</w:t>
                  </w:r>
                </w:p>
              </w:tc>
            </w:tr>
            <w:tr w14:paraId="40DC2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5" w:hRule="atLeast"/>
              </w:trPr>
              <w:tc>
                <w:tcPr>
                  <w:tcW w:w="741" w:type="dxa"/>
                  <w:noWrap w:val="0"/>
                  <w:vAlign w:val="center"/>
                </w:tcPr>
                <w:p w14:paraId="15DC1183">
                  <w:pPr>
                    <w:jc w:val="center"/>
                    <w:rPr>
                      <w:rFonts w:hint="eastAsia" w:eastAsia="宋体"/>
                      <w:szCs w:val="21"/>
                      <w:lang w:val="en-US" w:eastAsia="zh-CN"/>
                    </w:rPr>
                  </w:pPr>
                  <w:r>
                    <w:rPr>
                      <w:szCs w:val="21"/>
                    </w:rPr>
                    <w:t>BOD</w:t>
                  </w:r>
                  <w:r>
                    <w:rPr>
                      <w:rFonts w:hint="eastAsia"/>
                      <w:szCs w:val="21"/>
                      <w:vertAlign w:val="subscript"/>
                      <w:lang w:val="en-US" w:eastAsia="zh-CN"/>
                    </w:rPr>
                    <w:t>5</w:t>
                  </w:r>
                </w:p>
              </w:tc>
              <w:tc>
                <w:tcPr>
                  <w:tcW w:w="467" w:type="dxa"/>
                  <w:vMerge w:val="continue"/>
                  <w:noWrap w:val="0"/>
                  <w:vAlign w:val="center"/>
                </w:tcPr>
                <w:p w14:paraId="5019C857">
                  <w:pPr>
                    <w:jc w:val="center"/>
                    <w:rPr>
                      <w:szCs w:val="21"/>
                    </w:rPr>
                  </w:pPr>
                </w:p>
              </w:tc>
              <w:tc>
                <w:tcPr>
                  <w:tcW w:w="943" w:type="dxa"/>
                  <w:noWrap w:val="0"/>
                  <w:vAlign w:val="center"/>
                </w:tcPr>
                <w:p w14:paraId="255401E8">
                  <w:pPr>
                    <w:widowControl/>
                    <w:jc w:val="center"/>
                    <w:textAlignment w:val="center"/>
                    <w:rPr>
                      <w:bCs/>
                      <w:szCs w:val="21"/>
                    </w:rPr>
                  </w:pPr>
                  <w:r>
                    <w:rPr>
                      <w:szCs w:val="21"/>
                    </w:rPr>
                    <w:t>250</w:t>
                  </w:r>
                </w:p>
              </w:tc>
              <w:tc>
                <w:tcPr>
                  <w:tcW w:w="844" w:type="dxa"/>
                  <w:noWrap w:val="0"/>
                  <w:vAlign w:val="center"/>
                </w:tcPr>
                <w:p w14:paraId="1240474A">
                  <w:pPr>
                    <w:widowControl/>
                    <w:jc w:val="center"/>
                    <w:textAlignment w:val="center"/>
                    <w:rPr>
                      <w:rFonts w:hint="default" w:eastAsia="宋体"/>
                      <w:szCs w:val="21"/>
                      <w:lang w:val="en-US" w:eastAsia="zh-CN"/>
                    </w:rPr>
                  </w:pPr>
                  <w:r>
                    <w:rPr>
                      <w:rFonts w:hint="eastAsia"/>
                      <w:szCs w:val="21"/>
                      <w:lang w:val="en-US" w:eastAsia="zh-CN"/>
                    </w:rPr>
                    <w:t>0.840</w:t>
                  </w:r>
                </w:p>
              </w:tc>
              <w:tc>
                <w:tcPr>
                  <w:tcW w:w="1275" w:type="dxa"/>
                  <w:vMerge w:val="continue"/>
                  <w:noWrap w:val="0"/>
                  <w:vAlign w:val="center"/>
                </w:tcPr>
                <w:p w14:paraId="7541B45F">
                  <w:pPr>
                    <w:widowControl/>
                    <w:jc w:val="center"/>
                    <w:textAlignment w:val="center"/>
                    <w:rPr>
                      <w:szCs w:val="21"/>
                    </w:rPr>
                  </w:pPr>
                </w:p>
              </w:tc>
              <w:tc>
                <w:tcPr>
                  <w:tcW w:w="792" w:type="dxa"/>
                  <w:noWrap w:val="0"/>
                  <w:vAlign w:val="center"/>
                </w:tcPr>
                <w:p w14:paraId="6F692413">
                  <w:pPr>
                    <w:widowControl/>
                    <w:jc w:val="center"/>
                    <w:textAlignment w:val="center"/>
                    <w:rPr>
                      <w:szCs w:val="21"/>
                    </w:rPr>
                  </w:pPr>
                  <w:r>
                    <w:rPr>
                      <w:color w:val="000000"/>
                      <w:szCs w:val="21"/>
                    </w:rPr>
                    <w:t>9</w:t>
                  </w:r>
                </w:p>
              </w:tc>
              <w:tc>
                <w:tcPr>
                  <w:tcW w:w="467" w:type="dxa"/>
                  <w:vMerge w:val="continue"/>
                  <w:noWrap w:val="0"/>
                  <w:vAlign w:val="center"/>
                </w:tcPr>
                <w:p w14:paraId="0D663CE1">
                  <w:pPr>
                    <w:widowControl/>
                    <w:jc w:val="center"/>
                    <w:textAlignment w:val="center"/>
                    <w:rPr>
                      <w:szCs w:val="21"/>
                    </w:rPr>
                  </w:pPr>
                </w:p>
              </w:tc>
              <w:tc>
                <w:tcPr>
                  <w:tcW w:w="1165" w:type="dxa"/>
                  <w:noWrap w:val="0"/>
                  <w:vAlign w:val="center"/>
                </w:tcPr>
                <w:p w14:paraId="55D26D4F">
                  <w:pPr>
                    <w:jc w:val="center"/>
                    <w:rPr>
                      <w:szCs w:val="21"/>
                    </w:rPr>
                  </w:pPr>
                  <w:r>
                    <w:rPr>
                      <w:rFonts w:hint="eastAsia"/>
                      <w:szCs w:val="21"/>
                    </w:rPr>
                    <w:t>227.5</w:t>
                  </w:r>
                </w:p>
              </w:tc>
              <w:tc>
                <w:tcPr>
                  <w:tcW w:w="824" w:type="dxa"/>
                  <w:noWrap w:val="0"/>
                  <w:vAlign w:val="center"/>
                </w:tcPr>
                <w:p w14:paraId="3AB08255">
                  <w:pPr>
                    <w:jc w:val="center"/>
                    <w:rPr>
                      <w:rFonts w:hint="default" w:eastAsia="宋体"/>
                      <w:szCs w:val="21"/>
                      <w:lang w:val="en-US" w:eastAsia="zh-CN"/>
                    </w:rPr>
                  </w:pPr>
                  <w:r>
                    <w:rPr>
                      <w:rFonts w:hint="eastAsia"/>
                      <w:szCs w:val="21"/>
                      <w:lang w:val="en-US" w:eastAsia="zh-CN"/>
                    </w:rPr>
                    <w:t>0.764</w:t>
                  </w:r>
                </w:p>
              </w:tc>
              <w:tc>
                <w:tcPr>
                  <w:tcW w:w="767" w:type="dxa"/>
                  <w:noWrap w:val="0"/>
                  <w:vAlign w:val="center"/>
                </w:tcPr>
                <w:p w14:paraId="721C57FC">
                  <w:pPr>
                    <w:jc w:val="center"/>
                    <w:rPr>
                      <w:szCs w:val="21"/>
                    </w:rPr>
                  </w:pPr>
                  <w:r>
                    <w:rPr>
                      <w:szCs w:val="21"/>
                    </w:rPr>
                    <w:t>300</w:t>
                  </w:r>
                </w:p>
                <w:p w14:paraId="69E89C08">
                  <w:pPr>
                    <w:jc w:val="center"/>
                    <w:rPr>
                      <w:szCs w:val="21"/>
                    </w:rPr>
                  </w:pPr>
                  <w:r>
                    <w:rPr>
                      <w:szCs w:val="21"/>
                    </w:rPr>
                    <w:t>mg/L</w:t>
                  </w:r>
                </w:p>
              </w:tc>
            </w:tr>
            <w:tr w14:paraId="4B211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6" w:hRule="atLeast"/>
              </w:trPr>
              <w:tc>
                <w:tcPr>
                  <w:tcW w:w="741" w:type="dxa"/>
                  <w:noWrap w:val="0"/>
                  <w:vAlign w:val="center"/>
                </w:tcPr>
                <w:p w14:paraId="5110B5DE">
                  <w:pPr>
                    <w:jc w:val="center"/>
                    <w:rPr>
                      <w:bCs/>
                      <w:szCs w:val="21"/>
                    </w:rPr>
                  </w:pPr>
                  <w:r>
                    <w:rPr>
                      <w:szCs w:val="21"/>
                    </w:rPr>
                    <w:t>SS</w:t>
                  </w:r>
                </w:p>
              </w:tc>
              <w:tc>
                <w:tcPr>
                  <w:tcW w:w="467" w:type="dxa"/>
                  <w:vMerge w:val="continue"/>
                  <w:noWrap w:val="0"/>
                  <w:vAlign w:val="center"/>
                </w:tcPr>
                <w:p w14:paraId="6E229EFD">
                  <w:pPr>
                    <w:jc w:val="center"/>
                    <w:rPr>
                      <w:szCs w:val="21"/>
                    </w:rPr>
                  </w:pPr>
                </w:p>
              </w:tc>
              <w:tc>
                <w:tcPr>
                  <w:tcW w:w="943" w:type="dxa"/>
                  <w:noWrap w:val="0"/>
                  <w:vAlign w:val="center"/>
                </w:tcPr>
                <w:p w14:paraId="293C1315">
                  <w:pPr>
                    <w:widowControl/>
                    <w:jc w:val="center"/>
                    <w:textAlignment w:val="center"/>
                    <w:rPr>
                      <w:bCs/>
                      <w:szCs w:val="21"/>
                    </w:rPr>
                  </w:pPr>
                  <w:r>
                    <w:rPr>
                      <w:szCs w:val="21"/>
                    </w:rPr>
                    <w:t>200</w:t>
                  </w:r>
                </w:p>
              </w:tc>
              <w:tc>
                <w:tcPr>
                  <w:tcW w:w="844" w:type="dxa"/>
                  <w:noWrap w:val="0"/>
                  <w:vAlign w:val="center"/>
                </w:tcPr>
                <w:p w14:paraId="1FF710DB">
                  <w:pPr>
                    <w:widowControl/>
                    <w:jc w:val="center"/>
                    <w:textAlignment w:val="center"/>
                    <w:rPr>
                      <w:rFonts w:hint="default" w:eastAsia="宋体"/>
                      <w:szCs w:val="21"/>
                      <w:lang w:val="en-US" w:eastAsia="zh-CN"/>
                    </w:rPr>
                  </w:pPr>
                  <w:r>
                    <w:rPr>
                      <w:rFonts w:hint="eastAsia"/>
                      <w:szCs w:val="21"/>
                      <w:lang w:val="en-US" w:eastAsia="zh-CN"/>
                    </w:rPr>
                    <w:t>0.672</w:t>
                  </w:r>
                </w:p>
              </w:tc>
              <w:tc>
                <w:tcPr>
                  <w:tcW w:w="1275" w:type="dxa"/>
                  <w:vMerge w:val="continue"/>
                  <w:noWrap w:val="0"/>
                  <w:vAlign w:val="center"/>
                </w:tcPr>
                <w:p w14:paraId="4A66684C">
                  <w:pPr>
                    <w:widowControl/>
                    <w:jc w:val="center"/>
                    <w:textAlignment w:val="center"/>
                    <w:rPr>
                      <w:color w:val="000000"/>
                      <w:szCs w:val="21"/>
                    </w:rPr>
                  </w:pPr>
                </w:p>
              </w:tc>
              <w:tc>
                <w:tcPr>
                  <w:tcW w:w="792" w:type="dxa"/>
                  <w:noWrap w:val="0"/>
                  <w:vAlign w:val="center"/>
                </w:tcPr>
                <w:p w14:paraId="2B112B81">
                  <w:pPr>
                    <w:widowControl/>
                    <w:jc w:val="center"/>
                    <w:textAlignment w:val="center"/>
                    <w:rPr>
                      <w:color w:val="000000"/>
                      <w:szCs w:val="21"/>
                    </w:rPr>
                  </w:pPr>
                  <w:r>
                    <w:rPr>
                      <w:color w:val="000000"/>
                      <w:szCs w:val="21"/>
                    </w:rPr>
                    <w:t>30</w:t>
                  </w:r>
                </w:p>
              </w:tc>
              <w:tc>
                <w:tcPr>
                  <w:tcW w:w="467" w:type="dxa"/>
                  <w:vMerge w:val="continue"/>
                  <w:noWrap w:val="0"/>
                  <w:vAlign w:val="center"/>
                </w:tcPr>
                <w:p w14:paraId="0617904D">
                  <w:pPr>
                    <w:widowControl/>
                    <w:jc w:val="center"/>
                    <w:textAlignment w:val="center"/>
                    <w:rPr>
                      <w:color w:val="000000"/>
                      <w:szCs w:val="21"/>
                    </w:rPr>
                  </w:pPr>
                </w:p>
              </w:tc>
              <w:tc>
                <w:tcPr>
                  <w:tcW w:w="1165" w:type="dxa"/>
                  <w:noWrap w:val="0"/>
                  <w:vAlign w:val="center"/>
                </w:tcPr>
                <w:p w14:paraId="42D1BD97">
                  <w:pPr>
                    <w:jc w:val="center"/>
                    <w:rPr>
                      <w:szCs w:val="21"/>
                    </w:rPr>
                  </w:pPr>
                  <w:r>
                    <w:rPr>
                      <w:rFonts w:hint="eastAsia"/>
                      <w:szCs w:val="21"/>
                    </w:rPr>
                    <w:t>140</w:t>
                  </w:r>
                </w:p>
              </w:tc>
              <w:tc>
                <w:tcPr>
                  <w:tcW w:w="824" w:type="dxa"/>
                  <w:noWrap w:val="0"/>
                  <w:vAlign w:val="center"/>
                </w:tcPr>
                <w:p w14:paraId="4305671D">
                  <w:pPr>
                    <w:jc w:val="center"/>
                    <w:rPr>
                      <w:rFonts w:hint="default" w:eastAsia="宋体"/>
                      <w:szCs w:val="21"/>
                      <w:lang w:val="en-US" w:eastAsia="zh-CN"/>
                    </w:rPr>
                  </w:pPr>
                  <w:r>
                    <w:rPr>
                      <w:rFonts w:hint="eastAsia"/>
                      <w:szCs w:val="21"/>
                      <w:lang w:val="en-US" w:eastAsia="zh-CN"/>
                    </w:rPr>
                    <w:t>0.470</w:t>
                  </w:r>
                </w:p>
              </w:tc>
              <w:tc>
                <w:tcPr>
                  <w:tcW w:w="767" w:type="dxa"/>
                  <w:noWrap w:val="0"/>
                  <w:vAlign w:val="center"/>
                </w:tcPr>
                <w:p w14:paraId="551AACAE">
                  <w:pPr>
                    <w:jc w:val="center"/>
                    <w:rPr>
                      <w:szCs w:val="21"/>
                    </w:rPr>
                  </w:pPr>
                  <w:r>
                    <w:rPr>
                      <w:szCs w:val="21"/>
                    </w:rPr>
                    <w:t>400</w:t>
                  </w:r>
                </w:p>
                <w:p w14:paraId="7652D045">
                  <w:pPr>
                    <w:jc w:val="center"/>
                    <w:rPr>
                      <w:szCs w:val="21"/>
                    </w:rPr>
                  </w:pPr>
                  <w:r>
                    <w:rPr>
                      <w:szCs w:val="21"/>
                    </w:rPr>
                    <w:t>mg/L</w:t>
                  </w:r>
                </w:p>
              </w:tc>
            </w:tr>
            <w:tr w14:paraId="01B1A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7" w:hRule="atLeast"/>
              </w:trPr>
              <w:tc>
                <w:tcPr>
                  <w:tcW w:w="741" w:type="dxa"/>
                  <w:noWrap w:val="0"/>
                  <w:vAlign w:val="center"/>
                </w:tcPr>
                <w:p w14:paraId="31EBB67A">
                  <w:pPr>
                    <w:jc w:val="center"/>
                    <w:rPr>
                      <w:bCs/>
                      <w:szCs w:val="21"/>
                    </w:rPr>
                  </w:pPr>
                  <w:r>
                    <w:rPr>
                      <w:szCs w:val="21"/>
                    </w:rPr>
                    <w:t>氨氮</w:t>
                  </w:r>
                </w:p>
              </w:tc>
              <w:tc>
                <w:tcPr>
                  <w:tcW w:w="467" w:type="dxa"/>
                  <w:vMerge w:val="continue"/>
                  <w:noWrap w:val="0"/>
                  <w:vAlign w:val="center"/>
                </w:tcPr>
                <w:p w14:paraId="6B77E487">
                  <w:pPr>
                    <w:jc w:val="center"/>
                    <w:rPr>
                      <w:szCs w:val="21"/>
                    </w:rPr>
                  </w:pPr>
                </w:p>
              </w:tc>
              <w:tc>
                <w:tcPr>
                  <w:tcW w:w="943" w:type="dxa"/>
                  <w:noWrap w:val="0"/>
                  <w:vAlign w:val="center"/>
                </w:tcPr>
                <w:p w14:paraId="093140C9">
                  <w:pPr>
                    <w:widowControl/>
                    <w:jc w:val="center"/>
                    <w:textAlignment w:val="center"/>
                    <w:rPr>
                      <w:bCs/>
                      <w:szCs w:val="21"/>
                    </w:rPr>
                  </w:pPr>
                  <w:r>
                    <w:rPr>
                      <w:rFonts w:hint="eastAsia"/>
                      <w:bCs/>
                      <w:szCs w:val="21"/>
                    </w:rPr>
                    <w:t>30</w:t>
                  </w:r>
                </w:p>
              </w:tc>
              <w:tc>
                <w:tcPr>
                  <w:tcW w:w="844" w:type="dxa"/>
                  <w:noWrap w:val="0"/>
                  <w:vAlign w:val="center"/>
                </w:tcPr>
                <w:p w14:paraId="473ABDDB">
                  <w:pPr>
                    <w:widowControl/>
                    <w:jc w:val="center"/>
                    <w:textAlignment w:val="center"/>
                    <w:rPr>
                      <w:rFonts w:hint="default" w:eastAsia="宋体"/>
                      <w:szCs w:val="21"/>
                      <w:lang w:val="en-US" w:eastAsia="zh-CN"/>
                    </w:rPr>
                  </w:pPr>
                  <w:r>
                    <w:rPr>
                      <w:rFonts w:hint="eastAsia"/>
                      <w:szCs w:val="21"/>
                      <w:lang w:val="en-US" w:eastAsia="zh-CN"/>
                    </w:rPr>
                    <w:t>0.101</w:t>
                  </w:r>
                </w:p>
              </w:tc>
              <w:tc>
                <w:tcPr>
                  <w:tcW w:w="1275" w:type="dxa"/>
                  <w:vMerge w:val="continue"/>
                  <w:noWrap w:val="0"/>
                  <w:vAlign w:val="center"/>
                </w:tcPr>
                <w:p w14:paraId="1974ED79">
                  <w:pPr>
                    <w:widowControl/>
                    <w:jc w:val="center"/>
                    <w:textAlignment w:val="center"/>
                    <w:rPr>
                      <w:color w:val="000000"/>
                      <w:szCs w:val="21"/>
                    </w:rPr>
                  </w:pPr>
                </w:p>
              </w:tc>
              <w:tc>
                <w:tcPr>
                  <w:tcW w:w="792" w:type="dxa"/>
                  <w:noWrap w:val="0"/>
                  <w:vAlign w:val="center"/>
                </w:tcPr>
                <w:p w14:paraId="550DCE06">
                  <w:pPr>
                    <w:widowControl/>
                    <w:jc w:val="center"/>
                    <w:textAlignment w:val="center"/>
                    <w:rPr>
                      <w:color w:val="000000"/>
                      <w:szCs w:val="21"/>
                    </w:rPr>
                  </w:pPr>
                  <w:r>
                    <w:rPr>
                      <w:color w:val="000000"/>
                      <w:szCs w:val="21"/>
                    </w:rPr>
                    <w:t>3</w:t>
                  </w:r>
                </w:p>
              </w:tc>
              <w:tc>
                <w:tcPr>
                  <w:tcW w:w="467" w:type="dxa"/>
                  <w:vMerge w:val="continue"/>
                  <w:noWrap w:val="0"/>
                  <w:vAlign w:val="center"/>
                </w:tcPr>
                <w:p w14:paraId="770B50CD">
                  <w:pPr>
                    <w:widowControl/>
                    <w:jc w:val="center"/>
                    <w:textAlignment w:val="center"/>
                    <w:rPr>
                      <w:color w:val="000000"/>
                      <w:szCs w:val="21"/>
                    </w:rPr>
                  </w:pPr>
                </w:p>
              </w:tc>
              <w:tc>
                <w:tcPr>
                  <w:tcW w:w="1165" w:type="dxa"/>
                  <w:noWrap w:val="0"/>
                  <w:vAlign w:val="center"/>
                </w:tcPr>
                <w:p w14:paraId="39C29383">
                  <w:pPr>
                    <w:jc w:val="center"/>
                    <w:rPr>
                      <w:szCs w:val="21"/>
                    </w:rPr>
                  </w:pPr>
                  <w:r>
                    <w:rPr>
                      <w:rFonts w:hint="eastAsia"/>
                      <w:szCs w:val="21"/>
                    </w:rPr>
                    <w:t>29.1</w:t>
                  </w:r>
                </w:p>
              </w:tc>
              <w:tc>
                <w:tcPr>
                  <w:tcW w:w="824" w:type="dxa"/>
                  <w:noWrap w:val="0"/>
                  <w:vAlign w:val="center"/>
                </w:tcPr>
                <w:p w14:paraId="3AD20984">
                  <w:pPr>
                    <w:jc w:val="center"/>
                    <w:rPr>
                      <w:rFonts w:hint="default" w:eastAsia="宋体"/>
                      <w:szCs w:val="21"/>
                      <w:lang w:val="en-US" w:eastAsia="zh-CN"/>
                    </w:rPr>
                  </w:pPr>
                  <w:r>
                    <w:rPr>
                      <w:rFonts w:hint="eastAsia"/>
                      <w:szCs w:val="21"/>
                      <w:lang w:val="en-US" w:eastAsia="zh-CN"/>
                    </w:rPr>
                    <w:t>0.098</w:t>
                  </w:r>
                </w:p>
              </w:tc>
              <w:tc>
                <w:tcPr>
                  <w:tcW w:w="767" w:type="dxa"/>
                  <w:noWrap w:val="0"/>
                  <w:vAlign w:val="center"/>
                </w:tcPr>
                <w:p w14:paraId="4E599021">
                  <w:pPr>
                    <w:jc w:val="center"/>
                    <w:rPr>
                      <w:szCs w:val="21"/>
                    </w:rPr>
                  </w:pPr>
                  <w:r>
                    <w:rPr>
                      <w:szCs w:val="21"/>
                    </w:rPr>
                    <w:t>/</w:t>
                  </w:r>
                </w:p>
              </w:tc>
            </w:tr>
          </w:tbl>
          <w:p w14:paraId="46FE5891">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cs="宋体"/>
                <w:b/>
                <w:bCs/>
                <w:sz w:val="24"/>
              </w:rPr>
            </w:pPr>
            <w:r>
              <w:rPr>
                <w:rFonts w:hint="eastAsia" w:ascii="宋体" w:hAnsi="宋体" w:cs="宋体"/>
                <w:b/>
                <w:bCs/>
                <w:sz w:val="24"/>
                <w:lang w:eastAsia="zh-CN"/>
              </w:rPr>
              <w:t>2.</w:t>
            </w:r>
            <w:r>
              <w:rPr>
                <w:rFonts w:hint="eastAsia" w:ascii="宋体" w:hAnsi="宋体" w:cs="宋体"/>
                <w:b/>
                <w:bCs/>
                <w:sz w:val="24"/>
              </w:rPr>
              <w:t>废水污染防治措施可行性</w:t>
            </w:r>
          </w:p>
          <w:p w14:paraId="43E00B2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本项目生活废水主要为职工产生的生活污水，主要污染物CODcr、BOD</w:t>
            </w:r>
            <w:r>
              <w:rPr>
                <w:rFonts w:hint="default" w:ascii="Times New Roman" w:hAnsi="Times New Roman" w:cs="Times New Roman"/>
                <w:sz w:val="24"/>
                <w:vertAlign w:val="subscript"/>
              </w:rPr>
              <w:t>5</w:t>
            </w:r>
            <w:r>
              <w:rPr>
                <w:rFonts w:hint="default" w:ascii="Times New Roman" w:hAnsi="Times New Roman" w:cs="Times New Roman"/>
                <w:sz w:val="24"/>
              </w:rPr>
              <w:t>、SS、氨氮等。生活污水经防渗化粪池预处理后，本项目生活污水原水水质：CODcr350 mg/L，BOD₅250 mg/L，SS200 mg/L</w:t>
            </w:r>
            <w:r>
              <w:rPr>
                <w:rFonts w:hint="eastAsia" w:cs="Times New Roman"/>
                <w:sz w:val="24"/>
                <w:lang w:eastAsia="zh-CN"/>
              </w:rPr>
              <w:t>，</w:t>
            </w:r>
            <w:r>
              <w:rPr>
                <w:rFonts w:hint="default" w:ascii="Times New Roman" w:hAnsi="Times New Roman" w:cs="Times New Roman"/>
                <w:sz w:val="24"/>
              </w:rPr>
              <w:t>经三格化粪池预处理后估算出水水质：CODcr</w:t>
            </w:r>
            <w:r>
              <w:rPr>
                <w:rFonts w:hint="eastAsia" w:cs="Times New Roman"/>
                <w:sz w:val="24"/>
                <w:lang w:val="en-US" w:eastAsia="zh-CN"/>
              </w:rPr>
              <w:t>297.5</w:t>
            </w:r>
            <w:r>
              <w:rPr>
                <w:rFonts w:hint="default" w:ascii="Times New Roman" w:hAnsi="Times New Roman" w:cs="Times New Roman"/>
                <w:sz w:val="24"/>
              </w:rPr>
              <w:t> mg/L，BOD₅</w:t>
            </w:r>
            <w:r>
              <w:rPr>
                <w:rFonts w:hint="eastAsia" w:cs="Times New Roman"/>
                <w:sz w:val="24"/>
                <w:lang w:val="en-US" w:eastAsia="zh-CN"/>
              </w:rPr>
              <w:t>227.5</w:t>
            </w:r>
            <w:r>
              <w:rPr>
                <w:rFonts w:hint="default" w:ascii="Times New Roman" w:hAnsi="Times New Roman" w:cs="Times New Roman"/>
                <w:sz w:val="24"/>
              </w:rPr>
              <w:t>mg/L，SS</w:t>
            </w:r>
            <w:r>
              <w:rPr>
                <w:rFonts w:hint="eastAsia" w:cs="Times New Roman"/>
                <w:sz w:val="24"/>
                <w:lang w:val="en-US" w:eastAsia="zh-CN"/>
              </w:rPr>
              <w:t>140</w:t>
            </w:r>
            <w:r>
              <w:rPr>
                <w:rFonts w:hint="default" w:ascii="Times New Roman" w:hAnsi="Times New Roman" w:cs="Times New Roman"/>
                <w:sz w:val="24"/>
              </w:rPr>
              <w:t> mg/L</w:t>
            </w:r>
            <w:r>
              <w:rPr>
                <w:rFonts w:hint="eastAsia" w:cs="Times New Roman"/>
                <w:sz w:val="24"/>
                <w:lang w:eastAsia="zh-CN"/>
              </w:rPr>
              <w:t>，</w:t>
            </w:r>
            <w:r>
              <w:rPr>
                <w:rFonts w:hint="default" w:ascii="Times New Roman" w:hAnsi="Times New Roman" w:cs="Times New Roman"/>
                <w:sz w:val="24"/>
              </w:rPr>
              <w:t>可满足《污水综合排放标准》（GB 8978</w:t>
            </w:r>
            <w:r>
              <w:rPr>
                <w:rFonts w:hint="eastAsia" w:cs="Times New Roman"/>
                <w:sz w:val="24"/>
                <w:lang w:val="en-US" w:eastAsia="zh-CN"/>
              </w:rPr>
              <w:t>-</w:t>
            </w:r>
            <w:r>
              <w:rPr>
                <w:rFonts w:hint="default" w:ascii="Times New Roman" w:hAnsi="Times New Roman" w:cs="Times New Roman"/>
                <w:sz w:val="24"/>
              </w:rPr>
              <w:t>1996）三级标准纳管要求（COD≤300 mg/L、BOD₅≤300 mg/L、SS≤400 mg/L）。建设单位应在项目竣工环保验收前完成厂区污水总排口与园区市政污水管网的正式接驳</w:t>
            </w:r>
            <w:r>
              <w:rPr>
                <w:rFonts w:hint="eastAsia" w:cs="Times New Roman"/>
                <w:sz w:val="24"/>
                <w:lang w:eastAsia="zh-CN"/>
              </w:rPr>
              <w:t>，</w:t>
            </w:r>
            <w:r>
              <w:rPr>
                <w:rFonts w:hint="default" w:ascii="Times New Roman" w:hAnsi="Times New Roman" w:cs="Times New Roman"/>
                <w:sz w:val="24"/>
              </w:rPr>
              <w:t>接驳前须按园区管理要求完成入网申报，在未完成管网有效接驳前，项目不得投入试生产。</w:t>
            </w:r>
          </w:p>
          <w:p w14:paraId="0811BA2F">
            <w:pPr>
              <w:pStyle w:val="13"/>
              <w:keepNext w:val="0"/>
              <w:keepLines w:val="0"/>
              <w:pageBreakBefore w:val="0"/>
              <w:widowControl w:val="0"/>
              <w:kinsoku/>
              <w:wordWrap/>
              <w:overflowPunct/>
              <w:topLinePunct w:val="0"/>
              <w:autoSpaceDE/>
              <w:autoSpaceDN/>
              <w:bidi w:val="0"/>
              <w:adjustRightInd w:val="0"/>
              <w:snapToGrid w:val="0"/>
              <w:spacing w:line="520" w:lineRule="exact"/>
              <w:ind w:left="0" w:leftChars="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依托污水处理可行性分析</w:t>
            </w:r>
          </w:p>
          <w:p w14:paraId="359C4DAC">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b/>
                <w:bCs/>
                <w:sz w:val="24"/>
              </w:rPr>
            </w:pPr>
            <w:r>
              <w:rPr>
                <w:rFonts w:hint="eastAsia"/>
                <w:sz w:val="24"/>
              </w:rPr>
              <w:t>轮台县新城区生活污水处理厂位于轮台县县城东南方向直线距离约11km处</w:t>
            </w:r>
            <w:r>
              <w:rPr>
                <w:sz w:val="24"/>
              </w:rPr>
              <w:t>，地理位置坐标为：</w:t>
            </w:r>
            <w:r>
              <w:rPr>
                <w:rFonts w:hint="eastAsia"/>
                <w:sz w:val="24"/>
              </w:rPr>
              <w:t>东经</w:t>
            </w:r>
            <w:r>
              <w:rPr>
                <w:sz w:val="24"/>
              </w:rPr>
              <w:t>84°22′56.003″</w:t>
            </w:r>
            <w:r>
              <w:rPr>
                <w:rFonts w:hint="eastAsia"/>
                <w:sz w:val="24"/>
              </w:rPr>
              <w:t>，北纬</w:t>
            </w:r>
            <w:r>
              <w:rPr>
                <w:sz w:val="24"/>
              </w:rPr>
              <w:t>41°45′26.449″，</w:t>
            </w:r>
            <w:r>
              <w:rPr>
                <w:rFonts w:hint="eastAsia"/>
                <w:sz w:val="24"/>
              </w:rPr>
              <w:t>处理</w:t>
            </w:r>
            <w:r>
              <w:rPr>
                <w:sz w:val="24"/>
              </w:rPr>
              <w:t>规模</w:t>
            </w:r>
            <w:r>
              <w:rPr>
                <w:rFonts w:hint="eastAsia"/>
                <w:sz w:val="24"/>
              </w:rPr>
              <w:t>3</w:t>
            </w:r>
            <w:r>
              <w:rPr>
                <w:sz w:val="24"/>
              </w:rPr>
              <w:t>万立方米/日</w:t>
            </w:r>
            <w:r>
              <w:rPr>
                <w:rFonts w:hint="eastAsia"/>
                <w:sz w:val="24"/>
                <w:lang w:eastAsia="zh-CN"/>
              </w:rPr>
              <w:t>，</w:t>
            </w:r>
            <w:r>
              <w:rPr>
                <w:rFonts w:hint="eastAsia"/>
                <w:sz w:val="24"/>
                <w:lang w:val="en-US" w:eastAsia="zh-CN"/>
              </w:rPr>
              <w:t>目前剩余处理量为8000m</w:t>
            </w:r>
            <w:r>
              <w:rPr>
                <w:rFonts w:hint="eastAsia"/>
                <w:sz w:val="24"/>
                <w:vertAlign w:val="superscript"/>
                <w:lang w:val="en-US" w:eastAsia="zh-CN"/>
              </w:rPr>
              <w:t>3</w:t>
            </w:r>
            <w:r>
              <w:rPr>
                <w:rFonts w:hint="eastAsia"/>
                <w:sz w:val="24"/>
                <w:lang w:val="en-US" w:eastAsia="zh-CN"/>
              </w:rPr>
              <w:t>/d</w:t>
            </w:r>
            <w:r>
              <w:rPr>
                <w:sz w:val="24"/>
              </w:rPr>
              <w:t>。主要接纳</w:t>
            </w:r>
            <w:r>
              <w:rPr>
                <w:rFonts w:hint="eastAsia"/>
                <w:sz w:val="24"/>
              </w:rPr>
              <w:t>轮台县</w:t>
            </w:r>
            <w:r>
              <w:rPr>
                <w:sz w:val="24"/>
              </w:rPr>
              <w:t>县城</w:t>
            </w:r>
            <w:r>
              <w:rPr>
                <w:rFonts w:hint="eastAsia"/>
                <w:sz w:val="24"/>
              </w:rPr>
              <w:t>及周边乡镇</w:t>
            </w:r>
            <w:r>
              <w:rPr>
                <w:sz w:val="24"/>
              </w:rPr>
              <w:t>生活污水。污水处理厂采用预处理+气浮池+调节池+水解酸化池+A/A/O+MBR膜池+臭氧消毒处理工艺</w:t>
            </w:r>
            <w:r>
              <w:rPr>
                <w:rFonts w:hint="eastAsia"/>
                <w:sz w:val="24"/>
                <w:lang w:eastAsia="zh-CN"/>
              </w:rPr>
              <w:t>，</w:t>
            </w:r>
            <w:r>
              <w:rPr>
                <w:rFonts w:hint="eastAsia"/>
                <w:sz w:val="24"/>
                <w:lang w:val="en-US" w:eastAsia="zh-CN"/>
              </w:rPr>
              <w:t>出水水质执行《城镇污水处理厂污染物排放标准》（GB8918-2022）中表1一级A标准，排放至污水处理厂南侧尾水库用于周边防护林浇灌</w:t>
            </w:r>
            <w:r>
              <w:rPr>
                <w:rFonts w:hint="eastAsia"/>
                <w:sz w:val="24"/>
              </w:rPr>
              <w:t>。目前轮台县新城区生活污水处理厂运行正常，本项目生活污水排放量为</w:t>
            </w:r>
            <w:r>
              <w:rPr>
                <w:rFonts w:hint="eastAsia"/>
                <w:sz w:val="24"/>
                <w:lang w:val="en-US" w:eastAsia="zh-CN"/>
              </w:rPr>
              <w:t>11.2</w:t>
            </w:r>
            <w:r>
              <w:rPr>
                <w:rFonts w:hint="eastAsia"/>
                <w:sz w:val="24"/>
              </w:rPr>
              <w:t>m</w:t>
            </w:r>
            <w:r>
              <w:rPr>
                <w:rFonts w:hint="eastAsia"/>
                <w:sz w:val="24"/>
                <w:vertAlign w:val="superscript"/>
              </w:rPr>
              <w:t>3</w:t>
            </w:r>
            <w:r>
              <w:rPr>
                <w:rFonts w:hint="eastAsia"/>
                <w:sz w:val="24"/>
              </w:rPr>
              <w:t>/d，轮台县新城区生活污水处理厂</w:t>
            </w:r>
            <w:r>
              <w:rPr>
                <w:rFonts w:hint="eastAsia"/>
                <w:sz w:val="24"/>
                <w:lang w:val="en-US" w:eastAsia="zh-CN"/>
              </w:rPr>
              <w:t>可接纳本项目生活污水</w:t>
            </w:r>
            <w:r>
              <w:rPr>
                <w:rFonts w:hint="eastAsia"/>
                <w:sz w:val="24"/>
              </w:rPr>
              <w:t>，因此项目污水的排入不会对轮台县新城区生活污水处理厂造成大的冲击影响，污水去向合理可行</w:t>
            </w:r>
            <w:r>
              <w:rPr>
                <w:color w:val="auto"/>
                <w:sz w:val="24"/>
                <w:highlight w:val="none"/>
              </w:rPr>
              <w:t>。</w:t>
            </w:r>
          </w:p>
          <w:p w14:paraId="6D11C5E1">
            <w:pPr>
              <w:keepNext w:val="0"/>
              <w:keepLines w:val="0"/>
              <w:pageBreakBefore w:val="0"/>
              <w:widowControl w:val="0"/>
              <w:kinsoku/>
              <w:wordWrap/>
              <w:overflowPunct/>
              <w:topLinePunct w:val="0"/>
              <w:autoSpaceDE/>
              <w:autoSpaceDN/>
              <w:bidi w:val="0"/>
              <w:spacing w:line="520" w:lineRule="exact"/>
              <w:ind w:firstLine="482" w:firstLineChars="200"/>
              <w:textAlignment w:val="auto"/>
              <w:rPr>
                <w:rFonts w:hint="eastAsia"/>
                <w:b/>
                <w:bCs/>
                <w:sz w:val="24"/>
              </w:rPr>
            </w:pPr>
            <w:r>
              <w:rPr>
                <w:rFonts w:hint="eastAsia"/>
                <w:b/>
                <w:bCs/>
                <w:sz w:val="24"/>
                <w:lang w:val="en-US" w:eastAsia="zh-CN"/>
              </w:rPr>
              <w:t>4.</w:t>
            </w:r>
            <w:r>
              <w:rPr>
                <w:rFonts w:hint="eastAsia"/>
                <w:b/>
                <w:bCs/>
                <w:sz w:val="24"/>
              </w:rPr>
              <w:t>监测要求</w:t>
            </w:r>
          </w:p>
          <w:p w14:paraId="6AF613A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imes New Roman" w:hAnsi="Times New Roman" w:eastAsia="宋体" w:cs="Times New Roman"/>
                <w:b/>
                <w:sz w:val="24"/>
                <w:lang w:val="en-US" w:eastAsia="zh-CN"/>
              </w:rPr>
            </w:pPr>
            <w:r>
              <w:rPr>
                <w:rFonts w:hint="eastAsia"/>
                <w:sz w:val="24"/>
              </w:rPr>
              <w:t>参照《排污单位自行监测技术指南 总则》（HJ819-2017）的相关要求</w:t>
            </w:r>
            <w:r>
              <w:rPr>
                <w:bCs/>
                <w:spacing w:val="-10"/>
                <w:sz w:val="24"/>
              </w:rPr>
              <w:t>以及</w:t>
            </w:r>
            <w:r>
              <w:rPr>
                <w:rFonts w:hint="eastAsia"/>
                <w:bCs/>
                <w:spacing w:val="-10"/>
                <w:sz w:val="24"/>
              </w:rPr>
              <w:t>《排污单位自行监测技术指南 橡胶和塑料制品》（HJ1207-2021）</w:t>
            </w:r>
            <w:r>
              <w:rPr>
                <w:rFonts w:hint="eastAsia"/>
                <w:sz w:val="24"/>
              </w:rPr>
              <w:t>，项目</w:t>
            </w:r>
            <w:r>
              <w:rPr>
                <w:rFonts w:hint="eastAsia"/>
                <w:sz w:val="24"/>
                <w:lang w:eastAsia="zh-CN"/>
              </w:rPr>
              <w:t>只有生活污水，经化粪池预处理后</w:t>
            </w:r>
            <w:r>
              <w:rPr>
                <w:rFonts w:hint="eastAsia"/>
                <w:sz w:val="24"/>
                <w:lang w:val="en-US" w:eastAsia="zh-CN"/>
              </w:rPr>
              <w:t>排入园区污水管网</w:t>
            </w:r>
            <w:r>
              <w:rPr>
                <w:rFonts w:hint="eastAsia"/>
                <w:sz w:val="24"/>
                <w:lang w:eastAsia="zh-CN"/>
              </w:rPr>
              <w:t>，属间接排放，</w:t>
            </w:r>
            <w:r>
              <w:rPr>
                <w:rFonts w:hint="eastAsia"/>
                <w:sz w:val="24"/>
                <w:lang w:val="en-US" w:eastAsia="zh-CN"/>
              </w:rPr>
              <w:t>因此，本评价不提出废水跟踪监测要求</w:t>
            </w:r>
            <w:r>
              <w:rPr>
                <w:rFonts w:hint="eastAsia"/>
                <w:sz w:val="24"/>
              </w:rPr>
              <w:t>。</w:t>
            </w:r>
          </w:p>
          <w:p w14:paraId="23D20CDB">
            <w:pPr>
              <w:keepNext w:val="0"/>
              <w:keepLines w:val="0"/>
              <w:pageBreakBefore w:val="0"/>
              <w:kinsoku/>
              <w:wordWrap/>
              <w:overflowPunct/>
              <w:topLinePunct w:val="0"/>
              <w:autoSpaceDE/>
              <w:autoSpaceDN/>
              <w:bidi w:val="0"/>
              <w:spacing w:line="520" w:lineRule="exact"/>
              <w:textAlignment w:val="auto"/>
              <w:rPr>
                <w:rFonts w:hint="eastAsia" w:ascii="宋体" w:hAnsi="宋体" w:cs="宋体"/>
                <w:b/>
                <w:sz w:val="24"/>
              </w:rPr>
            </w:pPr>
            <w:r>
              <w:rPr>
                <w:rFonts w:hint="eastAsia" w:ascii="宋体" w:hAnsi="宋体" w:cs="宋体"/>
                <w:b/>
                <w:sz w:val="24"/>
              </w:rPr>
              <w:t>（三）运营期噪声环境影响和保护措施</w:t>
            </w:r>
          </w:p>
          <w:p w14:paraId="1139299F">
            <w:pPr>
              <w:keepNext w:val="0"/>
              <w:keepLines w:val="0"/>
              <w:pageBreakBefore w:val="0"/>
              <w:widowControl/>
              <w:kinsoku/>
              <w:wordWrap/>
              <w:overflowPunct/>
              <w:topLinePunct w:val="0"/>
              <w:autoSpaceDE/>
              <w:autoSpaceDN/>
              <w:bidi w:val="0"/>
              <w:spacing w:line="520" w:lineRule="exact"/>
              <w:ind w:firstLine="482" w:firstLineChars="200"/>
              <w:jc w:val="left"/>
              <w:textAlignment w:val="auto"/>
              <w:rPr>
                <w:rFonts w:hint="eastAsia"/>
                <w:b/>
                <w:bCs/>
                <w:sz w:val="24"/>
              </w:rPr>
            </w:pPr>
            <w:r>
              <w:rPr>
                <w:rFonts w:hint="eastAsia"/>
                <w:b/>
                <w:bCs/>
                <w:sz w:val="24"/>
              </w:rPr>
              <w:t>3.1污染工序及源强分析</w:t>
            </w:r>
          </w:p>
          <w:p w14:paraId="522A5864">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sz w:val="24"/>
              </w:rPr>
            </w:pPr>
            <w:r>
              <w:rPr>
                <w:rFonts w:hint="eastAsia"/>
                <w:sz w:val="24"/>
                <w:lang w:eastAsia="zh-CN"/>
              </w:rPr>
              <w:t>1.</w:t>
            </w:r>
            <w:r>
              <w:rPr>
                <w:rFonts w:hint="eastAsia"/>
                <w:sz w:val="24"/>
              </w:rPr>
              <w:t>预测模式的确定</w:t>
            </w:r>
          </w:p>
          <w:p w14:paraId="18CFE110">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sz w:val="24"/>
              </w:rPr>
            </w:pPr>
            <w:r>
              <w:rPr>
                <w:rFonts w:hint="eastAsia"/>
                <w:sz w:val="24"/>
              </w:rPr>
              <w:t>项目环评采用的模型为《环境影响评价技术导则 声环境》（HJ2.4.2021）录B（规范性附录）中“B.1工业噪声预测计算模型”。</w:t>
            </w:r>
          </w:p>
          <w:p w14:paraId="4D3DB822">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sz w:val="24"/>
              </w:rPr>
            </w:pPr>
            <w:r>
              <w:rPr>
                <w:rFonts w:hint="eastAsia"/>
                <w:sz w:val="24"/>
                <w:lang w:eastAsia="zh-CN"/>
              </w:rPr>
              <w:t>2.</w:t>
            </w:r>
            <w:r>
              <w:rPr>
                <w:rFonts w:hint="eastAsia"/>
                <w:sz w:val="24"/>
              </w:rPr>
              <w:t>噪声源参数的确定</w:t>
            </w:r>
          </w:p>
          <w:p w14:paraId="5B32CD64">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sz w:val="24"/>
              </w:rPr>
            </w:pPr>
            <w:r>
              <w:rPr>
                <w:rFonts w:hint="eastAsia"/>
                <w:sz w:val="24"/>
              </w:rPr>
              <w:t>本项目现阶段处于停产状态，无法开展现场实测获取噪声源实测数据。本次噪声源强依据建设单位提供的设备技术参数，并结合同类型塑料薄膜加工设备类比调查确定；项目主要噪声源为吹膜机、涂胶机等生产设备，设备外壳1 m处A计权声压级为75～90dB(A</w:t>
            </w:r>
            <w:r>
              <w:rPr>
                <w:rFonts w:hint="eastAsia"/>
                <w:sz w:val="24"/>
                <w:lang w:eastAsia="zh-CN"/>
              </w:rPr>
              <w:t>）</w:t>
            </w:r>
            <w:r>
              <w:rPr>
                <w:rFonts w:hint="eastAsia"/>
                <w:sz w:val="24"/>
              </w:rPr>
              <w:t>，主要产噪设备参数见下表4-</w:t>
            </w:r>
            <w:r>
              <w:rPr>
                <w:rFonts w:hint="eastAsia"/>
                <w:sz w:val="24"/>
                <w:lang w:val="en-US" w:eastAsia="zh-CN"/>
              </w:rPr>
              <w:t>6</w:t>
            </w:r>
            <w:r>
              <w:rPr>
                <w:rFonts w:hint="eastAsia"/>
                <w:sz w:val="24"/>
              </w:rPr>
              <w:t>。</w:t>
            </w:r>
          </w:p>
          <w:p w14:paraId="3A2CBAB4">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sz w:val="24"/>
              </w:rPr>
            </w:pPr>
          </w:p>
          <w:p w14:paraId="387346F3">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sz w:val="24"/>
              </w:rPr>
            </w:pPr>
          </w:p>
          <w:p w14:paraId="464B5582">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sz w:val="24"/>
              </w:rPr>
            </w:pPr>
          </w:p>
          <w:p w14:paraId="10035A17">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sz w:val="24"/>
              </w:rPr>
            </w:pPr>
          </w:p>
          <w:p w14:paraId="49A67591">
            <w:pPr>
              <w:keepNext w:val="0"/>
              <w:keepLines w:val="0"/>
              <w:pageBreakBefore w:val="0"/>
              <w:widowControl/>
              <w:kinsoku/>
              <w:wordWrap/>
              <w:overflowPunct/>
              <w:topLinePunct w:val="0"/>
              <w:autoSpaceDE/>
              <w:autoSpaceDN/>
              <w:bidi w:val="0"/>
              <w:spacing w:line="520" w:lineRule="exact"/>
              <w:ind w:firstLine="480" w:firstLineChars="200"/>
              <w:jc w:val="left"/>
              <w:textAlignment w:val="auto"/>
              <w:rPr>
                <w:rFonts w:hint="eastAsia"/>
                <w:sz w:val="24"/>
              </w:rPr>
            </w:pPr>
          </w:p>
          <w:p w14:paraId="6E34F945">
            <w:pPr>
              <w:adjustRightInd w:val="0"/>
              <w:snapToGrid w:val="0"/>
              <w:rPr>
                <w:rFonts w:hint="eastAsia" w:ascii="宋体" w:hAnsi="宋体" w:cs="宋体"/>
                <w:bCs/>
                <w:spacing w:val="-10"/>
                <w:szCs w:val="21"/>
              </w:rPr>
            </w:pPr>
          </w:p>
        </w:tc>
      </w:tr>
    </w:tbl>
    <w:p w14:paraId="5683AE6F">
      <w:pPr>
        <w:adjustRightInd w:val="0"/>
        <w:snapToGrid w:val="0"/>
        <w:spacing w:line="360" w:lineRule="auto"/>
        <w:rPr>
          <w:rFonts w:hint="eastAsia" w:ascii="宋体" w:cs="宋体"/>
          <w:b/>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tbl>
      <w:tblPr>
        <w:tblStyle w:val="25"/>
        <w:tblW w:w="132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12988"/>
      </w:tblGrid>
      <w:tr w14:paraId="6D89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dxa"/>
          </w:tcPr>
          <w:p w14:paraId="3FEFDD80">
            <w:pPr>
              <w:adjustRightInd w:val="0"/>
              <w:snapToGrid w:val="0"/>
              <w:spacing w:line="360" w:lineRule="auto"/>
              <w:rPr>
                <w:rFonts w:hint="eastAsia" w:ascii="宋体" w:cs="宋体"/>
                <w:b/>
                <w:kern w:val="0"/>
                <w:sz w:val="28"/>
                <w:szCs w:val="28"/>
                <w:vertAlign w:val="baseline"/>
              </w:rPr>
            </w:pPr>
          </w:p>
        </w:tc>
        <w:tc>
          <w:tcPr>
            <w:tcW w:w="12988" w:type="dxa"/>
          </w:tcPr>
          <w:p w14:paraId="0E942E2D">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cs="宋体"/>
                <w:b/>
                <w:kern w:val="0"/>
                <w:sz w:val="28"/>
                <w:szCs w:val="28"/>
                <w:vertAlign w:val="baseline"/>
                <w:lang w:val="en-US" w:eastAsia="zh-CN"/>
              </w:rPr>
            </w:pPr>
            <w:r>
              <w:rPr>
                <w:rFonts w:hint="eastAsia"/>
                <w:b/>
                <w:bCs/>
                <w:sz w:val="24"/>
              </w:rPr>
              <w:t>表</w:t>
            </w:r>
            <w:r>
              <w:rPr>
                <w:rFonts w:hint="eastAsia"/>
                <w:b/>
                <w:bCs/>
                <w:sz w:val="24"/>
                <w:lang w:val="en-US" w:eastAsia="zh-CN"/>
              </w:rPr>
              <w:t xml:space="preserve">4-6 </w:t>
            </w:r>
            <w:r>
              <w:rPr>
                <w:rFonts w:hint="eastAsia"/>
                <w:b/>
                <w:bCs/>
                <w:sz w:val="24"/>
              </w:rPr>
              <w:t xml:space="preserve">  工业企业噪声源强调查清单</w:t>
            </w:r>
          </w:p>
          <w:tbl>
            <w:tblPr>
              <w:tblStyle w:val="24"/>
              <w:tblW w:w="12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49"/>
              <w:gridCol w:w="515"/>
              <w:gridCol w:w="531"/>
              <w:gridCol w:w="449"/>
              <w:gridCol w:w="1428"/>
              <w:gridCol w:w="587"/>
              <w:gridCol w:w="414"/>
              <w:gridCol w:w="601"/>
              <w:gridCol w:w="302"/>
              <w:gridCol w:w="504"/>
              <w:gridCol w:w="406"/>
              <w:gridCol w:w="406"/>
              <w:gridCol w:w="406"/>
              <w:gridCol w:w="412"/>
              <w:gridCol w:w="412"/>
              <w:gridCol w:w="412"/>
              <w:gridCol w:w="419"/>
              <w:gridCol w:w="493"/>
              <w:gridCol w:w="419"/>
              <w:gridCol w:w="419"/>
              <w:gridCol w:w="419"/>
              <w:gridCol w:w="419"/>
              <w:gridCol w:w="400"/>
              <w:gridCol w:w="400"/>
              <w:gridCol w:w="400"/>
              <w:gridCol w:w="400"/>
              <w:gridCol w:w="340"/>
            </w:tblGrid>
            <w:tr w14:paraId="5083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9" w:type="dxa"/>
                  <w:vMerge w:val="restart"/>
                  <w:shd w:val="clear" w:color="auto" w:fill="auto"/>
                  <w:vAlign w:val="center"/>
                </w:tcPr>
                <w:p w14:paraId="1206BDB5">
                  <w:pPr>
                    <w:jc w:val="center"/>
                    <w:rPr>
                      <w:rFonts w:ascii="Times New Roman" w:hAnsi="Times New Roman" w:cs="Times New Roman" w:eastAsiaTheme="minorEastAsia"/>
                      <w:sz w:val="21"/>
                      <w:szCs w:val="21"/>
                    </w:rPr>
                  </w:pPr>
                  <w:r>
                    <w:rPr>
                      <w:rFonts w:ascii="Times New Roman" w:hAnsi="Times New Roman" w:cs="Times New Roman" w:eastAsiaTheme="minorEastAsia"/>
                      <w:b/>
                      <w:sz w:val="21"/>
                      <w:szCs w:val="21"/>
                    </w:rPr>
                    <w:t>序号</w:t>
                  </w:r>
                </w:p>
              </w:tc>
              <w:tc>
                <w:tcPr>
                  <w:tcW w:w="515" w:type="dxa"/>
                  <w:vMerge w:val="restart"/>
                  <w:shd w:val="clear" w:color="auto" w:fill="auto"/>
                  <w:vAlign w:val="center"/>
                </w:tcPr>
                <w:p w14:paraId="3F95D3DE">
                  <w:pPr>
                    <w:jc w:val="center"/>
                    <w:rPr>
                      <w:rFonts w:ascii="Times New Roman" w:hAnsi="Times New Roman" w:cs="Times New Roman" w:eastAsiaTheme="minorEastAsia"/>
                      <w:sz w:val="21"/>
                      <w:szCs w:val="21"/>
                    </w:rPr>
                  </w:pPr>
                  <w:r>
                    <w:rPr>
                      <w:rFonts w:ascii="Times New Roman" w:hAnsi="Times New Roman" w:cs="Times New Roman" w:eastAsiaTheme="minorEastAsia"/>
                      <w:b/>
                      <w:sz w:val="21"/>
                      <w:szCs w:val="21"/>
                    </w:rPr>
                    <w:t>建筑物名称</w:t>
                  </w:r>
                </w:p>
              </w:tc>
              <w:tc>
                <w:tcPr>
                  <w:tcW w:w="531" w:type="dxa"/>
                  <w:vMerge w:val="restart"/>
                  <w:shd w:val="clear" w:color="auto" w:fill="auto"/>
                  <w:vAlign w:val="center"/>
                </w:tcPr>
                <w:p w14:paraId="6C9050FD">
                  <w:pPr>
                    <w:jc w:val="center"/>
                    <w:rPr>
                      <w:rFonts w:ascii="Times New Roman" w:hAnsi="Times New Roman" w:cs="Times New Roman" w:eastAsiaTheme="minorEastAsia"/>
                      <w:sz w:val="21"/>
                      <w:szCs w:val="21"/>
                    </w:rPr>
                  </w:pPr>
                  <w:r>
                    <w:rPr>
                      <w:rFonts w:ascii="Times New Roman" w:hAnsi="Times New Roman" w:cs="Times New Roman" w:eastAsiaTheme="minorEastAsia"/>
                      <w:b/>
                      <w:sz w:val="21"/>
                      <w:szCs w:val="21"/>
                    </w:rPr>
                    <w:t>声源名称</w:t>
                  </w:r>
                </w:p>
              </w:tc>
              <w:tc>
                <w:tcPr>
                  <w:tcW w:w="449" w:type="dxa"/>
                  <w:vMerge w:val="restart"/>
                  <w:shd w:val="clear" w:color="auto" w:fill="auto"/>
                  <w:vAlign w:val="center"/>
                </w:tcPr>
                <w:p w14:paraId="77B2C272">
                  <w:pPr>
                    <w:jc w:val="center"/>
                    <w:rPr>
                      <w:rFonts w:ascii="Times New Roman" w:hAnsi="Times New Roman" w:cs="Times New Roman" w:eastAsiaTheme="minorEastAsia"/>
                      <w:sz w:val="21"/>
                      <w:szCs w:val="21"/>
                    </w:rPr>
                  </w:pPr>
                  <w:r>
                    <w:rPr>
                      <w:rFonts w:ascii="Times New Roman" w:hAnsi="Times New Roman" w:cs="Times New Roman" w:eastAsiaTheme="minorEastAsia"/>
                      <w:b/>
                      <w:sz w:val="21"/>
                      <w:szCs w:val="21"/>
                    </w:rPr>
                    <w:t>型号</w:t>
                  </w:r>
                </w:p>
              </w:tc>
              <w:tc>
                <w:tcPr>
                  <w:tcW w:w="1428" w:type="dxa"/>
                  <w:shd w:val="clear" w:color="auto" w:fill="auto"/>
                  <w:vAlign w:val="center"/>
                </w:tcPr>
                <w:p w14:paraId="0A37453F">
                  <w:pPr>
                    <w:jc w:val="center"/>
                    <w:rPr>
                      <w:rFonts w:ascii="Times New Roman" w:hAnsi="Times New Roman" w:cs="Times New Roman" w:eastAsiaTheme="minorEastAsia"/>
                      <w:sz w:val="21"/>
                      <w:szCs w:val="21"/>
                      <w:lang w:eastAsia="zh-CN"/>
                    </w:rPr>
                  </w:pPr>
                  <w:r>
                    <w:rPr>
                      <w:rFonts w:ascii="Times New Roman" w:hAnsi="Times New Roman" w:cs="Times New Roman" w:eastAsiaTheme="minorEastAsia"/>
                      <w:b/>
                      <w:sz w:val="21"/>
                      <w:szCs w:val="21"/>
                      <w:lang w:eastAsia="zh-CN"/>
                    </w:rPr>
                    <w:t>声源源强</w:t>
                  </w:r>
                </w:p>
              </w:tc>
              <w:tc>
                <w:tcPr>
                  <w:tcW w:w="587" w:type="dxa"/>
                  <w:vMerge w:val="restart"/>
                  <w:shd w:val="clear" w:color="auto" w:fill="auto"/>
                  <w:vAlign w:val="center"/>
                </w:tcPr>
                <w:p w14:paraId="1AE04E8A">
                  <w:pPr>
                    <w:jc w:val="center"/>
                    <w:rPr>
                      <w:rFonts w:ascii="Times New Roman" w:hAnsi="Times New Roman" w:cs="Times New Roman" w:eastAsiaTheme="minorEastAsia"/>
                      <w:sz w:val="21"/>
                      <w:szCs w:val="21"/>
                    </w:rPr>
                  </w:pPr>
                  <w:r>
                    <w:rPr>
                      <w:rFonts w:ascii="Times New Roman" w:hAnsi="Times New Roman" w:cs="Times New Roman" w:eastAsiaTheme="minorEastAsia"/>
                      <w:b/>
                      <w:sz w:val="21"/>
                      <w:szCs w:val="21"/>
                    </w:rPr>
                    <w:t>声源控制措施</w:t>
                  </w:r>
                </w:p>
              </w:tc>
              <w:tc>
                <w:tcPr>
                  <w:tcW w:w="1317" w:type="dxa"/>
                  <w:gridSpan w:val="3"/>
                  <w:shd w:val="clear" w:color="auto" w:fill="auto"/>
                  <w:vAlign w:val="center"/>
                </w:tcPr>
                <w:p w14:paraId="03764107">
                  <w:pPr>
                    <w:jc w:val="center"/>
                    <w:rPr>
                      <w:rFonts w:ascii="Times New Roman" w:hAnsi="Times New Roman" w:cs="Times New Roman" w:eastAsiaTheme="minorEastAsia"/>
                      <w:sz w:val="21"/>
                      <w:szCs w:val="21"/>
                    </w:rPr>
                  </w:pPr>
                  <w:r>
                    <w:rPr>
                      <w:rFonts w:ascii="Times New Roman" w:hAnsi="Times New Roman" w:cs="Times New Roman" w:eastAsiaTheme="minorEastAsia"/>
                      <w:b/>
                      <w:sz w:val="21"/>
                      <w:szCs w:val="21"/>
                    </w:rPr>
                    <w:t>空间相对位置/m</w:t>
                  </w:r>
                </w:p>
              </w:tc>
              <w:tc>
                <w:tcPr>
                  <w:tcW w:w="1722" w:type="dxa"/>
                  <w:gridSpan w:val="4"/>
                  <w:shd w:val="clear" w:color="auto" w:fill="auto"/>
                  <w:vAlign w:val="center"/>
                </w:tcPr>
                <w:p w14:paraId="76571958">
                  <w:pPr>
                    <w:jc w:val="center"/>
                    <w:rPr>
                      <w:rFonts w:ascii="Times New Roman" w:hAnsi="Times New Roman" w:cs="Times New Roman" w:eastAsiaTheme="minorEastAsia"/>
                      <w:b/>
                      <w:sz w:val="21"/>
                      <w:szCs w:val="21"/>
                    </w:rPr>
                  </w:pPr>
                  <w:r>
                    <w:rPr>
                      <w:rFonts w:ascii="Times New Roman" w:hAnsi="Times New Roman" w:cs="Times New Roman" w:eastAsiaTheme="minorEastAsia"/>
                      <w:b/>
                      <w:sz w:val="21"/>
                      <w:szCs w:val="21"/>
                    </w:rPr>
                    <w:t>距室内边界距离/m</w:t>
                  </w:r>
                </w:p>
              </w:tc>
              <w:tc>
                <w:tcPr>
                  <w:tcW w:w="1655" w:type="dxa"/>
                  <w:gridSpan w:val="4"/>
                  <w:shd w:val="clear" w:color="auto" w:fill="auto"/>
                  <w:vAlign w:val="center"/>
                </w:tcPr>
                <w:p w14:paraId="07027594">
                  <w:pPr>
                    <w:jc w:val="center"/>
                    <w:rPr>
                      <w:rFonts w:ascii="Times New Roman" w:hAnsi="Times New Roman" w:cs="Times New Roman" w:eastAsiaTheme="minorEastAsia"/>
                      <w:b/>
                      <w:sz w:val="21"/>
                      <w:szCs w:val="21"/>
                    </w:rPr>
                  </w:pPr>
                  <w:r>
                    <w:rPr>
                      <w:rFonts w:ascii="Times New Roman" w:hAnsi="Times New Roman" w:cs="Times New Roman" w:eastAsiaTheme="minorEastAsia"/>
                      <w:b/>
                      <w:sz w:val="21"/>
                      <w:szCs w:val="21"/>
                    </w:rPr>
                    <w:t>室内边界声级/dB(A)</w:t>
                  </w:r>
                </w:p>
              </w:tc>
              <w:tc>
                <w:tcPr>
                  <w:tcW w:w="493" w:type="dxa"/>
                  <w:vMerge w:val="restart"/>
                  <w:shd w:val="clear" w:color="auto" w:fill="auto"/>
                  <w:vAlign w:val="center"/>
                </w:tcPr>
                <w:p w14:paraId="75134A16">
                  <w:pPr>
                    <w:jc w:val="center"/>
                    <w:rPr>
                      <w:rFonts w:ascii="Times New Roman" w:hAnsi="Times New Roman" w:cs="Times New Roman" w:eastAsiaTheme="minorEastAsia"/>
                      <w:sz w:val="21"/>
                      <w:szCs w:val="21"/>
                    </w:rPr>
                  </w:pPr>
                  <w:r>
                    <w:rPr>
                      <w:rFonts w:ascii="Times New Roman" w:hAnsi="Times New Roman" w:cs="Times New Roman" w:eastAsiaTheme="minorEastAsia"/>
                      <w:b/>
                      <w:sz w:val="21"/>
                      <w:szCs w:val="21"/>
                    </w:rPr>
                    <w:t>运行时段</w:t>
                  </w:r>
                </w:p>
              </w:tc>
              <w:tc>
                <w:tcPr>
                  <w:tcW w:w="1676" w:type="dxa"/>
                  <w:gridSpan w:val="4"/>
                  <w:shd w:val="clear" w:color="auto" w:fill="auto"/>
                  <w:vAlign w:val="center"/>
                </w:tcPr>
                <w:p w14:paraId="753BC40B">
                  <w:pPr>
                    <w:jc w:val="center"/>
                    <w:rPr>
                      <w:rFonts w:ascii="Times New Roman" w:hAnsi="Times New Roman" w:cs="Times New Roman" w:eastAsiaTheme="minorEastAsia"/>
                      <w:b/>
                      <w:sz w:val="21"/>
                      <w:szCs w:val="21"/>
                    </w:rPr>
                  </w:pPr>
                  <w:r>
                    <w:rPr>
                      <w:rFonts w:ascii="Times New Roman" w:hAnsi="Times New Roman" w:cs="Times New Roman" w:eastAsiaTheme="minorEastAsia"/>
                      <w:b/>
                      <w:sz w:val="21"/>
                      <w:szCs w:val="21"/>
                    </w:rPr>
                    <w:t>建筑物插入损失/dB(A)</w:t>
                  </w:r>
                  <w:bookmarkStart w:id="23" w:name="PT_10"/>
                  <w:bookmarkEnd w:id="23"/>
                </w:p>
              </w:tc>
              <w:tc>
                <w:tcPr>
                  <w:tcW w:w="1940" w:type="dxa"/>
                  <w:gridSpan w:val="5"/>
                  <w:shd w:val="clear" w:color="auto" w:fill="auto"/>
                  <w:vAlign w:val="center"/>
                </w:tcPr>
                <w:p w14:paraId="6ED6639A">
                  <w:pPr>
                    <w:jc w:val="center"/>
                    <w:rPr>
                      <w:rFonts w:ascii="Times New Roman" w:hAnsi="Times New Roman" w:cs="Times New Roman" w:eastAsiaTheme="minorEastAsia"/>
                      <w:b/>
                      <w:bCs w:val="0"/>
                      <w:sz w:val="21"/>
                      <w:szCs w:val="21"/>
                    </w:rPr>
                  </w:pPr>
                  <w:r>
                    <w:rPr>
                      <w:rFonts w:ascii="Times New Roman" w:hAnsi="Times New Roman" w:cs="Times New Roman" w:eastAsiaTheme="minorEastAsia"/>
                      <w:b/>
                      <w:bCs w:val="0"/>
                      <w:sz w:val="21"/>
                      <w:szCs w:val="21"/>
                    </w:rPr>
                    <w:t>建筑物外噪声声压级/dB(A)</w:t>
                  </w:r>
                </w:p>
              </w:tc>
            </w:tr>
            <w:tr w14:paraId="1213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9" w:type="dxa"/>
                  <w:vMerge w:val="continue"/>
                  <w:shd w:val="clear" w:color="auto" w:fill="auto"/>
                  <w:tcMar>
                    <w:top w:w="0" w:type="dxa"/>
                    <w:left w:w="0" w:type="dxa"/>
                    <w:bottom w:w="0" w:type="dxa"/>
                    <w:right w:w="0" w:type="dxa"/>
                  </w:tcMar>
                  <w:vAlign w:val="center"/>
                </w:tcPr>
                <w:p w14:paraId="5C925D6B">
                  <w:pPr>
                    <w:jc w:val="center"/>
                    <w:rPr>
                      <w:rFonts w:hint="default" w:ascii="Times New Roman" w:hAnsi="Times New Roman" w:cs="Times New Roman" w:eastAsiaTheme="minorEastAsia"/>
                      <w:sz w:val="21"/>
                      <w:szCs w:val="21"/>
                      <w:lang w:val="en-US" w:eastAsia="zh-CN"/>
                    </w:rPr>
                  </w:pPr>
                </w:p>
              </w:tc>
              <w:tc>
                <w:tcPr>
                  <w:tcW w:w="515" w:type="dxa"/>
                  <w:vMerge w:val="continue"/>
                  <w:shd w:val="clear" w:color="auto" w:fill="auto"/>
                  <w:tcMar>
                    <w:top w:w="0" w:type="dxa"/>
                    <w:left w:w="0" w:type="dxa"/>
                    <w:bottom w:w="0" w:type="dxa"/>
                    <w:right w:w="0" w:type="dxa"/>
                  </w:tcMar>
                  <w:vAlign w:val="center"/>
                </w:tcPr>
                <w:p w14:paraId="7DC94B23">
                  <w:pPr>
                    <w:jc w:val="center"/>
                    <w:rPr>
                      <w:rFonts w:ascii="Times New Roman" w:hAnsi="Times New Roman" w:cs="Times New Roman" w:eastAsiaTheme="minorEastAsia"/>
                      <w:sz w:val="21"/>
                      <w:szCs w:val="21"/>
                    </w:rPr>
                  </w:pPr>
                </w:p>
              </w:tc>
              <w:tc>
                <w:tcPr>
                  <w:tcW w:w="531" w:type="dxa"/>
                  <w:vMerge w:val="continue"/>
                  <w:shd w:val="clear" w:color="auto" w:fill="auto"/>
                  <w:tcMar>
                    <w:top w:w="0" w:type="dxa"/>
                    <w:left w:w="0" w:type="dxa"/>
                    <w:bottom w:w="0" w:type="dxa"/>
                    <w:right w:w="0" w:type="dxa"/>
                  </w:tcMar>
                  <w:vAlign w:val="center"/>
                </w:tcPr>
                <w:p w14:paraId="0151FCA9">
                  <w:pPr>
                    <w:jc w:val="center"/>
                    <w:rPr>
                      <w:rFonts w:ascii="Times New Roman" w:hAnsi="Times New Roman" w:cs="Times New Roman" w:eastAsiaTheme="minorEastAsia"/>
                      <w:sz w:val="21"/>
                      <w:szCs w:val="21"/>
                    </w:rPr>
                  </w:pPr>
                </w:p>
              </w:tc>
              <w:tc>
                <w:tcPr>
                  <w:tcW w:w="449" w:type="dxa"/>
                  <w:vMerge w:val="continue"/>
                  <w:shd w:val="clear" w:color="auto" w:fill="auto"/>
                  <w:tcMar>
                    <w:top w:w="0" w:type="dxa"/>
                    <w:left w:w="0" w:type="dxa"/>
                    <w:bottom w:w="0" w:type="dxa"/>
                    <w:right w:w="0" w:type="dxa"/>
                  </w:tcMar>
                  <w:vAlign w:val="center"/>
                </w:tcPr>
                <w:p w14:paraId="30CC8D72">
                  <w:pPr>
                    <w:jc w:val="center"/>
                    <w:rPr>
                      <w:rFonts w:ascii="Times New Roman" w:hAnsi="Times New Roman" w:cs="Times New Roman" w:eastAsiaTheme="minorEastAsia"/>
                      <w:sz w:val="21"/>
                      <w:szCs w:val="21"/>
                    </w:rPr>
                  </w:pPr>
                </w:p>
              </w:tc>
              <w:tc>
                <w:tcPr>
                  <w:tcW w:w="1428" w:type="dxa"/>
                  <w:shd w:val="clear" w:color="auto" w:fill="auto"/>
                  <w:tcMar>
                    <w:top w:w="0" w:type="dxa"/>
                    <w:left w:w="0" w:type="dxa"/>
                    <w:bottom w:w="0" w:type="dxa"/>
                    <w:right w:w="0" w:type="dxa"/>
                  </w:tcMar>
                  <w:vAlign w:val="center"/>
                </w:tcPr>
                <w:p w14:paraId="62E83790">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（声压级/距声源距离）/（dB(A)/m）</w:t>
                  </w:r>
                </w:p>
                <w:p w14:paraId="6055112F">
                  <w:pPr>
                    <w:jc w:val="both"/>
                    <w:rPr>
                      <w:rFonts w:ascii="Times New Roman" w:hAnsi="Times New Roman" w:cs="Times New Roman" w:eastAsiaTheme="minorEastAsia"/>
                      <w:sz w:val="21"/>
                      <w:szCs w:val="21"/>
                    </w:rPr>
                  </w:pPr>
                </w:p>
              </w:tc>
              <w:tc>
                <w:tcPr>
                  <w:tcW w:w="587" w:type="dxa"/>
                  <w:vMerge w:val="continue"/>
                  <w:shd w:val="clear" w:color="auto" w:fill="auto"/>
                  <w:tcMar>
                    <w:top w:w="0" w:type="dxa"/>
                    <w:left w:w="0" w:type="dxa"/>
                    <w:bottom w:w="0" w:type="dxa"/>
                    <w:right w:w="0" w:type="dxa"/>
                  </w:tcMar>
                  <w:vAlign w:val="center"/>
                </w:tcPr>
                <w:p w14:paraId="6F40168D">
                  <w:pPr>
                    <w:jc w:val="center"/>
                    <w:rPr>
                      <w:rFonts w:ascii="Times New Roman" w:hAnsi="Times New Roman" w:cs="Times New Roman" w:eastAsiaTheme="minorEastAsia"/>
                      <w:sz w:val="21"/>
                      <w:szCs w:val="21"/>
                    </w:rPr>
                  </w:pPr>
                </w:p>
              </w:tc>
              <w:tc>
                <w:tcPr>
                  <w:tcW w:w="414" w:type="dxa"/>
                  <w:shd w:val="clear" w:color="auto" w:fill="auto"/>
                  <w:tcMar>
                    <w:top w:w="0" w:type="dxa"/>
                    <w:left w:w="0" w:type="dxa"/>
                    <w:bottom w:w="0" w:type="dxa"/>
                    <w:right w:w="0" w:type="dxa"/>
                  </w:tcMar>
                  <w:vAlign w:val="center"/>
                </w:tcPr>
                <w:p w14:paraId="67056EDE">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X</w:t>
                  </w:r>
                </w:p>
              </w:tc>
              <w:tc>
                <w:tcPr>
                  <w:tcW w:w="601" w:type="dxa"/>
                  <w:shd w:val="clear" w:color="auto" w:fill="auto"/>
                  <w:tcMar>
                    <w:top w:w="0" w:type="dxa"/>
                    <w:left w:w="0" w:type="dxa"/>
                    <w:bottom w:w="0" w:type="dxa"/>
                    <w:right w:w="0" w:type="dxa"/>
                  </w:tcMar>
                  <w:vAlign w:val="center"/>
                </w:tcPr>
                <w:p w14:paraId="5449B147">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Y</w:t>
                  </w:r>
                </w:p>
              </w:tc>
              <w:tc>
                <w:tcPr>
                  <w:tcW w:w="302" w:type="dxa"/>
                  <w:shd w:val="clear" w:color="auto" w:fill="auto"/>
                  <w:tcMar>
                    <w:top w:w="0" w:type="dxa"/>
                    <w:left w:w="0" w:type="dxa"/>
                    <w:bottom w:w="0" w:type="dxa"/>
                    <w:right w:w="0" w:type="dxa"/>
                  </w:tcMar>
                  <w:vAlign w:val="center"/>
                </w:tcPr>
                <w:p w14:paraId="12FC334D">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Z</w:t>
                  </w:r>
                </w:p>
              </w:tc>
              <w:tc>
                <w:tcPr>
                  <w:tcW w:w="504" w:type="dxa"/>
                  <w:shd w:val="clear" w:color="auto" w:fill="auto"/>
                  <w:tcMar>
                    <w:top w:w="0" w:type="dxa"/>
                    <w:left w:w="0" w:type="dxa"/>
                    <w:bottom w:w="0" w:type="dxa"/>
                    <w:right w:w="0" w:type="dxa"/>
                  </w:tcMar>
                  <w:vAlign w:val="center"/>
                </w:tcPr>
                <w:p w14:paraId="18D53D8D">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东</w:t>
                  </w:r>
                </w:p>
              </w:tc>
              <w:tc>
                <w:tcPr>
                  <w:tcW w:w="406" w:type="dxa"/>
                  <w:shd w:val="clear" w:color="auto" w:fill="auto"/>
                  <w:tcMar>
                    <w:top w:w="0" w:type="dxa"/>
                    <w:left w:w="0" w:type="dxa"/>
                    <w:bottom w:w="0" w:type="dxa"/>
                    <w:right w:w="0" w:type="dxa"/>
                  </w:tcMar>
                  <w:vAlign w:val="center"/>
                </w:tcPr>
                <w:p w14:paraId="24F20488">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南</w:t>
                  </w:r>
                </w:p>
              </w:tc>
              <w:tc>
                <w:tcPr>
                  <w:tcW w:w="406" w:type="dxa"/>
                  <w:shd w:val="clear" w:color="auto" w:fill="auto"/>
                  <w:tcMar>
                    <w:top w:w="0" w:type="dxa"/>
                    <w:left w:w="0" w:type="dxa"/>
                    <w:bottom w:w="0" w:type="dxa"/>
                    <w:right w:w="0" w:type="dxa"/>
                  </w:tcMar>
                  <w:vAlign w:val="center"/>
                </w:tcPr>
                <w:p w14:paraId="7EFC2B39">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西</w:t>
                  </w:r>
                </w:p>
              </w:tc>
              <w:tc>
                <w:tcPr>
                  <w:tcW w:w="406" w:type="dxa"/>
                  <w:shd w:val="clear" w:color="auto" w:fill="auto"/>
                  <w:tcMar>
                    <w:top w:w="0" w:type="dxa"/>
                    <w:left w:w="0" w:type="dxa"/>
                    <w:bottom w:w="0" w:type="dxa"/>
                    <w:right w:w="0" w:type="dxa"/>
                  </w:tcMar>
                  <w:vAlign w:val="center"/>
                </w:tcPr>
                <w:p w14:paraId="4189B7AC">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北</w:t>
                  </w:r>
                </w:p>
              </w:tc>
              <w:tc>
                <w:tcPr>
                  <w:tcW w:w="412" w:type="dxa"/>
                  <w:shd w:val="clear" w:color="auto" w:fill="auto"/>
                  <w:tcMar>
                    <w:top w:w="0" w:type="dxa"/>
                    <w:left w:w="0" w:type="dxa"/>
                    <w:bottom w:w="0" w:type="dxa"/>
                    <w:right w:w="0" w:type="dxa"/>
                  </w:tcMar>
                  <w:vAlign w:val="center"/>
                </w:tcPr>
                <w:p w14:paraId="669ACEBA">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东</w:t>
                  </w:r>
                </w:p>
              </w:tc>
              <w:tc>
                <w:tcPr>
                  <w:tcW w:w="412" w:type="dxa"/>
                  <w:shd w:val="clear" w:color="auto" w:fill="auto"/>
                  <w:tcMar>
                    <w:top w:w="0" w:type="dxa"/>
                    <w:left w:w="0" w:type="dxa"/>
                    <w:bottom w:w="0" w:type="dxa"/>
                    <w:right w:w="0" w:type="dxa"/>
                  </w:tcMar>
                  <w:vAlign w:val="center"/>
                </w:tcPr>
                <w:p w14:paraId="0E17AF62">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南</w:t>
                  </w:r>
                </w:p>
              </w:tc>
              <w:tc>
                <w:tcPr>
                  <w:tcW w:w="412" w:type="dxa"/>
                  <w:shd w:val="clear" w:color="auto" w:fill="auto"/>
                  <w:tcMar>
                    <w:top w:w="0" w:type="dxa"/>
                    <w:left w:w="0" w:type="dxa"/>
                    <w:bottom w:w="0" w:type="dxa"/>
                    <w:right w:w="0" w:type="dxa"/>
                  </w:tcMar>
                  <w:vAlign w:val="center"/>
                </w:tcPr>
                <w:p w14:paraId="4708728D">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西</w:t>
                  </w:r>
                </w:p>
              </w:tc>
              <w:tc>
                <w:tcPr>
                  <w:tcW w:w="419" w:type="dxa"/>
                  <w:shd w:val="clear" w:color="auto" w:fill="auto"/>
                  <w:tcMar>
                    <w:top w:w="0" w:type="dxa"/>
                    <w:left w:w="0" w:type="dxa"/>
                    <w:bottom w:w="0" w:type="dxa"/>
                    <w:right w:w="0" w:type="dxa"/>
                  </w:tcMar>
                  <w:vAlign w:val="center"/>
                </w:tcPr>
                <w:p w14:paraId="3AACBBEA">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北</w:t>
                  </w:r>
                </w:p>
              </w:tc>
              <w:tc>
                <w:tcPr>
                  <w:tcW w:w="493" w:type="dxa"/>
                  <w:vMerge w:val="continue"/>
                  <w:shd w:val="clear" w:color="auto" w:fill="auto"/>
                  <w:tcMar>
                    <w:top w:w="0" w:type="dxa"/>
                    <w:left w:w="0" w:type="dxa"/>
                    <w:bottom w:w="0" w:type="dxa"/>
                    <w:right w:w="0" w:type="dxa"/>
                  </w:tcMar>
                  <w:vAlign w:val="center"/>
                </w:tcPr>
                <w:p w14:paraId="48DD1529">
                  <w:pPr>
                    <w:jc w:val="center"/>
                    <w:rPr>
                      <w:rFonts w:ascii="Times New Roman" w:hAnsi="Times New Roman" w:cs="Times New Roman" w:eastAsiaTheme="minorEastAsia"/>
                      <w:sz w:val="21"/>
                      <w:szCs w:val="21"/>
                    </w:rPr>
                  </w:pPr>
                </w:p>
              </w:tc>
              <w:tc>
                <w:tcPr>
                  <w:tcW w:w="419" w:type="dxa"/>
                  <w:shd w:val="clear" w:color="auto" w:fill="auto"/>
                  <w:tcMar>
                    <w:top w:w="0" w:type="dxa"/>
                    <w:left w:w="0" w:type="dxa"/>
                    <w:bottom w:w="0" w:type="dxa"/>
                    <w:right w:w="0" w:type="dxa"/>
                  </w:tcMar>
                  <w:vAlign w:val="center"/>
                </w:tcPr>
                <w:p w14:paraId="02F37871">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东</w:t>
                  </w:r>
                </w:p>
              </w:tc>
              <w:tc>
                <w:tcPr>
                  <w:tcW w:w="419" w:type="dxa"/>
                  <w:shd w:val="clear" w:color="auto" w:fill="auto"/>
                  <w:tcMar>
                    <w:top w:w="0" w:type="dxa"/>
                    <w:left w:w="0" w:type="dxa"/>
                    <w:bottom w:w="0" w:type="dxa"/>
                    <w:right w:w="0" w:type="dxa"/>
                  </w:tcMar>
                  <w:vAlign w:val="center"/>
                </w:tcPr>
                <w:p w14:paraId="7D1C7E48">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南</w:t>
                  </w:r>
                </w:p>
              </w:tc>
              <w:tc>
                <w:tcPr>
                  <w:tcW w:w="419" w:type="dxa"/>
                  <w:shd w:val="clear" w:color="auto" w:fill="auto"/>
                  <w:tcMar>
                    <w:top w:w="0" w:type="dxa"/>
                    <w:left w:w="0" w:type="dxa"/>
                    <w:bottom w:w="0" w:type="dxa"/>
                    <w:right w:w="0" w:type="dxa"/>
                  </w:tcMar>
                  <w:vAlign w:val="center"/>
                </w:tcPr>
                <w:p w14:paraId="19E6797B">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西</w:t>
                  </w:r>
                </w:p>
              </w:tc>
              <w:tc>
                <w:tcPr>
                  <w:tcW w:w="419" w:type="dxa"/>
                  <w:shd w:val="clear" w:color="auto" w:fill="auto"/>
                  <w:tcMar>
                    <w:top w:w="0" w:type="dxa"/>
                    <w:left w:w="0" w:type="dxa"/>
                    <w:bottom w:w="0" w:type="dxa"/>
                    <w:right w:w="0" w:type="dxa"/>
                  </w:tcMar>
                  <w:vAlign w:val="center"/>
                </w:tcPr>
                <w:p w14:paraId="1E710A5D">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北</w:t>
                  </w:r>
                </w:p>
              </w:tc>
              <w:tc>
                <w:tcPr>
                  <w:tcW w:w="400" w:type="dxa"/>
                  <w:shd w:val="clear" w:color="auto" w:fill="auto"/>
                  <w:tcMar>
                    <w:top w:w="0" w:type="dxa"/>
                    <w:left w:w="0" w:type="dxa"/>
                    <w:bottom w:w="0" w:type="dxa"/>
                    <w:right w:w="0" w:type="dxa"/>
                  </w:tcMar>
                  <w:vAlign w:val="center"/>
                </w:tcPr>
                <w:p w14:paraId="67105955">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东</w:t>
                  </w:r>
                </w:p>
              </w:tc>
              <w:tc>
                <w:tcPr>
                  <w:tcW w:w="400" w:type="dxa"/>
                  <w:shd w:val="clear" w:color="auto" w:fill="auto"/>
                  <w:tcMar>
                    <w:top w:w="0" w:type="dxa"/>
                    <w:left w:w="0" w:type="dxa"/>
                    <w:bottom w:w="0" w:type="dxa"/>
                    <w:right w:w="0" w:type="dxa"/>
                  </w:tcMar>
                  <w:vAlign w:val="center"/>
                </w:tcPr>
                <w:p w14:paraId="6AFFF794">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南</w:t>
                  </w:r>
                </w:p>
              </w:tc>
              <w:tc>
                <w:tcPr>
                  <w:tcW w:w="400" w:type="dxa"/>
                  <w:shd w:val="clear" w:color="auto" w:fill="auto"/>
                  <w:tcMar>
                    <w:top w:w="0" w:type="dxa"/>
                    <w:left w:w="0" w:type="dxa"/>
                    <w:bottom w:w="0" w:type="dxa"/>
                    <w:right w:w="0" w:type="dxa"/>
                  </w:tcMar>
                  <w:vAlign w:val="center"/>
                </w:tcPr>
                <w:p w14:paraId="2368B62B">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西</w:t>
                  </w:r>
                </w:p>
              </w:tc>
              <w:tc>
                <w:tcPr>
                  <w:tcW w:w="400" w:type="dxa"/>
                  <w:shd w:val="clear" w:color="auto" w:fill="auto"/>
                  <w:tcMar>
                    <w:top w:w="0" w:type="dxa"/>
                    <w:left w:w="0" w:type="dxa"/>
                    <w:bottom w:w="0" w:type="dxa"/>
                    <w:right w:w="0" w:type="dxa"/>
                  </w:tcMar>
                  <w:vAlign w:val="center"/>
                </w:tcPr>
                <w:p w14:paraId="54ECE72D">
                  <w:pPr>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北</w:t>
                  </w:r>
                </w:p>
              </w:tc>
              <w:tc>
                <w:tcPr>
                  <w:tcW w:w="340" w:type="dxa"/>
                  <w:shd w:val="clear" w:color="auto" w:fill="auto"/>
                  <w:tcMar>
                    <w:top w:w="0" w:type="dxa"/>
                    <w:left w:w="0" w:type="dxa"/>
                    <w:bottom w:w="0" w:type="dxa"/>
                    <w:right w:w="0" w:type="dxa"/>
                  </w:tcMar>
                  <w:vAlign w:val="center"/>
                </w:tcPr>
                <w:p w14:paraId="77D7ED58">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建筑物外距离</w:t>
                  </w:r>
                </w:p>
              </w:tc>
            </w:tr>
            <w:tr w14:paraId="21B0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9" w:type="dxa"/>
                  <w:shd w:val="clear" w:color="auto" w:fill="auto"/>
                  <w:tcMar>
                    <w:top w:w="0" w:type="dxa"/>
                    <w:left w:w="0" w:type="dxa"/>
                    <w:bottom w:w="0" w:type="dxa"/>
                    <w:right w:w="0" w:type="dxa"/>
                  </w:tcMar>
                  <w:vAlign w:val="center"/>
                </w:tcPr>
                <w:p w14:paraId="6ACA5BAC">
                  <w:pPr>
                    <w:jc w:val="center"/>
                  </w:pPr>
                  <w:r>
                    <w:rPr>
                      <w:rFonts w:ascii="Arial" w:hAnsi="Arial" w:eastAsia="Arial" w:cs="Arial"/>
                      <w:sz w:val="20"/>
                    </w:rPr>
                    <w:t>1</w:t>
                  </w:r>
                </w:p>
              </w:tc>
              <w:tc>
                <w:tcPr>
                  <w:tcW w:w="515" w:type="dxa"/>
                  <w:vMerge w:val="restart"/>
                  <w:shd w:val="clear" w:color="auto" w:fill="auto"/>
                  <w:tcMar>
                    <w:top w:w="0" w:type="dxa"/>
                    <w:left w:w="0" w:type="dxa"/>
                    <w:bottom w:w="0" w:type="dxa"/>
                    <w:right w:w="0" w:type="dxa"/>
                  </w:tcMar>
                  <w:vAlign w:val="center"/>
                </w:tcPr>
                <w:p w14:paraId="6D56E4F8">
                  <w:pPr>
                    <w:jc w:val="center"/>
                    <w:rPr>
                      <w:rFonts w:hint="default"/>
                      <w:lang w:val="en-US"/>
                    </w:rPr>
                  </w:pPr>
                  <w:r>
                    <w:rPr>
                      <w:rFonts w:hint="eastAsia"/>
                      <w:lang w:val="en-US" w:eastAsia="zh-CN"/>
                    </w:rPr>
                    <w:t>生产车间</w:t>
                  </w:r>
                </w:p>
              </w:tc>
              <w:tc>
                <w:tcPr>
                  <w:tcW w:w="531" w:type="dxa"/>
                  <w:shd w:val="clear" w:color="auto" w:fill="auto"/>
                  <w:tcMar>
                    <w:top w:w="0" w:type="dxa"/>
                    <w:left w:w="0" w:type="dxa"/>
                    <w:bottom w:w="0" w:type="dxa"/>
                    <w:right w:w="0" w:type="dxa"/>
                  </w:tcMar>
                  <w:vAlign w:val="center"/>
                </w:tcPr>
                <w:p w14:paraId="4C1F4503">
                  <w:pPr>
                    <w:jc w:val="center"/>
                  </w:pPr>
                  <w:r>
                    <w:rPr>
                      <w:rFonts w:ascii="Arial" w:hAnsi="Arial" w:eastAsia="Arial" w:cs="Arial"/>
                      <w:sz w:val="20"/>
                    </w:rPr>
                    <w:t>三层共挤吹膜机</w:t>
                  </w:r>
                </w:p>
              </w:tc>
              <w:tc>
                <w:tcPr>
                  <w:tcW w:w="449" w:type="dxa"/>
                  <w:shd w:val="clear" w:color="auto" w:fill="auto"/>
                  <w:tcMar>
                    <w:top w:w="0" w:type="dxa"/>
                    <w:left w:w="0" w:type="dxa"/>
                    <w:bottom w:w="0" w:type="dxa"/>
                    <w:right w:w="0" w:type="dxa"/>
                  </w:tcMar>
                  <w:vAlign w:val="center"/>
                </w:tcPr>
                <w:p w14:paraId="5A37EEA4">
                  <w:pPr>
                    <w:jc w:val="center"/>
                    <w:rPr>
                      <w:rFonts w:hint="eastAsia" w:eastAsia="宋体"/>
                      <w:lang w:val="en-US" w:eastAsia="zh-CN"/>
                    </w:rPr>
                  </w:pPr>
                  <w:r>
                    <w:rPr>
                      <w:rFonts w:hint="eastAsia"/>
                      <w:lang w:val="en-US" w:eastAsia="zh-CN"/>
                    </w:rPr>
                    <w:t>/</w:t>
                  </w:r>
                </w:p>
              </w:tc>
              <w:tc>
                <w:tcPr>
                  <w:tcW w:w="1428" w:type="dxa"/>
                  <w:shd w:val="clear" w:color="auto" w:fill="auto"/>
                  <w:tcMar>
                    <w:top w:w="0" w:type="dxa"/>
                    <w:left w:w="0" w:type="dxa"/>
                    <w:bottom w:w="0" w:type="dxa"/>
                    <w:right w:w="0" w:type="dxa"/>
                  </w:tcMar>
                  <w:vAlign w:val="center"/>
                </w:tcPr>
                <w:p w14:paraId="019187CD">
                  <w:pPr>
                    <w:jc w:val="center"/>
                  </w:pPr>
                  <w:r>
                    <w:rPr>
                      <w:rFonts w:ascii="Arial" w:hAnsi="Arial" w:eastAsia="Arial" w:cs="Arial"/>
                      <w:sz w:val="20"/>
                    </w:rPr>
                    <w:t>86</w:t>
                  </w:r>
                  <w:r>
                    <w:rPr>
                      <w:rFonts w:hint="eastAsia" w:ascii="Arial" w:hAnsi="Arial" w:eastAsia="宋体" w:cs="Arial"/>
                      <w:sz w:val="20"/>
                      <w:lang w:val="en-US" w:eastAsia="zh-CN"/>
                    </w:rPr>
                    <w:t>/1</w:t>
                  </w:r>
                </w:p>
              </w:tc>
              <w:tc>
                <w:tcPr>
                  <w:tcW w:w="587" w:type="dxa"/>
                  <w:vMerge w:val="restart"/>
                  <w:shd w:val="clear" w:color="auto" w:fill="auto"/>
                  <w:tcMar>
                    <w:top w:w="0" w:type="dxa"/>
                    <w:left w:w="0" w:type="dxa"/>
                    <w:bottom w:w="0" w:type="dxa"/>
                    <w:right w:w="0" w:type="dxa"/>
                  </w:tcMar>
                  <w:vAlign w:val="center"/>
                </w:tcPr>
                <w:p w14:paraId="1143C9C0">
                  <w:pPr>
                    <w:jc w:val="center"/>
                  </w:pPr>
                  <w:r>
                    <w:rPr>
                      <w:rFonts w:hint="default" w:ascii="Calibri" w:hAnsi="Calibri" w:eastAsia="宋体" w:cs="Calibri"/>
                      <w:sz w:val="21"/>
                      <w:szCs w:val="21"/>
                    </w:rPr>
                    <w:t>基础减振、建筑隔声</w:t>
                  </w:r>
                </w:p>
              </w:tc>
              <w:tc>
                <w:tcPr>
                  <w:tcW w:w="414" w:type="dxa"/>
                  <w:shd w:val="clear" w:color="auto" w:fill="auto"/>
                  <w:tcMar>
                    <w:top w:w="0" w:type="dxa"/>
                    <w:left w:w="0" w:type="dxa"/>
                    <w:bottom w:w="0" w:type="dxa"/>
                    <w:right w:w="0" w:type="dxa"/>
                  </w:tcMar>
                  <w:vAlign w:val="center"/>
                </w:tcPr>
                <w:p w14:paraId="0254409C">
                  <w:pPr>
                    <w:jc w:val="center"/>
                  </w:pPr>
                  <w:r>
                    <w:rPr>
                      <w:rFonts w:ascii="Arial" w:hAnsi="Arial" w:eastAsia="Arial" w:cs="Arial"/>
                      <w:sz w:val="20"/>
                    </w:rPr>
                    <w:t>7.8</w:t>
                  </w:r>
                </w:p>
              </w:tc>
              <w:tc>
                <w:tcPr>
                  <w:tcW w:w="601" w:type="dxa"/>
                  <w:shd w:val="clear" w:color="auto" w:fill="auto"/>
                  <w:tcMar>
                    <w:top w:w="0" w:type="dxa"/>
                    <w:left w:w="0" w:type="dxa"/>
                    <w:bottom w:w="0" w:type="dxa"/>
                    <w:right w:w="0" w:type="dxa"/>
                  </w:tcMar>
                  <w:vAlign w:val="center"/>
                </w:tcPr>
                <w:p w14:paraId="17A6067A">
                  <w:pPr>
                    <w:jc w:val="center"/>
                  </w:pPr>
                  <w:r>
                    <w:rPr>
                      <w:rFonts w:ascii="Arial" w:hAnsi="Arial" w:eastAsia="Arial" w:cs="Arial"/>
                      <w:sz w:val="20"/>
                    </w:rPr>
                    <w:t>-138.6</w:t>
                  </w:r>
                </w:p>
              </w:tc>
              <w:tc>
                <w:tcPr>
                  <w:tcW w:w="302" w:type="dxa"/>
                  <w:shd w:val="clear" w:color="auto" w:fill="auto"/>
                  <w:tcMar>
                    <w:top w:w="0" w:type="dxa"/>
                    <w:left w:w="0" w:type="dxa"/>
                    <w:bottom w:w="0" w:type="dxa"/>
                    <w:right w:w="0" w:type="dxa"/>
                  </w:tcMar>
                  <w:vAlign w:val="center"/>
                </w:tcPr>
                <w:p w14:paraId="26E73FAB">
                  <w:pPr>
                    <w:jc w:val="center"/>
                  </w:pPr>
                  <w:r>
                    <w:rPr>
                      <w:rFonts w:ascii="Arial" w:hAnsi="Arial" w:eastAsia="Arial" w:cs="Arial"/>
                      <w:sz w:val="20"/>
                    </w:rPr>
                    <w:t>2</w:t>
                  </w:r>
                </w:p>
              </w:tc>
              <w:tc>
                <w:tcPr>
                  <w:tcW w:w="504" w:type="dxa"/>
                  <w:shd w:val="clear" w:color="auto" w:fill="auto"/>
                  <w:tcMar>
                    <w:top w:w="0" w:type="dxa"/>
                    <w:left w:w="0" w:type="dxa"/>
                    <w:bottom w:w="0" w:type="dxa"/>
                    <w:right w:w="0" w:type="dxa"/>
                  </w:tcMar>
                  <w:vAlign w:val="center"/>
                </w:tcPr>
                <w:p w14:paraId="51F4D051">
                  <w:pPr>
                    <w:jc w:val="center"/>
                  </w:pPr>
                  <w:r>
                    <w:rPr>
                      <w:rFonts w:ascii="Arial" w:hAnsi="Arial" w:eastAsia="Arial" w:cs="Arial"/>
                      <w:sz w:val="20"/>
                    </w:rPr>
                    <w:t>118.3</w:t>
                  </w:r>
                </w:p>
              </w:tc>
              <w:tc>
                <w:tcPr>
                  <w:tcW w:w="406" w:type="dxa"/>
                  <w:shd w:val="clear" w:color="auto" w:fill="auto"/>
                  <w:tcMar>
                    <w:top w:w="0" w:type="dxa"/>
                    <w:left w:w="0" w:type="dxa"/>
                    <w:bottom w:w="0" w:type="dxa"/>
                    <w:right w:w="0" w:type="dxa"/>
                  </w:tcMar>
                  <w:vAlign w:val="center"/>
                </w:tcPr>
                <w:p w14:paraId="4D9C2D59">
                  <w:pPr>
                    <w:jc w:val="center"/>
                  </w:pPr>
                  <w:r>
                    <w:rPr>
                      <w:rFonts w:ascii="Arial" w:hAnsi="Arial" w:eastAsia="Arial" w:cs="Arial"/>
                      <w:sz w:val="20"/>
                    </w:rPr>
                    <w:t>17.9</w:t>
                  </w:r>
                </w:p>
              </w:tc>
              <w:tc>
                <w:tcPr>
                  <w:tcW w:w="406" w:type="dxa"/>
                  <w:shd w:val="clear" w:color="auto" w:fill="auto"/>
                  <w:tcMar>
                    <w:top w:w="0" w:type="dxa"/>
                    <w:left w:w="0" w:type="dxa"/>
                    <w:bottom w:w="0" w:type="dxa"/>
                    <w:right w:w="0" w:type="dxa"/>
                  </w:tcMar>
                  <w:vAlign w:val="center"/>
                </w:tcPr>
                <w:p w14:paraId="7E02EF43">
                  <w:pPr>
                    <w:jc w:val="center"/>
                  </w:pPr>
                  <w:r>
                    <w:rPr>
                      <w:rFonts w:ascii="Arial" w:hAnsi="Arial" w:eastAsia="Arial" w:cs="Arial"/>
                      <w:sz w:val="20"/>
                    </w:rPr>
                    <w:t>30.3</w:t>
                  </w:r>
                </w:p>
              </w:tc>
              <w:tc>
                <w:tcPr>
                  <w:tcW w:w="406" w:type="dxa"/>
                  <w:shd w:val="clear" w:color="auto" w:fill="auto"/>
                  <w:tcMar>
                    <w:top w:w="0" w:type="dxa"/>
                    <w:left w:w="0" w:type="dxa"/>
                    <w:bottom w:w="0" w:type="dxa"/>
                    <w:right w:w="0" w:type="dxa"/>
                  </w:tcMar>
                  <w:vAlign w:val="center"/>
                </w:tcPr>
                <w:p w14:paraId="2C8161D8">
                  <w:pPr>
                    <w:jc w:val="center"/>
                  </w:pPr>
                  <w:r>
                    <w:rPr>
                      <w:rFonts w:ascii="Arial" w:hAnsi="Arial" w:eastAsia="Arial" w:cs="Arial"/>
                      <w:sz w:val="20"/>
                    </w:rPr>
                    <w:t>49.4</w:t>
                  </w:r>
                </w:p>
              </w:tc>
              <w:tc>
                <w:tcPr>
                  <w:tcW w:w="412" w:type="dxa"/>
                  <w:shd w:val="clear" w:color="auto" w:fill="auto"/>
                  <w:tcMar>
                    <w:top w:w="0" w:type="dxa"/>
                    <w:left w:w="0" w:type="dxa"/>
                    <w:bottom w:w="0" w:type="dxa"/>
                    <w:right w:w="0" w:type="dxa"/>
                  </w:tcMar>
                  <w:vAlign w:val="center"/>
                </w:tcPr>
                <w:p w14:paraId="75E2A665">
                  <w:pPr>
                    <w:jc w:val="center"/>
                  </w:pPr>
                  <w:r>
                    <w:rPr>
                      <w:rFonts w:ascii="Arial" w:hAnsi="Arial" w:eastAsia="Arial" w:cs="Arial"/>
                      <w:sz w:val="20"/>
                    </w:rPr>
                    <w:t>64.7</w:t>
                  </w:r>
                </w:p>
              </w:tc>
              <w:tc>
                <w:tcPr>
                  <w:tcW w:w="412" w:type="dxa"/>
                  <w:shd w:val="clear" w:color="auto" w:fill="auto"/>
                  <w:tcMar>
                    <w:top w:w="0" w:type="dxa"/>
                    <w:left w:w="0" w:type="dxa"/>
                    <w:bottom w:w="0" w:type="dxa"/>
                    <w:right w:w="0" w:type="dxa"/>
                  </w:tcMar>
                  <w:vAlign w:val="center"/>
                </w:tcPr>
                <w:p w14:paraId="6C51EC09">
                  <w:pPr>
                    <w:jc w:val="center"/>
                  </w:pPr>
                  <w:r>
                    <w:rPr>
                      <w:rFonts w:ascii="Arial" w:hAnsi="Arial" w:eastAsia="Arial" w:cs="Arial"/>
                      <w:sz w:val="20"/>
                    </w:rPr>
                    <w:t>64.8</w:t>
                  </w:r>
                </w:p>
              </w:tc>
              <w:tc>
                <w:tcPr>
                  <w:tcW w:w="412" w:type="dxa"/>
                  <w:shd w:val="clear" w:color="auto" w:fill="auto"/>
                  <w:tcMar>
                    <w:top w:w="0" w:type="dxa"/>
                    <w:left w:w="0" w:type="dxa"/>
                    <w:bottom w:w="0" w:type="dxa"/>
                    <w:right w:w="0" w:type="dxa"/>
                  </w:tcMar>
                  <w:vAlign w:val="center"/>
                </w:tcPr>
                <w:p w14:paraId="50C581AA">
                  <w:pPr>
                    <w:jc w:val="center"/>
                  </w:pPr>
                  <w:r>
                    <w:rPr>
                      <w:rFonts w:ascii="Arial" w:hAnsi="Arial" w:eastAsia="Arial" w:cs="Arial"/>
                      <w:sz w:val="20"/>
                    </w:rPr>
                    <w:t>64.7</w:t>
                  </w:r>
                </w:p>
              </w:tc>
              <w:tc>
                <w:tcPr>
                  <w:tcW w:w="419" w:type="dxa"/>
                  <w:shd w:val="clear" w:color="auto" w:fill="auto"/>
                  <w:tcMar>
                    <w:top w:w="0" w:type="dxa"/>
                    <w:left w:w="0" w:type="dxa"/>
                    <w:bottom w:w="0" w:type="dxa"/>
                    <w:right w:w="0" w:type="dxa"/>
                  </w:tcMar>
                  <w:vAlign w:val="center"/>
                </w:tcPr>
                <w:p w14:paraId="1B16536B">
                  <w:pPr>
                    <w:jc w:val="center"/>
                  </w:pPr>
                  <w:r>
                    <w:rPr>
                      <w:rFonts w:ascii="Arial" w:hAnsi="Arial" w:eastAsia="Arial" w:cs="Arial"/>
                      <w:sz w:val="20"/>
                    </w:rPr>
                    <w:t>64.7</w:t>
                  </w:r>
                </w:p>
              </w:tc>
              <w:tc>
                <w:tcPr>
                  <w:tcW w:w="493" w:type="dxa"/>
                  <w:shd w:val="clear" w:color="auto" w:fill="auto"/>
                  <w:tcMar>
                    <w:top w:w="0" w:type="dxa"/>
                    <w:left w:w="0" w:type="dxa"/>
                    <w:bottom w:w="0" w:type="dxa"/>
                    <w:right w:w="0" w:type="dxa"/>
                  </w:tcMar>
                  <w:vAlign w:val="center"/>
                </w:tcPr>
                <w:p w14:paraId="01826B25">
                  <w:pPr>
                    <w:jc w:val="center"/>
                  </w:pPr>
                  <w:r>
                    <w:rPr>
                      <w:rFonts w:hint="eastAsia" w:ascii="Arial" w:hAnsi="Arial" w:eastAsia="宋体" w:cs="Arial"/>
                      <w:sz w:val="20"/>
                      <w:lang w:val="en-US" w:eastAsia="zh-CN"/>
                    </w:rPr>
                    <w:t>8</w:t>
                  </w:r>
                  <w:r>
                    <w:rPr>
                      <w:rFonts w:ascii="Arial" w:hAnsi="Arial" w:eastAsia="Arial" w:cs="Arial"/>
                      <w:sz w:val="20"/>
                    </w:rPr>
                    <w:t>.0</w:t>
                  </w:r>
                </w:p>
              </w:tc>
              <w:tc>
                <w:tcPr>
                  <w:tcW w:w="419" w:type="dxa"/>
                  <w:shd w:val="clear" w:color="auto" w:fill="auto"/>
                  <w:tcMar>
                    <w:top w:w="0" w:type="dxa"/>
                    <w:left w:w="0" w:type="dxa"/>
                    <w:bottom w:w="0" w:type="dxa"/>
                    <w:right w:w="0" w:type="dxa"/>
                  </w:tcMar>
                  <w:vAlign w:val="center"/>
                </w:tcPr>
                <w:p w14:paraId="5EE016A2">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75688D0A">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7FCCE9EB">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19542EEE">
                  <w:pPr>
                    <w:jc w:val="center"/>
                  </w:pPr>
                  <w:r>
                    <w:rPr>
                      <w:rFonts w:ascii="Arial" w:hAnsi="Arial" w:eastAsia="Arial" w:cs="Arial"/>
                      <w:sz w:val="20"/>
                    </w:rPr>
                    <w:t>26.0</w:t>
                  </w:r>
                </w:p>
              </w:tc>
              <w:tc>
                <w:tcPr>
                  <w:tcW w:w="400" w:type="dxa"/>
                  <w:shd w:val="clear" w:color="auto" w:fill="auto"/>
                  <w:tcMar>
                    <w:top w:w="0" w:type="dxa"/>
                    <w:left w:w="0" w:type="dxa"/>
                    <w:bottom w:w="0" w:type="dxa"/>
                    <w:right w:w="0" w:type="dxa"/>
                  </w:tcMar>
                  <w:vAlign w:val="center"/>
                </w:tcPr>
                <w:p w14:paraId="3B7442C9">
                  <w:pPr>
                    <w:jc w:val="center"/>
                  </w:pPr>
                  <w:r>
                    <w:rPr>
                      <w:rFonts w:ascii="Arial" w:hAnsi="Arial" w:eastAsia="Arial" w:cs="Arial"/>
                      <w:sz w:val="20"/>
                    </w:rPr>
                    <w:t>38.7</w:t>
                  </w:r>
                </w:p>
              </w:tc>
              <w:tc>
                <w:tcPr>
                  <w:tcW w:w="400" w:type="dxa"/>
                  <w:shd w:val="clear" w:color="auto" w:fill="auto"/>
                  <w:tcMar>
                    <w:top w:w="0" w:type="dxa"/>
                    <w:left w:w="0" w:type="dxa"/>
                    <w:bottom w:w="0" w:type="dxa"/>
                    <w:right w:w="0" w:type="dxa"/>
                  </w:tcMar>
                  <w:vAlign w:val="center"/>
                </w:tcPr>
                <w:p w14:paraId="3044CB34">
                  <w:pPr>
                    <w:jc w:val="center"/>
                  </w:pPr>
                  <w:r>
                    <w:rPr>
                      <w:rFonts w:ascii="Arial" w:hAnsi="Arial" w:eastAsia="Arial" w:cs="Arial"/>
                      <w:sz w:val="20"/>
                    </w:rPr>
                    <w:t>38.8</w:t>
                  </w:r>
                </w:p>
              </w:tc>
              <w:tc>
                <w:tcPr>
                  <w:tcW w:w="400" w:type="dxa"/>
                  <w:shd w:val="clear" w:color="auto" w:fill="auto"/>
                  <w:tcMar>
                    <w:top w:w="0" w:type="dxa"/>
                    <w:left w:w="0" w:type="dxa"/>
                    <w:bottom w:w="0" w:type="dxa"/>
                    <w:right w:w="0" w:type="dxa"/>
                  </w:tcMar>
                  <w:vAlign w:val="center"/>
                </w:tcPr>
                <w:p w14:paraId="49E0CC5A">
                  <w:pPr>
                    <w:jc w:val="center"/>
                  </w:pPr>
                  <w:r>
                    <w:rPr>
                      <w:rFonts w:ascii="Arial" w:hAnsi="Arial" w:eastAsia="Arial" w:cs="Arial"/>
                      <w:sz w:val="20"/>
                    </w:rPr>
                    <w:t>38.7</w:t>
                  </w:r>
                </w:p>
              </w:tc>
              <w:tc>
                <w:tcPr>
                  <w:tcW w:w="400" w:type="dxa"/>
                  <w:shd w:val="clear" w:color="auto" w:fill="auto"/>
                  <w:tcMar>
                    <w:top w:w="0" w:type="dxa"/>
                    <w:left w:w="0" w:type="dxa"/>
                    <w:bottom w:w="0" w:type="dxa"/>
                    <w:right w:w="0" w:type="dxa"/>
                  </w:tcMar>
                  <w:vAlign w:val="center"/>
                </w:tcPr>
                <w:p w14:paraId="2AC35B8A">
                  <w:pPr>
                    <w:jc w:val="center"/>
                  </w:pPr>
                  <w:r>
                    <w:rPr>
                      <w:rFonts w:ascii="Arial" w:hAnsi="Arial" w:eastAsia="Arial" w:cs="Arial"/>
                      <w:sz w:val="20"/>
                    </w:rPr>
                    <w:t>38.7</w:t>
                  </w:r>
                </w:p>
              </w:tc>
              <w:tc>
                <w:tcPr>
                  <w:tcW w:w="340" w:type="dxa"/>
                  <w:shd w:val="clear" w:color="auto" w:fill="auto"/>
                  <w:tcMar>
                    <w:top w:w="0" w:type="dxa"/>
                    <w:left w:w="0" w:type="dxa"/>
                    <w:bottom w:w="0" w:type="dxa"/>
                    <w:right w:w="0" w:type="dxa"/>
                  </w:tcMar>
                  <w:vAlign w:val="center"/>
                </w:tcPr>
                <w:p w14:paraId="0A3E88CD">
                  <w:pPr>
                    <w:jc w:val="center"/>
                  </w:pPr>
                  <w:r>
                    <w:rPr>
                      <w:rFonts w:ascii="Arial" w:hAnsi="Arial" w:eastAsia="Arial" w:cs="Arial"/>
                      <w:sz w:val="20"/>
                    </w:rPr>
                    <w:t>1</w:t>
                  </w:r>
                </w:p>
              </w:tc>
            </w:tr>
            <w:tr w14:paraId="0F67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9" w:type="dxa"/>
                  <w:shd w:val="clear" w:color="auto" w:fill="auto"/>
                  <w:tcMar>
                    <w:top w:w="0" w:type="dxa"/>
                    <w:left w:w="0" w:type="dxa"/>
                    <w:bottom w:w="0" w:type="dxa"/>
                    <w:right w:w="0" w:type="dxa"/>
                  </w:tcMar>
                  <w:vAlign w:val="center"/>
                </w:tcPr>
                <w:p w14:paraId="4EB7A2C3">
                  <w:pPr>
                    <w:jc w:val="center"/>
                  </w:pPr>
                  <w:r>
                    <w:rPr>
                      <w:rFonts w:ascii="Arial" w:hAnsi="Arial" w:eastAsia="Arial" w:cs="Arial"/>
                      <w:sz w:val="20"/>
                    </w:rPr>
                    <w:t>2</w:t>
                  </w:r>
                </w:p>
              </w:tc>
              <w:tc>
                <w:tcPr>
                  <w:tcW w:w="515" w:type="dxa"/>
                  <w:vMerge w:val="continue"/>
                  <w:shd w:val="clear" w:color="auto" w:fill="auto"/>
                  <w:tcMar>
                    <w:top w:w="0" w:type="dxa"/>
                    <w:left w:w="0" w:type="dxa"/>
                    <w:bottom w:w="0" w:type="dxa"/>
                    <w:right w:w="0" w:type="dxa"/>
                  </w:tcMar>
                  <w:vAlign w:val="center"/>
                </w:tcPr>
                <w:p w14:paraId="583B0924">
                  <w:pPr>
                    <w:jc w:val="center"/>
                  </w:pPr>
                </w:p>
              </w:tc>
              <w:tc>
                <w:tcPr>
                  <w:tcW w:w="531" w:type="dxa"/>
                  <w:shd w:val="clear" w:color="auto" w:fill="auto"/>
                  <w:tcMar>
                    <w:top w:w="0" w:type="dxa"/>
                    <w:left w:w="0" w:type="dxa"/>
                    <w:bottom w:w="0" w:type="dxa"/>
                    <w:right w:w="0" w:type="dxa"/>
                  </w:tcMar>
                  <w:vAlign w:val="center"/>
                </w:tcPr>
                <w:p w14:paraId="7EAED963">
                  <w:pPr>
                    <w:jc w:val="center"/>
                  </w:pPr>
                  <w:r>
                    <w:rPr>
                      <w:rFonts w:ascii="Arial" w:hAnsi="Arial" w:eastAsia="Arial" w:cs="Arial"/>
                      <w:sz w:val="20"/>
                    </w:rPr>
                    <w:t>涂胶机</w:t>
                  </w:r>
                </w:p>
              </w:tc>
              <w:tc>
                <w:tcPr>
                  <w:tcW w:w="449" w:type="dxa"/>
                  <w:shd w:val="clear" w:color="auto" w:fill="auto"/>
                  <w:tcMar>
                    <w:top w:w="0" w:type="dxa"/>
                    <w:left w:w="0" w:type="dxa"/>
                    <w:bottom w:w="0" w:type="dxa"/>
                    <w:right w:w="0" w:type="dxa"/>
                  </w:tcMar>
                  <w:vAlign w:val="center"/>
                </w:tcPr>
                <w:p w14:paraId="2389752E">
                  <w:pPr>
                    <w:jc w:val="center"/>
                    <w:rPr>
                      <w:rFonts w:hint="eastAsia" w:eastAsia="宋体"/>
                      <w:lang w:val="en-US" w:eastAsia="zh-CN"/>
                    </w:rPr>
                  </w:pPr>
                  <w:r>
                    <w:rPr>
                      <w:rFonts w:hint="eastAsia"/>
                      <w:lang w:val="en-US" w:eastAsia="zh-CN"/>
                    </w:rPr>
                    <w:t>/</w:t>
                  </w:r>
                </w:p>
              </w:tc>
              <w:tc>
                <w:tcPr>
                  <w:tcW w:w="1428" w:type="dxa"/>
                  <w:shd w:val="clear" w:color="auto" w:fill="auto"/>
                  <w:tcMar>
                    <w:top w:w="0" w:type="dxa"/>
                    <w:left w:w="0" w:type="dxa"/>
                    <w:bottom w:w="0" w:type="dxa"/>
                    <w:right w:w="0" w:type="dxa"/>
                  </w:tcMar>
                  <w:vAlign w:val="center"/>
                </w:tcPr>
                <w:p w14:paraId="1317BA4D">
                  <w:pPr>
                    <w:jc w:val="center"/>
                  </w:pPr>
                  <w:r>
                    <w:rPr>
                      <w:rFonts w:ascii="Arial" w:hAnsi="Arial" w:eastAsia="Arial" w:cs="Arial"/>
                      <w:sz w:val="20"/>
                    </w:rPr>
                    <w:t>84</w:t>
                  </w:r>
                  <w:r>
                    <w:rPr>
                      <w:rFonts w:hint="eastAsia" w:ascii="Arial" w:hAnsi="Arial" w:eastAsia="宋体" w:cs="Arial"/>
                      <w:sz w:val="20"/>
                      <w:lang w:val="en-US" w:eastAsia="zh-CN"/>
                    </w:rPr>
                    <w:t>/1</w:t>
                  </w:r>
                </w:p>
              </w:tc>
              <w:tc>
                <w:tcPr>
                  <w:tcW w:w="587" w:type="dxa"/>
                  <w:vMerge w:val="continue"/>
                  <w:shd w:val="clear" w:color="auto" w:fill="auto"/>
                  <w:tcMar>
                    <w:top w:w="0" w:type="dxa"/>
                    <w:left w:w="0" w:type="dxa"/>
                    <w:bottom w:w="0" w:type="dxa"/>
                    <w:right w:w="0" w:type="dxa"/>
                  </w:tcMar>
                  <w:vAlign w:val="center"/>
                </w:tcPr>
                <w:p w14:paraId="6914F424">
                  <w:pPr>
                    <w:jc w:val="center"/>
                  </w:pPr>
                </w:p>
              </w:tc>
              <w:tc>
                <w:tcPr>
                  <w:tcW w:w="414" w:type="dxa"/>
                  <w:shd w:val="clear" w:color="auto" w:fill="auto"/>
                  <w:tcMar>
                    <w:top w:w="0" w:type="dxa"/>
                    <w:left w:w="0" w:type="dxa"/>
                    <w:bottom w:w="0" w:type="dxa"/>
                    <w:right w:w="0" w:type="dxa"/>
                  </w:tcMar>
                  <w:vAlign w:val="center"/>
                </w:tcPr>
                <w:p w14:paraId="2BE817C8">
                  <w:pPr>
                    <w:jc w:val="center"/>
                  </w:pPr>
                  <w:r>
                    <w:rPr>
                      <w:rFonts w:ascii="Arial" w:hAnsi="Arial" w:eastAsia="Arial" w:cs="Arial"/>
                      <w:sz w:val="20"/>
                    </w:rPr>
                    <w:t>35.4</w:t>
                  </w:r>
                </w:p>
              </w:tc>
              <w:tc>
                <w:tcPr>
                  <w:tcW w:w="601" w:type="dxa"/>
                  <w:shd w:val="clear" w:color="auto" w:fill="auto"/>
                  <w:tcMar>
                    <w:top w:w="0" w:type="dxa"/>
                    <w:left w:w="0" w:type="dxa"/>
                    <w:bottom w:w="0" w:type="dxa"/>
                    <w:right w:w="0" w:type="dxa"/>
                  </w:tcMar>
                  <w:vAlign w:val="center"/>
                </w:tcPr>
                <w:p w14:paraId="262A6202">
                  <w:pPr>
                    <w:jc w:val="center"/>
                  </w:pPr>
                  <w:r>
                    <w:rPr>
                      <w:rFonts w:ascii="Arial" w:hAnsi="Arial" w:eastAsia="Arial" w:cs="Arial"/>
                      <w:sz w:val="20"/>
                    </w:rPr>
                    <w:t>-140.4</w:t>
                  </w:r>
                </w:p>
              </w:tc>
              <w:tc>
                <w:tcPr>
                  <w:tcW w:w="302" w:type="dxa"/>
                  <w:shd w:val="clear" w:color="auto" w:fill="auto"/>
                  <w:tcMar>
                    <w:top w:w="0" w:type="dxa"/>
                    <w:left w:w="0" w:type="dxa"/>
                    <w:bottom w:w="0" w:type="dxa"/>
                    <w:right w:w="0" w:type="dxa"/>
                  </w:tcMar>
                  <w:vAlign w:val="center"/>
                </w:tcPr>
                <w:p w14:paraId="32269DA1">
                  <w:pPr>
                    <w:jc w:val="center"/>
                  </w:pPr>
                  <w:r>
                    <w:rPr>
                      <w:rFonts w:ascii="Arial" w:hAnsi="Arial" w:eastAsia="Arial" w:cs="Arial"/>
                      <w:sz w:val="20"/>
                    </w:rPr>
                    <w:t>2</w:t>
                  </w:r>
                </w:p>
              </w:tc>
              <w:tc>
                <w:tcPr>
                  <w:tcW w:w="504" w:type="dxa"/>
                  <w:shd w:val="clear" w:color="auto" w:fill="auto"/>
                  <w:tcMar>
                    <w:top w:w="0" w:type="dxa"/>
                    <w:left w:w="0" w:type="dxa"/>
                    <w:bottom w:w="0" w:type="dxa"/>
                    <w:right w:w="0" w:type="dxa"/>
                  </w:tcMar>
                  <w:vAlign w:val="center"/>
                </w:tcPr>
                <w:p w14:paraId="76D9538E">
                  <w:pPr>
                    <w:jc w:val="center"/>
                  </w:pPr>
                  <w:r>
                    <w:rPr>
                      <w:rFonts w:ascii="Arial" w:hAnsi="Arial" w:eastAsia="Arial" w:cs="Arial"/>
                      <w:sz w:val="20"/>
                    </w:rPr>
                    <w:t>90.9</w:t>
                  </w:r>
                </w:p>
              </w:tc>
              <w:tc>
                <w:tcPr>
                  <w:tcW w:w="406" w:type="dxa"/>
                  <w:shd w:val="clear" w:color="auto" w:fill="auto"/>
                  <w:tcMar>
                    <w:top w:w="0" w:type="dxa"/>
                    <w:left w:w="0" w:type="dxa"/>
                    <w:bottom w:w="0" w:type="dxa"/>
                    <w:right w:w="0" w:type="dxa"/>
                  </w:tcMar>
                  <w:vAlign w:val="center"/>
                </w:tcPr>
                <w:p w14:paraId="0998D32E">
                  <w:pPr>
                    <w:jc w:val="center"/>
                  </w:pPr>
                  <w:r>
                    <w:rPr>
                      <w:rFonts w:ascii="Arial" w:hAnsi="Arial" w:eastAsia="Arial" w:cs="Arial"/>
                      <w:sz w:val="20"/>
                    </w:rPr>
                    <w:t>22.5</w:t>
                  </w:r>
                </w:p>
              </w:tc>
              <w:tc>
                <w:tcPr>
                  <w:tcW w:w="406" w:type="dxa"/>
                  <w:shd w:val="clear" w:color="auto" w:fill="auto"/>
                  <w:tcMar>
                    <w:top w:w="0" w:type="dxa"/>
                    <w:left w:w="0" w:type="dxa"/>
                    <w:bottom w:w="0" w:type="dxa"/>
                    <w:right w:w="0" w:type="dxa"/>
                  </w:tcMar>
                  <w:vAlign w:val="center"/>
                </w:tcPr>
                <w:p w14:paraId="60E37750">
                  <w:pPr>
                    <w:jc w:val="center"/>
                  </w:pPr>
                  <w:r>
                    <w:rPr>
                      <w:rFonts w:ascii="Arial" w:hAnsi="Arial" w:eastAsia="Arial" w:cs="Arial"/>
                      <w:sz w:val="20"/>
                    </w:rPr>
                    <w:t>57.8</w:t>
                  </w:r>
                </w:p>
              </w:tc>
              <w:tc>
                <w:tcPr>
                  <w:tcW w:w="406" w:type="dxa"/>
                  <w:shd w:val="clear" w:color="auto" w:fill="auto"/>
                  <w:tcMar>
                    <w:top w:w="0" w:type="dxa"/>
                    <w:left w:w="0" w:type="dxa"/>
                    <w:bottom w:w="0" w:type="dxa"/>
                    <w:right w:w="0" w:type="dxa"/>
                  </w:tcMar>
                  <w:vAlign w:val="center"/>
                </w:tcPr>
                <w:p w14:paraId="1CB8B29D">
                  <w:pPr>
                    <w:jc w:val="center"/>
                  </w:pPr>
                  <w:r>
                    <w:rPr>
                      <w:rFonts w:ascii="Arial" w:hAnsi="Arial" w:eastAsia="Arial" w:cs="Arial"/>
                      <w:sz w:val="20"/>
                    </w:rPr>
                    <w:t>45.2</w:t>
                  </w:r>
                </w:p>
              </w:tc>
              <w:tc>
                <w:tcPr>
                  <w:tcW w:w="412" w:type="dxa"/>
                  <w:shd w:val="clear" w:color="auto" w:fill="auto"/>
                  <w:tcMar>
                    <w:top w:w="0" w:type="dxa"/>
                    <w:left w:w="0" w:type="dxa"/>
                    <w:bottom w:w="0" w:type="dxa"/>
                    <w:right w:w="0" w:type="dxa"/>
                  </w:tcMar>
                  <w:vAlign w:val="center"/>
                </w:tcPr>
                <w:p w14:paraId="732405E5">
                  <w:pPr>
                    <w:jc w:val="center"/>
                  </w:pPr>
                  <w:r>
                    <w:rPr>
                      <w:rFonts w:ascii="Arial" w:hAnsi="Arial" w:eastAsia="Arial" w:cs="Arial"/>
                      <w:sz w:val="20"/>
                    </w:rPr>
                    <w:t>62.7</w:t>
                  </w:r>
                </w:p>
              </w:tc>
              <w:tc>
                <w:tcPr>
                  <w:tcW w:w="412" w:type="dxa"/>
                  <w:shd w:val="clear" w:color="auto" w:fill="auto"/>
                  <w:tcMar>
                    <w:top w:w="0" w:type="dxa"/>
                    <w:left w:w="0" w:type="dxa"/>
                    <w:bottom w:w="0" w:type="dxa"/>
                    <w:right w:w="0" w:type="dxa"/>
                  </w:tcMar>
                  <w:vAlign w:val="center"/>
                </w:tcPr>
                <w:p w14:paraId="48F8E429">
                  <w:pPr>
                    <w:jc w:val="center"/>
                  </w:pPr>
                  <w:r>
                    <w:rPr>
                      <w:rFonts w:ascii="Arial" w:hAnsi="Arial" w:eastAsia="Arial" w:cs="Arial"/>
                      <w:sz w:val="20"/>
                    </w:rPr>
                    <w:t>62.8</w:t>
                  </w:r>
                </w:p>
              </w:tc>
              <w:tc>
                <w:tcPr>
                  <w:tcW w:w="412" w:type="dxa"/>
                  <w:shd w:val="clear" w:color="auto" w:fill="auto"/>
                  <w:tcMar>
                    <w:top w:w="0" w:type="dxa"/>
                    <w:left w:w="0" w:type="dxa"/>
                    <w:bottom w:w="0" w:type="dxa"/>
                    <w:right w:w="0" w:type="dxa"/>
                  </w:tcMar>
                  <w:vAlign w:val="center"/>
                </w:tcPr>
                <w:p w14:paraId="31304CF3">
                  <w:pPr>
                    <w:jc w:val="center"/>
                  </w:pPr>
                  <w:r>
                    <w:rPr>
                      <w:rFonts w:ascii="Arial" w:hAnsi="Arial" w:eastAsia="Arial" w:cs="Arial"/>
                      <w:sz w:val="20"/>
                    </w:rPr>
                    <w:t>62.7</w:t>
                  </w:r>
                </w:p>
              </w:tc>
              <w:tc>
                <w:tcPr>
                  <w:tcW w:w="419" w:type="dxa"/>
                  <w:shd w:val="clear" w:color="auto" w:fill="auto"/>
                  <w:tcMar>
                    <w:top w:w="0" w:type="dxa"/>
                    <w:left w:w="0" w:type="dxa"/>
                    <w:bottom w:w="0" w:type="dxa"/>
                    <w:right w:w="0" w:type="dxa"/>
                  </w:tcMar>
                  <w:vAlign w:val="center"/>
                </w:tcPr>
                <w:p w14:paraId="0EE3D78F">
                  <w:pPr>
                    <w:jc w:val="center"/>
                  </w:pPr>
                  <w:r>
                    <w:rPr>
                      <w:rFonts w:ascii="Arial" w:hAnsi="Arial" w:eastAsia="Arial" w:cs="Arial"/>
                      <w:sz w:val="20"/>
                    </w:rPr>
                    <w:t>62.7</w:t>
                  </w:r>
                </w:p>
              </w:tc>
              <w:tc>
                <w:tcPr>
                  <w:tcW w:w="493" w:type="dxa"/>
                  <w:shd w:val="clear" w:color="auto" w:fill="auto"/>
                  <w:tcMar>
                    <w:top w:w="0" w:type="dxa"/>
                    <w:left w:w="0" w:type="dxa"/>
                    <w:bottom w:w="0" w:type="dxa"/>
                    <w:right w:w="0" w:type="dxa"/>
                  </w:tcMar>
                  <w:vAlign w:val="center"/>
                </w:tcPr>
                <w:p w14:paraId="20161BE8">
                  <w:pPr>
                    <w:jc w:val="center"/>
                  </w:pPr>
                  <w:r>
                    <w:rPr>
                      <w:rFonts w:hint="eastAsia" w:ascii="Arial" w:hAnsi="Arial" w:eastAsia="宋体" w:cs="Arial"/>
                      <w:sz w:val="20"/>
                      <w:lang w:val="en-US" w:eastAsia="zh-CN"/>
                    </w:rPr>
                    <w:t>8</w:t>
                  </w:r>
                  <w:r>
                    <w:rPr>
                      <w:rFonts w:ascii="Arial" w:hAnsi="Arial" w:eastAsia="Arial" w:cs="Arial"/>
                      <w:sz w:val="20"/>
                    </w:rPr>
                    <w:t>.0</w:t>
                  </w:r>
                </w:p>
              </w:tc>
              <w:tc>
                <w:tcPr>
                  <w:tcW w:w="419" w:type="dxa"/>
                  <w:shd w:val="clear" w:color="auto" w:fill="auto"/>
                  <w:tcMar>
                    <w:top w:w="0" w:type="dxa"/>
                    <w:left w:w="0" w:type="dxa"/>
                    <w:bottom w:w="0" w:type="dxa"/>
                    <w:right w:w="0" w:type="dxa"/>
                  </w:tcMar>
                  <w:vAlign w:val="center"/>
                </w:tcPr>
                <w:p w14:paraId="133BD318">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04067C70">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60D6AD47">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050BCAE1">
                  <w:pPr>
                    <w:jc w:val="center"/>
                  </w:pPr>
                  <w:r>
                    <w:rPr>
                      <w:rFonts w:ascii="Arial" w:hAnsi="Arial" w:eastAsia="Arial" w:cs="Arial"/>
                      <w:sz w:val="20"/>
                    </w:rPr>
                    <w:t>26.0</w:t>
                  </w:r>
                </w:p>
              </w:tc>
              <w:tc>
                <w:tcPr>
                  <w:tcW w:w="400" w:type="dxa"/>
                  <w:shd w:val="clear" w:color="auto" w:fill="auto"/>
                  <w:tcMar>
                    <w:top w:w="0" w:type="dxa"/>
                    <w:left w:w="0" w:type="dxa"/>
                    <w:bottom w:w="0" w:type="dxa"/>
                    <w:right w:w="0" w:type="dxa"/>
                  </w:tcMar>
                  <w:vAlign w:val="center"/>
                </w:tcPr>
                <w:p w14:paraId="03072300">
                  <w:pPr>
                    <w:jc w:val="center"/>
                  </w:pPr>
                  <w:r>
                    <w:rPr>
                      <w:rFonts w:ascii="Arial" w:hAnsi="Arial" w:eastAsia="Arial" w:cs="Arial"/>
                      <w:sz w:val="20"/>
                    </w:rPr>
                    <w:t>36.7</w:t>
                  </w:r>
                </w:p>
              </w:tc>
              <w:tc>
                <w:tcPr>
                  <w:tcW w:w="400" w:type="dxa"/>
                  <w:shd w:val="clear" w:color="auto" w:fill="auto"/>
                  <w:tcMar>
                    <w:top w:w="0" w:type="dxa"/>
                    <w:left w:w="0" w:type="dxa"/>
                    <w:bottom w:w="0" w:type="dxa"/>
                    <w:right w:w="0" w:type="dxa"/>
                  </w:tcMar>
                  <w:vAlign w:val="center"/>
                </w:tcPr>
                <w:p w14:paraId="40EFD217">
                  <w:pPr>
                    <w:jc w:val="center"/>
                  </w:pPr>
                  <w:r>
                    <w:rPr>
                      <w:rFonts w:ascii="Arial" w:hAnsi="Arial" w:eastAsia="Arial" w:cs="Arial"/>
                      <w:sz w:val="20"/>
                    </w:rPr>
                    <w:t>36.8</w:t>
                  </w:r>
                </w:p>
              </w:tc>
              <w:tc>
                <w:tcPr>
                  <w:tcW w:w="400" w:type="dxa"/>
                  <w:shd w:val="clear" w:color="auto" w:fill="auto"/>
                  <w:tcMar>
                    <w:top w:w="0" w:type="dxa"/>
                    <w:left w:w="0" w:type="dxa"/>
                    <w:bottom w:w="0" w:type="dxa"/>
                    <w:right w:w="0" w:type="dxa"/>
                  </w:tcMar>
                  <w:vAlign w:val="center"/>
                </w:tcPr>
                <w:p w14:paraId="3F3AEC67">
                  <w:pPr>
                    <w:jc w:val="center"/>
                  </w:pPr>
                  <w:r>
                    <w:rPr>
                      <w:rFonts w:ascii="Arial" w:hAnsi="Arial" w:eastAsia="Arial" w:cs="Arial"/>
                      <w:sz w:val="20"/>
                    </w:rPr>
                    <w:t>36.7</w:t>
                  </w:r>
                </w:p>
              </w:tc>
              <w:tc>
                <w:tcPr>
                  <w:tcW w:w="400" w:type="dxa"/>
                  <w:shd w:val="clear" w:color="auto" w:fill="auto"/>
                  <w:tcMar>
                    <w:top w:w="0" w:type="dxa"/>
                    <w:left w:w="0" w:type="dxa"/>
                    <w:bottom w:w="0" w:type="dxa"/>
                    <w:right w:w="0" w:type="dxa"/>
                  </w:tcMar>
                  <w:vAlign w:val="center"/>
                </w:tcPr>
                <w:p w14:paraId="67D276D3">
                  <w:pPr>
                    <w:jc w:val="center"/>
                  </w:pPr>
                  <w:r>
                    <w:rPr>
                      <w:rFonts w:ascii="Arial" w:hAnsi="Arial" w:eastAsia="Arial" w:cs="Arial"/>
                      <w:sz w:val="20"/>
                    </w:rPr>
                    <w:t>36.7</w:t>
                  </w:r>
                </w:p>
              </w:tc>
              <w:tc>
                <w:tcPr>
                  <w:tcW w:w="340" w:type="dxa"/>
                  <w:shd w:val="clear" w:color="auto" w:fill="auto"/>
                  <w:tcMar>
                    <w:top w:w="0" w:type="dxa"/>
                    <w:left w:w="0" w:type="dxa"/>
                    <w:bottom w:w="0" w:type="dxa"/>
                    <w:right w:w="0" w:type="dxa"/>
                  </w:tcMar>
                  <w:vAlign w:val="center"/>
                </w:tcPr>
                <w:p w14:paraId="5CA06400">
                  <w:pPr>
                    <w:jc w:val="center"/>
                  </w:pPr>
                  <w:r>
                    <w:rPr>
                      <w:rFonts w:ascii="Arial" w:hAnsi="Arial" w:eastAsia="Arial" w:cs="Arial"/>
                      <w:sz w:val="20"/>
                    </w:rPr>
                    <w:t>1</w:t>
                  </w:r>
                </w:p>
              </w:tc>
            </w:tr>
            <w:tr w14:paraId="48EE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9" w:type="dxa"/>
                  <w:shd w:val="clear" w:color="auto" w:fill="auto"/>
                  <w:tcMar>
                    <w:top w:w="0" w:type="dxa"/>
                    <w:left w:w="0" w:type="dxa"/>
                    <w:bottom w:w="0" w:type="dxa"/>
                    <w:right w:w="0" w:type="dxa"/>
                  </w:tcMar>
                  <w:vAlign w:val="center"/>
                </w:tcPr>
                <w:p w14:paraId="1B24B151">
                  <w:pPr>
                    <w:jc w:val="center"/>
                  </w:pPr>
                  <w:r>
                    <w:rPr>
                      <w:rFonts w:ascii="Arial" w:hAnsi="Arial" w:eastAsia="Arial" w:cs="Arial"/>
                      <w:sz w:val="20"/>
                    </w:rPr>
                    <w:t>3</w:t>
                  </w:r>
                </w:p>
              </w:tc>
              <w:tc>
                <w:tcPr>
                  <w:tcW w:w="515" w:type="dxa"/>
                  <w:vMerge w:val="continue"/>
                  <w:shd w:val="clear" w:color="auto" w:fill="auto"/>
                  <w:tcMar>
                    <w:top w:w="0" w:type="dxa"/>
                    <w:left w:w="0" w:type="dxa"/>
                    <w:bottom w:w="0" w:type="dxa"/>
                    <w:right w:w="0" w:type="dxa"/>
                  </w:tcMar>
                  <w:vAlign w:val="center"/>
                </w:tcPr>
                <w:p w14:paraId="7F386C6F">
                  <w:pPr>
                    <w:jc w:val="center"/>
                  </w:pPr>
                </w:p>
              </w:tc>
              <w:tc>
                <w:tcPr>
                  <w:tcW w:w="531" w:type="dxa"/>
                  <w:shd w:val="clear" w:color="auto" w:fill="auto"/>
                  <w:tcMar>
                    <w:top w:w="0" w:type="dxa"/>
                    <w:left w:w="0" w:type="dxa"/>
                    <w:bottom w:w="0" w:type="dxa"/>
                    <w:right w:w="0" w:type="dxa"/>
                  </w:tcMar>
                  <w:vAlign w:val="center"/>
                </w:tcPr>
                <w:p w14:paraId="753D8733">
                  <w:pPr>
                    <w:jc w:val="center"/>
                  </w:pPr>
                  <w:r>
                    <w:rPr>
                      <w:rFonts w:ascii="Arial" w:hAnsi="Arial" w:eastAsia="Arial" w:cs="Arial"/>
                      <w:sz w:val="20"/>
                    </w:rPr>
                    <w:t>扣子机</w:t>
                  </w:r>
                </w:p>
              </w:tc>
              <w:tc>
                <w:tcPr>
                  <w:tcW w:w="449" w:type="dxa"/>
                  <w:shd w:val="clear" w:color="auto" w:fill="auto"/>
                  <w:tcMar>
                    <w:top w:w="0" w:type="dxa"/>
                    <w:left w:w="0" w:type="dxa"/>
                    <w:bottom w:w="0" w:type="dxa"/>
                    <w:right w:w="0" w:type="dxa"/>
                  </w:tcMar>
                  <w:vAlign w:val="center"/>
                </w:tcPr>
                <w:p w14:paraId="3DC1B63F">
                  <w:pPr>
                    <w:jc w:val="center"/>
                    <w:rPr>
                      <w:rFonts w:hint="eastAsia" w:eastAsia="宋体"/>
                      <w:lang w:val="en-US" w:eastAsia="zh-CN"/>
                    </w:rPr>
                  </w:pPr>
                  <w:r>
                    <w:rPr>
                      <w:rFonts w:hint="eastAsia"/>
                      <w:lang w:val="en-US" w:eastAsia="zh-CN"/>
                    </w:rPr>
                    <w:t>/</w:t>
                  </w:r>
                </w:p>
              </w:tc>
              <w:tc>
                <w:tcPr>
                  <w:tcW w:w="1428" w:type="dxa"/>
                  <w:shd w:val="clear" w:color="auto" w:fill="auto"/>
                  <w:tcMar>
                    <w:top w:w="0" w:type="dxa"/>
                    <w:left w:w="0" w:type="dxa"/>
                    <w:bottom w:w="0" w:type="dxa"/>
                    <w:right w:w="0" w:type="dxa"/>
                  </w:tcMar>
                  <w:vAlign w:val="center"/>
                </w:tcPr>
                <w:p w14:paraId="034784C4">
                  <w:pPr>
                    <w:jc w:val="center"/>
                  </w:pPr>
                  <w:r>
                    <w:rPr>
                      <w:rFonts w:ascii="Arial" w:hAnsi="Arial" w:eastAsia="Arial" w:cs="Arial"/>
                      <w:sz w:val="20"/>
                    </w:rPr>
                    <w:t>80</w:t>
                  </w:r>
                  <w:r>
                    <w:rPr>
                      <w:rFonts w:hint="eastAsia" w:ascii="Arial" w:hAnsi="Arial" w:eastAsia="宋体" w:cs="Arial"/>
                      <w:sz w:val="20"/>
                      <w:lang w:val="en-US" w:eastAsia="zh-CN"/>
                    </w:rPr>
                    <w:t>/1</w:t>
                  </w:r>
                </w:p>
              </w:tc>
              <w:tc>
                <w:tcPr>
                  <w:tcW w:w="587" w:type="dxa"/>
                  <w:vMerge w:val="continue"/>
                  <w:shd w:val="clear" w:color="auto" w:fill="auto"/>
                  <w:tcMar>
                    <w:top w:w="0" w:type="dxa"/>
                    <w:left w:w="0" w:type="dxa"/>
                    <w:bottom w:w="0" w:type="dxa"/>
                    <w:right w:w="0" w:type="dxa"/>
                  </w:tcMar>
                  <w:vAlign w:val="center"/>
                </w:tcPr>
                <w:p w14:paraId="20EFBEF5">
                  <w:pPr>
                    <w:jc w:val="center"/>
                  </w:pPr>
                </w:p>
              </w:tc>
              <w:tc>
                <w:tcPr>
                  <w:tcW w:w="414" w:type="dxa"/>
                  <w:shd w:val="clear" w:color="auto" w:fill="auto"/>
                  <w:tcMar>
                    <w:top w:w="0" w:type="dxa"/>
                    <w:left w:w="0" w:type="dxa"/>
                    <w:bottom w:w="0" w:type="dxa"/>
                    <w:right w:w="0" w:type="dxa"/>
                  </w:tcMar>
                  <w:vAlign w:val="center"/>
                </w:tcPr>
                <w:p w14:paraId="6C96D867">
                  <w:pPr>
                    <w:jc w:val="center"/>
                  </w:pPr>
                  <w:r>
                    <w:rPr>
                      <w:rFonts w:ascii="Arial" w:hAnsi="Arial" w:eastAsia="Arial" w:cs="Arial"/>
                      <w:sz w:val="20"/>
                    </w:rPr>
                    <w:t>73.7</w:t>
                  </w:r>
                </w:p>
              </w:tc>
              <w:tc>
                <w:tcPr>
                  <w:tcW w:w="601" w:type="dxa"/>
                  <w:shd w:val="clear" w:color="auto" w:fill="auto"/>
                  <w:tcMar>
                    <w:top w:w="0" w:type="dxa"/>
                    <w:left w:w="0" w:type="dxa"/>
                    <w:bottom w:w="0" w:type="dxa"/>
                    <w:right w:w="0" w:type="dxa"/>
                  </w:tcMar>
                  <w:vAlign w:val="center"/>
                </w:tcPr>
                <w:p w14:paraId="61160FBB">
                  <w:pPr>
                    <w:jc w:val="center"/>
                  </w:pPr>
                  <w:r>
                    <w:rPr>
                      <w:rFonts w:ascii="Arial" w:hAnsi="Arial" w:eastAsia="Arial" w:cs="Arial"/>
                      <w:sz w:val="20"/>
                    </w:rPr>
                    <w:t>-156.4</w:t>
                  </w:r>
                </w:p>
              </w:tc>
              <w:tc>
                <w:tcPr>
                  <w:tcW w:w="302" w:type="dxa"/>
                  <w:shd w:val="clear" w:color="auto" w:fill="auto"/>
                  <w:tcMar>
                    <w:top w:w="0" w:type="dxa"/>
                    <w:left w:w="0" w:type="dxa"/>
                    <w:bottom w:w="0" w:type="dxa"/>
                    <w:right w:w="0" w:type="dxa"/>
                  </w:tcMar>
                  <w:vAlign w:val="center"/>
                </w:tcPr>
                <w:p w14:paraId="5303D0AD">
                  <w:pPr>
                    <w:jc w:val="center"/>
                  </w:pPr>
                  <w:r>
                    <w:rPr>
                      <w:rFonts w:ascii="Arial" w:hAnsi="Arial" w:eastAsia="Arial" w:cs="Arial"/>
                      <w:sz w:val="20"/>
                    </w:rPr>
                    <w:t>1.5</w:t>
                  </w:r>
                </w:p>
              </w:tc>
              <w:tc>
                <w:tcPr>
                  <w:tcW w:w="504" w:type="dxa"/>
                  <w:shd w:val="clear" w:color="auto" w:fill="auto"/>
                  <w:tcMar>
                    <w:top w:w="0" w:type="dxa"/>
                    <w:left w:w="0" w:type="dxa"/>
                    <w:bottom w:w="0" w:type="dxa"/>
                    <w:right w:w="0" w:type="dxa"/>
                  </w:tcMar>
                  <w:vAlign w:val="center"/>
                </w:tcPr>
                <w:p w14:paraId="556E5496">
                  <w:pPr>
                    <w:jc w:val="center"/>
                  </w:pPr>
                  <w:r>
                    <w:rPr>
                      <w:rFonts w:ascii="Arial" w:hAnsi="Arial" w:eastAsia="Arial" w:cs="Arial"/>
                      <w:sz w:val="20"/>
                    </w:rPr>
                    <w:t>50.1</w:t>
                  </w:r>
                </w:p>
              </w:tc>
              <w:tc>
                <w:tcPr>
                  <w:tcW w:w="406" w:type="dxa"/>
                  <w:shd w:val="clear" w:color="auto" w:fill="auto"/>
                  <w:tcMar>
                    <w:top w:w="0" w:type="dxa"/>
                    <w:left w:w="0" w:type="dxa"/>
                    <w:bottom w:w="0" w:type="dxa"/>
                    <w:right w:w="0" w:type="dxa"/>
                  </w:tcMar>
                  <w:vAlign w:val="center"/>
                </w:tcPr>
                <w:p w14:paraId="3FE33A17">
                  <w:pPr>
                    <w:jc w:val="center"/>
                  </w:pPr>
                  <w:r>
                    <w:rPr>
                      <w:rFonts w:ascii="Arial" w:hAnsi="Arial" w:eastAsia="Arial" w:cs="Arial"/>
                      <w:sz w:val="20"/>
                    </w:rPr>
                    <w:t>15.7</w:t>
                  </w:r>
                </w:p>
              </w:tc>
              <w:tc>
                <w:tcPr>
                  <w:tcW w:w="406" w:type="dxa"/>
                  <w:shd w:val="clear" w:color="auto" w:fill="auto"/>
                  <w:tcMar>
                    <w:top w:w="0" w:type="dxa"/>
                    <w:left w:w="0" w:type="dxa"/>
                    <w:bottom w:w="0" w:type="dxa"/>
                    <w:right w:w="0" w:type="dxa"/>
                  </w:tcMar>
                  <w:vAlign w:val="center"/>
                </w:tcPr>
                <w:p w14:paraId="5E1BE8DA">
                  <w:pPr>
                    <w:jc w:val="center"/>
                  </w:pPr>
                  <w:r>
                    <w:rPr>
                      <w:rFonts w:ascii="Arial" w:hAnsi="Arial" w:eastAsia="Arial" w:cs="Arial"/>
                      <w:sz w:val="20"/>
                    </w:rPr>
                    <w:t>98.3</w:t>
                  </w:r>
                </w:p>
              </w:tc>
              <w:tc>
                <w:tcPr>
                  <w:tcW w:w="406" w:type="dxa"/>
                  <w:shd w:val="clear" w:color="auto" w:fill="auto"/>
                  <w:tcMar>
                    <w:top w:w="0" w:type="dxa"/>
                    <w:left w:w="0" w:type="dxa"/>
                    <w:bottom w:w="0" w:type="dxa"/>
                    <w:right w:w="0" w:type="dxa"/>
                  </w:tcMar>
                  <w:vAlign w:val="center"/>
                </w:tcPr>
                <w:p w14:paraId="4EC87413">
                  <w:pPr>
                    <w:jc w:val="center"/>
                  </w:pPr>
                  <w:r>
                    <w:rPr>
                      <w:rFonts w:ascii="Arial" w:hAnsi="Arial" w:eastAsia="Arial" w:cs="Arial"/>
                      <w:sz w:val="20"/>
                    </w:rPr>
                    <w:t>52.5</w:t>
                  </w:r>
                </w:p>
              </w:tc>
              <w:tc>
                <w:tcPr>
                  <w:tcW w:w="412" w:type="dxa"/>
                  <w:shd w:val="clear" w:color="auto" w:fill="auto"/>
                  <w:tcMar>
                    <w:top w:w="0" w:type="dxa"/>
                    <w:left w:w="0" w:type="dxa"/>
                    <w:bottom w:w="0" w:type="dxa"/>
                    <w:right w:w="0" w:type="dxa"/>
                  </w:tcMar>
                  <w:vAlign w:val="center"/>
                </w:tcPr>
                <w:p w14:paraId="08B54FB9">
                  <w:pPr>
                    <w:jc w:val="center"/>
                  </w:pPr>
                  <w:r>
                    <w:rPr>
                      <w:rFonts w:ascii="Arial" w:hAnsi="Arial" w:eastAsia="Arial" w:cs="Arial"/>
                      <w:sz w:val="20"/>
                    </w:rPr>
                    <w:t>58.7</w:t>
                  </w:r>
                </w:p>
              </w:tc>
              <w:tc>
                <w:tcPr>
                  <w:tcW w:w="412" w:type="dxa"/>
                  <w:shd w:val="clear" w:color="auto" w:fill="auto"/>
                  <w:tcMar>
                    <w:top w:w="0" w:type="dxa"/>
                    <w:left w:w="0" w:type="dxa"/>
                    <w:bottom w:w="0" w:type="dxa"/>
                    <w:right w:w="0" w:type="dxa"/>
                  </w:tcMar>
                  <w:vAlign w:val="center"/>
                </w:tcPr>
                <w:p w14:paraId="17F02C24">
                  <w:pPr>
                    <w:jc w:val="center"/>
                  </w:pPr>
                  <w:r>
                    <w:rPr>
                      <w:rFonts w:ascii="Arial" w:hAnsi="Arial" w:eastAsia="Arial" w:cs="Arial"/>
                      <w:sz w:val="20"/>
                    </w:rPr>
                    <w:t>58.9</w:t>
                  </w:r>
                </w:p>
              </w:tc>
              <w:tc>
                <w:tcPr>
                  <w:tcW w:w="412" w:type="dxa"/>
                  <w:shd w:val="clear" w:color="auto" w:fill="auto"/>
                  <w:tcMar>
                    <w:top w:w="0" w:type="dxa"/>
                    <w:left w:w="0" w:type="dxa"/>
                    <w:bottom w:w="0" w:type="dxa"/>
                    <w:right w:w="0" w:type="dxa"/>
                  </w:tcMar>
                  <w:vAlign w:val="center"/>
                </w:tcPr>
                <w:p w14:paraId="5756419A">
                  <w:pPr>
                    <w:jc w:val="center"/>
                  </w:pPr>
                  <w:r>
                    <w:rPr>
                      <w:rFonts w:ascii="Arial" w:hAnsi="Arial" w:eastAsia="Arial" w:cs="Arial"/>
                      <w:sz w:val="20"/>
                    </w:rPr>
                    <w:t>58.7</w:t>
                  </w:r>
                </w:p>
              </w:tc>
              <w:tc>
                <w:tcPr>
                  <w:tcW w:w="419" w:type="dxa"/>
                  <w:shd w:val="clear" w:color="auto" w:fill="auto"/>
                  <w:tcMar>
                    <w:top w:w="0" w:type="dxa"/>
                    <w:left w:w="0" w:type="dxa"/>
                    <w:bottom w:w="0" w:type="dxa"/>
                    <w:right w:w="0" w:type="dxa"/>
                  </w:tcMar>
                  <w:vAlign w:val="center"/>
                </w:tcPr>
                <w:p w14:paraId="1F9D358E">
                  <w:pPr>
                    <w:jc w:val="center"/>
                  </w:pPr>
                  <w:r>
                    <w:rPr>
                      <w:rFonts w:ascii="Arial" w:hAnsi="Arial" w:eastAsia="Arial" w:cs="Arial"/>
                      <w:sz w:val="20"/>
                    </w:rPr>
                    <w:t>58.7</w:t>
                  </w:r>
                </w:p>
              </w:tc>
              <w:tc>
                <w:tcPr>
                  <w:tcW w:w="493" w:type="dxa"/>
                  <w:shd w:val="clear" w:color="auto" w:fill="auto"/>
                  <w:tcMar>
                    <w:top w:w="0" w:type="dxa"/>
                    <w:left w:w="0" w:type="dxa"/>
                    <w:bottom w:w="0" w:type="dxa"/>
                    <w:right w:w="0" w:type="dxa"/>
                  </w:tcMar>
                  <w:vAlign w:val="center"/>
                </w:tcPr>
                <w:p w14:paraId="09D03239">
                  <w:pPr>
                    <w:jc w:val="center"/>
                  </w:pPr>
                  <w:r>
                    <w:rPr>
                      <w:rFonts w:hint="eastAsia" w:ascii="Arial" w:hAnsi="Arial" w:eastAsia="宋体" w:cs="Arial"/>
                      <w:sz w:val="20"/>
                      <w:lang w:val="en-US" w:eastAsia="zh-CN"/>
                    </w:rPr>
                    <w:t>8</w:t>
                  </w:r>
                  <w:r>
                    <w:rPr>
                      <w:rFonts w:ascii="Arial" w:hAnsi="Arial" w:eastAsia="Arial" w:cs="Arial"/>
                      <w:sz w:val="20"/>
                    </w:rPr>
                    <w:t>.0</w:t>
                  </w:r>
                </w:p>
              </w:tc>
              <w:tc>
                <w:tcPr>
                  <w:tcW w:w="419" w:type="dxa"/>
                  <w:shd w:val="clear" w:color="auto" w:fill="auto"/>
                  <w:tcMar>
                    <w:top w:w="0" w:type="dxa"/>
                    <w:left w:w="0" w:type="dxa"/>
                    <w:bottom w:w="0" w:type="dxa"/>
                    <w:right w:w="0" w:type="dxa"/>
                  </w:tcMar>
                  <w:vAlign w:val="center"/>
                </w:tcPr>
                <w:p w14:paraId="13A46238">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581BFE73">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6A22C75A">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1627FB77">
                  <w:pPr>
                    <w:jc w:val="center"/>
                  </w:pPr>
                  <w:r>
                    <w:rPr>
                      <w:rFonts w:ascii="Arial" w:hAnsi="Arial" w:eastAsia="Arial" w:cs="Arial"/>
                      <w:sz w:val="20"/>
                    </w:rPr>
                    <w:t>26.0</w:t>
                  </w:r>
                </w:p>
              </w:tc>
              <w:tc>
                <w:tcPr>
                  <w:tcW w:w="400" w:type="dxa"/>
                  <w:shd w:val="clear" w:color="auto" w:fill="auto"/>
                  <w:tcMar>
                    <w:top w:w="0" w:type="dxa"/>
                    <w:left w:w="0" w:type="dxa"/>
                    <w:bottom w:w="0" w:type="dxa"/>
                    <w:right w:w="0" w:type="dxa"/>
                  </w:tcMar>
                  <w:vAlign w:val="center"/>
                </w:tcPr>
                <w:p w14:paraId="233FCC09">
                  <w:pPr>
                    <w:jc w:val="center"/>
                  </w:pPr>
                  <w:r>
                    <w:rPr>
                      <w:rFonts w:ascii="Arial" w:hAnsi="Arial" w:eastAsia="Arial" w:cs="Arial"/>
                      <w:sz w:val="20"/>
                    </w:rPr>
                    <w:t>32.7</w:t>
                  </w:r>
                </w:p>
              </w:tc>
              <w:tc>
                <w:tcPr>
                  <w:tcW w:w="400" w:type="dxa"/>
                  <w:shd w:val="clear" w:color="auto" w:fill="auto"/>
                  <w:tcMar>
                    <w:top w:w="0" w:type="dxa"/>
                    <w:left w:w="0" w:type="dxa"/>
                    <w:bottom w:w="0" w:type="dxa"/>
                    <w:right w:w="0" w:type="dxa"/>
                  </w:tcMar>
                  <w:vAlign w:val="center"/>
                </w:tcPr>
                <w:p w14:paraId="2A9AFC4B">
                  <w:pPr>
                    <w:jc w:val="center"/>
                  </w:pPr>
                  <w:r>
                    <w:rPr>
                      <w:rFonts w:ascii="Arial" w:hAnsi="Arial" w:eastAsia="Arial" w:cs="Arial"/>
                      <w:sz w:val="20"/>
                    </w:rPr>
                    <w:t>32.9</w:t>
                  </w:r>
                </w:p>
              </w:tc>
              <w:tc>
                <w:tcPr>
                  <w:tcW w:w="400" w:type="dxa"/>
                  <w:shd w:val="clear" w:color="auto" w:fill="auto"/>
                  <w:tcMar>
                    <w:top w:w="0" w:type="dxa"/>
                    <w:left w:w="0" w:type="dxa"/>
                    <w:bottom w:w="0" w:type="dxa"/>
                    <w:right w:w="0" w:type="dxa"/>
                  </w:tcMar>
                  <w:vAlign w:val="center"/>
                </w:tcPr>
                <w:p w14:paraId="3446FAD1">
                  <w:pPr>
                    <w:jc w:val="center"/>
                  </w:pPr>
                  <w:r>
                    <w:rPr>
                      <w:rFonts w:ascii="Arial" w:hAnsi="Arial" w:eastAsia="Arial" w:cs="Arial"/>
                      <w:sz w:val="20"/>
                    </w:rPr>
                    <w:t>32.7</w:t>
                  </w:r>
                </w:p>
              </w:tc>
              <w:tc>
                <w:tcPr>
                  <w:tcW w:w="400" w:type="dxa"/>
                  <w:shd w:val="clear" w:color="auto" w:fill="auto"/>
                  <w:tcMar>
                    <w:top w:w="0" w:type="dxa"/>
                    <w:left w:w="0" w:type="dxa"/>
                    <w:bottom w:w="0" w:type="dxa"/>
                    <w:right w:w="0" w:type="dxa"/>
                  </w:tcMar>
                  <w:vAlign w:val="center"/>
                </w:tcPr>
                <w:p w14:paraId="25FC0438">
                  <w:pPr>
                    <w:jc w:val="center"/>
                  </w:pPr>
                  <w:r>
                    <w:rPr>
                      <w:rFonts w:ascii="Arial" w:hAnsi="Arial" w:eastAsia="Arial" w:cs="Arial"/>
                      <w:sz w:val="20"/>
                    </w:rPr>
                    <w:t>32.7</w:t>
                  </w:r>
                </w:p>
              </w:tc>
              <w:tc>
                <w:tcPr>
                  <w:tcW w:w="340" w:type="dxa"/>
                  <w:shd w:val="clear" w:color="auto" w:fill="auto"/>
                  <w:tcMar>
                    <w:top w:w="0" w:type="dxa"/>
                    <w:left w:w="0" w:type="dxa"/>
                    <w:bottom w:w="0" w:type="dxa"/>
                    <w:right w:w="0" w:type="dxa"/>
                  </w:tcMar>
                  <w:vAlign w:val="center"/>
                </w:tcPr>
                <w:p w14:paraId="44A2ED8D">
                  <w:pPr>
                    <w:jc w:val="center"/>
                  </w:pPr>
                  <w:r>
                    <w:rPr>
                      <w:rFonts w:ascii="Arial" w:hAnsi="Arial" w:eastAsia="Arial" w:cs="Arial"/>
                      <w:sz w:val="20"/>
                    </w:rPr>
                    <w:t>1</w:t>
                  </w:r>
                </w:p>
              </w:tc>
            </w:tr>
            <w:tr w14:paraId="0B33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9" w:type="dxa"/>
                  <w:shd w:val="clear" w:color="auto" w:fill="auto"/>
                  <w:tcMar>
                    <w:top w:w="0" w:type="dxa"/>
                    <w:left w:w="0" w:type="dxa"/>
                    <w:bottom w:w="0" w:type="dxa"/>
                    <w:right w:w="0" w:type="dxa"/>
                  </w:tcMar>
                  <w:vAlign w:val="center"/>
                </w:tcPr>
                <w:p w14:paraId="2C1C3DBF">
                  <w:pPr>
                    <w:jc w:val="center"/>
                  </w:pPr>
                  <w:r>
                    <w:rPr>
                      <w:rFonts w:ascii="Arial" w:hAnsi="Arial" w:eastAsia="Arial" w:cs="Arial"/>
                      <w:sz w:val="20"/>
                    </w:rPr>
                    <w:t>4</w:t>
                  </w:r>
                </w:p>
              </w:tc>
              <w:tc>
                <w:tcPr>
                  <w:tcW w:w="515" w:type="dxa"/>
                  <w:vMerge w:val="continue"/>
                  <w:shd w:val="clear" w:color="auto" w:fill="auto"/>
                  <w:tcMar>
                    <w:top w:w="0" w:type="dxa"/>
                    <w:left w:w="0" w:type="dxa"/>
                    <w:bottom w:w="0" w:type="dxa"/>
                    <w:right w:w="0" w:type="dxa"/>
                  </w:tcMar>
                  <w:vAlign w:val="center"/>
                </w:tcPr>
                <w:p w14:paraId="5D1FFF2C">
                  <w:pPr>
                    <w:jc w:val="center"/>
                  </w:pPr>
                </w:p>
              </w:tc>
              <w:tc>
                <w:tcPr>
                  <w:tcW w:w="531" w:type="dxa"/>
                  <w:shd w:val="clear" w:color="auto" w:fill="auto"/>
                  <w:tcMar>
                    <w:top w:w="0" w:type="dxa"/>
                    <w:left w:w="0" w:type="dxa"/>
                    <w:bottom w:w="0" w:type="dxa"/>
                    <w:right w:w="0" w:type="dxa"/>
                  </w:tcMar>
                  <w:vAlign w:val="center"/>
                </w:tcPr>
                <w:p w14:paraId="6003C9FE">
                  <w:pPr>
                    <w:jc w:val="center"/>
                  </w:pPr>
                  <w:r>
                    <w:rPr>
                      <w:rFonts w:ascii="Arial" w:hAnsi="Arial" w:eastAsia="Arial" w:cs="Arial"/>
                      <w:sz w:val="20"/>
                    </w:rPr>
                    <w:t>后道分切机</w:t>
                  </w:r>
                </w:p>
              </w:tc>
              <w:tc>
                <w:tcPr>
                  <w:tcW w:w="449" w:type="dxa"/>
                  <w:shd w:val="clear" w:color="auto" w:fill="auto"/>
                  <w:tcMar>
                    <w:top w:w="0" w:type="dxa"/>
                    <w:left w:w="0" w:type="dxa"/>
                    <w:bottom w:w="0" w:type="dxa"/>
                    <w:right w:w="0" w:type="dxa"/>
                  </w:tcMar>
                  <w:vAlign w:val="center"/>
                </w:tcPr>
                <w:p w14:paraId="1751C403">
                  <w:pPr>
                    <w:jc w:val="center"/>
                    <w:rPr>
                      <w:rFonts w:hint="eastAsia" w:eastAsia="宋体"/>
                      <w:lang w:val="en-US" w:eastAsia="zh-CN"/>
                    </w:rPr>
                  </w:pPr>
                  <w:r>
                    <w:rPr>
                      <w:rFonts w:hint="eastAsia"/>
                      <w:lang w:val="en-US" w:eastAsia="zh-CN"/>
                    </w:rPr>
                    <w:t>/</w:t>
                  </w:r>
                </w:p>
              </w:tc>
              <w:tc>
                <w:tcPr>
                  <w:tcW w:w="1428" w:type="dxa"/>
                  <w:shd w:val="clear" w:color="auto" w:fill="auto"/>
                  <w:tcMar>
                    <w:top w:w="0" w:type="dxa"/>
                    <w:left w:w="0" w:type="dxa"/>
                    <w:bottom w:w="0" w:type="dxa"/>
                    <w:right w:w="0" w:type="dxa"/>
                  </w:tcMar>
                  <w:vAlign w:val="center"/>
                </w:tcPr>
                <w:p w14:paraId="0C37EDDF">
                  <w:pPr>
                    <w:jc w:val="center"/>
                  </w:pPr>
                  <w:r>
                    <w:rPr>
                      <w:rFonts w:ascii="Arial" w:hAnsi="Arial" w:eastAsia="Arial" w:cs="Arial"/>
                      <w:sz w:val="20"/>
                    </w:rPr>
                    <w:t>80</w:t>
                  </w:r>
                  <w:r>
                    <w:rPr>
                      <w:rFonts w:hint="eastAsia" w:ascii="Arial" w:hAnsi="Arial" w:eastAsia="宋体" w:cs="Arial"/>
                      <w:sz w:val="20"/>
                      <w:lang w:val="en-US" w:eastAsia="zh-CN"/>
                    </w:rPr>
                    <w:t>/1</w:t>
                  </w:r>
                </w:p>
              </w:tc>
              <w:tc>
                <w:tcPr>
                  <w:tcW w:w="587" w:type="dxa"/>
                  <w:vMerge w:val="continue"/>
                  <w:shd w:val="clear" w:color="auto" w:fill="auto"/>
                  <w:tcMar>
                    <w:top w:w="0" w:type="dxa"/>
                    <w:left w:w="0" w:type="dxa"/>
                    <w:bottom w:w="0" w:type="dxa"/>
                    <w:right w:w="0" w:type="dxa"/>
                  </w:tcMar>
                  <w:vAlign w:val="center"/>
                </w:tcPr>
                <w:p w14:paraId="6865A957">
                  <w:pPr>
                    <w:jc w:val="center"/>
                  </w:pPr>
                </w:p>
              </w:tc>
              <w:tc>
                <w:tcPr>
                  <w:tcW w:w="414" w:type="dxa"/>
                  <w:shd w:val="clear" w:color="auto" w:fill="auto"/>
                  <w:tcMar>
                    <w:top w:w="0" w:type="dxa"/>
                    <w:left w:w="0" w:type="dxa"/>
                    <w:bottom w:w="0" w:type="dxa"/>
                    <w:right w:w="0" w:type="dxa"/>
                  </w:tcMar>
                  <w:vAlign w:val="center"/>
                </w:tcPr>
                <w:p w14:paraId="3913B1DA">
                  <w:pPr>
                    <w:jc w:val="center"/>
                  </w:pPr>
                  <w:r>
                    <w:rPr>
                      <w:rFonts w:ascii="Arial" w:hAnsi="Arial" w:eastAsia="Arial" w:cs="Arial"/>
                      <w:sz w:val="20"/>
                    </w:rPr>
                    <w:t>62.2</w:t>
                  </w:r>
                </w:p>
              </w:tc>
              <w:tc>
                <w:tcPr>
                  <w:tcW w:w="601" w:type="dxa"/>
                  <w:shd w:val="clear" w:color="auto" w:fill="auto"/>
                  <w:tcMar>
                    <w:top w:w="0" w:type="dxa"/>
                    <w:left w:w="0" w:type="dxa"/>
                    <w:bottom w:w="0" w:type="dxa"/>
                    <w:right w:w="0" w:type="dxa"/>
                  </w:tcMar>
                  <w:vAlign w:val="center"/>
                </w:tcPr>
                <w:p w14:paraId="766C296F">
                  <w:pPr>
                    <w:jc w:val="center"/>
                  </w:pPr>
                  <w:r>
                    <w:rPr>
                      <w:rFonts w:ascii="Arial" w:hAnsi="Arial" w:eastAsia="Arial" w:cs="Arial"/>
                      <w:sz w:val="20"/>
                    </w:rPr>
                    <w:t>-138.6</w:t>
                  </w:r>
                </w:p>
              </w:tc>
              <w:tc>
                <w:tcPr>
                  <w:tcW w:w="302" w:type="dxa"/>
                  <w:shd w:val="clear" w:color="auto" w:fill="auto"/>
                  <w:tcMar>
                    <w:top w:w="0" w:type="dxa"/>
                    <w:left w:w="0" w:type="dxa"/>
                    <w:bottom w:w="0" w:type="dxa"/>
                    <w:right w:w="0" w:type="dxa"/>
                  </w:tcMar>
                  <w:vAlign w:val="center"/>
                </w:tcPr>
                <w:p w14:paraId="620947B9">
                  <w:pPr>
                    <w:jc w:val="center"/>
                  </w:pPr>
                  <w:r>
                    <w:rPr>
                      <w:rFonts w:ascii="Arial" w:hAnsi="Arial" w:eastAsia="Arial" w:cs="Arial"/>
                      <w:sz w:val="20"/>
                    </w:rPr>
                    <w:t>2</w:t>
                  </w:r>
                </w:p>
              </w:tc>
              <w:tc>
                <w:tcPr>
                  <w:tcW w:w="504" w:type="dxa"/>
                  <w:shd w:val="clear" w:color="auto" w:fill="auto"/>
                  <w:tcMar>
                    <w:top w:w="0" w:type="dxa"/>
                    <w:left w:w="0" w:type="dxa"/>
                    <w:bottom w:w="0" w:type="dxa"/>
                    <w:right w:w="0" w:type="dxa"/>
                  </w:tcMar>
                  <w:vAlign w:val="center"/>
                </w:tcPr>
                <w:p w14:paraId="0A3A645F">
                  <w:pPr>
                    <w:jc w:val="center"/>
                  </w:pPr>
                  <w:r>
                    <w:rPr>
                      <w:rFonts w:ascii="Arial" w:hAnsi="Arial" w:eastAsia="Arial" w:cs="Arial"/>
                      <w:sz w:val="20"/>
                    </w:rPr>
                    <w:t>65.1</w:t>
                  </w:r>
                </w:p>
              </w:tc>
              <w:tc>
                <w:tcPr>
                  <w:tcW w:w="406" w:type="dxa"/>
                  <w:shd w:val="clear" w:color="auto" w:fill="auto"/>
                  <w:tcMar>
                    <w:top w:w="0" w:type="dxa"/>
                    <w:left w:w="0" w:type="dxa"/>
                    <w:bottom w:w="0" w:type="dxa"/>
                    <w:right w:w="0" w:type="dxa"/>
                  </w:tcMar>
                  <w:vAlign w:val="center"/>
                </w:tcPr>
                <w:p w14:paraId="53A9457F">
                  <w:pPr>
                    <w:jc w:val="center"/>
                  </w:pPr>
                  <w:r>
                    <w:rPr>
                      <w:rFonts w:ascii="Arial" w:hAnsi="Arial" w:eastAsia="Arial" w:cs="Arial"/>
                      <w:sz w:val="20"/>
                    </w:rPr>
                    <w:t>30.4</w:t>
                  </w:r>
                </w:p>
              </w:tc>
              <w:tc>
                <w:tcPr>
                  <w:tcW w:w="406" w:type="dxa"/>
                  <w:shd w:val="clear" w:color="auto" w:fill="auto"/>
                  <w:tcMar>
                    <w:top w:w="0" w:type="dxa"/>
                    <w:left w:w="0" w:type="dxa"/>
                    <w:bottom w:w="0" w:type="dxa"/>
                    <w:right w:w="0" w:type="dxa"/>
                  </w:tcMar>
                  <w:vAlign w:val="center"/>
                </w:tcPr>
                <w:p w14:paraId="33C9662C">
                  <w:pPr>
                    <w:jc w:val="center"/>
                  </w:pPr>
                  <w:r>
                    <w:rPr>
                      <w:rFonts w:ascii="Arial" w:hAnsi="Arial" w:eastAsia="Arial" w:cs="Arial"/>
                      <w:sz w:val="20"/>
                    </w:rPr>
                    <w:t>83.8</w:t>
                  </w:r>
                </w:p>
              </w:tc>
              <w:tc>
                <w:tcPr>
                  <w:tcW w:w="406" w:type="dxa"/>
                  <w:shd w:val="clear" w:color="auto" w:fill="auto"/>
                  <w:tcMar>
                    <w:top w:w="0" w:type="dxa"/>
                    <w:left w:w="0" w:type="dxa"/>
                    <w:bottom w:w="0" w:type="dxa"/>
                    <w:right w:w="0" w:type="dxa"/>
                  </w:tcMar>
                  <w:vAlign w:val="center"/>
                </w:tcPr>
                <w:p w14:paraId="1FEDCF0D">
                  <w:pPr>
                    <w:jc w:val="center"/>
                  </w:pPr>
                  <w:r>
                    <w:rPr>
                      <w:rFonts w:ascii="Arial" w:hAnsi="Arial" w:eastAsia="Arial" w:cs="Arial"/>
                      <w:sz w:val="20"/>
                    </w:rPr>
                    <w:t>37.7</w:t>
                  </w:r>
                </w:p>
              </w:tc>
              <w:tc>
                <w:tcPr>
                  <w:tcW w:w="412" w:type="dxa"/>
                  <w:shd w:val="clear" w:color="auto" w:fill="auto"/>
                  <w:tcMar>
                    <w:top w:w="0" w:type="dxa"/>
                    <w:left w:w="0" w:type="dxa"/>
                    <w:bottom w:w="0" w:type="dxa"/>
                    <w:right w:w="0" w:type="dxa"/>
                  </w:tcMar>
                  <w:vAlign w:val="center"/>
                </w:tcPr>
                <w:p w14:paraId="4DBB6A1A">
                  <w:pPr>
                    <w:jc w:val="center"/>
                  </w:pPr>
                  <w:r>
                    <w:rPr>
                      <w:rFonts w:ascii="Arial" w:hAnsi="Arial" w:eastAsia="Arial" w:cs="Arial"/>
                      <w:sz w:val="20"/>
                    </w:rPr>
                    <w:t>58.7</w:t>
                  </w:r>
                </w:p>
              </w:tc>
              <w:tc>
                <w:tcPr>
                  <w:tcW w:w="412" w:type="dxa"/>
                  <w:shd w:val="clear" w:color="auto" w:fill="auto"/>
                  <w:tcMar>
                    <w:top w:w="0" w:type="dxa"/>
                    <w:left w:w="0" w:type="dxa"/>
                    <w:bottom w:w="0" w:type="dxa"/>
                    <w:right w:w="0" w:type="dxa"/>
                  </w:tcMar>
                  <w:vAlign w:val="center"/>
                </w:tcPr>
                <w:p w14:paraId="5C9D4001">
                  <w:pPr>
                    <w:jc w:val="center"/>
                  </w:pPr>
                  <w:r>
                    <w:rPr>
                      <w:rFonts w:ascii="Arial" w:hAnsi="Arial" w:eastAsia="Arial" w:cs="Arial"/>
                      <w:sz w:val="20"/>
                    </w:rPr>
                    <w:t>58.7</w:t>
                  </w:r>
                </w:p>
              </w:tc>
              <w:tc>
                <w:tcPr>
                  <w:tcW w:w="412" w:type="dxa"/>
                  <w:shd w:val="clear" w:color="auto" w:fill="auto"/>
                  <w:tcMar>
                    <w:top w:w="0" w:type="dxa"/>
                    <w:left w:w="0" w:type="dxa"/>
                    <w:bottom w:w="0" w:type="dxa"/>
                    <w:right w:w="0" w:type="dxa"/>
                  </w:tcMar>
                  <w:vAlign w:val="center"/>
                </w:tcPr>
                <w:p w14:paraId="58393B0E">
                  <w:pPr>
                    <w:jc w:val="center"/>
                  </w:pPr>
                  <w:r>
                    <w:rPr>
                      <w:rFonts w:ascii="Arial" w:hAnsi="Arial" w:eastAsia="Arial" w:cs="Arial"/>
                      <w:sz w:val="20"/>
                    </w:rPr>
                    <w:t>58.7</w:t>
                  </w:r>
                </w:p>
              </w:tc>
              <w:tc>
                <w:tcPr>
                  <w:tcW w:w="419" w:type="dxa"/>
                  <w:shd w:val="clear" w:color="auto" w:fill="auto"/>
                  <w:tcMar>
                    <w:top w:w="0" w:type="dxa"/>
                    <w:left w:w="0" w:type="dxa"/>
                    <w:bottom w:w="0" w:type="dxa"/>
                    <w:right w:w="0" w:type="dxa"/>
                  </w:tcMar>
                  <w:vAlign w:val="center"/>
                </w:tcPr>
                <w:p w14:paraId="62FA5A2A">
                  <w:pPr>
                    <w:jc w:val="center"/>
                  </w:pPr>
                  <w:r>
                    <w:rPr>
                      <w:rFonts w:ascii="Arial" w:hAnsi="Arial" w:eastAsia="Arial" w:cs="Arial"/>
                      <w:sz w:val="20"/>
                    </w:rPr>
                    <w:t>58.7</w:t>
                  </w:r>
                </w:p>
              </w:tc>
              <w:tc>
                <w:tcPr>
                  <w:tcW w:w="493" w:type="dxa"/>
                  <w:shd w:val="clear" w:color="auto" w:fill="auto"/>
                  <w:tcMar>
                    <w:top w:w="0" w:type="dxa"/>
                    <w:left w:w="0" w:type="dxa"/>
                    <w:bottom w:w="0" w:type="dxa"/>
                    <w:right w:w="0" w:type="dxa"/>
                  </w:tcMar>
                  <w:vAlign w:val="center"/>
                </w:tcPr>
                <w:p w14:paraId="1E04C86A">
                  <w:pPr>
                    <w:jc w:val="center"/>
                  </w:pPr>
                  <w:r>
                    <w:rPr>
                      <w:rFonts w:hint="eastAsia" w:ascii="Arial" w:hAnsi="Arial" w:eastAsia="宋体" w:cs="Arial"/>
                      <w:sz w:val="20"/>
                      <w:lang w:val="en-US" w:eastAsia="zh-CN"/>
                    </w:rPr>
                    <w:t>8</w:t>
                  </w:r>
                  <w:r>
                    <w:rPr>
                      <w:rFonts w:ascii="Arial" w:hAnsi="Arial" w:eastAsia="Arial" w:cs="Arial"/>
                      <w:sz w:val="20"/>
                    </w:rPr>
                    <w:t>.0</w:t>
                  </w:r>
                </w:p>
              </w:tc>
              <w:tc>
                <w:tcPr>
                  <w:tcW w:w="419" w:type="dxa"/>
                  <w:shd w:val="clear" w:color="auto" w:fill="auto"/>
                  <w:tcMar>
                    <w:top w:w="0" w:type="dxa"/>
                    <w:left w:w="0" w:type="dxa"/>
                    <w:bottom w:w="0" w:type="dxa"/>
                    <w:right w:w="0" w:type="dxa"/>
                  </w:tcMar>
                  <w:vAlign w:val="center"/>
                </w:tcPr>
                <w:p w14:paraId="688F48E1">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4C18E8A1">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0DBBA2B4">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0153E6B6">
                  <w:pPr>
                    <w:jc w:val="center"/>
                  </w:pPr>
                  <w:r>
                    <w:rPr>
                      <w:rFonts w:ascii="Arial" w:hAnsi="Arial" w:eastAsia="Arial" w:cs="Arial"/>
                      <w:sz w:val="20"/>
                    </w:rPr>
                    <w:t>26.0</w:t>
                  </w:r>
                </w:p>
              </w:tc>
              <w:tc>
                <w:tcPr>
                  <w:tcW w:w="400" w:type="dxa"/>
                  <w:shd w:val="clear" w:color="auto" w:fill="auto"/>
                  <w:tcMar>
                    <w:top w:w="0" w:type="dxa"/>
                    <w:left w:w="0" w:type="dxa"/>
                    <w:bottom w:w="0" w:type="dxa"/>
                    <w:right w:w="0" w:type="dxa"/>
                  </w:tcMar>
                  <w:vAlign w:val="center"/>
                </w:tcPr>
                <w:p w14:paraId="29612D82">
                  <w:pPr>
                    <w:jc w:val="center"/>
                  </w:pPr>
                  <w:r>
                    <w:rPr>
                      <w:rFonts w:ascii="Arial" w:hAnsi="Arial" w:eastAsia="Arial" w:cs="Arial"/>
                      <w:sz w:val="20"/>
                    </w:rPr>
                    <w:t>32.7</w:t>
                  </w:r>
                </w:p>
              </w:tc>
              <w:tc>
                <w:tcPr>
                  <w:tcW w:w="400" w:type="dxa"/>
                  <w:shd w:val="clear" w:color="auto" w:fill="auto"/>
                  <w:tcMar>
                    <w:top w:w="0" w:type="dxa"/>
                    <w:left w:w="0" w:type="dxa"/>
                    <w:bottom w:w="0" w:type="dxa"/>
                    <w:right w:w="0" w:type="dxa"/>
                  </w:tcMar>
                  <w:vAlign w:val="center"/>
                </w:tcPr>
                <w:p w14:paraId="0E77D445">
                  <w:pPr>
                    <w:jc w:val="center"/>
                  </w:pPr>
                  <w:r>
                    <w:rPr>
                      <w:rFonts w:ascii="Arial" w:hAnsi="Arial" w:eastAsia="Arial" w:cs="Arial"/>
                      <w:sz w:val="20"/>
                    </w:rPr>
                    <w:t>32.7</w:t>
                  </w:r>
                </w:p>
              </w:tc>
              <w:tc>
                <w:tcPr>
                  <w:tcW w:w="400" w:type="dxa"/>
                  <w:shd w:val="clear" w:color="auto" w:fill="auto"/>
                  <w:tcMar>
                    <w:top w:w="0" w:type="dxa"/>
                    <w:left w:w="0" w:type="dxa"/>
                    <w:bottom w:w="0" w:type="dxa"/>
                    <w:right w:w="0" w:type="dxa"/>
                  </w:tcMar>
                  <w:vAlign w:val="center"/>
                </w:tcPr>
                <w:p w14:paraId="77A9ADC0">
                  <w:pPr>
                    <w:jc w:val="center"/>
                  </w:pPr>
                  <w:r>
                    <w:rPr>
                      <w:rFonts w:ascii="Arial" w:hAnsi="Arial" w:eastAsia="Arial" w:cs="Arial"/>
                      <w:sz w:val="20"/>
                    </w:rPr>
                    <w:t>32.7</w:t>
                  </w:r>
                </w:p>
              </w:tc>
              <w:tc>
                <w:tcPr>
                  <w:tcW w:w="400" w:type="dxa"/>
                  <w:shd w:val="clear" w:color="auto" w:fill="auto"/>
                  <w:tcMar>
                    <w:top w:w="0" w:type="dxa"/>
                    <w:left w:w="0" w:type="dxa"/>
                    <w:bottom w:w="0" w:type="dxa"/>
                    <w:right w:w="0" w:type="dxa"/>
                  </w:tcMar>
                  <w:vAlign w:val="center"/>
                </w:tcPr>
                <w:p w14:paraId="2DC9A797">
                  <w:pPr>
                    <w:jc w:val="center"/>
                  </w:pPr>
                  <w:r>
                    <w:rPr>
                      <w:rFonts w:ascii="Arial" w:hAnsi="Arial" w:eastAsia="Arial" w:cs="Arial"/>
                      <w:sz w:val="20"/>
                    </w:rPr>
                    <w:t>32.7</w:t>
                  </w:r>
                </w:p>
              </w:tc>
              <w:tc>
                <w:tcPr>
                  <w:tcW w:w="340" w:type="dxa"/>
                  <w:shd w:val="clear" w:color="auto" w:fill="auto"/>
                  <w:tcMar>
                    <w:top w:w="0" w:type="dxa"/>
                    <w:left w:w="0" w:type="dxa"/>
                    <w:bottom w:w="0" w:type="dxa"/>
                    <w:right w:w="0" w:type="dxa"/>
                  </w:tcMar>
                  <w:vAlign w:val="center"/>
                </w:tcPr>
                <w:p w14:paraId="1F2C1B2E">
                  <w:pPr>
                    <w:jc w:val="center"/>
                  </w:pPr>
                  <w:r>
                    <w:rPr>
                      <w:rFonts w:ascii="Arial" w:hAnsi="Arial" w:eastAsia="Arial" w:cs="Arial"/>
                      <w:sz w:val="20"/>
                    </w:rPr>
                    <w:t>1</w:t>
                  </w:r>
                </w:p>
              </w:tc>
            </w:tr>
            <w:tr w14:paraId="779C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9" w:type="dxa"/>
                  <w:shd w:val="clear" w:color="auto" w:fill="auto"/>
                  <w:tcMar>
                    <w:top w:w="0" w:type="dxa"/>
                    <w:left w:w="0" w:type="dxa"/>
                    <w:bottom w:w="0" w:type="dxa"/>
                    <w:right w:w="0" w:type="dxa"/>
                  </w:tcMar>
                  <w:vAlign w:val="center"/>
                </w:tcPr>
                <w:p w14:paraId="2090C80F">
                  <w:pPr>
                    <w:jc w:val="center"/>
                  </w:pPr>
                  <w:r>
                    <w:rPr>
                      <w:rFonts w:ascii="Arial" w:hAnsi="Arial" w:eastAsia="Arial" w:cs="Arial"/>
                      <w:sz w:val="20"/>
                    </w:rPr>
                    <w:t>5</w:t>
                  </w:r>
                </w:p>
              </w:tc>
              <w:tc>
                <w:tcPr>
                  <w:tcW w:w="515" w:type="dxa"/>
                  <w:vMerge w:val="continue"/>
                  <w:shd w:val="clear" w:color="auto" w:fill="auto"/>
                  <w:tcMar>
                    <w:top w:w="0" w:type="dxa"/>
                    <w:left w:w="0" w:type="dxa"/>
                    <w:bottom w:w="0" w:type="dxa"/>
                    <w:right w:w="0" w:type="dxa"/>
                  </w:tcMar>
                  <w:vAlign w:val="center"/>
                </w:tcPr>
                <w:p w14:paraId="02E7996E">
                  <w:pPr>
                    <w:jc w:val="center"/>
                  </w:pPr>
                </w:p>
              </w:tc>
              <w:tc>
                <w:tcPr>
                  <w:tcW w:w="531" w:type="dxa"/>
                  <w:shd w:val="clear" w:color="auto" w:fill="auto"/>
                  <w:tcMar>
                    <w:top w:w="0" w:type="dxa"/>
                    <w:left w:w="0" w:type="dxa"/>
                    <w:bottom w:w="0" w:type="dxa"/>
                    <w:right w:w="0" w:type="dxa"/>
                  </w:tcMar>
                  <w:vAlign w:val="center"/>
                </w:tcPr>
                <w:p w14:paraId="34DFC5FD">
                  <w:pPr>
                    <w:jc w:val="center"/>
                  </w:pPr>
                  <w:r>
                    <w:rPr>
                      <w:rFonts w:ascii="Arial" w:hAnsi="Arial" w:eastAsia="Arial" w:cs="Arial"/>
                      <w:sz w:val="20"/>
                    </w:rPr>
                    <w:t>全自动AB膜机</w:t>
                  </w:r>
                </w:p>
              </w:tc>
              <w:tc>
                <w:tcPr>
                  <w:tcW w:w="449" w:type="dxa"/>
                  <w:shd w:val="clear" w:color="auto" w:fill="auto"/>
                  <w:tcMar>
                    <w:top w:w="0" w:type="dxa"/>
                    <w:left w:w="0" w:type="dxa"/>
                    <w:bottom w:w="0" w:type="dxa"/>
                    <w:right w:w="0" w:type="dxa"/>
                  </w:tcMar>
                  <w:vAlign w:val="center"/>
                </w:tcPr>
                <w:p w14:paraId="361EBBE7">
                  <w:pPr>
                    <w:jc w:val="center"/>
                    <w:rPr>
                      <w:rFonts w:hint="eastAsia" w:eastAsia="宋体"/>
                      <w:lang w:val="en-US" w:eastAsia="zh-CN"/>
                    </w:rPr>
                  </w:pPr>
                  <w:r>
                    <w:rPr>
                      <w:rFonts w:hint="eastAsia"/>
                      <w:lang w:val="en-US" w:eastAsia="zh-CN"/>
                    </w:rPr>
                    <w:t>/</w:t>
                  </w:r>
                </w:p>
              </w:tc>
              <w:tc>
                <w:tcPr>
                  <w:tcW w:w="1428" w:type="dxa"/>
                  <w:shd w:val="clear" w:color="auto" w:fill="auto"/>
                  <w:tcMar>
                    <w:top w:w="0" w:type="dxa"/>
                    <w:left w:w="0" w:type="dxa"/>
                    <w:bottom w:w="0" w:type="dxa"/>
                    <w:right w:w="0" w:type="dxa"/>
                  </w:tcMar>
                  <w:vAlign w:val="center"/>
                </w:tcPr>
                <w:p w14:paraId="44167853">
                  <w:pPr>
                    <w:jc w:val="center"/>
                  </w:pPr>
                  <w:r>
                    <w:rPr>
                      <w:rFonts w:ascii="Arial" w:hAnsi="Arial" w:eastAsia="Arial" w:cs="Arial"/>
                      <w:sz w:val="20"/>
                    </w:rPr>
                    <w:t>80</w:t>
                  </w:r>
                  <w:r>
                    <w:rPr>
                      <w:rFonts w:hint="eastAsia" w:ascii="Arial" w:hAnsi="Arial" w:eastAsia="宋体" w:cs="Arial"/>
                      <w:sz w:val="20"/>
                      <w:lang w:val="en-US" w:eastAsia="zh-CN"/>
                    </w:rPr>
                    <w:t>/1</w:t>
                  </w:r>
                </w:p>
              </w:tc>
              <w:tc>
                <w:tcPr>
                  <w:tcW w:w="587" w:type="dxa"/>
                  <w:vMerge w:val="continue"/>
                  <w:shd w:val="clear" w:color="auto" w:fill="auto"/>
                  <w:tcMar>
                    <w:top w:w="0" w:type="dxa"/>
                    <w:left w:w="0" w:type="dxa"/>
                    <w:bottom w:w="0" w:type="dxa"/>
                    <w:right w:w="0" w:type="dxa"/>
                  </w:tcMar>
                  <w:vAlign w:val="center"/>
                </w:tcPr>
                <w:p w14:paraId="24EB9DE9">
                  <w:pPr>
                    <w:jc w:val="center"/>
                  </w:pPr>
                </w:p>
              </w:tc>
              <w:tc>
                <w:tcPr>
                  <w:tcW w:w="414" w:type="dxa"/>
                  <w:shd w:val="clear" w:color="auto" w:fill="auto"/>
                  <w:tcMar>
                    <w:top w:w="0" w:type="dxa"/>
                    <w:left w:w="0" w:type="dxa"/>
                    <w:bottom w:w="0" w:type="dxa"/>
                    <w:right w:w="0" w:type="dxa"/>
                  </w:tcMar>
                  <w:vAlign w:val="center"/>
                </w:tcPr>
                <w:p w14:paraId="1E5F53E5">
                  <w:pPr>
                    <w:jc w:val="center"/>
                  </w:pPr>
                  <w:r>
                    <w:rPr>
                      <w:rFonts w:ascii="Arial" w:hAnsi="Arial" w:eastAsia="Arial" w:cs="Arial"/>
                      <w:sz w:val="20"/>
                    </w:rPr>
                    <w:t>44.3</w:t>
                  </w:r>
                </w:p>
              </w:tc>
              <w:tc>
                <w:tcPr>
                  <w:tcW w:w="601" w:type="dxa"/>
                  <w:shd w:val="clear" w:color="auto" w:fill="auto"/>
                  <w:tcMar>
                    <w:top w:w="0" w:type="dxa"/>
                    <w:left w:w="0" w:type="dxa"/>
                    <w:bottom w:w="0" w:type="dxa"/>
                    <w:right w:w="0" w:type="dxa"/>
                  </w:tcMar>
                  <w:vAlign w:val="center"/>
                </w:tcPr>
                <w:p w14:paraId="6142FED2">
                  <w:pPr>
                    <w:jc w:val="center"/>
                  </w:pPr>
                  <w:r>
                    <w:rPr>
                      <w:rFonts w:ascii="Arial" w:hAnsi="Arial" w:eastAsia="Arial" w:cs="Arial"/>
                      <w:sz w:val="20"/>
                    </w:rPr>
                    <w:t>-116.4</w:t>
                  </w:r>
                </w:p>
              </w:tc>
              <w:tc>
                <w:tcPr>
                  <w:tcW w:w="302" w:type="dxa"/>
                  <w:shd w:val="clear" w:color="auto" w:fill="auto"/>
                  <w:tcMar>
                    <w:top w:w="0" w:type="dxa"/>
                    <w:left w:w="0" w:type="dxa"/>
                    <w:bottom w:w="0" w:type="dxa"/>
                    <w:right w:w="0" w:type="dxa"/>
                  </w:tcMar>
                  <w:vAlign w:val="center"/>
                </w:tcPr>
                <w:p w14:paraId="3294F4FD">
                  <w:pPr>
                    <w:jc w:val="center"/>
                  </w:pPr>
                  <w:r>
                    <w:rPr>
                      <w:rFonts w:ascii="Arial" w:hAnsi="Arial" w:eastAsia="Arial" w:cs="Arial"/>
                      <w:sz w:val="20"/>
                    </w:rPr>
                    <w:t>2</w:t>
                  </w:r>
                </w:p>
              </w:tc>
              <w:tc>
                <w:tcPr>
                  <w:tcW w:w="504" w:type="dxa"/>
                  <w:shd w:val="clear" w:color="auto" w:fill="auto"/>
                  <w:tcMar>
                    <w:top w:w="0" w:type="dxa"/>
                    <w:left w:w="0" w:type="dxa"/>
                    <w:bottom w:w="0" w:type="dxa"/>
                    <w:right w:w="0" w:type="dxa"/>
                  </w:tcMar>
                  <w:vAlign w:val="center"/>
                </w:tcPr>
                <w:p w14:paraId="68D336BF">
                  <w:pPr>
                    <w:jc w:val="center"/>
                  </w:pPr>
                  <w:r>
                    <w:rPr>
                      <w:rFonts w:ascii="Arial" w:hAnsi="Arial" w:eastAsia="Arial" w:cs="Arial"/>
                      <w:sz w:val="20"/>
                    </w:rPr>
                    <w:t>87.3</w:t>
                  </w:r>
                </w:p>
              </w:tc>
              <w:tc>
                <w:tcPr>
                  <w:tcW w:w="406" w:type="dxa"/>
                  <w:shd w:val="clear" w:color="auto" w:fill="auto"/>
                  <w:tcMar>
                    <w:top w:w="0" w:type="dxa"/>
                    <w:left w:w="0" w:type="dxa"/>
                    <w:bottom w:w="0" w:type="dxa"/>
                    <w:right w:w="0" w:type="dxa"/>
                  </w:tcMar>
                  <w:vAlign w:val="center"/>
                </w:tcPr>
                <w:p w14:paraId="07B76FD0">
                  <w:pPr>
                    <w:jc w:val="center"/>
                  </w:pPr>
                  <w:r>
                    <w:rPr>
                      <w:rFonts w:ascii="Arial" w:hAnsi="Arial" w:eastAsia="Arial" w:cs="Arial"/>
                      <w:sz w:val="20"/>
                    </w:rPr>
                    <w:t>47.9</w:t>
                  </w:r>
                </w:p>
              </w:tc>
              <w:tc>
                <w:tcPr>
                  <w:tcW w:w="406" w:type="dxa"/>
                  <w:shd w:val="clear" w:color="auto" w:fill="auto"/>
                  <w:tcMar>
                    <w:top w:w="0" w:type="dxa"/>
                    <w:left w:w="0" w:type="dxa"/>
                    <w:bottom w:w="0" w:type="dxa"/>
                    <w:right w:w="0" w:type="dxa"/>
                  </w:tcMar>
                  <w:vAlign w:val="center"/>
                </w:tcPr>
                <w:p w14:paraId="79B5597A">
                  <w:pPr>
                    <w:jc w:val="center"/>
                  </w:pPr>
                  <w:r>
                    <w:rPr>
                      <w:rFonts w:ascii="Arial" w:hAnsi="Arial" w:eastAsia="Arial" w:cs="Arial"/>
                      <w:sz w:val="20"/>
                    </w:rPr>
                    <w:t>62.1</w:t>
                  </w:r>
                </w:p>
              </w:tc>
              <w:tc>
                <w:tcPr>
                  <w:tcW w:w="406" w:type="dxa"/>
                  <w:shd w:val="clear" w:color="auto" w:fill="auto"/>
                  <w:tcMar>
                    <w:top w:w="0" w:type="dxa"/>
                    <w:left w:w="0" w:type="dxa"/>
                    <w:bottom w:w="0" w:type="dxa"/>
                    <w:right w:w="0" w:type="dxa"/>
                  </w:tcMar>
                  <w:vAlign w:val="center"/>
                </w:tcPr>
                <w:p w14:paraId="706A12DF">
                  <w:pPr>
                    <w:jc w:val="center"/>
                  </w:pPr>
                  <w:r>
                    <w:rPr>
                      <w:rFonts w:ascii="Arial" w:hAnsi="Arial" w:eastAsia="Arial" w:cs="Arial"/>
                      <w:sz w:val="20"/>
                    </w:rPr>
                    <w:t>19.9</w:t>
                  </w:r>
                </w:p>
              </w:tc>
              <w:tc>
                <w:tcPr>
                  <w:tcW w:w="412" w:type="dxa"/>
                  <w:shd w:val="clear" w:color="auto" w:fill="auto"/>
                  <w:tcMar>
                    <w:top w:w="0" w:type="dxa"/>
                    <w:left w:w="0" w:type="dxa"/>
                    <w:bottom w:w="0" w:type="dxa"/>
                    <w:right w:w="0" w:type="dxa"/>
                  </w:tcMar>
                  <w:vAlign w:val="center"/>
                </w:tcPr>
                <w:p w14:paraId="6B7AF9C7">
                  <w:pPr>
                    <w:jc w:val="center"/>
                  </w:pPr>
                  <w:r>
                    <w:rPr>
                      <w:rFonts w:ascii="Arial" w:hAnsi="Arial" w:eastAsia="Arial" w:cs="Arial"/>
                      <w:sz w:val="20"/>
                    </w:rPr>
                    <w:t>58.7</w:t>
                  </w:r>
                </w:p>
              </w:tc>
              <w:tc>
                <w:tcPr>
                  <w:tcW w:w="412" w:type="dxa"/>
                  <w:shd w:val="clear" w:color="auto" w:fill="auto"/>
                  <w:tcMar>
                    <w:top w:w="0" w:type="dxa"/>
                    <w:left w:w="0" w:type="dxa"/>
                    <w:bottom w:w="0" w:type="dxa"/>
                    <w:right w:w="0" w:type="dxa"/>
                  </w:tcMar>
                  <w:vAlign w:val="center"/>
                </w:tcPr>
                <w:p w14:paraId="48ADCCEA">
                  <w:pPr>
                    <w:jc w:val="center"/>
                  </w:pPr>
                  <w:r>
                    <w:rPr>
                      <w:rFonts w:ascii="Arial" w:hAnsi="Arial" w:eastAsia="Arial" w:cs="Arial"/>
                      <w:sz w:val="20"/>
                    </w:rPr>
                    <w:t>58.7</w:t>
                  </w:r>
                </w:p>
              </w:tc>
              <w:tc>
                <w:tcPr>
                  <w:tcW w:w="412" w:type="dxa"/>
                  <w:shd w:val="clear" w:color="auto" w:fill="auto"/>
                  <w:tcMar>
                    <w:top w:w="0" w:type="dxa"/>
                    <w:left w:w="0" w:type="dxa"/>
                    <w:bottom w:w="0" w:type="dxa"/>
                    <w:right w:w="0" w:type="dxa"/>
                  </w:tcMar>
                  <w:vAlign w:val="center"/>
                </w:tcPr>
                <w:p w14:paraId="48745D7E">
                  <w:pPr>
                    <w:jc w:val="center"/>
                  </w:pPr>
                  <w:r>
                    <w:rPr>
                      <w:rFonts w:ascii="Arial" w:hAnsi="Arial" w:eastAsia="Arial" w:cs="Arial"/>
                      <w:sz w:val="20"/>
                    </w:rPr>
                    <w:t>58.7</w:t>
                  </w:r>
                </w:p>
              </w:tc>
              <w:tc>
                <w:tcPr>
                  <w:tcW w:w="419" w:type="dxa"/>
                  <w:shd w:val="clear" w:color="auto" w:fill="auto"/>
                  <w:tcMar>
                    <w:top w:w="0" w:type="dxa"/>
                    <w:left w:w="0" w:type="dxa"/>
                    <w:bottom w:w="0" w:type="dxa"/>
                    <w:right w:w="0" w:type="dxa"/>
                  </w:tcMar>
                  <w:vAlign w:val="center"/>
                </w:tcPr>
                <w:p w14:paraId="5F67317E">
                  <w:pPr>
                    <w:jc w:val="center"/>
                  </w:pPr>
                  <w:r>
                    <w:rPr>
                      <w:rFonts w:ascii="Arial" w:hAnsi="Arial" w:eastAsia="Arial" w:cs="Arial"/>
                      <w:sz w:val="20"/>
                    </w:rPr>
                    <w:t>58.8</w:t>
                  </w:r>
                </w:p>
              </w:tc>
              <w:tc>
                <w:tcPr>
                  <w:tcW w:w="493" w:type="dxa"/>
                  <w:shd w:val="clear" w:color="auto" w:fill="auto"/>
                  <w:tcMar>
                    <w:top w:w="0" w:type="dxa"/>
                    <w:left w:w="0" w:type="dxa"/>
                    <w:bottom w:w="0" w:type="dxa"/>
                    <w:right w:w="0" w:type="dxa"/>
                  </w:tcMar>
                  <w:vAlign w:val="center"/>
                </w:tcPr>
                <w:p w14:paraId="51E28E8A">
                  <w:pPr>
                    <w:jc w:val="center"/>
                  </w:pPr>
                  <w:r>
                    <w:rPr>
                      <w:rFonts w:hint="eastAsia" w:ascii="Arial" w:hAnsi="Arial" w:eastAsia="宋体" w:cs="Arial"/>
                      <w:sz w:val="20"/>
                      <w:lang w:val="en-US" w:eastAsia="zh-CN"/>
                    </w:rPr>
                    <w:t>8</w:t>
                  </w:r>
                  <w:r>
                    <w:rPr>
                      <w:rFonts w:ascii="Arial" w:hAnsi="Arial" w:eastAsia="Arial" w:cs="Arial"/>
                      <w:sz w:val="20"/>
                    </w:rPr>
                    <w:t>.0</w:t>
                  </w:r>
                </w:p>
              </w:tc>
              <w:tc>
                <w:tcPr>
                  <w:tcW w:w="419" w:type="dxa"/>
                  <w:shd w:val="clear" w:color="auto" w:fill="auto"/>
                  <w:tcMar>
                    <w:top w:w="0" w:type="dxa"/>
                    <w:left w:w="0" w:type="dxa"/>
                    <w:bottom w:w="0" w:type="dxa"/>
                    <w:right w:w="0" w:type="dxa"/>
                  </w:tcMar>
                  <w:vAlign w:val="center"/>
                </w:tcPr>
                <w:p w14:paraId="557B4B75">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29BAC757">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45550A5C">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5D91265B">
                  <w:pPr>
                    <w:jc w:val="center"/>
                  </w:pPr>
                  <w:r>
                    <w:rPr>
                      <w:rFonts w:ascii="Arial" w:hAnsi="Arial" w:eastAsia="Arial" w:cs="Arial"/>
                      <w:sz w:val="20"/>
                    </w:rPr>
                    <w:t>26.0</w:t>
                  </w:r>
                </w:p>
              </w:tc>
              <w:tc>
                <w:tcPr>
                  <w:tcW w:w="400" w:type="dxa"/>
                  <w:shd w:val="clear" w:color="auto" w:fill="auto"/>
                  <w:tcMar>
                    <w:top w:w="0" w:type="dxa"/>
                    <w:left w:w="0" w:type="dxa"/>
                    <w:bottom w:w="0" w:type="dxa"/>
                    <w:right w:w="0" w:type="dxa"/>
                  </w:tcMar>
                  <w:vAlign w:val="center"/>
                </w:tcPr>
                <w:p w14:paraId="15E94B15">
                  <w:pPr>
                    <w:jc w:val="center"/>
                  </w:pPr>
                  <w:r>
                    <w:rPr>
                      <w:rFonts w:ascii="Arial" w:hAnsi="Arial" w:eastAsia="Arial" w:cs="Arial"/>
                      <w:sz w:val="20"/>
                    </w:rPr>
                    <w:t>32.7</w:t>
                  </w:r>
                </w:p>
              </w:tc>
              <w:tc>
                <w:tcPr>
                  <w:tcW w:w="400" w:type="dxa"/>
                  <w:shd w:val="clear" w:color="auto" w:fill="auto"/>
                  <w:tcMar>
                    <w:top w:w="0" w:type="dxa"/>
                    <w:left w:w="0" w:type="dxa"/>
                    <w:bottom w:w="0" w:type="dxa"/>
                    <w:right w:w="0" w:type="dxa"/>
                  </w:tcMar>
                  <w:vAlign w:val="center"/>
                </w:tcPr>
                <w:p w14:paraId="2EEDEFD7">
                  <w:pPr>
                    <w:jc w:val="center"/>
                  </w:pPr>
                  <w:r>
                    <w:rPr>
                      <w:rFonts w:ascii="Arial" w:hAnsi="Arial" w:eastAsia="Arial" w:cs="Arial"/>
                      <w:sz w:val="20"/>
                    </w:rPr>
                    <w:t>32.7</w:t>
                  </w:r>
                </w:p>
              </w:tc>
              <w:tc>
                <w:tcPr>
                  <w:tcW w:w="400" w:type="dxa"/>
                  <w:shd w:val="clear" w:color="auto" w:fill="auto"/>
                  <w:tcMar>
                    <w:top w:w="0" w:type="dxa"/>
                    <w:left w:w="0" w:type="dxa"/>
                    <w:bottom w:w="0" w:type="dxa"/>
                    <w:right w:w="0" w:type="dxa"/>
                  </w:tcMar>
                  <w:vAlign w:val="center"/>
                </w:tcPr>
                <w:p w14:paraId="48B4A732">
                  <w:pPr>
                    <w:jc w:val="center"/>
                  </w:pPr>
                  <w:r>
                    <w:rPr>
                      <w:rFonts w:ascii="Arial" w:hAnsi="Arial" w:eastAsia="Arial" w:cs="Arial"/>
                      <w:sz w:val="20"/>
                    </w:rPr>
                    <w:t>32.7</w:t>
                  </w:r>
                </w:p>
              </w:tc>
              <w:tc>
                <w:tcPr>
                  <w:tcW w:w="400" w:type="dxa"/>
                  <w:shd w:val="clear" w:color="auto" w:fill="auto"/>
                  <w:tcMar>
                    <w:top w:w="0" w:type="dxa"/>
                    <w:left w:w="0" w:type="dxa"/>
                    <w:bottom w:w="0" w:type="dxa"/>
                    <w:right w:w="0" w:type="dxa"/>
                  </w:tcMar>
                  <w:vAlign w:val="center"/>
                </w:tcPr>
                <w:p w14:paraId="1B1F8D08">
                  <w:pPr>
                    <w:jc w:val="center"/>
                  </w:pPr>
                  <w:r>
                    <w:rPr>
                      <w:rFonts w:ascii="Arial" w:hAnsi="Arial" w:eastAsia="Arial" w:cs="Arial"/>
                      <w:sz w:val="20"/>
                    </w:rPr>
                    <w:t>32.8</w:t>
                  </w:r>
                </w:p>
              </w:tc>
              <w:tc>
                <w:tcPr>
                  <w:tcW w:w="340" w:type="dxa"/>
                  <w:shd w:val="clear" w:color="auto" w:fill="auto"/>
                  <w:tcMar>
                    <w:top w:w="0" w:type="dxa"/>
                    <w:left w:w="0" w:type="dxa"/>
                    <w:bottom w:w="0" w:type="dxa"/>
                    <w:right w:w="0" w:type="dxa"/>
                  </w:tcMar>
                  <w:vAlign w:val="center"/>
                </w:tcPr>
                <w:p w14:paraId="7ED077FD">
                  <w:pPr>
                    <w:jc w:val="center"/>
                  </w:pPr>
                  <w:r>
                    <w:rPr>
                      <w:rFonts w:ascii="Arial" w:hAnsi="Arial" w:eastAsia="Arial" w:cs="Arial"/>
                      <w:sz w:val="20"/>
                    </w:rPr>
                    <w:t>1</w:t>
                  </w:r>
                </w:p>
              </w:tc>
            </w:tr>
            <w:tr w14:paraId="06F2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9" w:type="dxa"/>
                  <w:shd w:val="clear" w:color="auto" w:fill="auto"/>
                  <w:tcMar>
                    <w:top w:w="0" w:type="dxa"/>
                    <w:left w:w="0" w:type="dxa"/>
                    <w:bottom w:w="0" w:type="dxa"/>
                    <w:right w:w="0" w:type="dxa"/>
                  </w:tcMar>
                  <w:vAlign w:val="center"/>
                </w:tcPr>
                <w:p w14:paraId="2226AA2D">
                  <w:pPr>
                    <w:jc w:val="center"/>
                  </w:pPr>
                  <w:r>
                    <w:rPr>
                      <w:rFonts w:ascii="Arial" w:hAnsi="Arial" w:eastAsia="Arial" w:cs="Arial"/>
                      <w:sz w:val="20"/>
                    </w:rPr>
                    <w:t>6</w:t>
                  </w:r>
                </w:p>
              </w:tc>
              <w:tc>
                <w:tcPr>
                  <w:tcW w:w="515" w:type="dxa"/>
                  <w:vMerge w:val="continue"/>
                  <w:shd w:val="clear" w:color="auto" w:fill="auto"/>
                  <w:tcMar>
                    <w:top w:w="0" w:type="dxa"/>
                    <w:left w:w="0" w:type="dxa"/>
                    <w:bottom w:w="0" w:type="dxa"/>
                    <w:right w:w="0" w:type="dxa"/>
                  </w:tcMar>
                  <w:vAlign w:val="center"/>
                </w:tcPr>
                <w:p w14:paraId="6A42D4E6">
                  <w:pPr>
                    <w:jc w:val="center"/>
                  </w:pPr>
                </w:p>
              </w:tc>
              <w:tc>
                <w:tcPr>
                  <w:tcW w:w="531" w:type="dxa"/>
                  <w:shd w:val="clear" w:color="auto" w:fill="auto"/>
                  <w:tcMar>
                    <w:top w:w="0" w:type="dxa"/>
                    <w:left w:w="0" w:type="dxa"/>
                    <w:bottom w:w="0" w:type="dxa"/>
                    <w:right w:w="0" w:type="dxa"/>
                  </w:tcMar>
                  <w:vAlign w:val="center"/>
                </w:tcPr>
                <w:p w14:paraId="03D3E894">
                  <w:pPr>
                    <w:jc w:val="center"/>
                  </w:pPr>
                  <w:r>
                    <w:rPr>
                      <w:rFonts w:ascii="Arial" w:hAnsi="Arial" w:eastAsia="Arial" w:cs="Arial"/>
                      <w:sz w:val="20"/>
                    </w:rPr>
                    <w:t>打包机</w:t>
                  </w:r>
                </w:p>
              </w:tc>
              <w:tc>
                <w:tcPr>
                  <w:tcW w:w="449" w:type="dxa"/>
                  <w:shd w:val="clear" w:color="auto" w:fill="auto"/>
                  <w:tcMar>
                    <w:top w:w="0" w:type="dxa"/>
                    <w:left w:w="0" w:type="dxa"/>
                    <w:bottom w:w="0" w:type="dxa"/>
                    <w:right w:w="0" w:type="dxa"/>
                  </w:tcMar>
                  <w:vAlign w:val="center"/>
                </w:tcPr>
                <w:p w14:paraId="24223C69">
                  <w:pPr>
                    <w:jc w:val="center"/>
                    <w:rPr>
                      <w:rFonts w:hint="eastAsia" w:eastAsia="宋体"/>
                      <w:lang w:val="en-US" w:eastAsia="zh-CN"/>
                    </w:rPr>
                  </w:pPr>
                  <w:r>
                    <w:rPr>
                      <w:rFonts w:hint="eastAsia"/>
                      <w:lang w:val="en-US" w:eastAsia="zh-CN"/>
                    </w:rPr>
                    <w:t>/</w:t>
                  </w:r>
                </w:p>
              </w:tc>
              <w:tc>
                <w:tcPr>
                  <w:tcW w:w="1428" w:type="dxa"/>
                  <w:shd w:val="clear" w:color="auto" w:fill="auto"/>
                  <w:tcMar>
                    <w:top w:w="0" w:type="dxa"/>
                    <w:left w:w="0" w:type="dxa"/>
                    <w:bottom w:w="0" w:type="dxa"/>
                    <w:right w:w="0" w:type="dxa"/>
                  </w:tcMar>
                  <w:vAlign w:val="center"/>
                </w:tcPr>
                <w:p w14:paraId="4C0FC1BB">
                  <w:pPr>
                    <w:jc w:val="center"/>
                  </w:pPr>
                  <w:r>
                    <w:rPr>
                      <w:rFonts w:hint="eastAsia"/>
                      <w:lang w:val="en-US" w:eastAsia="zh-CN"/>
                    </w:rPr>
                    <w:t>75</w:t>
                  </w:r>
                  <w:r>
                    <w:rPr>
                      <w:rFonts w:hint="eastAsia" w:ascii="Arial" w:hAnsi="Arial" w:eastAsia="宋体" w:cs="Arial"/>
                      <w:sz w:val="20"/>
                      <w:lang w:val="en-US" w:eastAsia="zh-CN"/>
                    </w:rPr>
                    <w:t>/1</w:t>
                  </w:r>
                </w:p>
              </w:tc>
              <w:tc>
                <w:tcPr>
                  <w:tcW w:w="587" w:type="dxa"/>
                  <w:vMerge w:val="continue"/>
                  <w:shd w:val="clear" w:color="auto" w:fill="auto"/>
                  <w:tcMar>
                    <w:top w:w="0" w:type="dxa"/>
                    <w:left w:w="0" w:type="dxa"/>
                    <w:bottom w:w="0" w:type="dxa"/>
                    <w:right w:w="0" w:type="dxa"/>
                  </w:tcMar>
                  <w:vAlign w:val="center"/>
                </w:tcPr>
                <w:p w14:paraId="53EB5EF1">
                  <w:pPr>
                    <w:jc w:val="center"/>
                  </w:pPr>
                </w:p>
              </w:tc>
              <w:tc>
                <w:tcPr>
                  <w:tcW w:w="414" w:type="dxa"/>
                  <w:shd w:val="clear" w:color="auto" w:fill="auto"/>
                  <w:tcMar>
                    <w:top w:w="0" w:type="dxa"/>
                    <w:left w:w="0" w:type="dxa"/>
                    <w:bottom w:w="0" w:type="dxa"/>
                    <w:right w:w="0" w:type="dxa"/>
                  </w:tcMar>
                  <w:vAlign w:val="center"/>
                </w:tcPr>
                <w:p w14:paraId="20D66186">
                  <w:pPr>
                    <w:jc w:val="center"/>
                  </w:pPr>
                  <w:r>
                    <w:rPr>
                      <w:rFonts w:ascii="Arial" w:hAnsi="Arial" w:eastAsia="Arial" w:cs="Arial"/>
                      <w:sz w:val="20"/>
                    </w:rPr>
                    <w:t>21.2</w:t>
                  </w:r>
                </w:p>
              </w:tc>
              <w:tc>
                <w:tcPr>
                  <w:tcW w:w="601" w:type="dxa"/>
                  <w:shd w:val="clear" w:color="auto" w:fill="auto"/>
                  <w:tcMar>
                    <w:top w:w="0" w:type="dxa"/>
                    <w:left w:w="0" w:type="dxa"/>
                    <w:bottom w:w="0" w:type="dxa"/>
                    <w:right w:w="0" w:type="dxa"/>
                  </w:tcMar>
                  <w:vAlign w:val="center"/>
                </w:tcPr>
                <w:p w14:paraId="3B3B66A1">
                  <w:pPr>
                    <w:jc w:val="center"/>
                  </w:pPr>
                  <w:r>
                    <w:rPr>
                      <w:rFonts w:ascii="Arial" w:hAnsi="Arial" w:eastAsia="Arial" w:cs="Arial"/>
                      <w:sz w:val="20"/>
                    </w:rPr>
                    <w:t>-111</w:t>
                  </w:r>
                </w:p>
              </w:tc>
              <w:tc>
                <w:tcPr>
                  <w:tcW w:w="302" w:type="dxa"/>
                  <w:shd w:val="clear" w:color="auto" w:fill="auto"/>
                  <w:tcMar>
                    <w:top w:w="0" w:type="dxa"/>
                    <w:left w:w="0" w:type="dxa"/>
                    <w:bottom w:w="0" w:type="dxa"/>
                    <w:right w:w="0" w:type="dxa"/>
                  </w:tcMar>
                  <w:vAlign w:val="center"/>
                </w:tcPr>
                <w:p w14:paraId="75073BDF">
                  <w:pPr>
                    <w:jc w:val="center"/>
                  </w:pPr>
                  <w:r>
                    <w:rPr>
                      <w:rFonts w:ascii="Arial" w:hAnsi="Arial" w:eastAsia="Arial" w:cs="Arial"/>
                      <w:sz w:val="20"/>
                    </w:rPr>
                    <w:t>2</w:t>
                  </w:r>
                </w:p>
              </w:tc>
              <w:tc>
                <w:tcPr>
                  <w:tcW w:w="504" w:type="dxa"/>
                  <w:shd w:val="clear" w:color="auto" w:fill="auto"/>
                  <w:tcMar>
                    <w:top w:w="0" w:type="dxa"/>
                    <w:left w:w="0" w:type="dxa"/>
                    <w:bottom w:w="0" w:type="dxa"/>
                    <w:right w:w="0" w:type="dxa"/>
                  </w:tcMar>
                  <w:vAlign w:val="center"/>
                </w:tcPr>
                <w:p w14:paraId="7B04280E">
                  <w:pPr>
                    <w:jc w:val="center"/>
                  </w:pPr>
                  <w:r>
                    <w:rPr>
                      <w:rFonts w:ascii="Arial" w:hAnsi="Arial" w:eastAsia="Arial" w:cs="Arial"/>
                      <w:sz w:val="20"/>
                    </w:rPr>
                    <w:t>111.0</w:t>
                  </w:r>
                </w:p>
              </w:tc>
              <w:tc>
                <w:tcPr>
                  <w:tcW w:w="406" w:type="dxa"/>
                  <w:shd w:val="clear" w:color="auto" w:fill="auto"/>
                  <w:tcMar>
                    <w:top w:w="0" w:type="dxa"/>
                    <w:left w:w="0" w:type="dxa"/>
                    <w:bottom w:w="0" w:type="dxa"/>
                    <w:right w:w="0" w:type="dxa"/>
                  </w:tcMar>
                  <w:vAlign w:val="center"/>
                </w:tcPr>
                <w:p w14:paraId="0F0F39B4">
                  <w:pPr>
                    <w:jc w:val="center"/>
                  </w:pPr>
                  <w:r>
                    <w:rPr>
                      <w:rFonts w:ascii="Arial" w:hAnsi="Arial" w:eastAsia="Arial" w:cs="Arial"/>
                      <w:sz w:val="20"/>
                    </w:rPr>
                    <w:t>47.9</w:t>
                  </w:r>
                </w:p>
              </w:tc>
              <w:tc>
                <w:tcPr>
                  <w:tcW w:w="406" w:type="dxa"/>
                  <w:shd w:val="clear" w:color="auto" w:fill="auto"/>
                  <w:tcMar>
                    <w:top w:w="0" w:type="dxa"/>
                    <w:left w:w="0" w:type="dxa"/>
                    <w:bottom w:w="0" w:type="dxa"/>
                    <w:right w:w="0" w:type="dxa"/>
                  </w:tcMar>
                  <w:vAlign w:val="center"/>
                </w:tcPr>
                <w:p w14:paraId="4C1CA8B2">
                  <w:pPr>
                    <w:jc w:val="center"/>
                  </w:pPr>
                  <w:r>
                    <w:rPr>
                      <w:rFonts w:ascii="Arial" w:hAnsi="Arial" w:eastAsia="Arial" w:cs="Arial"/>
                      <w:sz w:val="20"/>
                    </w:rPr>
                    <w:t>38.4</w:t>
                  </w:r>
                </w:p>
              </w:tc>
              <w:tc>
                <w:tcPr>
                  <w:tcW w:w="406" w:type="dxa"/>
                  <w:shd w:val="clear" w:color="auto" w:fill="auto"/>
                  <w:tcMar>
                    <w:top w:w="0" w:type="dxa"/>
                    <w:left w:w="0" w:type="dxa"/>
                    <w:bottom w:w="0" w:type="dxa"/>
                    <w:right w:w="0" w:type="dxa"/>
                  </w:tcMar>
                  <w:vAlign w:val="center"/>
                </w:tcPr>
                <w:p w14:paraId="61C4AB7A">
                  <w:pPr>
                    <w:jc w:val="center"/>
                  </w:pPr>
                  <w:r>
                    <w:rPr>
                      <w:rFonts w:ascii="Arial" w:hAnsi="Arial" w:eastAsia="Arial" w:cs="Arial"/>
                      <w:sz w:val="20"/>
                    </w:rPr>
                    <w:t>19.6</w:t>
                  </w:r>
                </w:p>
              </w:tc>
              <w:tc>
                <w:tcPr>
                  <w:tcW w:w="412" w:type="dxa"/>
                  <w:shd w:val="clear" w:color="auto" w:fill="auto"/>
                  <w:tcMar>
                    <w:top w:w="0" w:type="dxa"/>
                    <w:left w:w="0" w:type="dxa"/>
                    <w:bottom w:w="0" w:type="dxa"/>
                    <w:right w:w="0" w:type="dxa"/>
                  </w:tcMar>
                  <w:vAlign w:val="center"/>
                </w:tcPr>
                <w:p w14:paraId="74FA3D6B">
                  <w:pPr>
                    <w:jc w:val="center"/>
                  </w:pPr>
                  <w:r>
                    <w:rPr>
                      <w:rFonts w:ascii="Arial" w:hAnsi="Arial" w:eastAsia="Arial" w:cs="Arial"/>
                      <w:sz w:val="20"/>
                    </w:rPr>
                    <w:t>53.7</w:t>
                  </w:r>
                </w:p>
              </w:tc>
              <w:tc>
                <w:tcPr>
                  <w:tcW w:w="412" w:type="dxa"/>
                  <w:shd w:val="clear" w:color="auto" w:fill="auto"/>
                  <w:tcMar>
                    <w:top w:w="0" w:type="dxa"/>
                    <w:left w:w="0" w:type="dxa"/>
                    <w:bottom w:w="0" w:type="dxa"/>
                    <w:right w:w="0" w:type="dxa"/>
                  </w:tcMar>
                  <w:vAlign w:val="center"/>
                </w:tcPr>
                <w:p w14:paraId="12EF77D0">
                  <w:pPr>
                    <w:jc w:val="center"/>
                  </w:pPr>
                  <w:r>
                    <w:rPr>
                      <w:rFonts w:ascii="Arial" w:hAnsi="Arial" w:eastAsia="Arial" w:cs="Arial"/>
                      <w:sz w:val="20"/>
                    </w:rPr>
                    <w:t>53.7</w:t>
                  </w:r>
                </w:p>
              </w:tc>
              <w:tc>
                <w:tcPr>
                  <w:tcW w:w="412" w:type="dxa"/>
                  <w:shd w:val="clear" w:color="auto" w:fill="auto"/>
                  <w:tcMar>
                    <w:top w:w="0" w:type="dxa"/>
                    <w:left w:w="0" w:type="dxa"/>
                    <w:bottom w:w="0" w:type="dxa"/>
                    <w:right w:w="0" w:type="dxa"/>
                  </w:tcMar>
                  <w:vAlign w:val="center"/>
                </w:tcPr>
                <w:p w14:paraId="56C7A2AE">
                  <w:pPr>
                    <w:jc w:val="center"/>
                  </w:pPr>
                  <w:r>
                    <w:rPr>
                      <w:rFonts w:ascii="Arial" w:hAnsi="Arial" w:eastAsia="Arial" w:cs="Arial"/>
                      <w:sz w:val="20"/>
                    </w:rPr>
                    <w:t>53.7</w:t>
                  </w:r>
                </w:p>
              </w:tc>
              <w:tc>
                <w:tcPr>
                  <w:tcW w:w="419" w:type="dxa"/>
                  <w:shd w:val="clear" w:color="auto" w:fill="auto"/>
                  <w:tcMar>
                    <w:top w:w="0" w:type="dxa"/>
                    <w:left w:w="0" w:type="dxa"/>
                    <w:bottom w:w="0" w:type="dxa"/>
                    <w:right w:w="0" w:type="dxa"/>
                  </w:tcMar>
                  <w:vAlign w:val="center"/>
                </w:tcPr>
                <w:p w14:paraId="4BD7C857">
                  <w:pPr>
                    <w:jc w:val="center"/>
                  </w:pPr>
                  <w:r>
                    <w:rPr>
                      <w:rFonts w:ascii="Arial" w:hAnsi="Arial" w:eastAsia="Arial" w:cs="Arial"/>
                      <w:sz w:val="20"/>
                    </w:rPr>
                    <w:t>53.8</w:t>
                  </w:r>
                </w:p>
              </w:tc>
              <w:tc>
                <w:tcPr>
                  <w:tcW w:w="493" w:type="dxa"/>
                  <w:shd w:val="clear" w:color="auto" w:fill="auto"/>
                  <w:tcMar>
                    <w:top w:w="0" w:type="dxa"/>
                    <w:left w:w="0" w:type="dxa"/>
                    <w:bottom w:w="0" w:type="dxa"/>
                    <w:right w:w="0" w:type="dxa"/>
                  </w:tcMar>
                  <w:vAlign w:val="center"/>
                </w:tcPr>
                <w:p w14:paraId="7E81837F">
                  <w:pPr>
                    <w:jc w:val="center"/>
                  </w:pPr>
                  <w:r>
                    <w:rPr>
                      <w:rFonts w:hint="eastAsia" w:ascii="Arial" w:hAnsi="Arial" w:eastAsia="宋体" w:cs="Arial"/>
                      <w:sz w:val="20"/>
                      <w:lang w:val="en-US" w:eastAsia="zh-CN"/>
                    </w:rPr>
                    <w:t>8</w:t>
                  </w:r>
                  <w:r>
                    <w:rPr>
                      <w:rFonts w:ascii="Arial" w:hAnsi="Arial" w:eastAsia="Arial" w:cs="Arial"/>
                      <w:sz w:val="20"/>
                    </w:rPr>
                    <w:t>.0</w:t>
                  </w:r>
                </w:p>
              </w:tc>
              <w:tc>
                <w:tcPr>
                  <w:tcW w:w="419" w:type="dxa"/>
                  <w:shd w:val="clear" w:color="auto" w:fill="auto"/>
                  <w:tcMar>
                    <w:top w:w="0" w:type="dxa"/>
                    <w:left w:w="0" w:type="dxa"/>
                    <w:bottom w:w="0" w:type="dxa"/>
                    <w:right w:w="0" w:type="dxa"/>
                  </w:tcMar>
                  <w:vAlign w:val="center"/>
                </w:tcPr>
                <w:p w14:paraId="716B9432">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176513BA">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65609CB5">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0933F78F">
                  <w:pPr>
                    <w:jc w:val="center"/>
                  </w:pPr>
                  <w:r>
                    <w:rPr>
                      <w:rFonts w:ascii="Arial" w:hAnsi="Arial" w:eastAsia="Arial" w:cs="Arial"/>
                      <w:sz w:val="20"/>
                    </w:rPr>
                    <w:t>26.0</w:t>
                  </w:r>
                </w:p>
              </w:tc>
              <w:tc>
                <w:tcPr>
                  <w:tcW w:w="400" w:type="dxa"/>
                  <w:shd w:val="clear" w:color="auto" w:fill="auto"/>
                  <w:tcMar>
                    <w:top w:w="0" w:type="dxa"/>
                    <w:left w:w="0" w:type="dxa"/>
                    <w:bottom w:w="0" w:type="dxa"/>
                    <w:right w:w="0" w:type="dxa"/>
                  </w:tcMar>
                  <w:vAlign w:val="center"/>
                </w:tcPr>
                <w:p w14:paraId="777DE231">
                  <w:pPr>
                    <w:jc w:val="center"/>
                  </w:pPr>
                  <w:r>
                    <w:rPr>
                      <w:rFonts w:ascii="Arial" w:hAnsi="Arial" w:eastAsia="Arial" w:cs="Arial"/>
                      <w:sz w:val="20"/>
                    </w:rPr>
                    <w:t>27.7</w:t>
                  </w:r>
                </w:p>
              </w:tc>
              <w:tc>
                <w:tcPr>
                  <w:tcW w:w="400" w:type="dxa"/>
                  <w:shd w:val="clear" w:color="auto" w:fill="auto"/>
                  <w:tcMar>
                    <w:top w:w="0" w:type="dxa"/>
                    <w:left w:w="0" w:type="dxa"/>
                    <w:bottom w:w="0" w:type="dxa"/>
                    <w:right w:w="0" w:type="dxa"/>
                  </w:tcMar>
                  <w:vAlign w:val="center"/>
                </w:tcPr>
                <w:p w14:paraId="7505B5CD">
                  <w:pPr>
                    <w:jc w:val="center"/>
                  </w:pPr>
                  <w:r>
                    <w:rPr>
                      <w:rFonts w:ascii="Arial" w:hAnsi="Arial" w:eastAsia="Arial" w:cs="Arial"/>
                      <w:sz w:val="20"/>
                    </w:rPr>
                    <w:t>27.7</w:t>
                  </w:r>
                </w:p>
              </w:tc>
              <w:tc>
                <w:tcPr>
                  <w:tcW w:w="400" w:type="dxa"/>
                  <w:shd w:val="clear" w:color="auto" w:fill="auto"/>
                  <w:tcMar>
                    <w:top w:w="0" w:type="dxa"/>
                    <w:left w:w="0" w:type="dxa"/>
                    <w:bottom w:w="0" w:type="dxa"/>
                    <w:right w:w="0" w:type="dxa"/>
                  </w:tcMar>
                  <w:vAlign w:val="center"/>
                </w:tcPr>
                <w:p w14:paraId="40AADF7C">
                  <w:pPr>
                    <w:jc w:val="center"/>
                  </w:pPr>
                  <w:r>
                    <w:rPr>
                      <w:rFonts w:ascii="Arial" w:hAnsi="Arial" w:eastAsia="Arial" w:cs="Arial"/>
                      <w:sz w:val="20"/>
                    </w:rPr>
                    <w:t>27.7</w:t>
                  </w:r>
                </w:p>
              </w:tc>
              <w:tc>
                <w:tcPr>
                  <w:tcW w:w="400" w:type="dxa"/>
                  <w:shd w:val="clear" w:color="auto" w:fill="auto"/>
                  <w:tcMar>
                    <w:top w:w="0" w:type="dxa"/>
                    <w:left w:w="0" w:type="dxa"/>
                    <w:bottom w:w="0" w:type="dxa"/>
                    <w:right w:w="0" w:type="dxa"/>
                  </w:tcMar>
                  <w:vAlign w:val="center"/>
                </w:tcPr>
                <w:p w14:paraId="055D73A5">
                  <w:pPr>
                    <w:jc w:val="center"/>
                  </w:pPr>
                  <w:r>
                    <w:rPr>
                      <w:rFonts w:ascii="Arial" w:hAnsi="Arial" w:eastAsia="Arial" w:cs="Arial"/>
                      <w:sz w:val="20"/>
                    </w:rPr>
                    <w:t>27.8</w:t>
                  </w:r>
                </w:p>
              </w:tc>
              <w:tc>
                <w:tcPr>
                  <w:tcW w:w="340" w:type="dxa"/>
                  <w:shd w:val="clear" w:color="auto" w:fill="auto"/>
                  <w:tcMar>
                    <w:top w:w="0" w:type="dxa"/>
                    <w:left w:w="0" w:type="dxa"/>
                    <w:bottom w:w="0" w:type="dxa"/>
                    <w:right w:w="0" w:type="dxa"/>
                  </w:tcMar>
                  <w:vAlign w:val="center"/>
                </w:tcPr>
                <w:p w14:paraId="3BBDBC2D">
                  <w:pPr>
                    <w:jc w:val="center"/>
                  </w:pPr>
                  <w:r>
                    <w:rPr>
                      <w:rFonts w:ascii="Arial" w:hAnsi="Arial" w:eastAsia="Arial" w:cs="Arial"/>
                      <w:sz w:val="20"/>
                    </w:rPr>
                    <w:t>1</w:t>
                  </w:r>
                </w:p>
              </w:tc>
            </w:tr>
            <w:tr w14:paraId="293F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9" w:type="dxa"/>
                  <w:shd w:val="clear" w:color="auto" w:fill="auto"/>
                  <w:tcMar>
                    <w:top w:w="0" w:type="dxa"/>
                    <w:left w:w="0" w:type="dxa"/>
                    <w:bottom w:w="0" w:type="dxa"/>
                    <w:right w:w="0" w:type="dxa"/>
                  </w:tcMar>
                  <w:vAlign w:val="center"/>
                </w:tcPr>
                <w:p w14:paraId="744B06BB">
                  <w:pPr>
                    <w:jc w:val="center"/>
                  </w:pPr>
                  <w:r>
                    <w:rPr>
                      <w:rFonts w:ascii="Arial" w:hAnsi="Arial" w:eastAsia="Arial" w:cs="Arial"/>
                      <w:sz w:val="20"/>
                    </w:rPr>
                    <w:t>7</w:t>
                  </w:r>
                </w:p>
              </w:tc>
              <w:tc>
                <w:tcPr>
                  <w:tcW w:w="515" w:type="dxa"/>
                  <w:vMerge w:val="continue"/>
                  <w:shd w:val="clear" w:color="auto" w:fill="auto"/>
                  <w:tcMar>
                    <w:top w:w="0" w:type="dxa"/>
                    <w:left w:w="0" w:type="dxa"/>
                    <w:bottom w:w="0" w:type="dxa"/>
                    <w:right w:w="0" w:type="dxa"/>
                  </w:tcMar>
                  <w:vAlign w:val="center"/>
                </w:tcPr>
                <w:p w14:paraId="379A37CF">
                  <w:pPr>
                    <w:jc w:val="center"/>
                  </w:pPr>
                </w:p>
              </w:tc>
              <w:tc>
                <w:tcPr>
                  <w:tcW w:w="531" w:type="dxa"/>
                  <w:shd w:val="clear" w:color="auto" w:fill="auto"/>
                  <w:tcMar>
                    <w:top w:w="0" w:type="dxa"/>
                    <w:left w:w="0" w:type="dxa"/>
                    <w:bottom w:w="0" w:type="dxa"/>
                    <w:right w:w="0" w:type="dxa"/>
                  </w:tcMar>
                  <w:vAlign w:val="center"/>
                </w:tcPr>
                <w:p w14:paraId="221DDC35">
                  <w:pPr>
                    <w:jc w:val="center"/>
                  </w:pPr>
                  <w:r>
                    <w:rPr>
                      <w:rFonts w:ascii="Arial" w:hAnsi="Arial" w:eastAsia="Arial" w:cs="Arial"/>
                      <w:sz w:val="20"/>
                    </w:rPr>
                    <w:t>叉车</w:t>
                  </w:r>
                </w:p>
              </w:tc>
              <w:tc>
                <w:tcPr>
                  <w:tcW w:w="449" w:type="dxa"/>
                  <w:shd w:val="clear" w:color="auto" w:fill="auto"/>
                  <w:tcMar>
                    <w:top w:w="0" w:type="dxa"/>
                    <w:left w:w="0" w:type="dxa"/>
                    <w:bottom w:w="0" w:type="dxa"/>
                    <w:right w:w="0" w:type="dxa"/>
                  </w:tcMar>
                  <w:vAlign w:val="center"/>
                </w:tcPr>
                <w:p w14:paraId="65FD0871">
                  <w:pPr>
                    <w:jc w:val="center"/>
                    <w:rPr>
                      <w:rFonts w:hint="eastAsia" w:eastAsia="宋体"/>
                      <w:lang w:val="en-US" w:eastAsia="zh-CN"/>
                    </w:rPr>
                  </w:pPr>
                  <w:r>
                    <w:rPr>
                      <w:rFonts w:hint="eastAsia"/>
                      <w:lang w:val="en-US" w:eastAsia="zh-CN"/>
                    </w:rPr>
                    <w:t>/</w:t>
                  </w:r>
                </w:p>
              </w:tc>
              <w:tc>
                <w:tcPr>
                  <w:tcW w:w="1428" w:type="dxa"/>
                  <w:shd w:val="clear" w:color="auto" w:fill="auto"/>
                  <w:tcMar>
                    <w:top w:w="0" w:type="dxa"/>
                    <w:left w:w="0" w:type="dxa"/>
                    <w:bottom w:w="0" w:type="dxa"/>
                    <w:right w:w="0" w:type="dxa"/>
                  </w:tcMar>
                  <w:vAlign w:val="center"/>
                </w:tcPr>
                <w:p w14:paraId="17213398">
                  <w:pPr>
                    <w:jc w:val="center"/>
                  </w:pPr>
                  <w:r>
                    <w:rPr>
                      <w:rFonts w:ascii="Arial" w:hAnsi="Arial" w:eastAsia="Arial" w:cs="Arial"/>
                      <w:sz w:val="20"/>
                    </w:rPr>
                    <w:t>85/1</w:t>
                  </w:r>
                </w:p>
              </w:tc>
              <w:tc>
                <w:tcPr>
                  <w:tcW w:w="587" w:type="dxa"/>
                  <w:vMerge w:val="continue"/>
                  <w:shd w:val="clear" w:color="auto" w:fill="auto"/>
                  <w:tcMar>
                    <w:top w:w="0" w:type="dxa"/>
                    <w:left w:w="0" w:type="dxa"/>
                    <w:bottom w:w="0" w:type="dxa"/>
                    <w:right w:w="0" w:type="dxa"/>
                  </w:tcMar>
                  <w:vAlign w:val="center"/>
                </w:tcPr>
                <w:p w14:paraId="7598480E">
                  <w:pPr>
                    <w:jc w:val="center"/>
                  </w:pPr>
                </w:p>
              </w:tc>
              <w:tc>
                <w:tcPr>
                  <w:tcW w:w="414" w:type="dxa"/>
                  <w:shd w:val="clear" w:color="auto" w:fill="auto"/>
                  <w:tcMar>
                    <w:top w:w="0" w:type="dxa"/>
                    <w:left w:w="0" w:type="dxa"/>
                    <w:bottom w:w="0" w:type="dxa"/>
                    <w:right w:w="0" w:type="dxa"/>
                  </w:tcMar>
                  <w:vAlign w:val="center"/>
                </w:tcPr>
                <w:p w14:paraId="5894BE2C">
                  <w:pPr>
                    <w:jc w:val="center"/>
                  </w:pPr>
                  <w:r>
                    <w:rPr>
                      <w:rFonts w:ascii="Arial" w:hAnsi="Arial" w:eastAsia="Arial" w:cs="Arial"/>
                      <w:sz w:val="20"/>
                    </w:rPr>
                    <w:t>10.5</w:t>
                  </w:r>
                </w:p>
              </w:tc>
              <w:tc>
                <w:tcPr>
                  <w:tcW w:w="601" w:type="dxa"/>
                  <w:shd w:val="clear" w:color="auto" w:fill="auto"/>
                  <w:tcMar>
                    <w:top w:w="0" w:type="dxa"/>
                    <w:left w:w="0" w:type="dxa"/>
                    <w:bottom w:w="0" w:type="dxa"/>
                    <w:right w:w="0" w:type="dxa"/>
                  </w:tcMar>
                  <w:vAlign w:val="center"/>
                </w:tcPr>
                <w:p w14:paraId="08A32226">
                  <w:pPr>
                    <w:jc w:val="center"/>
                  </w:pPr>
                  <w:r>
                    <w:rPr>
                      <w:rFonts w:ascii="Arial" w:hAnsi="Arial" w:eastAsia="Arial" w:cs="Arial"/>
                      <w:sz w:val="20"/>
                    </w:rPr>
                    <w:t>-122.6</w:t>
                  </w:r>
                </w:p>
              </w:tc>
              <w:tc>
                <w:tcPr>
                  <w:tcW w:w="302" w:type="dxa"/>
                  <w:shd w:val="clear" w:color="auto" w:fill="auto"/>
                  <w:tcMar>
                    <w:top w:w="0" w:type="dxa"/>
                    <w:left w:w="0" w:type="dxa"/>
                    <w:bottom w:w="0" w:type="dxa"/>
                    <w:right w:w="0" w:type="dxa"/>
                  </w:tcMar>
                  <w:vAlign w:val="center"/>
                </w:tcPr>
                <w:p w14:paraId="451C444C">
                  <w:pPr>
                    <w:jc w:val="center"/>
                  </w:pPr>
                  <w:r>
                    <w:rPr>
                      <w:rFonts w:ascii="Arial" w:hAnsi="Arial" w:eastAsia="Arial" w:cs="Arial"/>
                      <w:sz w:val="20"/>
                    </w:rPr>
                    <w:t>1.2</w:t>
                  </w:r>
                </w:p>
              </w:tc>
              <w:tc>
                <w:tcPr>
                  <w:tcW w:w="504" w:type="dxa"/>
                  <w:shd w:val="clear" w:color="auto" w:fill="auto"/>
                  <w:tcMar>
                    <w:top w:w="0" w:type="dxa"/>
                    <w:left w:w="0" w:type="dxa"/>
                    <w:bottom w:w="0" w:type="dxa"/>
                    <w:right w:w="0" w:type="dxa"/>
                  </w:tcMar>
                  <w:vAlign w:val="center"/>
                </w:tcPr>
                <w:p w14:paraId="1BC3C4AD">
                  <w:pPr>
                    <w:jc w:val="center"/>
                  </w:pPr>
                  <w:r>
                    <w:rPr>
                      <w:rFonts w:ascii="Arial" w:hAnsi="Arial" w:eastAsia="Arial" w:cs="Arial"/>
                      <w:sz w:val="20"/>
                    </w:rPr>
                    <w:t>119.0</w:t>
                  </w:r>
                </w:p>
              </w:tc>
              <w:tc>
                <w:tcPr>
                  <w:tcW w:w="406" w:type="dxa"/>
                  <w:shd w:val="clear" w:color="auto" w:fill="auto"/>
                  <w:tcMar>
                    <w:top w:w="0" w:type="dxa"/>
                    <w:left w:w="0" w:type="dxa"/>
                    <w:bottom w:w="0" w:type="dxa"/>
                    <w:right w:w="0" w:type="dxa"/>
                  </w:tcMar>
                  <w:vAlign w:val="center"/>
                </w:tcPr>
                <w:p w14:paraId="3BB01B9F">
                  <w:pPr>
                    <w:jc w:val="center"/>
                  </w:pPr>
                  <w:r>
                    <w:rPr>
                      <w:rFonts w:ascii="Arial" w:hAnsi="Arial" w:eastAsia="Arial" w:cs="Arial"/>
                      <w:sz w:val="20"/>
                    </w:rPr>
                    <w:t>34.1</w:t>
                  </w:r>
                </w:p>
              </w:tc>
              <w:tc>
                <w:tcPr>
                  <w:tcW w:w="406" w:type="dxa"/>
                  <w:shd w:val="clear" w:color="auto" w:fill="auto"/>
                  <w:tcMar>
                    <w:top w:w="0" w:type="dxa"/>
                    <w:left w:w="0" w:type="dxa"/>
                    <w:bottom w:w="0" w:type="dxa"/>
                    <w:right w:w="0" w:type="dxa"/>
                  </w:tcMar>
                  <w:vAlign w:val="center"/>
                </w:tcPr>
                <w:p w14:paraId="0A5220AA">
                  <w:pPr>
                    <w:jc w:val="center"/>
                  </w:pPr>
                  <w:r>
                    <w:rPr>
                      <w:rFonts w:ascii="Arial" w:hAnsi="Arial" w:eastAsia="Arial" w:cs="Arial"/>
                      <w:sz w:val="20"/>
                    </w:rPr>
                    <w:t>30.0</w:t>
                  </w:r>
                </w:p>
              </w:tc>
              <w:tc>
                <w:tcPr>
                  <w:tcW w:w="406" w:type="dxa"/>
                  <w:shd w:val="clear" w:color="auto" w:fill="auto"/>
                  <w:tcMar>
                    <w:top w:w="0" w:type="dxa"/>
                    <w:left w:w="0" w:type="dxa"/>
                    <w:bottom w:w="0" w:type="dxa"/>
                    <w:right w:w="0" w:type="dxa"/>
                  </w:tcMar>
                  <w:vAlign w:val="center"/>
                </w:tcPr>
                <w:p w14:paraId="7704E66E">
                  <w:pPr>
                    <w:jc w:val="center"/>
                  </w:pPr>
                  <w:r>
                    <w:rPr>
                      <w:rFonts w:ascii="Arial" w:hAnsi="Arial" w:eastAsia="Arial" w:cs="Arial"/>
                      <w:sz w:val="20"/>
                    </w:rPr>
                    <w:t>33.2</w:t>
                  </w:r>
                </w:p>
              </w:tc>
              <w:tc>
                <w:tcPr>
                  <w:tcW w:w="412" w:type="dxa"/>
                  <w:shd w:val="clear" w:color="auto" w:fill="auto"/>
                  <w:tcMar>
                    <w:top w:w="0" w:type="dxa"/>
                    <w:left w:w="0" w:type="dxa"/>
                    <w:bottom w:w="0" w:type="dxa"/>
                    <w:right w:w="0" w:type="dxa"/>
                  </w:tcMar>
                  <w:vAlign w:val="center"/>
                </w:tcPr>
                <w:p w14:paraId="382F24CA">
                  <w:pPr>
                    <w:jc w:val="center"/>
                  </w:pPr>
                  <w:r>
                    <w:rPr>
                      <w:rFonts w:ascii="Arial" w:hAnsi="Arial" w:eastAsia="Arial" w:cs="Arial"/>
                      <w:sz w:val="20"/>
                    </w:rPr>
                    <w:t>71.7</w:t>
                  </w:r>
                </w:p>
              </w:tc>
              <w:tc>
                <w:tcPr>
                  <w:tcW w:w="412" w:type="dxa"/>
                  <w:shd w:val="clear" w:color="auto" w:fill="auto"/>
                  <w:tcMar>
                    <w:top w:w="0" w:type="dxa"/>
                    <w:left w:w="0" w:type="dxa"/>
                    <w:bottom w:w="0" w:type="dxa"/>
                    <w:right w:w="0" w:type="dxa"/>
                  </w:tcMar>
                  <w:vAlign w:val="center"/>
                </w:tcPr>
                <w:p w14:paraId="7D199122">
                  <w:pPr>
                    <w:jc w:val="center"/>
                  </w:pPr>
                  <w:r>
                    <w:rPr>
                      <w:rFonts w:ascii="Arial" w:hAnsi="Arial" w:eastAsia="Arial" w:cs="Arial"/>
                      <w:sz w:val="20"/>
                    </w:rPr>
                    <w:t>71.7</w:t>
                  </w:r>
                </w:p>
              </w:tc>
              <w:tc>
                <w:tcPr>
                  <w:tcW w:w="412" w:type="dxa"/>
                  <w:shd w:val="clear" w:color="auto" w:fill="auto"/>
                  <w:tcMar>
                    <w:top w:w="0" w:type="dxa"/>
                    <w:left w:w="0" w:type="dxa"/>
                    <w:bottom w:w="0" w:type="dxa"/>
                    <w:right w:w="0" w:type="dxa"/>
                  </w:tcMar>
                  <w:vAlign w:val="center"/>
                </w:tcPr>
                <w:p w14:paraId="1129ECD1">
                  <w:pPr>
                    <w:jc w:val="center"/>
                  </w:pPr>
                  <w:r>
                    <w:rPr>
                      <w:rFonts w:ascii="Arial" w:hAnsi="Arial" w:eastAsia="Arial" w:cs="Arial"/>
                      <w:sz w:val="20"/>
                    </w:rPr>
                    <w:t>71.7</w:t>
                  </w:r>
                </w:p>
              </w:tc>
              <w:tc>
                <w:tcPr>
                  <w:tcW w:w="419" w:type="dxa"/>
                  <w:shd w:val="clear" w:color="auto" w:fill="auto"/>
                  <w:tcMar>
                    <w:top w:w="0" w:type="dxa"/>
                    <w:left w:w="0" w:type="dxa"/>
                    <w:bottom w:w="0" w:type="dxa"/>
                    <w:right w:w="0" w:type="dxa"/>
                  </w:tcMar>
                  <w:vAlign w:val="center"/>
                </w:tcPr>
                <w:p w14:paraId="3D7D6D21">
                  <w:pPr>
                    <w:jc w:val="center"/>
                  </w:pPr>
                  <w:r>
                    <w:rPr>
                      <w:rFonts w:ascii="Arial" w:hAnsi="Arial" w:eastAsia="Arial" w:cs="Arial"/>
                      <w:sz w:val="20"/>
                    </w:rPr>
                    <w:t>71.7</w:t>
                  </w:r>
                </w:p>
              </w:tc>
              <w:tc>
                <w:tcPr>
                  <w:tcW w:w="493" w:type="dxa"/>
                  <w:shd w:val="clear" w:color="auto" w:fill="auto"/>
                  <w:tcMar>
                    <w:top w:w="0" w:type="dxa"/>
                    <w:left w:w="0" w:type="dxa"/>
                    <w:bottom w:w="0" w:type="dxa"/>
                    <w:right w:w="0" w:type="dxa"/>
                  </w:tcMar>
                  <w:vAlign w:val="center"/>
                </w:tcPr>
                <w:p w14:paraId="3D7418B8">
                  <w:pPr>
                    <w:jc w:val="center"/>
                  </w:pPr>
                  <w:r>
                    <w:rPr>
                      <w:rFonts w:hint="eastAsia" w:ascii="Arial" w:hAnsi="Arial" w:eastAsia="宋体" w:cs="Arial"/>
                      <w:sz w:val="20"/>
                      <w:lang w:val="en-US" w:eastAsia="zh-CN"/>
                    </w:rPr>
                    <w:t>8</w:t>
                  </w:r>
                  <w:r>
                    <w:rPr>
                      <w:rFonts w:ascii="Arial" w:hAnsi="Arial" w:eastAsia="Arial" w:cs="Arial"/>
                      <w:sz w:val="20"/>
                    </w:rPr>
                    <w:t>.0</w:t>
                  </w:r>
                </w:p>
              </w:tc>
              <w:tc>
                <w:tcPr>
                  <w:tcW w:w="419" w:type="dxa"/>
                  <w:shd w:val="clear" w:color="auto" w:fill="auto"/>
                  <w:tcMar>
                    <w:top w:w="0" w:type="dxa"/>
                    <w:left w:w="0" w:type="dxa"/>
                    <w:bottom w:w="0" w:type="dxa"/>
                    <w:right w:w="0" w:type="dxa"/>
                  </w:tcMar>
                  <w:vAlign w:val="center"/>
                </w:tcPr>
                <w:p w14:paraId="566B8541">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320D7451">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5AB0D565">
                  <w:pPr>
                    <w:jc w:val="center"/>
                  </w:pPr>
                  <w:r>
                    <w:rPr>
                      <w:rFonts w:ascii="Arial" w:hAnsi="Arial" w:eastAsia="Arial" w:cs="Arial"/>
                      <w:sz w:val="20"/>
                    </w:rPr>
                    <w:t>26.0</w:t>
                  </w:r>
                </w:p>
              </w:tc>
              <w:tc>
                <w:tcPr>
                  <w:tcW w:w="419" w:type="dxa"/>
                  <w:shd w:val="clear" w:color="auto" w:fill="auto"/>
                  <w:tcMar>
                    <w:top w:w="0" w:type="dxa"/>
                    <w:left w:w="0" w:type="dxa"/>
                    <w:bottom w:w="0" w:type="dxa"/>
                    <w:right w:w="0" w:type="dxa"/>
                  </w:tcMar>
                  <w:vAlign w:val="center"/>
                </w:tcPr>
                <w:p w14:paraId="00D81E1E">
                  <w:pPr>
                    <w:jc w:val="center"/>
                  </w:pPr>
                  <w:r>
                    <w:rPr>
                      <w:rFonts w:ascii="Arial" w:hAnsi="Arial" w:eastAsia="Arial" w:cs="Arial"/>
                      <w:sz w:val="20"/>
                    </w:rPr>
                    <w:t>26.0</w:t>
                  </w:r>
                </w:p>
              </w:tc>
              <w:tc>
                <w:tcPr>
                  <w:tcW w:w="400" w:type="dxa"/>
                  <w:shd w:val="clear" w:color="auto" w:fill="auto"/>
                  <w:tcMar>
                    <w:top w:w="0" w:type="dxa"/>
                    <w:left w:w="0" w:type="dxa"/>
                    <w:bottom w:w="0" w:type="dxa"/>
                    <w:right w:w="0" w:type="dxa"/>
                  </w:tcMar>
                  <w:vAlign w:val="center"/>
                </w:tcPr>
                <w:p w14:paraId="2E33E4CA">
                  <w:pPr>
                    <w:jc w:val="center"/>
                  </w:pPr>
                  <w:r>
                    <w:rPr>
                      <w:rFonts w:ascii="Arial" w:hAnsi="Arial" w:eastAsia="Arial" w:cs="Arial"/>
                      <w:sz w:val="20"/>
                    </w:rPr>
                    <w:t>45.7</w:t>
                  </w:r>
                </w:p>
              </w:tc>
              <w:tc>
                <w:tcPr>
                  <w:tcW w:w="400" w:type="dxa"/>
                  <w:shd w:val="clear" w:color="auto" w:fill="auto"/>
                  <w:tcMar>
                    <w:top w:w="0" w:type="dxa"/>
                    <w:left w:w="0" w:type="dxa"/>
                    <w:bottom w:w="0" w:type="dxa"/>
                    <w:right w:w="0" w:type="dxa"/>
                  </w:tcMar>
                  <w:vAlign w:val="center"/>
                </w:tcPr>
                <w:p w14:paraId="132A81E6">
                  <w:pPr>
                    <w:jc w:val="center"/>
                  </w:pPr>
                  <w:r>
                    <w:rPr>
                      <w:rFonts w:ascii="Arial" w:hAnsi="Arial" w:eastAsia="Arial" w:cs="Arial"/>
                      <w:sz w:val="20"/>
                    </w:rPr>
                    <w:t>45.7</w:t>
                  </w:r>
                </w:p>
              </w:tc>
              <w:tc>
                <w:tcPr>
                  <w:tcW w:w="400" w:type="dxa"/>
                  <w:shd w:val="clear" w:color="auto" w:fill="auto"/>
                  <w:tcMar>
                    <w:top w:w="0" w:type="dxa"/>
                    <w:left w:w="0" w:type="dxa"/>
                    <w:bottom w:w="0" w:type="dxa"/>
                    <w:right w:w="0" w:type="dxa"/>
                  </w:tcMar>
                  <w:vAlign w:val="center"/>
                </w:tcPr>
                <w:p w14:paraId="002661AD">
                  <w:pPr>
                    <w:jc w:val="center"/>
                  </w:pPr>
                  <w:r>
                    <w:rPr>
                      <w:rFonts w:ascii="Arial" w:hAnsi="Arial" w:eastAsia="Arial" w:cs="Arial"/>
                      <w:sz w:val="20"/>
                    </w:rPr>
                    <w:t>45.7</w:t>
                  </w:r>
                </w:p>
              </w:tc>
              <w:tc>
                <w:tcPr>
                  <w:tcW w:w="400" w:type="dxa"/>
                  <w:shd w:val="clear" w:color="auto" w:fill="auto"/>
                  <w:tcMar>
                    <w:top w:w="0" w:type="dxa"/>
                    <w:left w:w="0" w:type="dxa"/>
                    <w:bottom w:w="0" w:type="dxa"/>
                    <w:right w:w="0" w:type="dxa"/>
                  </w:tcMar>
                  <w:vAlign w:val="center"/>
                </w:tcPr>
                <w:p w14:paraId="53E47B80">
                  <w:pPr>
                    <w:jc w:val="center"/>
                  </w:pPr>
                  <w:r>
                    <w:rPr>
                      <w:rFonts w:ascii="Arial" w:hAnsi="Arial" w:eastAsia="Arial" w:cs="Arial"/>
                      <w:sz w:val="20"/>
                    </w:rPr>
                    <w:t>45.7</w:t>
                  </w:r>
                </w:p>
              </w:tc>
              <w:tc>
                <w:tcPr>
                  <w:tcW w:w="340" w:type="dxa"/>
                  <w:shd w:val="clear" w:color="auto" w:fill="auto"/>
                  <w:tcMar>
                    <w:top w:w="0" w:type="dxa"/>
                    <w:left w:w="0" w:type="dxa"/>
                    <w:bottom w:w="0" w:type="dxa"/>
                    <w:right w:w="0" w:type="dxa"/>
                  </w:tcMar>
                  <w:vAlign w:val="center"/>
                </w:tcPr>
                <w:p w14:paraId="65569F46">
                  <w:pPr>
                    <w:jc w:val="center"/>
                  </w:pPr>
                  <w:r>
                    <w:rPr>
                      <w:rFonts w:ascii="Arial" w:hAnsi="Arial" w:eastAsia="Arial" w:cs="Arial"/>
                      <w:sz w:val="20"/>
                    </w:rPr>
                    <w:t>1</w:t>
                  </w:r>
                </w:p>
              </w:tc>
            </w:tr>
          </w:tbl>
          <w:p w14:paraId="265A336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cs="宋体"/>
                <w:b/>
                <w:kern w:val="0"/>
                <w:sz w:val="28"/>
                <w:szCs w:val="28"/>
                <w:vertAlign w:val="baseline"/>
                <w:lang w:val="en-US" w:eastAsia="zh-CN"/>
              </w:rPr>
            </w:pPr>
            <w:r>
              <w:rPr>
                <w:rFonts w:hint="default" w:ascii="Times New Roman" w:hAnsi="Times New Roman" w:cs="Times New Roman" w:eastAsiaTheme="minorEastAsia"/>
                <w:b w:val="0"/>
                <w:bCs/>
                <w:sz w:val="21"/>
                <w:szCs w:val="21"/>
                <w:lang w:val="en-US" w:eastAsia="zh-CN"/>
              </w:rPr>
              <w:t>表中坐标以厂界中心（</w:t>
            </w:r>
            <w:bookmarkStart w:id="24" w:name="PO_7"/>
            <w:r>
              <w:rPr>
                <w:rFonts w:hint="default" w:ascii="Times New Roman" w:hAnsi="Times New Roman" w:cs="Times New Roman" w:eastAsiaTheme="minorEastAsia"/>
                <w:b w:val="0"/>
                <w:bCs/>
                <w:sz w:val="21"/>
                <w:szCs w:val="21"/>
                <w:lang w:val="en-US" w:eastAsia="zh-CN"/>
              </w:rPr>
              <w:t>84.3132553,41.781627</w:t>
            </w:r>
            <w:bookmarkEnd w:id="24"/>
            <w:r>
              <w:rPr>
                <w:rFonts w:hint="default" w:ascii="Times New Roman" w:hAnsi="Times New Roman" w:cs="Times New Roman" w:eastAsiaTheme="minorEastAsia"/>
                <w:b w:val="0"/>
                <w:bCs/>
                <w:sz w:val="21"/>
                <w:szCs w:val="21"/>
                <w:lang w:val="en-US" w:eastAsia="zh-CN"/>
              </w:rPr>
              <w:t>）为坐标原点，正东向为X轴正方向，正北向为Y轴正方向</w:t>
            </w:r>
            <w:r>
              <w:rPr>
                <w:rFonts w:hint="eastAsia" w:ascii="Times New Roman" w:hAnsi="Times New Roman" w:cs="Times New Roman" w:eastAsiaTheme="minorEastAsia"/>
                <w:b w:val="0"/>
                <w:bCs/>
                <w:sz w:val="21"/>
                <w:szCs w:val="21"/>
                <w:lang w:val="en-US" w:eastAsia="zh-CN"/>
              </w:rPr>
              <w:t>。</w:t>
            </w:r>
          </w:p>
          <w:p w14:paraId="2E7AE499">
            <w:pPr>
              <w:adjustRightInd w:val="0"/>
              <w:snapToGrid w:val="0"/>
              <w:spacing w:line="360" w:lineRule="auto"/>
              <w:rPr>
                <w:rFonts w:hint="eastAsia" w:ascii="宋体" w:eastAsia="宋体" w:cs="宋体"/>
                <w:b/>
                <w:kern w:val="0"/>
                <w:sz w:val="28"/>
                <w:szCs w:val="28"/>
                <w:vertAlign w:val="baseline"/>
                <w:lang w:val="en-US" w:eastAsia="zh-CN"/>
              </w:rPr>
            </w:pPr>
          </w:p>
        </w:tc>
      </w:tr>
    </w:tbl>
    <w:p w14:paraId="67D97378">
      <w:pPr>
        <w:adjustRightInd w:val="0"/>
        <w:snapToGrid w:val="0"/>
        <w:spacing w:line="360" w:lineRule="auto"/>
        <w:rPr>
          <w:rFonts w:hint="eastAsia" w:ascii="宋体" w:cs="宋体"/>
          <w:b/>
          <w:kern w:val="0"/>
          <w:sz w:val="28"/>
          <w:szCs w:val="28"/>
        </w:rPr>
        <w:sectPr>
          <w:pgSz w:w="16840" w:h="11907" w:orient="landscape"/>
          <w:pgMar w:top="1531" w:right="1701" w:bottom="1531" w:left="2127" w:header="851" w:footer="851" w:gutter="0"/>
          <w:pgBorders>
            <w:top w:val="none" w:sz="0" w:space="0"/>
            <w:left w:val="none" w:sz="0" w:space="0"/>
            <w:bottom w:val="none" w:sz="0" w:space="0"/>
            <w:right w:val="none" w:sz="0" w:space="0"/>
          </w:pgBorders>
          <w:cols w:space="720" w:num="1"/>
          <w:docGrid w:linePitch="312" w:charSpace="0"/>
        </w:sectPr>
      </w:pPr>
    </w:p>
    <w:tbl>
      <w:tblPr>
        <w:tblStyle w:val="2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
        <w:gridCol w:w="8762"/>
      </w:tblGrid>
      <w:tr w14:paraId="3600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dxa"/>
          </w:tcPr>
          <w:p w14:paraId="3F5765CF">
            <w:pPr>
              <w:adjustRightInd w:val="0"/>
              <w:snapToGrid w:val="0"/>
              <w:spacing w:line="360" w:lineRule="auto"/>
              <w:rPr>
                <w:rFonts w:hint="eastAsia" w:ascii="宋体" w:cs="宋体"/>
                <w:b/>
                <w:kern w:val="0"/>
                <w:sz w:val="28"/>
                <w:szCs w:val="28"/>
                <w:vertAlign w:val="baseline"/>
              </w:rPr>
            </w:pPr>
          </w:p>
        </w:tc>
        <w:tc>
          <w:tcPr>
            <w:tcW w:w="8762" w:type="dxa"/>
          </w:tcPr>
          <w:p w14:paraId="547C3050">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rPr>
                <w:rFonts w:hint="eastAsia" w:ascii="宋体" w:hAnsi="宋体" w:cs="宋体"/>
                <w:sz w:val="24"/>
              </w:rPr>
            </w:pPr>
            <w:bookmarkStart w:id="25" w:name="OLE_LINK67"/>
            <w:r>
              <w:rPr>
                <w:rFonts w:hint="eastAsia" w:ascii="宋体" w:hAnsi="宋体" w:cs="宋体"/>
                <w:sz w:val="24"/>
              </w:rPr>
              <w:t>（3）预测结果</w:t>
            </w:r>
          </w:p>
          <w:p w14:paraId="56105CB1">
            <w:pPr>
              <w:pStyle w:val="52"/>
              <w:keepNext w:val="0"/>
              <w:keepLines w:val="0"/>
              <w:pageBreakBefore w:val="0"/>
              <w:widowControl w:val="0"/>
              <w:kinsoku/>
              <w:wordWrap/>
              <w:overflowPunct/>
              <w:topLinePunct w:val="0"/>
              <w:autoSpaceDE/>
              <w:autoSpaceDN/>
              <w:bidi w:val="0"/>
              <w:snapToGrid w:val="0"/>
              <w:spacing w:line="520" w:lineRule="exact"/>
              <w:ind w:firstLine="480" w:firstLineChars="200"/>
              <w:rPr>
                <w:rFonts w:hint="eastAsia" w:ascii="宋体" w:hAnsi="宋体" w:cs="宋体"/>
                <w:kern w:val="2"/>
              </w:rPr>
            </w:pPr>
            <w:r>
              <w:rPr>
                <w:rFonts w:hint="eastAsia" w:ascii="宋体" w:hAnsi="宋体" w:cs="宋体"/>
                <w:kern w:val="2"/>
              </w:rPr>
              <w:t>根据预测模式计算出各噪声源传播至厂界的总声压级，结果见表</w:t>
            </w:r>
            <w:r>
              <w:rPr>
                <w:rFonts w:hint="eastAsia" w:ascii="宋体" w:hAnsi="宋体" w:cs="宋体"/>
                <w:kern w:val="2"/>
                <w:lang w:val="en-US" w:eastAsia="zh-CN"/>
              </w:rPr>
              <w:t>4-7。</w:t>
            </w:r>
          </w:p>
          <w:p w14:paraId="2D0D51A2">
            <w:pPr>
              <w:keepNext w:val="0"/>
              <w:keepLines w:val="0"/>
              <w:pageBreakBefore w:val="0"/>
              <w:widowControl w:val="0"/>
              <w:kinsoku/>
              <w:wordWrap/>
              <w:overflowPunct/>
              <w:topLinePunct w:val="0"/>
              <w:autoSpaceDE/>
              <w:autoSpaceDN/>
              <w:bidi w:val="0"/>
              <w:snapToGrid w:val="0"/>
              <w:spacing w:line="520" w:lineRule="exact"/>
              <w:jc w:val="center"/>
              <w:rPr>
                <w:rFonts w:hint="eastAsia" w:ascii="宋体" w:hAnsi="宋体" w:cs="宋体"/>
                <w:b/>
                <w:sz w:val="24"/>
              </w:rPr>
            </w:pPr>
            <w:r>
              <w:rPr>
                <w:rFonts w:hint="eastAsia" w:ascii="宋体" w:hAnsi="宋体" w:cs="宋体"/>
                <w:b/>
                <w:sz w:val="24"/>
              </w:rPr>
              <w:t>表</w:t>
            </w:r>
            <w:r>
              <w:rPr>
                <w:rFonts w:hint="eastAsia" w:ascii="宋体" w:hAnsi="宋体" w:cs="宋体"/>
                <w:b/>
                <w:sz w:val="24"/>
                <w:lang w:val="en-US" w:eastAsia="zh-CN"/>
              </w:rPr>
              <w:t>4-7</w:t>
            </w:r>
            <w:r>
              <w:rPr>
                <w:rFonts w:hint="eastAsia" w:ascii="宋体" w:hAnsi="宋体" w:cs="宋体"/>
                <w:b/>
                <w:sz w:val="24"/>
              </w:rPr>
              <w:t xml:space="preserve">   厂界噪声预测结果与达标分析表</w:t>
            </w:r>
          </w:p>
          <w:tbl>
            <w:tblPr>
              <w:tblStyle w:val="24"/>
              <w:tblW w:w="8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72"/>
              <w:gridCol w:w="945"/>
              <w:gridCol w:w="945"/>
              <w:gridCol w:w="600"/>
              <w:gridCol w:w="725"/>
              <w:gridCol w:w="1539"/>
              <w:gridCol w:w="1838"/>
              <w:gridCol w:w="972"/>
            </w:tblGrid>
            <w:tr w14:paraId="6664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972" w:type="dxa"/>
                  <w:vMerge w:val="restart"/>
                  <w:shd w:val="clear" w:color="auto" w:fill="auto"/>
                  <w:vAlign w:val="center"/>
                </w:tcPr>
                <w:p w14:paraId="42A7AC88">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预测方位</w:t>
                  </w:r>
                </w:p>
              </w:tc>
              <w:tc>
                <w:tcPr>
                  <w:tcW w:w="2490" w:type="dxa"/>
                  <w:gridSpan w:val="3"/>
                  <w:shd w:val="clear" w:color="auto" w:fill="auto"/>
                  <w:vAlign w:val="center"/>
                </w:tcPr>
                <w:p w14:paraId="1B20FF5D">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lang w:val="en-US" w:eastAsia="zh-CN"/>
                    </w:rPr>
                    <w:t>最大值点</w:t>
                  </w:r>
                  <w:r>
                    <w:rPr>
                      <w:rFonts w:hint="default" w:cs="Times New Roman" w:asciiTheme="minorAscii" w:hAnsiTheme="minorAscii" w:eastAsiaTheme="minorEastAsia"/>
                      <w:b w:val="0"/>
                      <w:bCs/>
                      <w:sz w:val="21"/>
                      <w:szCs w:val="21"/>
                    </w:rPr>
                    <w:t>空间相对位置/m</w:t>
                  </w:r>
                </w:p>
              </w:tc>
              <w:tc>
                <w:tcPr>
                  <w:tcW w:w="725" w:type="dxa"/>
                  <w:vMerge w:val="restart"/>
                  <w:shd w:val="clear" w:color="auto" w:fill="auto"/>
                  <w:vAlign w:val="center"/>
                </w:tcPr>
                <w:p w14:paraId="3CFFF8CB">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时段</w:t>
                  </w:r>
                </w:p>
              </w:tc>
              <w:tc>
                <w:tcPr>
                  <w:tcW w:w="1539" w:type="dxa"/>
                  <w:vMerge w:val="restart"/>
                  <w:shd w:val="clear" w:color="auto" w:fill="auto"/>
                  <w:vAlign w:val="center"/>
                </w:tcPr>
                <w:p w14:paraId="59CE54FE">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贡献值（dB(A)）</w:t>
                  </w:r>
                </w:p>
              </w:tc>
              <w:tc>
                <w:tcPr>
                  <w:tcW w:w="1838" w:type="dxa"/>
                  <w:vMerge w:val="restart"/>
                  <w:shd w:val="clear" w:color="auto" w:fill="auto"/>
                  <w:vAlign w:val="center"/>
                </w:tcPr>
                <w:p w14:paraId="46ADC5E7">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标准限值（dB(A)）</w:t>
                  </w:r>
                </w:p>
              </w:tc>
              <w:tc>
                <w:tcPr>
                  <w:tcW w:w="972" w:type="dxa"/>
                  <w:vMerge w:val="restart"/>
                  <w:shd w:val="clear" w:color="auto" w:fill="auto"/>
                  <w:vAlign w:val="center"/>
                </w:tcPr>
                <w:p w14:paraId="6E42997C">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达标情况</w:t>
                  </w:r>
                </w:p>
              </w:tc>
            </w:tr>
            <w:tr w14:paraId="7A18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972" w:type="dxa"/>
                  <w:vMerge w:val="continue"/>
                  <w:shd w:val="clear" w:color="auto" w:fill="auto"/>
                  <w:vAlign w:val="center"/>
                </w:tcPr>
                <w:p w14:paraId="43CC612C">
                  <w:pPr>
                    <w:jc w:val="center"/>
                    <w:rPr>
                      <w:rFonts w:hint="default" w:cs="Times New Roman" w:asciiTheme="minorAscii" w:hAnsiTheme="minorAscii" w:eastAsiaTheme="minorEastAsia"/>
                      <w:b w:val="0"/>
                      <w:bCs/>
                      <w:sz w:val="21"/>
                      <w:szCs w:val="21"/>
                    </w:rPr>
                  </w:pPr>
                </w:p>
              </w:tc>
              <w:tc>
                <w:tcPr>
                  <w:tcW w:w="945" w:type="dxa"/>
                  <w:shd w:val="clear" w:color="auto" w:fill="auto"/>
                  <w:vAlign w:val="center"/>
                </w:tcPr>
                <w:p w14:paraId="15D82733">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X</w:t>
                  </w:r>
                </w:p>
              </w:tc>
              <w:tc>
                <w:tcPr>
                  <w:tcW w:w="945" w:type="dxa"/>
                  <w:shd w:val="clear" w:color="auto" w:fill="auto"/>
                  <w:vAlign w:val="center"/>
                </w:tcPr>
                <w:p w14:paraId="06D28DAE">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Y</w:t>
                  </w:r>
                </w:p>
              </w:tc>
              <w:tc>
                <w:tcPr>
                  <w:tcW w:w="600" w:type="dxa"/>
                  <w:shd w:val="clear" w:color="auto" w:fill="auto"/>
                  <w:vAlign w:val="center"/>
                </w:tcPr>
                <w:p w14:paraId="1433F488">
                  <w:pPr>
                    <w:jc w:val="center"/>
                    <w:rPr>
                      <w:rFonts w:hint="default" w:cs="Times New Roman" w:asciiTheme="minorAscii" w:hAnsiTheme="minorAscii" w:eastAsiaTheme="minorEastAsia"/>
                      <w:b w:val="0"/>
                      <w:bCs/>
                      <w:sz w:val="21"/>
                      <w:szCs w:val="21"/>
                    </w:rPr>
                  </w:pPr>
                  <w:r>
                    <w:rPr>
                      <w:rFonts w:hint="default" w:cs="Times New Roman" w:asciiTheme="minorAscii" w:hAnsiTheme="minorAscii" w:eastAsiaTheme="minorEastAsia"/>
                      <w:b w:val="0"/>
                      <w:bCs/>
                      <w:sz w:val="21"/>
                      <w:szCs w:val="21"/>
                    </w:rPr>
                    <w:t>Z</w:t>
                  </w:r>
                </w:p>
              </w:tc>
              <w:tc>
                <w:tcPr>
                  <w:tcW w:w="725" w:type="dxa"/>
                  <w:vMerge w:val="continue"/>
                  <w:shd w:val="clear" w:color="auto" w:fill="auto"/>
                  <w:vAlign w:val="center"/>
                </w:tcPr>
                <w:p w14:paraId="03032D42">
                  <w:pPr>
                    <w:jc w:val="center"/>
                    <w:rPr>
                      <w:rFonts w:hint="default" w:cs="Times New Roman" w:asciiTheme="minorAscii" w:hAnsiTheme="minorAscii" w:eastAsiaTheme="minorEastAsia"/>
                      <w:b w:val="0"/>
                      <w:bCs/>
                      <w:sz w:val="21"/>
                      <w:szCs w:val="21"/>
                    </w:rPr>
                  </w:pPr>
                </w:p>
              </w:tc>
              <w:tc>
                <w:tcPr>
                  <w:tcW w:w="1539" w:type="dxa"/>
                  <w:vMerge w:val="continue"/>
                  <w:shd w:val="clear" w:color="auto" w:fill="auto"/>
                  <w:vAlign w:val="center"/>
                </w:tcPr>
                <w:p w14:paraId="16AE40C2">
                  <w:pPr>
                    <w:jc w:val="center"/>
                    <w:rPr>
                      <w:rFonts w:hint="default" w:cs="Times New Roman" w:asciiTheme="minorAscii" w:hAnsiTheme="minorAscii" w:eastAsiaTheme="minorEastAsia"/>
                      <w:b w:val="0"/>
                      <w:bCs/>
                      <w:sz w:val="21"/>
                      <w:szCs w:val="21"/>
                    </w:rPr>
                  </w:pPr>
                </w:p>
              </w:tc>
              <w:tc>
                <w:tcPr>
                  <w:tcW w:w="1838" w:type="dxa"/>
                  <w:vMerge w:val="continue"/>
                  <w:shd w:val="clear" w:color="auto" w:fill="auto"/>
                  <w:vAlign w:val="center"/>
                </w:tcPr>
                <w:p w14:paraId="4546CB86">
                  <w:pPr>
                    <w:jc w:val="center"/>
                    <w:rPr>
                      <w:rFonts w:hint="default" w:cs="Times New Roman" w:asciiTheme="minorAscii" w:hAnsiTheme="minorAscii" w:eastAsiaTheme="minorEastAsia"/>
                      <w:b w:val="0"/>
                      <w:bCs/>
                      <w:sz w:val="21"/>
                      <w:szCs w:val="21"/>
                    </w:rPr>
                  </w:pPr>
                </w:p>
              </w:tc>
              <w:tc>
                <w:tcPr>
                  <w:tcW w:w="972" w:type="dxa"/>
                  <w:vMerge w:val="continue"/>
                  <w:shd w:val="clear" w:color="auto" w:fill="auto"/>
                  <w:vAlign w:val="center"/>
                </w:tcPr>
                <w:p w14:paraId="43005393">
                  <w:pPr>
                    <w:jc w:val="center"/>
                    <w:rPr>
                      <w:rFonts w:hint="default" w:cs="Times New Roman" w:asciiTheme="minorAscii" w:hAnsiTheme="minorAscii" w:eastAsiaTheme="minorEastAsia"/>
                      <w:b w:val="0"/>
                      <w:bCs/>
                      <w:sz w:val="21"/>
                      <w:szCs w:val="21"/>
                    </w:rPr>
                  </w:pPr>
                </w:p>
              </w:tc>
            </w:tr>
            <w:tr w14:paraId="7227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972" w:type="dxa"/>
                  <w:shd w:val="clear" w:color="auto" w:fill="auto"/>
                  <w:vAlign w:val="center"/>
                </w:tcPr>
                <w:p w14:paraId="16104846">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东侧</w:t>
                  </w:r>
                </w:p>
              </w:tc>
              <w:tc>
                <w:tcPr>
                  <w:tcW w:w="945" w:type="dxa"/>
                  <w:shd w:val="clear" w:color="auto" w:fill="auto"/>
                  <w:vAlign w:val="center"/>
                </w:tcPr>
                <w:p w14:paraId="33F95F18">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149.7</w:t>
                  </w:r>
                </w:p>
              </w:tc>
              <w:tc>
                <w:tcPr>
                  <w:tcW w:w="945" w:type="dxa"/>
                  <w:shd w:val="clear" w:color="auto" w:fill="auto"/>
                  <w:vAlign w:val="center"/>
                </w:tcPr>
                <w:p w14:paraId="49313ED9">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-159.4</w:t>
                  </w:r>
                </w:p>
              </w:tc>
              <w:tc>
                <w:tcPr>
                  <w:tcW w:w="600" w:type="dxa"/>
                  <w:shd w:val="clear" w:color="auto" w:fill="auto"/>
                  <w:vAlign w:val="center"/>
                </w:tcPr>
                <w:p w14:paraId="7A09F5A0">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725" w:type="dxa"/>
                  <w:shd w:val="clear" w:color="auto" w:fill="auto"/>
                  <w:vAlign w:val="center"/>
                </w:tcPr>
                <w:p w14:paraId="1DBB1B68">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昼间</w:t>
                  </w:r>
                </w:p>
              </w:tc>
              <w:tc>
                <w:tcPr>
                  <w:tcW w:w="1539" w:type="dxa"/>
                  <w:shd w:val="clear" w:color="auto" w:fill="auto"/>
                  <w:vAlign w:val="center"/>
                </w:tcPr>
                <w:p w14:paraId="01BE9C87">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31.9</w:t>
                  </w:r>
                </w:p>
              </w:tc>
              <w:tc>
                <w:tcPr>
                  <w:tcW w:w="1838" w:type="dxa"/>
                  <w:shd w:val="clear" w:color="auto" w:fill="auto"/>
                  <w:vAlign w:val="center"/>
                </w:tcPr>
                <w:p w14:paraId="2F589CA1">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65</w:t>
                  </w:r>
                </w:p>
              </w:tc>
              <w:tc>
                <w:tcPr>
                  <w:tcW w:w="972" w:type="dxa"/>
                  <w:shd w:val="clear" w:color="auto" w:fill="auto"/>
                  <w:vAlign w:val="center"/>
                </w:tcPr>
                <w:p w14:paraId="01625B64">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13D5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972" w:type="dxa"/>
                  <w:shd w:val="clear" w:color="auto" w:fill="auto"/>
                  <w:vAlign w:val="center"/>
                </w:tcPr>
                <w:p w14:paraId="412646AA">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南侧</w:t>
                  </w:r>
                </w:p>
              </w:tc>
              <w:tc>
                <w:tcPr>
                  <w:tcW w:w="945" w:type="dxa"/>
                  <w:shd w:val="clear" w:color="auto" w:fill="auto"/>
                  <w:vAlign w:val="center"/>
                </w:tcPr>
                <w:p w14:paraId="4EAC0EA8">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58.4</w:t>
                  </w:r>
                </w:p>
              </w:tc>
              <w:tc>
                <w:tcPr>
                  <w:tcW w:w="945" w:type="dxa"/>
                  <w:shd w:val="clear" w:color="auto" w:fill="auto"/>
                  <w:vAlign w:val="center"/>
                </w:tcPr>
                <w:p w14:paraId="3C34FA80">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-95.3</w:t>
                  </w:r>
                </w:p>
              </w:tc>
              <w:tc>
                <w:tcPr>
                  <w:tcW w:w="600" w:type="dxa"/>
                  <w:shd w:val="clear" w:color="auto" w:fill="auto"/>
                  <w:vAlign w:val="center"/>
                </w:tcPr>
                <w:p w14:paraId="7C8C1183">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725" w:type="dxa"/>
                  <w:shd w:val="clear" w:color="auto" w:fill="auto"/>
                  <w:vAlign w:val="center"/>
                </w:tcPr>
                <w:p w14:paraId="4AB7CC8E">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昼间</w:t>
                  </w:r>
                </w:p>
              </w:tc>
              <w:tc>
                <w:tcPr>
                  <w:tcW w:w="1539" w:type="dxa"/>
                  <w:shd w:val="clear" w:color="auto" w:fill="auto"/>
                  <w:vAlign w:val="center"/>
                </w:tcPr>
                <w:p w14:paraId="7046DCC2">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40.8</w:t>
                  </w:r>
                </w:p>
              </w:tc>
              <w:tc>
                <w:tcPr>
                  <w:tcW w:w="1838" w:type="dxa"/>
                  <w:shd w:val="clear" w:color="auto" w:fill="auto"/>
                  <w:vAlign w:val="center"/>
                </w:tcPr>
                <w:p w14:paraId="651696FD">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65</w:t>
                  </w:r>
                </w:p>
              </w:tc>
              <w:tc>
                <w:tcPr>
                  <w:tcW w:w="972" w:type="dxa"/>
                  <w:shd w:val="clear" w:color="auto" w:fill="auto"/>
                  <w:vAlign w:val="center"/>
                </w:tcPr>
                <w:p w14:paraId="60D7A741">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42EA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972" w:type="dxa"/>
                  <w:shd w:val="clear" w:color="auto" w:fill="auto"/>
                  <w:vAlign w:val="center"/>
                </w:tcPr>
                <w:p w14:paraId="6B438DCA">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西侧</w:t>
                  </w:r>
                </w:p>
              </w:tc>
              <w:tc>
                <w:tcPr>
                  <w:tcW w:w="945" w:type="dxa"/>
                  <w:shd w:val="clear" w:color="auto" w:fill="auto"/>
                  <w:vAlign w:val="center"/>
                </w:tcPr>
                <w:p w14:paraId="4B14D6D2">
                  <w:pPr>
                    <w:jc w:val="center"/>
                    <w:rPr>
                      <w:rFonts w:hint="default" w:eastAsia="宋体" w:asciiTheme="minorAscii" w:hAnsiTheme="minorAscii"/>
                      <w:b w:val="0"/>
                      <w:bCs/>
                      <w:sz w:val="21"/>
                      <w:szCs w:val="21"/>
                      <w:lang w:val="en-US" w:eastAsia="zh-CN"/>
                    </w:rPr>
                  </w:pPr>
                  <w:r>
                    <w:rPr>
                      <w:rFonts w:hint="eastAsia" w:eastAsia="宋体" w:cs="Arial" w:asciiTheme="minorAscii" w:hAnsiTheme="minorAscii"/>
                      <w:b w:val="0"/>
                      <w:bCs/>
                      <w:sz w:val="21"/>
                      <w:szCs w:val="21"/>
                      <w:lang w:val="en-US" w:eastAsia="zh-CN"/>
                    </w:rPr>
                    <w:t>-191.1</w:t>
                  </w:r>
                </w:p>
              </w:tc>
              <w:tc>
                <w:tcPr>
                  <w:tcW w:w="945" w:type="dxa"/>
                  <w:shd w:val="clear" w:color="auto" w:fill="auto"/>
                  <w:vAlign w:val="center"/>
                </w:tcPr>
                <w:p w14:paraId="176AB972">
                  <w:pPr>
                    <w:jc w:val="center"/>
                    <w:rPr>
                      <w:rFonts w:hint="default" w:eastAsia="宋体" w:asciiTheme="minorAscii" w:hAnsiTheme="minorAscii"/>
                      <w:b w:val="0"/>
                      <w:bCs/>
                      <w:sz w:val="21"/>
                      <w:szCs w:val="21"/>
                      <w:lang w:val="en-US" w:eastAsia="zh-CN"/>
                    </w:rPr>
                  </w:pPr>
                  <w:r>
                    <w:rPr>
                      <w:rFonts w:hint="eastAsia" w:eastAsia="宋体" w:cs="Arial" w:asciiTheme="minorAscii" w:hAnsiTheme="minorAscii"/>
                      <w:b w:val="0"/>
                      <w:bCs/>
                      <w:sz w:val="21"/>
                      <w:szCs w:val="21"/>
                      <w:lang w:val="en-US" w:eastAsia="zh-CN"/>
                    </w:rPr>
                    <w:t>-173.5</w:t>
                  </w:r>
                </w:p>
              </w:tc>
              <w:tc>
                <w:tcPr>
                  <w:tcW w:w="600" w:type="dxa"/>
                  <w:shd w:val="clear" w:color="auto" w:fill="auto"/>
                  <w:vAlign w:val="center"/>
                </w:tcPr>
                <w:p w14:paraId="71D9EA1E">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725" w:type="dxa"/>
                  <w:shd w:val="clear" w:color="auto" w:fill="auto"/>
                  <w:vAlign w:val="center"/>
                </w:tcPr>
                <w:p w14:paraId="4E10CBB6">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昼间</w:t>
                  </w:r>
                </w:p>
              </w:tc>
              <w:tc>
                <w:tcPr>
                  <w:tcW w:w="1539" w:type="dxa"/>
                  <w:shd w:val="clear" w:color="auto" w:fill="auto"/>
                  <w:vAlign w:val="center"/>
                </w:tcPr>
                <w:p w14:paraId="2741BC37">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30.9</w:t>
                  </w:r>
                </w:p>
              </w:tc>
              <w:tc>
                <w:tcPr>
                  <w:tcW w:w="1838" w:type="dxa"/>
                  <w:shd w:val="clear" w:color="auto" w:fill="auto"/>
                  <w:vAlign w:val="center"/>
                </w:tcPr>
                <w:p w14:paraId="774DC65E">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65</w:t>
                  </w:r>
                </w:p>
              </w:tc>
              <w:tc>
                <w:tcPr>
                  <w:tcW w:w="972" w:type="dxa"/>
                  <w:shd w:val="clear" w:color="auto" w:fill="auto"/>
                  <w:vAlign w:val="center"/>
                </w:tcPr>
                <w:p w14:paraId="3A00E7D1">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r w14:paraId="7C82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972" w:type="dxa"/>
                  <w:shd w:val="clear" w:color="auto" w:fill="auto"/>
                  <w:vAlign w:val="center"/>
                </w:tcPr>
                <w:p w14:paraId="37B0C03E">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北侧</w:t>
                  </w:r>
                </w:p>
              </w:tc>
              <w:tc>
                <w:tcPr>
                  <w:tcW w:w="945" w:type="dxa"/>
                  <w:shd w:val="clear" w:color="auto" w:fill="auto"/>
                  <w:vAlign w:val="center"/>
                </w:tcPr>
                <w:p w14:paraId="2D0BE685">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91.3</w:t>
                  </w:r>
                </w:p>
              </w:tc>
              <w:tc>
                <w:tcPr>
                  <w:tcW w:w="945" w:type="dxa"/>
                  <w:shd w:val="clear" w:color="auto" w:fill="auto"/>
                  <w:vAlign w:val="center"/>
                </w:tcPr>
                <w:p w14:paraId="10D944FB">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169.5</w:t>
                  </w:r>
                </w:p>
              </w:tc>
              <w:tc>
                <w:tcPr>
                  <w:tcW w:w="600" w:type="dxa"/>
                  <w:shd w:val="clear" w:color="auto" w:fill="auto"/>
                  <w:vAlign w:val="center"/>
                </w:tcPr>
                <w:p w14:paraId="3ADDB43A">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1.2</w:t>
                  </w:r>
                </w:p>
              </w:tc>
              <w:tc>
                <w:tcPr>
                  <w:tcW w:w="725" w:type="dxa"/>
                  <w:shd w:val="clear" w:color="auto" w:fill="auto"/>
                  <w:vAlign w:val="center"/>
                </w:tcPr>
                <w:p w14:paraId="0445AFFA">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昼间</w:t>
                  </w:r>
                </w:p>
              </w:tc>
              <w:tc>
                <w:tcPr>
                  <w:tcW w:w="1539" w:type="dxa"/>
                  <w:shd w:val="clear" w:color="auto" w:fill="auto"/>
                  <w:vAlign w:val="center"/>
                </w:tcPr>
                <w:p w14:paraId="07A3DA73">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10.1</w:t>
                  </w:r>
                </w:p>
              </w:tc>
              <w:tc>
                <w:tcPr>
                  <w:tcW w:w="1838" w:type="dxa"/>
                  <w:shd w:val="clear" w:color="auto" w:fill="auto"/>
                  <w:vAlign w:val="center"/>
                </w:tcPr>
                <w:p w14:paraId="1E243C2E">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65</w:t>
                  </w:r>
                </w:p>
              </w:tc>
              <w:tc>
                <w:tcPr>
                  <w:tcW w:w="972" w:type="dxa"/>
                  <w:shd w:val="clear" w:color="auto" w:fill="auto"/>
                  <w:vAlign w:val="center"/>
                </w:tcPr>
                <w:p w14:paraId="790804BC">
                  <w:pPr>
                    <w:jc w:val="center"/>
                    <w:rPr>
                      <w:rFonts w:hint="default" w:asciiTheme="minorAscii" w:hAnsiTheme="minorAscii"/>
                      <w:b w:val="0"/>
                      <w:bCs/>
                      <w:sz w:val="21"/>
                      <w:szCs w:val="21"/>
                    </w:rPr>
                  </w:pPr>
                  <w:r>
                    <w:rPr>
                      <w:rFonts w:hint="default" w:eastAsia="Arial" w:cs="Arial" w:asciiTheme="minorAscii" w:hAnsiTheme="minorAscii"/>
                      <w:b w:val="0"/>
                      <w:bCs/>
                      <w:sz w:val="21"/>
                      <w:szCs w:val="21"/>
                    </w:rPr>
                    <w:t>达标</w:t>
                  </w:r>
                </w:p>
              </w:tc>
            </w:tr>
          </w:tbl>
          <w:p w14:paraId="4E55BA0B">
            <w:pPr>
              <w:keepNext w:val="0"/>
              <w:keepLines w:val="0"/>
              <w:pageBreakBefore w:val="0"/>
              <w:widowControl w:val="0"/>
              <w:kinsoku/>
              <w:wordWrap/>
              <w:overflowPunct/>
              <w:topLinePunct w:val="0"/>
              <w:autoSpaceDE/>
              <w:autoSpaceDN/>
              <w:bidi w:val="0"/>
              <w:adjustRightInd w:val="0"/>
              <w:snapToGrid w:val="0"/>
              <w:spacing w:before="157" w:beforeLines="50"/>
              <w:ind w:firstLine="420" w:firstLineChars="200"/>
              <w:textAlignment w:val="auto"/>
              <w:rPr>
                <w:rFonts w:hint="default" w:ascii="Calibri" w:hAnsi="Calibri" w:eastAsia="宋体" w:cs="宋体"/>
                <w:szCs w:val="21"/>
                <w:lang w:val="en-US" w:eastAsia="zh-CN"/>
              </w:rPr>
            </w:pPr>
            <w:r>
              <w:rPr>
                <w:rFonts w:hint="default" w:ascii="Calibri" w:hAnsi="Calibri" w:eastAsia="宋体" w:cs="宋体"/>
                <w:szCs w:val="21"/>
              </w:rPr>
              <w:t>表中坐标以厂界中心（84.3132553,41.781627）为坐标原点，正东向为X轴正方向，正北向为Y轴正方向。</w:t>
            </w:r>
            <w:r>
              <w:rPr>
                <w:rFonts w:hint="eastAsia" w:ascii="Calibri" w:hAnsi="Calibri" w:eastAsia="宋体" w:cs="宋体"/>
                <w:szCs w:val="21"/>
                <w:lang w:val="en-US" w:eastAsia="zh-CN"/>
              </w:rPr>
              <w:t>夜间不生产。</w:t>
            </w:r>
          </w:p>
          <w:p w14:paraId="069EB2AE">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kern w:val="0"/>
                <w:sz w:val="24"/>
              </w:rPr>
            </w:pPr>
            <w:r>
              <w:rPr>
                <w:rFonts w:hint="eastAsia"/>
                <w:kern w:val="0"/>
                <w:sz w:val="24"/>
              </w:rPr>
              <w:t>由上表可知，正常工况下，项目厂界噪声满足《工业企业厂界环境噪声排放标准》（GB12348—2008）</w:t>
            </w:r>
            <w:r>
              <w:rPr>
                <w:rFonts w:hint="eastAsia"/>
                <w:kern w:val="0"/>
                <w:sz w:val="24"/>
                <w:lang w:val="en-US" w:eastAsia="zh-CN"/>
              </w:rPr>
              <w:t>3</w:t>
            </w:r>
            <w:r>
              <w:rPr>
                <w:rFonts w:hint="eastAsia"/>
                <w:kern w:val="0"/>
                <w:sz w:val="24"/>
              </w:rPr>
              <w:t>类标准</w:t>
            </w:r>
            <w:r>
              <w:rPr>
                <w:kern w:val="0"/>
                <w:sz w:val="24"/>
              </w:rPr>
              <w:t>。</w:t>
            </w:r>
          </w:p>
          <w:p w14:paraId="562DCF2B">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为了进一步减少本项目噪声对周围声环境的影响，本项目拟采取下述噪声防治措施：</w:t>
            </w:r>
          </w:p>
          <w:p w14:paraId="20BDB9D6">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fldChar w:fldCharType="begin"/>
            </w:r>
            <w:r>
              <w:rPr>
                <w:rFonts w:hint="eastAsia" w:ascii="Times New Roman" w:hAnsi="Times New Roman" w:eastAsia="宋体" w:cs="Times New Roman"/>
                <w:sz w:val="24"/>
              </w:rPr>
              <w:instrText xml:space="preserve"> = 1 \* GB3 \* MERGEFORMAT </w:instrText>
            </w:r>
            <w:r>
              <w:rPr>
                <w:rFonts w:hint="eastAsia" w:ascii="Times New Roman" w:hAnsi="Times New Roman" w:eastAsia="宋体" w:cs="Times New Roman"/>
                <w:sz w:val="24"/>
              </w:rPr>
              <w:fldChar w:fldCharType="separate"/>
            </w:r>
            <w:r>
              <w:rPr>
                <w:rFonts w:hint="eastAsia" w:ascii="Times New Roman" w:hAnsi="Times New Roman" w:eastAsia="宋体" w:cs="Times New Roman"/>
                <w:sz w:val="24"/>
              </w:rPr>
              <w:t>①</w:t>
            </w:r>
            <w:r>
              <w:rPr>
                <w:rFonts w:hint="eastAsia" w:ascii="Times New Roman" w:hAnsi="Times New Roman" w:eastAsia="宋体" w:cs="Times New Roman"/>
                <w:sz w:val="24"/>
              </w:rPr>
              <w:fldChar w:fldCharType="end"/>
            </w:r>
            <w:r>
              <w:rPr>
                <w:rFonts w:hint="eastAsia" w:ascii="Times New Roman" w:hAnsi="Times New Roman" w:eastAsia="宋体" w:cs="Times New Roman"/>
                <w:sz w:val="24"/>
              </w:rPr>
              <w:t>选用技术先进、低噪声机械设备；合理布局，使高噪声设备尽量远离厂界；</w:t>
            </w:r>
          </w:p>
          <w:p w14:paraId="4BAC3AB0">
            <w:pPr>
              <w:keepNext w:val="0"/>
              <w:keepLines w:val="0"/>
              <w:pageBreakBefore w:val="0"/>
              <w:widowControl w:val="0"/>
              <w:kinsoku/>
              <w:wordWrap/>
              <w:overflowPunct/>
              <w:topLinePunct w:val="0"/>
              <w:autoSpaceDE/>
              <w:autoSpaceDN/>
              <w:bidi w:val="0"/>
              <w:spacing w:line="520" w:lineRule="exact"/>
              <w:ind w:firstLine="480" w:firstLineChars="200"/>
              <w:textAlignment w:val="auto"/>
              <w:rPr>
                <w:b/>
                <w:bCs/>
                <w:sz w:val="24"/>
              </w:rPr>
            </w:pPr>
            <w:r>
              <w:rPr>
                <w:kern w:val="24"/>
                <w:sz w:val="24"/>
              </w:rPr>
              <w:t>②在设备运行时，加强设备的维修与日常保养，使之正常运转，特别是对高噪声设备</w:t>
            </w:r>
            <w:r>
              <w:rPr>
                <w:rFonts w:hint="eastAsia"/>
                <w:kern w:val="24"/>
                <w:sz w:val="24"/>
                <w:lang w:eastAsia="zh-CN"/>
              </w:rPr>
              <w:t>需</w:t>
            </w:r>
            <w:r>
              <w:rPr>
                <w:kern w:val="24"/>
                <w:sz w:val="24"/>
              </w:rPr>
              <w:t>经常定期</w:t>
            </w:r>
            <w:r>
              <w:rPr>
                <w:rFonts w:hint="eastAsia"/>
                <w:kern w:val="24"/>
                <w:sz w:val="24"/>
                <w:lang w:eastAsia="zh-CN"/>
              </w:rPr>
              <w:t>地</w:t>
            </w:r>
            <w:r>
              <w:rPr>
                <w:kern w:val="24"/>
                <w:sz w:val="24"/>
              </w:rPr>
              <w:t>进行检修</w:t>
            </w:r>
            <w:r>
              <w:rPr>
                <w:rFonts w:hint="eastAsia"/>
                <w:kern w:val="24"/>
                <w:sz w:val="24"/>
                <w:lang w:eastAsia="zh-CN"/>
              </w:rPr>
              <w:t>。</w:t>
            </w:r>
          </w:p>
          <w:bookmarkEnd w:id="25"/>
          <w:p w14:paraId="6F054F56">
            <w:pPr>
              <w:keepNext w:val="0"/>
              <w:keepLines w:val="0"/>
              <w:pageBreakBefore w:val="0"/>
              <w:widowControl w:val="0"/>
              <w:kinsoku/>
              <w:wordWrap/>
              <w:overflowPunct/>
              <w:topLinePunct w:val="0"/>
              <w:autoSpaceDE/>
              <w:autoSpaceDN/>
              <w:bidi w:val="0"/>
              <w:spacing w:line="520" w:lineRule="exact"/>
              <w:ind w:firstLine="482" w:firstLineChars="200"/>
              <w:textAlignment w:val="auto"/>
              <w:rPr>
                <w:rFonts w:hint="eastAsia"/>
                <w:b/>
                <w:bCs/>
                <w:sz w:val="24"/>
              </w:rPr>
            </w:pPr>
            <w:r>
              <w:rPr>
                <w:rFonts w:hint="eastAsia"/>
                <w:b/>
                <w:bCs/>
                <w:sz w:val="24"/>
                <w:lang w:eastAsia="zh-CN"/>
              </w:rPr>
              <w:t>3.</w:t>
            </w:r>
            <w:r>
              <w:rPr>
                <w:rFonts w:hint="eastAsia"/>
                <w:b/>
                <w:bCs/>
                <w:sz w:val="24"/>
              </w:rPr>
              <w:t>监测要求</w:t>
            </w:r>
          </w:p>
          <w:p w14:paraId="484F0987">
            <w:pPr>
              <w:keepNext w:val="0"/>
              <w:keepLines w:val="0"/>
              <w:pageBreakBefore w:val="0"/>
              <w:widowControl w:val="0"/>
              <w:kinsoku/>
              <w:wordWrap/>
              <w:overflowPunct/>
              <w:topLinePunct w:val="0"/>
              <w:autoSpaceDE/>
              <w:autoSpaceDN/>
              <w:bidi w:val="0"/>
              <w:spacing w:line="520" w:lineRule="exact"/>
              <w:ind w:firstLine="480" w:firstLineChars="200"/>
              <w:textAlignment w:val="auto"/>
              <w:rPr>
                <w:sz w:val="24"/>
              </w:rPr>
            </w:pPr>
            <w:r>
              <w:rPr>
                <w:rFonts w:hint="eastAsia"/>
                <w:sz w:val="24"/>
              </w:rPr>
              <w:t>参照《排污单位自行监测技术指南 总则》（HJ819-2017）</w:t>
            </w:r>
            <w:r>
              <w:rPr>
                <w:bCs/>
                <w:spacing w:val="-10"/>
                <w:sz w:val="24"/>
              </w:rPr>
              <w:t>以及</w:t>
            </w:r>
            <w:r>
              <w:rPr>
                <w:rFonts w:hint="eastAsia"/>
                <w:bCs/>
                <w:spacing w:val="-10"/>
                <w:sz w:val="24"/>
              </w:rPr>
              <w:t>《排污单位自行监测技术指南 橡胶和塑料制品》（HJ1207-2021）</w:t>
            </w:r>
            <w:r>
              <w:rPr>
                <w:rFonts w:hint="eastAsia"/>
                <w:sz w:val="24"/>
              </w:rPr>
              <w:t>的相关要求，本项目噪声监测计划见</w:t>
            </w:r>
            <w:r>
              <w:rPr>
                <w:rFonts w:hint="eastAsia"/>
                <w:sz w:val="24"/>
                <w:lang w:eastAsia="zh-CN"/>
              </w:rPr>
              <w:t>表</w:t>
            </w:r>
            <w:r>
              <w:rPr>
                <w:rFonts w:hint="eastAsia"/>
                <w:sz w:val="24"/>
                <w:lang w:val="en-US" w:eastAsia="zh-CN"/>
              </w:rPr>
              <w:t>4-8</w:t>
            </w:r>
            <w:r>
              <w:rPr>
                <w:rFonts w:hint="eastAsia"/>
                <w:sz w:val="24"/>
              </w:rPr>
              <w:t>。</w:t>
            </w:r>
          </w:p>
          <w:p w14:paraId="0E9B7924">
            <w:pPr>
              <w:keepNext w:val="0"/>
              <w:keepLines w:val="0"/>
              <w:pageBreakBefore w:val="0"/>
              <w:widowControl w:val="0"/>
              <w:kinsoku/>
              <w:wordWrap/>
              <w:overflowPunct/>
              <w:topLinePunct w:val="0"/>
              <w:autoSpaceDE/>
              <w:autoSpaceDN/>
              <w:bidi w:val="0"/>
              <w:spacing w:line="520" w:lineRule="exact"/>
              <w:jc w:val="center"/>
              <w:textAlignment w:val="auto"/>
              <w:rPr>
                <w:b/>
                <w:bCs/>
                <w:sz w:val="24"/>
              </w:rPr>
            </w:pPr>
            <w:r>
              <w:rPr>
                <w:b/>
                <w:bCs/>
                <w:sz w:val="24"/>
              </w:rPr>
              <w:t>表</w:t>
            </w:r>
            <w:r>
              <w:rPr>
                <w:rFonts w:hint="eastAsia"/>
                <w:b/>
                <w:bCs/>
                <w:sz w:val="24"/>
                <w:lang w:val="en-US" w:eastAsia="zh-CN"/>
              </w:rPr>
              <w:t xml:space="preserve">4-8 </w:t>
            </w:r>
            <w:r>
              <w:rPr>
                <w:rFonts w:hint="eastAsia"/>
                <w:b/>
                <w:bCs/>
                <w:sz w:val="24"/>
              </w:rPr>
              <w:t xml:space="preserve"> </w:t>
            </w:r>
            <w:r>
              <w:rPr>
                <w:b/>
                <w:bCs/>
                <w:sz w:val="24"/>
              </w:rPr>
              <w:t xml:space="preserve"> </w:t>
            </w:r>
            <w:r>
              <w:rPr>
                <w:rFonts w:hint="eastAsia"/>
                <w:b/>
                <w:bCs/>
                <w:sz w:val="24"/>
              </w:rPr>
              <w:t>噪声</w:t>
            </w:r>
            <w:r>
              <w:rPr>
                <w:b/>
                <w:bCs/>
                <w:sz w:val="24"/>
              </w:rPr>
              <w:t>环境监测计划</w:t>
            </w:r>
          </w:p>
          <w:tbl>
            <w:tblPr>
              <w:tblStyle w:val="24"/>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1"/>
              <w:gridCol w:w="1932"/>
              <w:gridCol w:w="1468"/>
              <w:gridCol w:w="3202"/>
            </w:tblGrid>
            <w:tr w14:paraId="765B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1" w:type="dxa"/>
                  <w:noWrap w:val="0"/>
                  <w:vAlign w:val="center"/>
                </w:tcPr>
                <w:p w14:paraId="192996EA">
                  <w:pPr>
                    <w:jc w:val="center"/>
                    <w:rPr>
                      <w:szCs w:val="21"/>
                    </w:rPr>
                  </w:pPr>
                  <w:r>
                    <w:rPr>
                      <w:rFonts w:hint="eastAsia"/>
                      <w:szCs w:val="21"/>
                    </w:rPr>
                    <w:t>监测点位</w:t>
                  </w:r>
                </w:p>
              </w:tc>
              <w:tc>
                <w:tcPr>
                  <w:tcW w:w="1932" w:type="dxa"/>
                  <w:noWrap w:val="0"/>
                  <w:vAlign w:val="center"/>
                </w:tcPr>
                <w:p w14:paraId="59BE1F16">
                  <w:pPr>
                    <w:jc w:val="center"/>
                    <w:rPr>
                      <w:szCs w:val="21"/>
                    </w:rPr>
                  </w:pPr>
                  <w:r>
                    <w:rPr>
                      <w:rFonts w:hint="eastAsia"/>
                      <w:szCs w:val="21"/>
                    </w:rPr>
                    <w:t>监测项目</w:t>
                  </w:r>
                </w:p>
              </w:tc>
              <w:tc>
                <w:tcPr>
                  <w:tcW w:w="1468" w:type="dxa"/>
                  <w:noWrap w:val="0"/>
                  <w:vAlign w:val="center"/>
                </w:tcPr>
                <w:p w14:paraId="0D3EA5DB">
                  <w:pPr>
                    <w:jc w:val="center"/>
                    <w:rPr>
                      <w:szCs w:val="21"/>
                    </w:rPr>
                  </w:pPr>
                  <w:r>
                    <w:rPr>
                      <w:szCs w:val="21"/>
                    </w:rPr>
                    <w:t>监测频次</w:t>
                  </w:r>
                </w:p>
              </w:tc>
              <w:tc>
                <w:tcPr>
                  <w:tcW w:w="3202" w:type="dxa"/>
                  <w:noWrap w:val="0"/>
                  <w:vAlign w:val="center"/>
                </w:tcPr>
                <w:p w14:paraId="678439E8">
                  <w:pPr>
                    <w:jc w:val="center"/>
                    <w:rPr>
                      <w:szCs w:val="21"/>
                    </w:rPr>
                  </w:pPr>
                  <w:r>
                    <w:rPr>
                      <w:szCs w:val="21"/>
                    </w:rPr>
                    <w:t>执行标准</w:t>
                  </w:r>
                </w:p>
              </w:tc>
            </w:tr>
            <w:tr w14:paraId="11AC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1" w:type="dxa"/>
                  <w:noWrap w:val="0"/>
                  <w:vAlign w:val="center"/>
                </w:tcPr>
                <w:p w14:paraId="3B10903A">
                  <w:pPr>
                    <w:jc w:val="center"/>
                    <w:rPr>
                      <w:szCs w:val="21"/>
                    </w:rPr>
                  </w:pPr>
                  <w:r>
                    <w:rPr>
                      <w:rFonts w:hint="eastAsia"/>
                      <w:szCs w:val="21"/>
                    </w:rPr>
                    <w:t>厂界外1米</w:t>
                  </w:r>
                </w:p>
              </w:tc>
              <w:tc>
                <w:tcPr>
                  <w:tcW w:w="1932" w:type="dxa"/>
                  <w:noWrap w:val="0"/>
                  <w:vAlign w:val="center"/>
                </w:tcPr>
                <w:p w14:paraId="4F75B641">
                  <w:pPr>
                    <w:jc w:val="center"/>
                    <w:rPr>
                      <w:szCs w:val="21"/>
                    </w:rPr>
                  </w:pPr>
                  <w:r>
                    <w:rPr>
                      <w:rFonts w:hint="eastAsia"/>
                      <w:szCs w:val="21"/>
                    </w:rPr>
                    <w:t>连续等效A声级</w:t>
                  </w:r>
                </w:p>
              </w:tc>
              <w:tc>
                <w:tcPr>
                  <w:tcW w:w="1468" w:type="dxa"/>
                  <w:noWrap w:val="0"/>
                  <w:vAlign w:val="center"/>
                </w:tcPr>
                <w:p w14:paraId="5A1CA265">
                  <w:pPr>
                    <w:jc w:val="center"/>
                    <w:rPr>
                      <w:szCs w:val="21"/>
                    </w:rPr>
                  </w:pPr>
                  <w:r>
                    <w:rPr>
                      <w:szCs w:val="21"/>
                    </w:rPr>
                    <w:t>1次/</w:t>
                  </w:r>
                  <w:r>
                    <w:rPr>
                      <w:rFonts w:hint="eastAsia"/>
                      <w:szCs w:val="21"/>
                    </w:rPr>
                    <w:t>季度</w:t>
                  </w:r>
                </w:p>
              </w:tc>
              <w:tc>
                <w:tcPr>
                  <w:tcW w:w="3202" w:type="dxa"/>
                  <w:noWrap w:val="0"/>
                  <w:vAlign w:val="center"/>
                </w:tcPr>
                <w:p w14:paraId="2D4558BC">
                  <w:pPr>
                    <w:jc w:val="center"/>
                    <w:rPr>
                      <w:szCs w:val="21"/>
                    </w:rPr>
                  </w:pPr>
                  <w:r>
                    <w:rPr>
                      <w:kern w:val="0"/>
                      <w:szCs w:val="21"/>
                    </w:rPr>
                    <w:t>《工业企业厂界环境噪声排放标准》（GB12348-2008）中</w:t>
                  </w:r>
                  <w:r>
                    <w:rPr>
                      <w:rFonts w:hint="eastAsia"/>
                      <w:kern w:val="0"/>
                      <w:szCs w:val="21"/>
                      <w:lang w:val="en-US" w:eastAsia="zh-CN"/>
                    </w:rPr>
                    <w:t>3</w:t>
                  </w:r>
                  <w:r>
                    <w:rPr>
                      <w:kern w:val="0"/>
                      <w:szCs w:val="21"/>
                    </w:rPr>
                    <w:t>类标准</w:t>
                  </w:r>
                </w:p>
              </w:tc>
            </w:tr>
          </w:tbl>
          <w:p w14:paraId="1A364597">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cs="宋体"/>
                <w:b/>
                <w:sz w:val="24"/>
              </w:rPr>
            </w:pPr>
            <w:r>
              <w:rPr>
                <w:rFonts w:hint="eastAsia" w:ascii="宋体" w:hAnsi="宋体" w:cs="宋体"/>
                <w:b/>
                <w:sz w:val="24"/>
              </w:rPr>
              <w:t>（四）运营期固体废物环境影响和保护措施</w:t>
            </w:r>
          </w:p>
          <w:p w14:paraId="228F1D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b/>
                <w:bCs/>
                <w:sz w:val="24"/>
              </w:rPr>
            </w:pPr>
            <w:r>
              <w:rPr>
                <w:rFonts w:hint="eastAsia"/>
                <w:b/>
                <w:bCs/>
                <w:sz w:val="24"/>
                <w:lang w:eastAsia="zh-CN"/>
              </w:rPr>
              <w:t>1.</w:t>
            </w:r>
            <w:r>
              <w:rPr>
                <w:rFonts w:hint="eastAsia"/>
                <w:b/>
                <w:bCs/>
                <w:sz w:val="24"/>
              </w:rPr>
              <w:t>固体废物产生情况和处置情况</w:t>
            </w:r>
          </w:p>
          <w:p w14:paraId="76EA13B9">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sz w:val="24"/>
              </w:rPr>
            </w:pPr>
            <w:r>
              <w:rPr>
                <w:sz w:val="24"/>
              </w:rPr>
              <w:t>（1）</w:t>
            </w:r>
            <w:r>
              <w:rPr>
                <w:rFonts w:hint="eastAsia"/>
                <w:sz w:val="24"/>
              </w:rPr>
              <w:t>废膜边角料、废离型膜、废双面胶</w:t>
            </w:r>
          </w:p>
          <w:p w14:paraId="3D51168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sz w:val="24"/>
              </w:rPr>
            </w:pPr>
            <w:r>
              <w:rPr>
                <w:rFonts w:hint="eastAsia"/>
                <w:sz w:val="24"/>
              </w:rPr>
              <w:t>项目吹膜裁切、成品剥离、扣子加工工序产生废膜边角料、废离型膜、废双面胶，合计约</w:t>
            </w:r>
            <w:r>
              <w:rPr>
                <w:rFonts w:hint="eastAsia"/>
                <w:sz w:val="24"/>
                <w:lang w:val="en-US" w:eastAsia="zh-CN"/>
              </w:rPr>
              <w:t>65</w:t>
            </w:r>
            <w:r>
              <w:rPr>
                <w:rFonts w:hint="eastAsia"/>
                <w:sz w:val="24"/>
              </w:rPr>
              <w:t>t/a，废膜边角料、废离型膜主体材质为PE塑料，属于塑料制品加工产生的塑料边角料</w:t>
            </w:r>
            <w:r>
              <w:rPr>
                <w:rFonts w:hint="eastAsia"/>
                <w:sz w:val="24"/>
                <w:lang w:eastAsia="zh-CN"/>
              </w:rPr>
              <w:t>，</w:t>
            </w:r>
            <w:r>
              <w:rPr>
                <w:rFonts w:hint="eastAsia"/>
                <w:sz w:val="24"/>
                <w:lang w:val="en-US" w:eastAsia="zh-CN"/>
              </w:rPr>
              <w:t>废双面胶以塑料膜为基材，胶层已经完全固化，不属于废弃粘合剂；废物以塑料组分为主体，根据《固体废物分类与代码目录（2024）》判定，上述固废归类</w:t>
            </w:r>
            <w:r>
              <w:rPr>
                <w:rFonts w:hint="eastAsia"/>
                <w:sz w:val="24"/>
              </w:rPr>
              <w:t>一般固体废物代码</w:t>
            </w:r>
            <w:r>
              <w:rPr>
                <w:rFonts w:hint="eastAsia"/>
                <w:sz w:val="24"/>
                <w:lang w:val="en-US" w:eastAsia="zh-CN"/>
              </w:rPr>
              <w:t>为</w:t>
            </w:r>
            <w:r>
              <w:rPr>
                <w:rFonts w:hint="eastAsia"/>
                <w:sz w:val="24"/>
              </w:rPr>
              <w:t>900-003-S17；废膜边角料</w:t>
            </w:r>
            <w:r>
              <w:rPr>
                <w:rFonts w:hint="eastAsia"/>
                <w:sz w:val="24"/>
                <w:lang w:eastAsia="zh-CN"/>
              </w:rPr>
              <w:t>、</w:t>
            </w:r>
            <w:r>
              <w:rPr>
                <w:rFonts w:hint="eastAsia"/>
                <w:sz w:val="24"/>
              </w:rPr>
              <w:t>废离型膜、废双面胶分类收集后外售回收企业综合再生利用</w:t>
            </w:r>
            <w:r>
              <w:rPr>
                <w:sz w:val="24"/>
              </w:rPr>
              <w:t>。</w:t>
            </w:r>
          </w:p>
          <w:p w14:paraId="337999A3">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sz w:val="24"/>
              </w:rPr>
            </w:pPr>
            <w:r>
              <w:rPr>
                <w:rFonts w:hint="eastAsia"/>
                <w:sz w:val="24"/>
              </w:rPr>
              <w:t>（2）废纸芯管</w:t>
            </w:r>
          </w:p>
          <w:p w14:paraId="73F1DFC0">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sz w:val="24"/>
              </w:rPr>
            </w:pPr>
            <w:r>
              <w:rPr>
                <w:rFonts w:hint="eastAsia"/>
                <w:sz w:val="24"/>
              </w:rPr>
              <w:t>原料膜卷、成品膜卷使用后产生废纸芯管，年产生量约</w:t>
            </w:r>
            <w:r>
              <w:rPr>
                <w:rFonts w:hint="eastAsia"/>
                <w:sz w:val="24"/>
                <w:lang w:val="en-US" w:eastAsia="zh-CN"/>
              </w:rPr>
              <w:t>2</w:t>
            </w:r>
            <w:r>
              <w:rPr>
                <w:rFonts w:hint="eastAsia"/>
                <w:sz w:val="24"/>
              </w:rPr>
              <w:t>t/a，一般固体废物代码900</w:t>
            </w:r>
            <w:r>
              <w:rPr>
                <w:rFonts w:hint="eastAsia"/>
                <w:sz w:val="24"/>
                <w:lang w:val="en-US" w:eastAsia="zh-CN"/>
              </w:rPr>
              <w:t>-</w:t>
            </w:r>
            <w:r>
              <w:rPr>
                <w:rFonts w:hint="eastAsia"/>
                <w:sz w:val="24"/>
              </w:rPr>
              <w:t>005</w:t>
            </w:r>
            <w:r>
              <w:rPr>
                <w:rFonts w:hint="eastAsia"/>
                <w:sz w:val="24"/>
                <w:lang w:val="en-US" w:eastAsia="zh-CN"/>
              </w:rPr>
              <w:t>-</w:t>
            </w:r>
            <w:r>
              <w:rPr>
                <w:rFonts w:hint="eastAsia"/>
                <w:sz w:val="24"/>
              </w:rPr>
              <w:t>S17；车间分区集中堆放，定期外售回收企业综合再生利用。</w:t>
            </w:r>
          </w:p>
          <w:p w14:paraId="06849E51">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eastAsia="宋体"/>
                <w:sz w:val="24"/>
                <w:lang w:eastAsia="zh-CN"/>
              </w:rPr>
            </w:pPr>
            <w:r>
              <w:rPr>
                <w:rFonts w:hint="eastAsia"/>
                <w:sz w:val="24"/>
                <w:lang w:eastAsia="zh-CN"/>
              </w:rPr>
              <w:t>（</w:t>
            </w:r>
            <w:r>
              <w:rPr>
                <w:rFonts w:hint="eastAsia"/>
                <w:sz w:val="24"/>
                <w:lang w:val="en-US" w:eastAsia="zh-CN"/>
              </w:rPr>
              <w:t>3</w:t>
            </w:r>
            <w:r>
              <w:rPr>
                <w:rFonts w:hint="eastAsia"/>
                <w:sz w:val="24"/>
                <w:lang w:eastAsia="zh-CN"/>
              </w:rPr>
              <w:t>）废原辅料包装袋、</w:t>
            </w:r>
            <w:r>
              <w:rPr>
                <w:rFonts w:hint="eastAsia" w:ascii="Times New Roman" w:hAnsi="Times New Roman" w:eastAsia="宋体" w:cs="Times New Roman"/>
                <w:sz w:val="24"/>
                <w:lang w:val="en-US" w:eastAsia="zh-CN"/>
              </w:rPr>
              <w:t>废包装桶</w:t>
            </w:r>
          </w:p>
          <w:p w14:paraId="14A85F5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eastAsia="宋体"/>
                <w:sz w:val="24"/>
                <w:lang w:eastAsia="zh-CN"/>
              </w:rPr>
            </w:pPr>
            <w:r>
              <w:rPr>
                <w:rFonts w:hint="eastAsia"/>
                <w:sz w:val="24"/>
                <w:lang w:eastAsia="zh-CN"/>
              </w:rPr>
              <w:t>本项目PE颗粒、色母及各类功能母粒在投料拆袋过程中产生覆膜塑料包装袋；涂胶工序所用水性压敏胶采用塑料桶盛装，上述废塑料包装物年产生量合计约2.578t/a。废物属于工业生产产生废塑料，按照《固体废物分类与代码目录（2024）》，归类为SW17可再生类废物，固体废物代码900</w:t>
            </w:r>
            <w:r>
              <w:rPr>
                <w:rFonts w:hint="eastAsia"/>
                <w:sz w:val="24"/>
                <w:lang w:val="en-US" w:eastAsia="zh-CN"/>
              </w:rPr>
              <w:t>-</w:t>
            </w:r>
            <w:r>
              <w:rPr>
                <w:rFonts w:hint="eastAsia"/>
                <w:sz w:val="24"/>
                <w:lang w:eastAsia="zh-CN"/>
              </w:rPr>
              <w:t>003</w:t>
            </w:r>
            <w:r>
              <w:rPr>
                <w:rFonts w:hint="eastAsia"/>
                <w:sz w:val="24"/>
                <w:lang w:val="en-US" w:eastAsia="zh-CN"/>
              </w:rPr>
              <w:t>-</w:t>
            </w:r>
            <w:r>
              <w:rPr>
                <w:rFonts w:hint="eastAsia"/>
                <w:sz w:val="24"/>
                <w:lang w:eastAsia="zh-CN"/>
              </w:rPr>
              <w:t>S17；收集后</w:t>
            </w:r>
            <w:r>
              <w:rPr>
                <w:rFonts w:hint="eastAsia"/>
                <w:sz w:val="24"/>
                <w:lang w:val="en-US" w:eastAsia="zh-CN"/>
              </w:rPr>
              <w:t>外售</w:t>
            </w:r>
            <w:r>
              <w:rPr>
                <w:rFonts w:hint="eastAsia"/>
                <w:sz w:val="24"/>
              </w:rPr>
              <w:t>回收企业综合利用</w:t>
            </w:r>
            <w:r>
              <w:rPr>
                <w:rFonts w:hint="eastAsia"/>
                <w:sz w:val="24"/>
                <w:lang w:eastAsia="zh-CN"/>
              </w:rPr>
              <w:t>。</w:t>
            </w:r>
          </w:p>
          <w:p w14:paraId="40B62863">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w:t>
            </w:r>
            <w:r>
              <w:rPr>
                <w:rFonts w:hint="eastAsia" w:cs="Times New Roman"/>
                <w:sz w:val="24"/>
                <w:lang w:val="en-US" w:eastAsia="zh-CN"/>
              </w:rPr>
              <w:t>4</w:t>
            </w:r>
            <w:r>
              <w:rPr>
                <w:rFonts w:hint="eastAsia" w:ascii="Times New Roman" w:hAnsi="Times New Roman" w:eastAsia="宋体" w:cs="Times New Roman"/>
                <w:sz w:val="24"/>
                <w:lang w:eastAsia="zh-CN"/>
              </w:rPr>
              <w:t>）废机油、废含油抹布、手套</w:t>
            </w:r>
          </w:p>
          <w:p w14:paraId="20D683E0">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项目设备使用过程中更换少量的废机油，年产生量约</w:t>
            </w:r>
            <w:r>
              <w:rPr>
                <w:rFonts w:hint="eastAsia" w:ascii="Times New Roman" w:hAnsi="Times New Roman" w:eastAsia="宋体" w:cs="Times New Roman"/>
                <w:sz w:val="24"/>
                <w:lang w:val="en-US" w:eastAsia="zh-CN"/>
              </w:rPr>
              <w:t>0.5</w:t>
            </w:r>
            <w:r>
              <w:rPr>
                <w:rFonts w:hint="eastAsia" w:ascii="Times New Roman" w:hAnsi="Times New Roman" w:eastAsia="宋体" w:cs="Times New Roman"/>
                <w:sz w:val="24"/>
                <w:lang w:eastAsia="zh-CN"/>
              </w:rPr>
              <w:t>t/a，属危险废物HW08废矿物油与含矿物油废物，废物代码为900-214-08（危险特性T，I）</w:t>
            </w:r>
            <w:r>
              <w:rPr>
                <w:rFonts w:hint="eastAsia" w:cs="Times New Roman"/>
                <w:sz w:val="24"/>
                <w:lang w:eastAsia="zh-CN"/>
              </w:rPr>
              <w:t>，</w:t>
            </w:r>
            <w:r>
              <w:rPr>
                <w:rFonts w:hint="eastAsia" w:ascii="Times New Roman" w:hAnsi="Times New Roman" w:eastAsia="宋体" w:cs="Times New Roman"/>
                <w:sz w:val="24"/>
                <w:lang w:eastAsia="zh-CN"/>
              </w:rPr>
              <w:t>设备维护过程中会产生少量废含油抹布、手套，年产生量约0.05t/a；属危险废物HW</w:t>
            </w:r>
            <w:r>
              <w:rPr>
                <w:rFonts w:hint="eastAsia" w:cs="Times New Roman"/>
                <w:sz w:val="24"/>
                <w:lang w:val="en-US" w:eastAsia="zh-CN"/>
              </w:rPr>
              <w:t>49</w:t>
            </w:r>
            <w:r>
              <w:rPr>
                <w:rFonts w:hint="eastAsia" w:ascii="Times New Roman" w:hAnsi="Times New Roman" w:eastAsia="宋体" w:cs="Times New Roman"/>
                <w:sz w:val="24"/>
                <w:lang w:eastAsia="zh-CN"/>
              </w:rPr>
              <w:t>废矿物油与含矿物油废物，废物代码为900-</w:t>
            </w:r>
            <w:r>
              <w:rPr>
                <w:rFonts w:hint="eastAsia" w:cs="Times New Roman"/>
                <w:sz w:val="24"/>
                <w:lang w:val="en-US" w:eastAsia="zh-CN"/>
              </w:rPr>
              <w:t>041</w:t>
            </w:r>
            <w:r>
              <w:rPr>
                <w:rFonts w:hint="eastAsia" w:ascii="Times New Roman" w:hAnsi="Times New Roman" w:eastAsia="宋体" w:cs="Times New Roman"/>
                <w:sz w:val="24"/>
                <w:lang w:eastAsia="zh-CN"/>
              </w:rPr>
              <w:t>-</w:t>
            </w:r>
            <w:r>
              <w:rPr>
                <w:rFonts w:hint="eastAsia" w:cs="Times New Roman"/>
                <w:sz w:val="24"/>
                <w:lang w:val="en-US" w:eastAsia="zh-CN"/>
              </w:rPr>
              <w:t>49</w:t>
            </w:r>
            <w:r>
              <w:rPr>
                <w:rFonts w:hint="eastAsia" w:ascii="Times New Roman" w:hAnsi="Times New Roman" w:eastAsia="宋体" w:cs="Times New Roman"/>
                <w:sz w:val="24"/>
                <w:lang w:eastAsia="zh-CN"/>
              </w:rPr>
              <w:t>（危险特性T，I</w:t>
            </w:r>
            <w:r>
              <w:rPr>
                <w:rFonts w:hint="eastAsia" w:cs="Times New Roman"/>
                <w:sz w:val="24"/>
                <w:lang w:val="en-US" w:eastAsia="zh-CN"/>
              </w:rPr>
              <w:t>n</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上述危险废物</w:t>
            </w:r>
            <w:r>
              <w:rPr>
                <w:rFonts w:hint="eastAsia" w:ascii="Times New Roman" w:hAnsi="Times New Roman" w:eastAsia="宋体" w:cs="Times New Roman"/>
                <w:sz w:val="24"/>
                <w:lang w:eastAsia="zh-CN"/>
              </w:rPr>
              <w:t>经收集后暂存于危险废物贮存库，最终交由具有相应资质的危险废物处置单位处置。</w:t>
            </w:r>
          </w:p>
          <w:p w14:paraId="4D232CC3">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w:t>
            </w:r>
            <w:r>
              <w:rPr>
                <w:rFonts w:hint="eastAsia" w:cs="Times New Roman"/>
                <w:sz w:val="24"/>
                <w:lang w:val="en-US" w:eastAsia="zh-CN"/>
              </w:rPr>
              <w:t>5</w:t>
            </w:r>
            <w:r>
              <w:rPr>
                <w:rFonts w:hint="eastAsia" w:ascii="Times New Roman" w:hAnsi="Times New Roman" w:eastAsia="宋体" w:cs="Times New Roman"/>
                <w:sz w:val="24"/>
                <w:lang w:eastAsia="zh-CN"/>
              </w:rPr>
              <w:t>）废活性炭</w:t>
            </w:r>
          </w:p>
          <w:p w14:paraId="39A07311">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废活性炭属于《国家危险废物名录（2025版）》中HW49其他废物（900-039-49） 烟气、VOCs治理过程（不包括餐饮行业油烟治理过程）产生的废活性炭。</w:t>
            </w:r>
          </w:p>
          <w:p w14:paraId="008182B5">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本项目活性炭吸附后经脱附继续循环使用，活性炭使用寿命2000到2500小时，每1年更换一次即可。800碘值的活性炭约310kg/m</w:t>
            </w:r>
            <w:r>
              <w:rPr>
                <w:rFonts w:hint="eastAsia" w:ascii="Times New Roman" w:hAnsi="Times New Roman" w:eastAsia="宋体" w:cs="Times New Roman"/>
                <w:sz w:val="24"/>
                <w:vertAlign w:val="superscript"/>
                <w:lang w:eastAsia="zh-CN"/>
              </w:rPr>
              <w:t>3</w:t>
            </w:r>
            <w:r>
              <w:rPr>
                <w:rFonts w:hint="eastAsia" w:ascii="Times New Roman" w:hAnsi="Times New Roman" w:eastAsia="宋体" w:cs="Times New Roman"/>
                <w:sz w:val="24"/>
                <w:lang w:eastAsia="zh-CN"/>
              </w:rPr>
              <w:t>，装置活性炭填量约</w:t>
            </w:r>
            <w:r>
              <w:rPr>
                <w:rFonts w:hint="eastAsia" w:ascii="Times New Roman" w:hAnsi="Times New Roman" w:eastAsia="宋体" w:cs="Times New Roman"/>
                <w:sz w:val="24"/>
                <w:lang w:val="en-US" w:eastAsia="zh-CN"/>
              </w:rPr>
              <w:t>5</w:t>
            </w:r>
            <w:r>
              <w:rPr>
                <w:rFonts w:hint="eastAsia" w:ascii="Times New Roman" w:hAnsi="Times New Roman" w:eastAsia="宋体" w:cs="Times New Roman"/>
                <w:sz w:val="24"/>
                <w:lang w:eastAsia="zh-CN"/>
              </w:rPr>
              <w:t>m</w:t>
            </w:r>
            <w:r>
              <w:rPr>
                <w:rFonts w:hint="eastAsia" w:ascii="Times New Roman" w:hAnsi="Times New Roman" w:eastAsia="宋体" w:cs="Times New Roman"/>
                <w:sz w:val="24"/>
                <w:vertAlign w:val="superscript"/>
                <w:lang w:eastAsia="zh-CN"/>
              </w:rPr>
              <w:t>3</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1.55</w:t>
            </w:r>
            <w:r>
              <w:rPr>
                <w:rFonts w:hint="eastAsia" w:ascii="Times New Roman" w:hAnsi="Times New Roman" w:eastAsia="宋体" w:cs="Times New Roman"/>
                <w:sz w:val="24"/>
                <w:lang w:eastAsia="zh-CN"/>
              </w:rPr>
              <w:t>t），则废活性炭产生量约为</w:t>
            </w:r>
            <w:r>
              <w:rPr>
                <w:rFonts w:hint="eastAsia" w:ascii="Times New Roman" w:hAnsi="Times New Roman" w:eastAsia="宋体" w:cs="Times New Roman"/>
                <w:sz w:val="24"/>
                <w:lang w:val="en-US" w:eastAsia="zh-CN"/>
              </w:rPr>
              <w:t>1.55</w:t>
            </w:r>
            <w:r>
              <w:rPr>
                <w:rFonts w:hint="eastAsia" w:ascii="Times New Roman" w:hAnsi="Times New Roman" w:eastAsia="宋体" w:cs="Times New Roman"/>
                <w:sz w:val="24"/>
                <w:lang w:eastAsia="zh-CN"/>
              </w:rPr>
              <w:t>t/a，经收集后暂存于危险废物贮存库，最终交由具有相应资质的危险废物处置单位处置。</w:t>
            </w:r>
          </w:p>
          <w:p w14:paraId="402614BC">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w:t>
            </w:r>
            <w:r>
              <w:rPr>
                <w:rFonts w:hint="eastAsia" w:cs="Times New Roman"/>
                <w:sz w:val="24"/>
                <w:lang w:val="en-US" w:eastAsia="zh-CN"/>
              </w:rPr>
              <w:t>6</w:t>
            </w:r>
            <w:r>
              <w:rPr>
                <w:rFonts w:hint="eastAsia" w:ascii="Times New Roman" w:hAnsi="Times New Roman" w:eastAsia="宋体" w:cs="Times New Roman"/>
                <w:sz w:val="24"/>
                <w:lang w:eastAsia="zh-CN"/>
              </w:rPr>
              <w:t>）废催化剂、废玻璃纤维棉和纸箱过滤器</w:t>
            </w:r>
          </w:p>
          <w:p w14:paraId="251E0987">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废气治理工艺中用于催化燃烧的催化剂以贵金属Pt、Pd作为载体的催化剂，催化剂使用寿命8000小时到8</w:t>
            </w:r>
            <w:r>
              <w:rPr>
                <w:rFonts w:hint="eastAsia" w:ascii="Times New Roman" w:hAnsi="Times New Roman" w:eastAsia="宋体" w:cs="Times New Roman"/>
                <w:sz w:val="24"/>
                <w:szCs w:val="24"/>
                <w:lang w:eastAsia="zh-CN"/>
              </w:rPr>
              <w:t>500</w:t>
            </w:r>
            <w:r>
              <w:rPr>
                <w:rFonts w:hint="eastAsia"/>
                <w:sz w:val="24"/>
                <w:szCs w:val="24"/>
                <w:lang w:val="en-US" w:eastAsia="zh-CN"/>
              </w:rPr>
              <w:t>小时</w:t>
            </w:r>
            <w:r>
              <w:rPr>
                <w:rFonts w:hint="eastAsia" w:ascii="Times New Roman" w:hAnsi="Times New Roman" w:eastAsia="宋体" w:cs="Times New Roman"/>
                <w:sz w:val="24"/>
                <w:szCs w:val="24"/>
                <w:lang w:eastAsia="zh-CN"/>
              </w:rPr>
              <w:t>，粗效吸</w:t>
            </w:r>
            <w:r>
              <w:rPr>
                <w:rFonts w:hint="eastAsia" w:ascii="Times New Roman" w:hAnsi="Times New Roman" w:eastAsia="宋体" w:cs="Times New Roman"/>
                <w:sz w:val="24"/>
                <w:lang w:eastAsia="zh-CN"/>
              </w:rPr>
              <w:t>附箱里玻璃纤维棉和纸箱过滤器也需定期更换，上述产生的废催化剂、废玻璃纤维棉和纸箱过滤器每4年更换一次即可。更换后的废催化剂、废玻璃纤维棉和纸箱过滤器属于危险废物，重约0.</w:t>
            </w:r>
            <w:r>
              <w:rPr>
                <w:rFonts w:hint="eastAsia" w:ascii="Times New Roman" w:hAnsi="Times New Roman" w:eastAsia="宋体" w:cs="Times New Roman"/>
                <w:sz w:val="24"/>
                <w:lang w:val="en-US" w:eastAsia="zh-CN"/>
              </w:rPr>
              <w:t>5</w:t>
            </w:r>
            <w:r>
              <w:rPr>
                <w:rFonts w:hint="eastAsia" w:ascii="Times New Roman" w:hAnsi="Times New Roman" w:eastAsia="宋体" w:cs="Times New Roman"/>
                <w:sz w:val="24"/>
                <w:lang w:eastAsia="zh-CN"/>
              </w:rPr>
              <w:t>m</w:t>
            </w:r>
            <w:r>
              <w:rPr>
                <w:rFonts w:hint="eastAsia" w:ascii="Times New Roman" w:hAnsi="Times New Roman" w:eastAsia="宋体" w:cs="Times New Roman"/>
                <w:sz w:val="24"/>
                <w:vertAlign w:val="superscript"/>
                <w:lang w:eastAsia="zh-CN"/>
              </w:rPr>
              <w:t>3</w:t>
            </w:r>
            <w:r>
              <w:rPr>
                <w:rFonts w:hint="eastAsia" w:ascii="Times New Roman" w:hAnsi="Times New Roman" w:eastAsia="宋体" w:cs="Times New Roman"/>
                <w:sz w:val="24"/>
                <w:lang w:eastAsia="zh-CN"/>
              </w:rPr>
              <w:t>/4a。对照《国家危险废物名录》（2025版），</w:t>
            </w:r>
            <w:r>
              <w:rPr>
                <w:rFonts w:hint="eastAsia" w:cs="Times New Roman"/>
                <w:sz w:val="24"/>
                <w:lang w:val="en-US" w:eastAsia="zh-CN"/>
              </w:rPr>
              <w:t>废催化剂</w:t>
            </w:r>
            <w:r>
              <w:rPr>
                <w:rFonts w:hint="eastAsia" w:ascii="Times New Roman" w:hAnsi="Times New Roman" w:eastAsia="宋体" w:cs="Times New Roman"/>
                <w:sz w:val="24"/>
                <w:lang w:eastAsia="zh-CN"/>
              </w:rPr>
              <w:t>属</w:t>
            </w:r>
            <w:r>
              <w:rPr>
                <w:rFonts w:hint="eastAsia" w:cs="Times New Roman"/>
                <w:sz w:val="24"/>
                <w:lang w:val="en-US" w:eastAsia="zh-CN"/>
              </w:rPr>
              <w:t>于</w:t>
            </w:r>
            <w:r>
              <w:rPr>
                <w:rFonts w:hint="eastAsia" w:ascii="Times New Roman" w:hAnsi="Times New Roman" w:eastAsia="宋体" w:cs="Times New Roman"/>
                <w:sz w:val="24"/>
                <w:lang w:eastAsia="zh-CN"/>
              </w:rPr>
              <w:t>危险废物HW</w:t>
            </w:r>
            <w:r>
              <w:rPr>
                <w:rFonts w:hint="eastAsia" w:cs="Times New Roman"/>
                <w:sz w:val="24"/>
                <w:lang w:val="en-US" w:eastAsia="zh-CN"/>
              </w:rPr>
              <w:t>50废催化剂</w:t>
            </w:r>
            <w:r>
              <w:rPr>
                <w:rFonts w:hint="eastAsia" w:ascii="Times New Roman" w:hAnsi="Times New Roman" w:eastAsia="宋体" w:cs="Times New Roman"/>
                <w:sz w:val="24"/>
                <w:lang w:eastAsia="zh-CN"/>
              </w:rPr>
              <w:t>，废物代码为900-0</w:t>
            </w:r>
            <w:r>
              <w:rPr>
                <w:rFonts w:hint="eastAsia" w:cs="Times New Roman"/>
                <w:sz w:val="24"/>
                <w:lang w:val="en-US" w:eastAsia="zh-CN"/>
              </w:rPr>
              <w:t>49</w:t>
            </w:r>
            <w:r>
              <w:rPr>
                <w:rFonts w:hint="eastAsia" w:ascii="Times New Roman" w:hAnsi="Times New Roman" w:eastAsia="宋体" w:cs="Times New Roman"/>
                <w:sz w:val="24"/>
                <w:lang w:eastAsia="zh-CN"/>
              </w:rPr>
              <w:t>-</w:t>
            </w:r>
            <w:r>
              <w:rPr>
                <w:rFonts w:hint="eastAsia" w:cs="Times New Roman"/>
                <w:sz w:val="24"/>
                <w:lang w:val="en-US" w:eastAsia="zh-CN"/>
              </w:rPr>
              <w:t>50</w:t>
            </w:r>
            <w:r>
              <w:rPr>
                <w:rFonts w:hint="eastAsia" w:ascii="Times New Roman" w:hAnsi="Times New Roman" w:eastAsia="宋体" w:cs="Times New Roman"/>
                <w:sz w:val="24"/>
                <w:lang w:eastAsia="zh-CN"/>
              </w:rPr>
              <w:t>（危险特性T）</w:t>
            </w:r>
            <w:r>
              <w:rPr>
                <w:rFonts w:hint="eastAsia" w:cs="Times New Roman"/>
                <w:sz w:val="24"/>
                <w:lang w:eastAsia="zh-CN"/>
              </w:rPr>
              <w:t>；</w:t>
            </w:r>
            <w:r>
              <w:rPr>
                <w:rFonts w:hint="eastAsia" w:ascii="Times New Roman" w:hAnsi="Times New Roman" w:eastAsia="宋体" w:cs="Times New Roman"/>
                <w:sz w:val="24"/>
                <w:lang w:eastAsia="zh-CN"/>
              </w:rPr>
              <w:t>废玻璃纤维棉和纸箱过滤器属</w:t>
            </w:r>
            <w:r>
              <w:rPr>
                <w:rFonts w:hint="eastAsia" w:cs="Times New Roman"/>
                <w:sz w:val="24"/>
                <w:lang w:val="en-US" w:eastAsia="zh-CN"/>
              </w:rPr>
              <w:t>于HW49其他废物，废物代码为900-041-49（危险特性T，In）</w:t>
            </w:r>
            <w:r>
              <w:rPr>
                <w:rFonts w:hint="eastAsia" w:ascii="Times New Roman" w:hAnsi="Times New Roman" w:eastAsia="宋体" w:cs="Times New Roman"/>
                <w:sz w:val="24"/>
                <w:lang w:eastAsia="zh-CN"/>
              </w:rPr>
              <w:t>。经收集后暂存于危险废物贮存库，最终交由具有相应资质的危险废物处置单位处置。</w:t>
            </w:r>
          </w:p>
          <w:p w14:paraId="11324D2D">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w:t>
            </w:r>
            <w:r>
              <w:rPr>
                <w:rFonts w:hint="eastAsia" w:cs="Times New Roman"/>
                <w:sz w:val="24"/>
                <w:lang w:val="en-US" w:eastAsia="zh-CN"/>
              </w:rPr>
              <w:t>7</w:t>
            </w:r>
            <w:r>
              <w:rPr>
                <w:rFonts w:hint="eastAsia" w:ascii="Times New Roman" w:hAnsi="Times New Roman" w:eastAsia="宋体" w:cs="Times New Roman"/>
                <w:sz w:val="24"/>
                <w:lang w:eastAsia="zh-CN"/>
              </w:rPr>
              <w:t>）生活垃圾：本项目共有职工</w:t>
            </w:r>
            <w:r>
              <w:rPr>
                <w:rFonts w:hint="eastAsia" w:ascii="Times New Roman" w:hAnsi="Times New Roman" w:eastAsia="宋体" w:cs="Times New Roman"/>
                <w:sz w:val="24"/>
                <w:lang w:val="en-US" w:eastAsia="zh-CN"/>
              </w:rPr>
              <w:t>140</w:t>
            </w:r>
            <w:r>
              <w:rPr>
                <w:rFonts w:hint="eastAsia" w:ascii="Times New Roman" w:hAnsi="Times New Roman" w:eastAsia="宋体" w:cs="Times New Roman"/>
                <w:sz w:val="24"/>
                <w:lang w:eastAsia="zh-CN"/>
              </w:rPr>
              <w:t>人，年工作日</w:t>
            </w:r>
            <w:r>
              <w:rPr>
                <w:rFonts w:hint="eastAsia" w:ascii="Times New Roman" w:hAnsi="Times New Roman" w:eastAsia="宋体" w:cs="Times New Roman"/>
                <w:sz w:val="24"/>
                <w:lang w:val="en-US" w:eastAsia="zh-CN"/>
              </w:rPr>
              <w:t>300</w:t>
            </w:r>
            <w:r>
              <w:rPr>
                <w:rFonts w:hint="eastAsia" w:ascii="Times New Roman" w:hAnsi="Times New Roman" w:eastAsia="宋体" w:cs="Times New Roman"/>
                <w:sz w:val="24"/>
                <w:lang w:eastAsia="zh-CN"/>
              </w:rPr>
              <w:t>天，生活垃圾按0.5kg/（人·d）计，则本项目生活垃圾产生量约为</w:t>
            </w:r>
            <w:r>
              <w:rPr>
                <w:rFonts w:hint="eastAsia" w:ascii="Times New Roman" w:hAnsi="Times New Roman" w:eastAsia="宋体" w:cs="Times New Roman"/>
                <w:sz w:val="24"/>
                <w:lang w:val="en-US" w:eastAsia="zh-CN"/>
              </w:rPr>
              <w:t>21</w:t>
            </w:r>
            <w:r>
              <w:rPr>
                <w:rFonts w:hint="eastAsia" w:ascii="Times New Roman" w:hAnsi="Times New Roman" w:eastAsia="宋体" w:cs="Times New Roman"/>
                <w:sz w:val="24"/>
                <w:lang w:eastAsia="zh-CN"/>
              </w:rPr>
              <w:t>t/a，集中收集后，</w:t>
            </w:r>
            <w:r>
              <w:rPr>
                <w:rFonts w:hint="eastAsia" w:ascii="Times New Roman" w:hAnsi="Times New Roman" w:eastAsia="宋体" w:cs="Times New Roman"/>
                <w:sz w:val="24"/>
                <w:lang w:val="en-US" w:eastAsia="zh-CN"/>
              </w:rPr>
              <w:t>交</w:t>
            </w:r>
            <w:r>
              <w:rPr>
                <w:rFonts w:hint="eastAsia" w:ascii="Times New Roman" w:hAnsi="Times New Roman" w:eastAsia="宋体" w:cs="Times New Roman"/>
                <w:sz w:val="24"/>
                <w:lang w:eastAsia="zh-CN"/>
              </w:rPr>
              <w:t>由环卫部门统一清运。项目固废产生明细见表</w:t>
            </w:r>
            <w:r>
              <w:rPr>
                <w:rFonts w:hint="eastAsia" w:ascii="Times New Roman" w:hAnsi="Times New Roman" w:eastAsia="宋体" w:cs="Times New Roman"/>
                <w:sz w:val="24"/>
                <w:lang w:val="en-US" w:eastAsia="zh-CN"/>
              </w:rPr>
              <w:t>4-9</w:t>
            </w:r>
            <w:r>
              <w:rPr>
                <w:rFonts w:hint="eastAsia" w:ascii="Times New Roman" w:hAnsi="Times New Roman" w:eastAsia="宋体" w:cs="Times New Roman"/>
                <w:sz w:val="24"/>
                <w:lang w:eastAsia="zh-CN"/>
              </w:rPr>
              <w:t>。</w:t>
            </w:r>
          </w:p>
          <w:p w14:paraId="281E8204">
            <w:pPr>
              <w:pStyle w:val="5"/>
              <w:keepNext w:val="0"/>
              <w:keepLines w:val="0"/>
              <w:pageBreakBefore w:val="0"/>
              <w:kinsoku/>
              <w:wordWrap/>
              <w:overflowPunct/>
              <w:topLinePunct w:val="0"/>
              <w:autoSpaceDE/>
              <w:autoSpaceDN/>
              <w:bidi w:val="0"/>
              <w:adjustRightInd/>
              <w:snapToGrid/>
              <w:spacing w:line="520" w:lineRule="exact"/>
              <w:ind w:firstLine="477" w:firstLineChars="190"/>
              <w:contextualSpacing/>
              <w:jc w:val="center"/>
              <w:textAlignment w:val="auto"/>
              <w:rPr>
                <w:rStyle w:val="47"/>
                <w:rFonts w:hint="eastAsia"/>
                <w:szCs w:val="21"/>
              </w:rPr>
            </w:pPr>
            <w:r>
              <w:rPr>
                <w:rStyle w:val="47"/>
                <w:rFonts w:eastAsia="宋体"/>
                <w:sz w:val="24"/>
                <w:szCs w:val="24"/>
              </w:rPr>
              <w:t>表</w:t>
            </w:r>
            <w:r>
              <w:rPr>
                <w:rStyle w:val="47"/>
                <w:rFonts w:hint="eastAsia" w:eastAsia="宋体"/>
                <w:sz w:val="24"/>
                <w:szCs w:val="24"/>
                <w:lang w:val="en-US" w:eastAsia="zh-CN"/>
              </w:rPr>
              <w:t xml:space="preserve">4-9 </w:t>
            </w:r>
            <w:r>
              <w:rPr>
                <w:rStyle w:val="47"/>
                <w:rFonts w:eastAsia="宋体"/>
                <w:sz w:val="24"/>
                <w:szCs w:val="24"/>
              </w:rPr>
              <w:t xml:space="preserve">  项目</w:t>
            </w:r>
            <w:r>
              <w:rPr>
                <w:rStyle w:val="47"/>
                <w:rFonts w:hint="eastAsia" w:eastAsia="宋体"/>
                <w:sz w:val="24"/>
                <w:szCs w:val="24"/>
              </w:rPr>
              <w:t>固体废物产生情况</w:t>
            </w:r>
            <w:r>
              <w:rPr>
                <w:rStyle w:val="47"/>
                <w:rFonts w:eastAsia="宋体"/>
                <w:sz w:val="24"/>
                <w:szCs w:val="24"/>
              </w:rPr>
              <w:t>明细</w:t>
            </w:r>
          </w:p>
          <w:tbl>
            <w:tblPr>
              <w:tblStyle w:val="24"/>
              <w:tblW w:w="82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88"/>
              <w:gridCol w:w="1268"/>
              <w:gridCol w:w="1009"/>
              <w:gridCol w:w="1313"/>
              <w:gridCol w:w="1148"/>
              <w:gridCol w:w="1462"/>
              <w:gridCol w:w="2"/>
            </w:tblGrid>
            <w:tr w14:paraId="01D29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 w:type="dxa"/>
                <w:trHeight w:val="340" w:hRule="atLeast"/>
                <w:jc w:val="center"/>
              </w:trPr>
              <w:tc>
                <w:tcPr>
                  <w:tcW w:w="2088" w:type="dxa"/>
                  <w:noWrap w:val="0"/>
                  <w:vAlign w:val="center"/>
                </w:tcPr>
                <w:p w14:paraId="67D748F6">
                  <w:pPr>
                    <w:jc w:val="center"/>
                    <w:rPr>
                      <w:color w:val="000000"/>
                      <w:szCs w:val="21"/>
                    </w:rPr>
                  </w:pPr>
                  <w:r>
                    <w:rPr>
                      <w:color w:val="000000"/>
                      <w:szCs w:val="21"/>
                    </w:rPr>
                    <w:t>类型</w:t>
                  </w:r>
                </w:p>
              </w:tc>
              <w:tc>
                <w:tcPr>
                  <w:tcW w:w="1268" w:type="dxa"/>
                  <w:noWrap w:val="0"/>
                  <w:vAlign w:val="center"/>
                </w:tcPr>
                <w:p w14:paraId="4318F7D8">
                  <w:pPr>
                    <w:jc w:val="center"/>
                    <w:rPr>
                      <w:rFonts w:hint="eastAsia"/>
                      <w:color w:val="000000"/>
                      <w:szCs w:val="21"/>
                    </w:rPr>
                  </w:pPr>
                  <w:r>
                    <w:rPr>
                      <w:rFonts w:hint="eastAsia"/>
                      <w:color w:val="000000"/>
                      <w:szCs w:val="21"/>
                    </w:rPr>
                    <w:t>固废类别</w:t>
                  </w:r>
                </w:p>
              </w:tc>
              <w:tc>
                <w:tcPr>
                  <w:tcW w:w="1009" w:type="dxa"/>
                  <w:noWrap w:val="0"/>
                  <w:vAlign w:val="center"/>
                </w:tcPr>
                <w:p w14:paraId="247A6463">
                  <w:pPr>
                    <w:jc w:val="center"/>
                    <w:rPr>
                      <w:rFonts w:hint="eastAsia"/>
                      <w:color w:val="000000"/>
                      <w:szCs w:val="21"/>
                    </w:rPr>
                  </w:pPr>
                  <w:r>
                    <w:rPr>
                      <w:rFonts w:hint="eastAsia"/>
                      <w:color w:val="000000"/>
                      <w:szCs w:val="21"/>
                    </w:rPr>
                    <w:t>废物类别</w:t>
                  </w:r>
                </w:p>
              </w:tc>
              <w:tc>
                <w:tcPr>
                  <w:tcW w:w="1313" w:type="dxa"/>
                  <w:noWrap w:val="0"/>
                  <w:vAlign w:val="center"/>
                </w:tcPr>
                <w:p w14:paraId="06E222B5">
                  <w:pPr>
                    <w:jc w:val="center"/>
                    <w:rPr>
                      <w:color w:val="000000"/>
                      <w:szCs w:val="21"/>
                    </w:rPr>
                  </w:pPr>
                  <w:r>
                    <w:rPr>
                      <w:rFonts w:hint="eastAsia"/>
                      <w:color w:val="000000"/>
                      <w:szCs w:val="21"/>
                    </w:rPr>
                    <w:t>废物代码</w:t>
                  </w:r>
                </w:p>
              </w:tc>
              <w:tc>
                <w:tcPr>
                  <w:tcW w:w="1148" w:type="dxa"/>
                  <w:noWrap w:val="0"/>
                  <w:vAlign w:val="center"/>
                </w:tcPr>
                <w:p w14:paraId="71E7EAC0">
                  <w:pPr>
                    <w:jc w:val="center"/>
                    <w:rPr>
                      <w:color w:val="000000"/>
                      <w:szCs w:val="21"/>
                    </w:rPr>
                  </w:pPr>
                  <w:r>
                    <w:rPr>
                      <w:color w:val="000000"/>
                      <w:szCs w:val="21"/>
                    </w:rPr>
                    <w:t>产生量（</w:t>
                  </w:r>
                  <w:r>
                    <w:rPr>
                      <w:rFonts w:hint="eastAsia"/>
                      <w:color w:val="000000"/>
                      <w:szCs w:val="21"/>
                    </w:rPr>
                    <w:t>t</w:t>
                  </w:r>
                  <w:r>
                    <w:rPr>
                      <w:color w:val="000000"/>
                      <w:szCs w:val="21"/>
                    </w:rPr>
                    <w:t>/a）</w:t>
                  </w:r>
                </w:p>
              </w:tc>
              <w:tc>
                <w:tcPr>
                  <w:tcW w:w="1462" w:type="dxa"/>
                  <w:noWrap w:val="0"/>
                  <w:vAlign w:val="center"/>
                </w:tcPr>
                <w:p w14:paraId="771F8D13">
                  <w:pPr>
                    <w:jc w:val="center"/>
                    <w:rPr>
                      <w:rFonts w:hint="eastAsia"/>
                      <w:color w:val="000000"/>
                      <w:szCs w:val="21"/>
                    </w:rPr>
                  </w:pPr>
                  <w:r>
                    <w:rPr>
                      <w:rFonts w:hint="eastAsia"/>
                      <w:color w:val="000000"/>
                      <w:szCs w:val="21"/>
                    </w:rPr>
                    <w:t>去向</w:t>
                  </w:r>
                </w:p>
              </w:tc>
            </w:tr>
            <w:tr w14:paraId="53278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 w:type="dxa"/>
                <w:trHeight w:val="486" w:hRule="atLeast"/>
                <w:jc w:val="center"/>
              </w:trPr>
              <w:tc>
                <w:tcPr>
                  <w:tcW w:w="2088" w:type="dxa"/>
                  <w:noWrap w:val="0"/>
                  <w:vAlign w:val="center"/>
                </w:tcPr>
                <w:p w14:paraId="0D22E148">
                  <w:pPr>
                    <w:jc w:val="center"/>
                    <w:rPr>
                      <w:rFonts w:hint="eastAsia"/>
                      <w:color w:val="000000"/>
                      <w:szCs w:val="21"/>
                    </w:rPr>
                  </w:pPr>
                  <w:r>
                    <w:rPr>
                      <w:rFonts w:hint="eastAsia"/>
                      <w:color w:val="000000"/>
                      <w:szCs w:val="21"/>
                    </w:rPr>
                    <w:t>废膜边角料、废离型膜、废双面胶</w:t>
                  </w:r>
                </w:p>
              </w:tc>
              <w:tc>
                <w:tcPr>
                  <w:tcW w:w="1268" w:type="dxa"/>
                  <w:vMerge w:val="restart"/>
                  <w:noWrap w:val="0"/>
                  <w:vAlign w:val="center"/>
                </w:tcPr>
                <w:p w14:paraId="3B645605">
                  <w:pPr>
                    <w:jc w:val="center"/>
                    <w:rPr>
                      <w:rFonts w:hint="eastAsia"/>
                      <w:color w:val="000000"/>
                      <w:szCs w:val="21"/>
                    </w:rPr>
                  </w:pPr>
                  <w:r>
                    <w:rPr>
                      <w:rFonts w:hint="eastAsia"/>
                      <w:color w:val="000000"/>
                      <w:szCs w:val="21"/>
                    </w:rPr>
                    <w:t>一般固废</w:t>
                  </w:r>
                </w:p>
              </w:tc>
              <w:tc>
                <w:tcPr>
                  <w:tcW w:w="1009" w:type="dxa"/>
                  <w:vMerge w:val="restart"/>
                  <w:noWrap w:val="0"/>
                  <w:vAlign w:val="center"/>
                </w:tcPr>
                <w:p w14:paraId="6238A315">
                  <w:pPr>
                    <w:jc w:val="center"/>
                    <w:rPr>
                      <w:rFonts w:hint="default"/>
                      <w:color w:val="000000"/>
                      <w:szCs w:val="21"/>
                      <w:lang w:val="en-US"/>
                    </w:rPr>
                  </w:pPr>
                  <w:r>
                    <w:rPr>
                      <w:rFonts w:hint="eastAsia" w:cs="Times New Roman"/>
                      <w:color w:val="000000"/>
                      <w:sz w:val="21"/>
                      <w:szCs w:val="21"/>
                      <w:highlight w:val="none"/>
                      <w:lang w:val="en-US" w:eastAsia="zh-CN"/>
                    </w:rPr>
                    <w:t>SW17可再生类废物</w:t>
                  </w:r>
                </w:p>
              </w:tc>
              <w:tc>
                <w:tcPr>
                  <w:tcW w:w="1313" w:type="dxa"/>
                  <w:vMerge w:val="restart"/>
                  <w:noWrap w:val="0"/>
                  <w:vAlign w:val="center"/>
                </w:tcPr>
                <w:p w14:paraId="1A01EE80">
                  <w:pPr>
                    <w:jc w:val="center"/>
                    <w:rPr>
                      <w:rFonts w:hint="eastAsia"/>
                      <w:color w:val="000000"/>
                      <w:szCs w:val="21"/>
                    </w:rPr>
                  </w:pPr>
                  <w:r>
                    <w:rPr>
                      <w:rFonts w:hint="eastAsia"/>
                      <w:color w:val="000000"/>
                      <w:szCs w:val="21"/>
                    </w:rPr>
                    <w:t>900-003-S17</w:t>
                  </w:r>
                </w:p>
              </w:tc>
              <w:tc>
                <w:tcPr>
                  <w:tcW w:w="1148" w:type="dxa"/>
                  <w:noWrap w:val="0"/>
                  <w:vAlign w:val="center"/>
                </w:tcPr>
                <w:p w14:paraId="704A2301">
                  <w:pPr>
                    <w:jc w:val="center"/>
                    <w:rPr>
                      <w:rFonts w:hint="default" w:eastAsia="宋体"/>
                      <w:color w:val="000000"/>
                      <w:szCs w:val="21"/>
                      <w:lang w:val="en-US" w:eastAsia="zh-CN"/>
                    </w:rPr>
                  </w:pPr>
                  <w:r>
                    <w:rPr>
                      <w:rFonts w:hint="eastAsia"/>
                      <w:color w:val="000000"/>
                      <w:szCs w:val="21"/>
                      <w:lang w:val="en-US" w:eastAsia="zh-CN"/>
                    </w:rPr>
                    <w:t>65</w:t>
                  </w:r>
                </w:p>
              </w:tc>
              <w:tc>
                <w:tcPr>
                  <w:tcW w:w="1462" w:type="dxa"/>
                  <w:vMerge w:val="restart"/>
                  <w:noWrap w:val="0"/>
                  <w:vAlign w:val="center"/>
                </w:tcPr>
                <w:p w14:paraId="7BC14699">
                  <w:pPr>
                    <w:jc w:val="center"/>
                    <w:rPr>
                      <w:rFonts w:hint="eastAsia"/>
                      <w:color w:val="000000"/>
                      <w:szCs w:val="21"/>
                    </w:rPr>
                  </w:pPr>
                  <w:r>
                    <w:rPr>
                      <w:rFonts w:hint="eastAsia"/>
                      <w:color w:val="000000"/>
                      <w:szCs w:val="21"/>
                    </w:rPr>
                    <w:t>回收企业综合再生利用</w:t>
                  </w:r>
                </w:p>
              </w:tc>
            </w:tr>
            <w:tr w14:paraId="6E24E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 w:type="dxa"/>
                <w:trHeight w:val="90" w:hRule="atLeast"/>
                <w:jc w:val="center"/>
              </w:trPr>
              <w:tc>
                <w:tcPr>
                  <w:tcW w:w="2088" w:type="dxa"/>
                  <w:noWrap w:val="0"/>
                  <w:vAlign w:val="center"/>
                </w:tcPr>
                <w:p w14:paraId="53C0AEBF">
                  <w:pPr>
                    <w:jc w:val="center"/>
                    <w:rPr>
                      <w:rFonts w:hint="eastAsia"/>
                      <w:color w:val="000000"/>
                      <w:szCs w:val="21"/>
                    </w:rPr>
                  </w:pPr>
                  <w:r>
                    <w:rPr>
                      <w:rFonts w:hint="eastAsia" w:eastAsia="宋体"/>
                      <w:szCs w:val="21"/>
                      <w:lang w:val="en-US" w:eastAsia="zh-CN"/>
                    </w:rPr>
                    <w:t>废原辅料包装袋</w:t>
                  </w:r>
                  <w:r>
                    <w:rPr>
                      <w:rFonts w:hint="eastAsia"/>
                      <w:szCs w:val="21"/>
                      <w:lang w:val="en-US" w:eastAsia="zh-CN"/>
                    </w:rPr>
                    <w:t>、</w:t>
                  </w:r>
                  <w:r>
                    <w:rPr>
                      <w:rFonts w:hint="default" w:eastAsia="宋体"/>
                      <w:color w:val="000000"/>
                      <w:szCs w:val="21"/>
                      <w:lang w:val="en-US" w:eastAsia="zh-CN"/>
                    </w:rPr>
                    <w:t>废包装桶</w:t>
                  </w:r>
                </w:p>
              </w:tc>
              <w:tc>
                <w:tcPr>
                  <w:tcW w:w="1268" w:type="dxa"/>
                  <w:vMerge w:val="continue"/>
                  <w:noWrap w:val="0"/>
                  <w:vAlign w:val="center"/>
                </w:tcPr>
                <w:p w14:paraId="42B0222D">
                  <w:pPr>
                    <w:jc w:val="center"/>
                    <w:rPr>
                      <w:rFonts w:hint="eastAsia"/>
                      <w:color w:val="000000"/>
                      <w:szCs w:val="21"/>
                    </w:rPr>
                  </w:pPr>
                </w:p>
              </w:tc>
              <w:tc>
                <w:tcPr>
                  <w:tcW w:w="1009" w:type="dxa"/>
                  <w:vMerge w:val="continue"/>
                  <w:noWrap w:val="0"/>
                  <w:vAlign w:val="center"/>
                </w:tcPr>
                <w:p w14:paraId="0C840A42">
                  <w:pPr>
                    <w:jc w:val="center"/>
                    <w:rPr>
                      <w:rFonts w:hint="eastAsia" w:cs="Times New Roman"/>
                      <w:color w:val="000000"/>
                      <w:sz w:val="21"/>
                      <w:szCs w:val="21"/>
                      <w:highlight w:val="none"/>
                      <w:lang w:val="en-US" w:eastAsia="zh-CN"/>
                    </w:rPr>
                  </w:pPr>
                </w:p>
              </w:tc>
              <w:tc>
                <w:tcPr>
                  <w:tcW w:w="1313" w:type="dxa"/>
                  <w:vMerge w:val="continue"/>
                  <w:noWrap w:val="0"/>
                  <w:vAlign w:val="center"/>
                </w:tcPr>
                <w:p w14:paraId="257EFD9D">
                  <w:pPr>
                    <w:jc w:val="center"/>
                    <w:rPr>
                      <w:rFonts w:hint="eastAsia"/>
                      <w:color w:val="000000"/>
                      <w:szCs w:val="21"/>
                    </w:rPr>
                  </w:pPr>
                </w:p>
              </w:tc>
              <w:tc>
                <w:tcPr>
                  <w:tcW w:w="1148" w:type="dxa"/>
                  <w:noWrap w:val="0"/>
                  <w:vAlign w:val="center"/>
                </w:tcPr>
                <w:p w14:paraId="10A2D629">
                  <w:pPr>
                    <w:jc w:val="center"/>
                    <w:rPr>
                      <w:rFonts w:hint="default"/>
                      <w:color w:val="000000"/>
                      <w:szCs w:val="21"/>
                      <w:lang w:val="en-US" w:eastAsia="zh-CN"/>
                    </w:rPr>
                  </w:pPr>
                  <w:r>
                    <w:rPr>
                      <w:rFonts w:hint="eastAsia"/>
                      <w:color w:val="000000"/>
                      <w:szCs w:val="21"/>
                      <w:lang w:val="en-US" w:eastAsia="zh-CN"/>
                    </w:rPr>
                    <w:t>2.578</w:t>
                  </w:r>
                </w:p>
              </w:tc>
              <w:tc>
                <w:tcPr>
                  <w:tcW w:w="1462" w:type="dxa"/>
                  <w:vMerge w:val="continue"/>
                  <w:noWrap w:val="0"/>
                  <w:vAlign w:val="center"/>
                </w:tcPr>
                <w:p w14:paraId="0A8B4D56">
                  <w:pPr>
                    <w:jc w:val="center"/>
                    <w:rPr>
                      <w:rFonts w:hint="eastAsia"/>
                      <w:color w:val="000000"/>
                      <w:szCs w:val="21"/>
                    </w:rPr>
                  </w:pPr>
                </w:p>
              </w:tc>
            </w:tr>
            <w:tr w14:paraId="1630F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 w:type="dxa"/>
                <w:trHeight w:val="340" w:hRule="atLeast"/>
                <w:jc w:val="center"/>
              </w:trPr>
              <w:tc>
                <w:tcPr>
                  <w:tcW w:w="2088" w:type="dxa"/>
                  <w:noWrap w:val="0"/>
                  <w:vAlign w:val="center"/>
                </w:tcPr>
                <w:p w14:paraId="18D1E84A">
                  <w:pPr>
                    <w:jc w:val="center"/>
                    <w:rPr>
                      <w:rFonts w:hint="default" w:eastAsia="宋体"/>
                      <w:szCs w:val="21"/>
                      <w:lang w:val="en-US" w:eastAsia="zh-CN"/>
                    </w:rPr>
                  </w:pPr>
                  <w:r>
                    <w:rPr>
                      <w:rFonts w:hint="eastAsia" w:eastAsia="宋体"/>
                      <w:szCs w:val="21"/>
                      <w:lang w:eastAsia="zh-CN"/>
                    </w:rPr>
                    <w:t>废纸芯管</w:t>
                  </w:r>
                </w:p>
              </w:tc>
              <w:tc>
                <w:tcPr>
                  <w:tcW w:w="1268" w:type="dxa"/>
                  <w:vMerge w:val="continue"/>
                  <w:noWrap w:val="0"/>
                  <w:vAlign w:val="center"/>
                </w:tcPr>
                <w:p w14:paraId="2AF5B1BE">
                  <w:pPr>
                    <w:jc w:val="center"/>
                    <w:rPr>
                      <w:rFonts w:hint="eastAsia"/>
                      <w:color w:val="000000"/>
                      <w:szCs w:val="21"/>
                    </w:rPr>
                  </w:pPr>
                </w:p>
              </w:tc>
              <w:tc>
                <w:tcPr>
                  <w:tcW w:w="1009" w:type="dxa"/>
                  <w:noWrap w:val="0"/>
                  <w:vAlign w:val="center"/>
                </w:tcPr>
                <w:p w14:paraId="4856C575">
                  <w:pPr>
                    <w:jc w:val="center"/>
                    <w:rPr>
                      <w:rFonts w:hint="default" w:eastAsia="宋体"/>
                      <w:color w:val="000000"/>
                      <w:szCs w:val="21"/>
                      <w:lang w:val="en-US" w:eastAsia="zh-CN"/>
                    </w:rPr>
                  </w:pPr>
                  <w:r>
                    <w:rPr>
                      <w:rFonts w:hint="default" w:eastAsia="宋体"/>
                      <w:color w:val="000000"/>
                      <w:szCs w:val="21"/>
                      <w:lang w:val="en-US" w:eastAsia="zh-CN"/>
                    </w:rPr>
                    <w:t>SW17可再生类废物</w:t>
                  </w:r>
                </w:p>
              </w:tc>
              <w:tc>
                <w:tcPr>
                  <w:tcW w:w="1313" w:type="dxa"/>
                  <w:noWrap w:val="0"/>
                  <w:vAlign w:val="center"/>
                </w:tcPr>
                <w:p w14:paraId="2CA8A1AE">
                  <w:pPr>
                    <w:jc w:val="center"/>
                    <w:rPr>
                      <w:rFonts w:hint="eastAsia"/>
                      <w:color w:val="000000"/>
                      <w:szCs w:val="21"/>
                    </w:rPr>
                  </w:pPr>
                  <w:r>
                    <w:rPr>
                      <w:rFonts w:hint="eastAsia"/>
                      <w:color w:val="000000"/>
                      <w:szCs w:val="21"/>
                    </w:rPr>
                    <w:t>900-005-S17</w:t>
                  </w:r>
                </w:p>
              </w:tc>
              <w:tc>
                <w:tcPr>
                  <w:tcW w:w="1148" w:type="dxa"/>
                  <w:noWrap w:val="0"/>
                  <w:vAlign w:val="center"/>
                </w:tcPr>
                <w:p w14:paraId="278A8D20">
                  <w:pPr>
                    <w:jc w:val="center"/>
                    <w:rPr>
                      <w:rFonts w:hint="default" w:eastAsia="宋体"/>
                      <w:color w:val="000000"/>
                      <w:szCs w:val="21"/>
                      <w:lang w:val="en-US" w:eastAsia="zh-CN"/>
                    </w:rPr>
                  </w:pPr>
                  <w:r>
                    <w:rPr>
                      <w:rFonts w:hint="eastAsia"/>
                      <w:color w:val="000000"/>
                      <w:szCs w:val="21"/>
                      <w:lang w:val="en-US" w:eastAsia="zh-CN"/>
                    </w:rPr>
                    <w:t>2</w:t>
                  </w:r>
                </w:p>
              </w:tc>
              <w:tc>
                <w:tcPr>
                  <w:tcW w:w="1462" w:type="dxa"/>
                  <w:noWrap w:val="0"/>
                  <w:vAlign w:val="center"/>
                </w:tcPr>
                <w:p w14:paraId="6DF1810F">
                  <w:pPr>
                    <w:jc w:val="center"/>
                    <w:rPr>
                      <w:rFonts w:hint="eastAsia" w:eastAsia="宋体"/>
                      <w:color w:val="000000"/>
                      <w:szCs w:val="21"/>
                      <w:lang w:eastAsia="zh-CN"/>
                    </w:rPr>
                  </w:pPr>
                  <w:r>
                    <w:rPr>
                      <w:rFonts w:hint="eastAsia" w:eastAsia="宋体"/>
                      <w:color w:val="000000"/>
                      <w:szCs w:val="21"/>
                      <w:lang w:eastAsia="zh-CN"/>
                    </w:rPr>
                    <w:t>回收企业综合再生利用</w:t>
                  </w:r>
                </w:p>
              </w:tc>
            </w:tr>
            <w:tr w14:paraId="4F5CB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88" w:type="dxa"/>
                  <w:noWrap w:val="0"/>
                  <w:vAlign w:val="center"/>
                </w:tcPr>
                <w:p w14:paraId="0CC3D1CB">
                  <w:pPr>
                    <w:jc w:val="center"/>
                    <w:rPr>
                      <w:rFonts w:hint="eastAsia"/>
                      <w:color w:val="000000"/>
                      <w:szCs w:val="21"/>
                    </w:rPr>
                  </w:pPr>
                  <w:r>
                    <w:rPr>
                      <w:rFonts w:hint="eastAsia"/>
                      <w:color w:val="000000"/>
                      <w:szCs w:val="21"/>
                    </w:rPr>
                    <w:t>生活垃圾</w:t>
                  </w:r>
                </w:p>
              </w:tc>
              <w:tc>
                <w:tcPr>
                  <w:tcW w:w="1268" w:type="dxa"/>
                  <w:noWrap w:val="0"/>
                  <w:vAlign w:val="center"/>
                </w:tcPr>
                <w:p w14:paraId="474B0564">
                  <w:pPr>
                    <w:jc w:val="center"/>
                    <w:rPr>
                      <w:rFonts w:hint="eastAsia"/>
                      <w:color w:val="000000"/>
                      <w:szCs w:val="21"/>
                    </w:rPr>
                  </w:pPr>
                  <w:r>
                    <w:rPr>
                      <w:rFonts w:hint="eastAsia"/>
                      <w:color w:val="000000"/>
                      <w:szCs w:val="21"/>
                    </w:rPr>
                    <w:t>生活垃圾</w:t>
                  </w:r>
                </w:p>
              </w:tc>
              <w:tc>
                <w:tcPr>
                  <w:tcW w:w="1009" w:type="dxa"/>
                  <w:noWrap w:val="0"/>
                  <w:vAlign w:val="center"/>
                </w:tcPr>
                <w:p w14:paraId="15369C89">
                  <w:pPr>
                    <w:jc w:val="center"/>
                    <w:rPr>
                      <w:rFonts w:hint="eastAsia" w:eastAsia="宋体"/>
                      <w:color w:val="000000"/>
                      <w:szCs w:val="21"/>
                      <w:lang w:val="en-US" w:eastAsia="zh-CN"/>
                    </w:rPr>
                  </w:pPr>
                  <w:r>
                    <w:rPr>
                      <w:rFonts w:hint="eastAsia"/>
                      <w:color w:val="000000"/>
                      <w:szCs w:val="21"/>
                      <w:lang w:val="en-US" w:eastAsia="zh-CN"/>
                    </w:rPr>
                    <w:t>/</w:t>
                  </w:r>
                </w:p>
              </w:tc>
              <w:tc>
                <w:tcPr>
                  <w:tcW w:w="1313" w:type="dxa"/>
                  <w:noWrap w:val="0"/>
                  <w:vAlign w:val="center"/>
                </w:tcPr>
                <w:p w14:paraId="1C46BF90">
                  <w:pPr>
                    <w:jc w:val="center"/>
                    <w:rPr>
                      <w:rFonts w:hint="eastAsia" w:eastAsia="宋体"/>
                      <w:color w:val="000000"/>
                      <w:szCs w:val="21"/>
                      <w:lang w:val="en-US" w:eastAsia="zh-CN"/>
                    </w:rPr>
                  </w:pPr>
                  <w:r>
                    <w:rPr>
                      <w:rFonts w:hint="eastAsia"/>
                      <w:color w:val="000000"/>
                      <w:szCs w:val="21"/>
                      <w:lang w:val="en-US" w:eastAsia="zh-CN"/>
                    </w:rPr>
                    <w:t>/</w:t>
                  </w:r>
                </w:p>
              </w:tc>
              <w:tc>
                <w:tcPr>
                  <w:tcW w:w="1148" w:type="dxa"/>
                  <w:noWrap w:val="0"/>
                  <w:vAlign w:val="center"/>
                </w:tcPr>
                <w:p w14:paraId="6432B76A">
                  <w:pPr>
                    <w:jc w:val="center"/>
                    <w:rPr>
                      <w:rFonts w:hint="default" w:eastAsia="宋体"/>
                      <w:color w:val="000000"/>
                      <w:szCs w:val="21"/>
                      <w:lang w:val="en-US" w:eastAsia="zh-CN"/>
                    </w:rPr>
                  </w:pPr>
                  <w:r>
                    <w:rPr>
                      <w:rFonts w:hint="eastAsia"/>
                      <w:color w:val="000000"/>
                      <w:szCs w:val="21"/>
                      <w:lang w:val="en-US" w:eastAsia="zh-CN"/>
                    </w:rPr>
                    <w:t>21</w:t>
                  </w:r>
                </w:p>
              </w:tc>
              <w:tc>
                <w:tcPr>
                  <w:tcW w:w="1464" w:type="dxa"/>
                  <w:gridSpan w:val="2"/>
                  <w:noWrap w:val="0"/>
                  <w:vAlign w:val="center"/>
                </w:tcPr>
                <w:p w14:paraId="6EEC74C5">
                  <w:pPr>
                    <w:jc w:val="center"/>
                    <w:rPr>
                      <w:rFonts w:hint="eastAsia"/>
                      <w:color w:val="000000"/>
                      <w:szCs w:val="21"/>
                    </w:rPr>
                  </w:pPr>
                  <w:r>
                    <w:rPr>
                      <w:rFonts w:hint="eastAsia"/>
                      <w:color w:val="000000"/>
                      <w:szCs w:val="21"/>
                    </w:rPr>
                    <w:t>交环卫部门定时清运处理</w:t>
                  </w:r>
                </w:p>
              </w:tc>
            </w:tr>
            <w:tr w14:paraId="72581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2088" w:type="dxa"/>
                  <w:noWrap w:val="0"/>
                  <w:vAlign w:val="center"/>
                </w:tcPr>
                <w:p w14:paraId="79CF93A6">
                  <w:pPr>
                    <w:jc w:val="center"/>
                    <w:rPr>
                      <w:rFonts w:hint="eastAsia" w:eastAsia="宋体"/>
                      <w:color w:val="000000"/>
                      <w:szCs w:val="21"/>
                      <w:lang w:val="en-US" w:eastAsia="zh-CN"/>
                    </w:rPr>
                  </w:pPr>
                  <w:r>
                    <w:rPr>
                      <w:rFonts w:hint="eastAsia"/>
                      <w:color w:val="000000"/>
                      <w:szCs w:val="21"/>
                      <w:lang w:val="en-US" w:eastAsia="zh-CN"/>
                    </w:rPr>
                    <w:t>废机油</w:t>
                  </w:r>
                </w:p>
              </w:tc>
              <w:tc>
                <w:tcPr>
                  <w:tcW w:w="1268" w:type="dxa"/>
                  <w:vMerge w:val="restart"/>
                  <w:noWrap w:val="0"/>
                  <w:vAlign w:val="center"/>
                </w:tcPr>
                <w:p w14:paraId="72FAA6C5">
                  <w:pPr>
                    <w:jc w:val="center"/>
                    <w:rPr>
                      <w:rFonts w:hint="default" w:eastAsia="宋体"/>
                      <w:color w:val="000000"/>
                      <w:szCs w:val="21"/>
                      <w:lang w:val="en-US" w:eastAsia="zh-CN"/>
                    </w:rPr>
                  </w:pPr>
                  <w:r>
                    <w:rPr>
                      <w:rFonts w:hint="eastAsia"/>
                      <w:color w:val="000000"/>
                      <w:szCs w:val="21"/>
                      <w:lang w:val="en-US" w:eastAsia="zh-CN"/>
                    </w:rPr>
                    <w:t>危险废物</w:t>
                  </w:r>
                </w:p>
              </w:tc>
              <w:tc>
                <w:tcPr>
                  <w:tcW w:w="1009" w:type="dxa"/>
                  <w:noWrap w:val="0"/>
                  <w:vAlign w:val="center"/>
                </w:tcPr>
                <w:p w14:paraId="1A062405">
                  <w:pPr>
                    <w:jc w:val="center"/>
                    <w:rPr>
                      <w:color w:val="000000"/>
                      <w:szCs w:val="21"/>
                    </w:rPr>
                  </w:pPr>
                  <w:r>
                    <w:rPr>
                      <w:rFonts w:hint="eastAsia"/>
                      <w:color w:val="000000"/>
                      <w:szCs w:val="21"/>
                      <w:lang w:val="en-US" w:eastAsia="zh-CN"/>
                    </w:rPr>
                    <w:t>HW08</w:t>
                  </w:r>
                </w:p>
              </w:tc>
              <w:tc>
                <w:tcPr>
                  <w:tcW w:w="1313" w:type="dxa"/>
                  <w:noWrap w:val="0"/>
                  <w:vAlign w:val="center"/>
                </w:tcPr>
                <w:p w14:paraId="2A516F1D">
                  <w:pPr>
                    <w:jc w:val="center"/>
                    <w:rPr>
                      <w:rFonts w:hint="eastAsia"/>
                      <w:color w:val="000000"/>
                      <w:szCs w:val="21"/>
                    </w:rPr>
                  </w:pPr>
                  <w:r>
                    <w:rPr>
                      <w:rFonts w:hint="default" w:ascii="Times New Roman" w:hAnsi="Times New Roman" w:cs="Times New Roman"/>
                      <w:bCs/>
                      <w:color w:val="auto"/>
                      <w:sz w:val="21"/>
                      <w:szCs w:val="21"/>
                      <w:highlight w:val="none"/>
                      <w:lang w:val="en-US" w:eastAsia="zh-CN"/>
                    </w:rPr>
                    <w:t>900-214-08</w:t>
                  </w:r>
                </w:p>
              </w:tc>
              <w:tc>
                <w:tcPr>
                  <w:tcW w:w="1148" w:type="dxa"/>
                  <w:noWrap w:val="0"/>
                  <w:vAlign w:val="center"/>
                </w:tcPr>
                <w:p w14:paraId="30ADACED">
                  <w:pPr>
                    <w:jc w:val="center"/>
                    <w:rPr>
                      <w:rFonts w:hint="eastAsia" w:eastAsia="宋体"/>
                      <w:color w:val="000000"/>
                      <w:szCs w:val="21"/>
                      <w:lang w:val="en-US" w:eastAsia="zh-CN"/>
                    </w:rPr>
                  </w:pPr>
                  <w:r>
                    <w:rPr>
                      <w:rFonts w:hint="eastAsia"/>
                      <w:color w:val="000000"/>
                      <w:szCs w:val="21"/>
                      <w:lang w:val="en-US" w:eastAsia="zh-CN"/>
                    </w:rPr>
                    <w:t>0.5</w:t>
                  </w:r>
                </w:p>
              </w:tc>
              <w:tc>
                <w:tcPr>
                  <w:tcW w:w="1464" w:type="dxa"/>
                  <w:gridSpan w:val="2"/>
                  <w:vMerge w:val="restart"/>
                  <w:noWrap w:val="0"/>
                  <w:vAlign w:val="center"/>
                </w:tcPr>
                <w:p w14:paraId="35CC6A7A">
                  <w:pPr>
                    <w:jc w:val="center"/>
                    <w:rPr>
                      <w:rFonts w:hint="eastAsia"/>
                      <w:color w:val="000000"/>
                      <w:szCs w:val="21"/>
                    </w:rPr>
                  </w:pPr>
                  <w:r>
                    <w:rPr>
                      <w:rFonts w:hint="eastAsia"/>
                      <w:color w:val="000000"/>
                      <w:szCs w:val="21"/>
                      <w:lang w:val="en-US" w:eastAsia="zh-CN"/>
                    </w:rPr>
                    <w:t>暂存</w:t>
                  </w:r>
                  <w:r>
                    <w:rPr>
                      <w:rFonts w:hint="eastAsia"/>
                      <w:color w:val="000000"/>
                      <w:szCs w:val="21"/>
                    </w:rPr>
                    <w:t>于</w:t>
                  </w:r>
                  <w:r>
                    <w:rPr>
                      <w:rFonts w:hint="eastAsia"/>
                      <w:color w:val="000000"/>
                      <w:szCs w:val="21"/>
                      <w:lang w:eastAsia="zh-CN"/>
                    </w:rPr>
                    <w:t>危险废物贮存库</w:t>
                  </w:r>
                  <w:r>
                    <w:rPr>
                      <w:rFonts w:hint="eastAsia"/>
                      <w:color w:val="000000"/>
                      <w:szCs w:val="21"/>
                    </w:rPr>
                    <w:t>，由有资质单位回收处置</w:t>
                  </w:r>
                </w:p>
              </w:tc>
            </w:tr>
            <w:tr w14:paraId="1EC73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88" w:type="dxa"/>
                  <w:noWrap w:val="0"/>
                  <w:vAlign w:val="center"/>
                </w:tcPr>
                <w:p w14:paraId="2CCC300E">
                  <w:pPr>
                    <w:jc w:val="center"/>
                    <w:rPr>
                      <w:rFonts w:hint="default" w:eastAsia="宋体"/>
                      <w:color w:val="000000"/>
                      <w:szCs w:val="21"/>
                      <w:lang w:val="en-US" w:eastAsia="zh-CN"/>
                    </w:rPr>
                  </w:pPr>
                  <w:r>
                    <w:rPr>
                      <w:rFonts w:hint="default" w:eastAsia="宋体"/>
                      <w:color w:val="000000"/>
                      <w:szCs w:val="21"/>
                      <w:lang w:val="en-US" w:eastAsia="zh-CN"/>
                    </w:rPr>
                    <w:t>废含油抹布、手套</w:t>
                  </w:r>
                </w:p>
              </w:tc>
              <w:tc>
                <w:tcPr>
                  <w:tcW w:w="1268" w:type="dxa"/>
                  <w:vMerge w:val="continue"/>
                  <w:noWrap w:val="0"/>
                  <w:vAlign w:val="center"/>
                </w:tcPr>
                <w:p w14:paraId="37309CCD">
                  <w:pPr>
                    <w:jc w:val="center"/>
                    <w:rPr>
                      <w:rFonts w:hint="eastAsia"/>
                      <w:color w:val="000000"/>
                      <w:szCs w:val="21"/>
                    </w:rPr>
                  </w:pPr>
                </w:p>
              </w:tc>
              <w:tc>
                <w:tcPr>
                  <w:tcW w:w="1009" w:type="dxa"/>
                  <w:noWrap w:val="0"/>
                  <w:vAlign w:val="center"/>
                </w:tcPr>
                <w:p w14:paraId="48911B07">
                  <w:pPr>
                    <w:jc w:val="center"/>
                    <w:rPr>
                      <w:rFonts w:hint="eastAsia"/>
                      <w:color w:val="000000"/>
                      <w:szCs w:val="21"/>
                      <w:lang w:val="en-US" w:eastAsia="zh-CN"/>
                    </w:rPr>
                  </w:pPr>
                  <w:r>
                    <w:rPr>
                      <w:rFonts w:hint="eastAsia"/>
                      <w:color w:val="000000"/>
                      <w:szCs w:val="21"/>
                    </w:rPr>
                    <w:t>HW49</w:t>
                  </w:r>
                </w:p>
              </w:tc>
              <w:tc>
                <w:tcPr>
                  <w:tcW w:w="1313" w:type="dxa"/>
                  <w:noWrap w:val="0"/>
                  <w:vAlign w:val="center"/>
                </w:tcPr>
                <w:p w14:paraId="39C7FB71">
                  <w:pPr>
                    <w:jc w:val="center"/>
                    <w:rPr>
                      <w:rFonts w:hint="default" w:ascii="Times New Roman" w:hAnsi="Times New Roman" w:cs="Times New Roman"/>
                      <w:bCs/>
                      <w:color w:val="auto"/>
                      <w:sz w:val="21"/>
                      <w:szCs w:val="21"/>
                      <w:highlight w:val="none"/>
                      <w:lang w:val="en-US" w:eastAsia="zh-CN"/>
                    </w:rPr>
                  </w:pPr>
                  <w:r>
                    <w:rPr>
                      <w:rFonts w:hint="eastAsia"/>
                      <w:color w:val="000000"/>
                      <w:szCs w:val="21"/>
                    </w:rPr>
                    <w:t>900-041-49</w:t>
                  </w:r>
                </w:p>
              </w:tc>
              <w:tc>
                <w:tcPr>
                  <w:tcW w:w="1148" w:type="dxa"/>
                  <w:noWrap w:val="0"/>
                  <w:vAlign w:val="center"/>
                </w:tcPr>
                <w:p w14:paraId="41901CB0">
                  <w:pPr>
                    <w:jc w:val="center"/>
                    <w:rPr>
                      <w:rFonts w:hint="default"/>
                      <w:color w:val="000000"/>
                      <w:szCs w:val="21"/>
                      <w:lang w:val="en-US" w:eastAsia="zh-CN"/>
                    </w:rPr>
                  </w:pPr>
                  <w:r>
                    <w:rPr>
                      <w:rFonts w:hint="eastAsia"/>
                      <w:color w:val="000000"/>
                      <w:szCs w:val="21"/>
                      <w:lang w:val="en-US" w:eastAsia="zh-CN"/>
                    </w:rPr>
                    <w:t>0.05</w:t>
                  </w:r>
                </w:p>
              </w:tc>
              <w:tc>
                <w:tcPr>
                  <w:tcW w:w="1464" w:type="dxa"/>
                  <w:gridSpan w:val="2"/>
                  <w:vMerge w:val="continue"/>
                  <w:noWrap w:val="0"/>
                  <w:vAlign w:val="center"/>
                </w:tcPr>
                <w:p w14:paraId="5D1EFFFC">
                  <w:pPr>
                    <w:jc w:val="center"/>
                    <w:rPr>
                      <w:rFonts w:hint="eastAsia"/>
                      <w:color w:val="000000"/>
                      <w:szCs w:val="21"/>
                    </w:rPr>
                  </w:pPr>
                </w:p>
              </w:tc>
            </w:tr>
            <w:tr w14:paraId="73301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88" w:type="dxa"/>
                  <w:noWrap w:val="0"/>
                  <w:vAlign w:val="center"/>
                </w:tcPr>
                <w:p w14:paraId="78A8259D">
                  <w:pPr>
                    <w:jc w:val="center"/>
                    <w:rPr>
                      <w:rFonts w:hint="eastAsia"/>
                      <w:color w:val="000000"/>
                      <w:szCs w:val="21"/>
                      <w:lang w:val="en-US" w:eastAsia="zh-CN"/>
                    </w:rPr>
                  </w:pPr>
                  <w:r>
                    <w:rPr>
                      <w:rFonts w:hint="eastAsia"/>
                      <w:lang w:val="en-US" w:eastAsia="zh-CN"/>
                    </w:rPr>
                    <w:t>废活性炭</w:t>
                  </w:r>
                </w:p>
              </w:tc>
              <w:tc>
                <w:tcPr>
                  <w:tcW w:w="1268" w:type="dxa"/>
                  <w:vMerge w:val="continue"/>
                  <w:noWrap w:val="0"/>
                  <w:vAlign w:val="center"/>
                </w:tcPr>
                <w:p w14:paraId="6E251A45">
                  <w:pPr>
                    <w:jc w:val="center"/>
                    <w:rPr>
                      <w:rFonts w:hint="eastAsia"/>
                      <w:color w:val="000000"/>
                      <w:szCs w:val="21"/>
                    </w:rPr>
                  </w:pPr>
                </w:p>
              </w:tc>
              <w:tc>
                <w:tcPr>
                  <w:tcW w:w="1009" w:type="dxa"/>
                  <w:noWrap w:val="0"/>
                  <w:vAlign w:val="center"/>
                </w:tcPr>
                <w:p w14:paraId="1E4A5E99">
                  <w:pPr>
                    <w:jc w:val="center"/>
                    <w:rPr>
                      <w:rFonts w:hint="eastAsia"/>
                      <w:color w:val="000000"/>
                      <w:szCs w:val="21"/>
                      <w:lang w:val="en-US" w:eastAsia="zh-CN"/>
                    </w:rPr>
                  </w:pPr>
                  <w:r>
                    <w:rPr>
                      <w:rFonts w:hint="eastAsia"/>
                      <w:color w:val="000000"/>
                      <w:szCs w:val="21"/>
                      <w:lang w:val="en-US" w:eastAsia="zh-CN"/>
                    </w:rPr>
                    <w:t>HW49</w:t>
                  </w:r>
                </w:p>
              </w:tc>
              <w:tc>
                <w:tcPr>
                  <w:tcW w:w="1313" w:type="dxa"/>
                  <w:noWrap w:val="0"/>
                  <w:vAlign w:val="center"/>
                </w:tcPr>
                <w:p w14:paraId="108D6277">
                  <w:pPr>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900-039-49</w:t>
                  </w:r>
                </w:p>
              </w:tc>
              <w:tc>
                <w:tcPr>
                  <w:tcW w:w="1148" w:type="dxa"/>
                  <w:noWrap w:val="0"/>
                  <w:vAlign w:val="center"/>
                </w:tcPr>
                <w:p w14:paraId="3C6D35FE">
                  <w:pPr>
                    <w:jc w:val="center"/>
                    <w:rPr>
                      <w:rFonts w:hint="default"/>
                      <w:color w:val="000000"/>
                      <w:szCs w:val="21"/>
                      <w:lang w:val="en-US" w:eastAsia="zh-CN"/>
                    </w:rPr>
                  </w:pPr>
                  <w:r>
                    <w:rPr>
                      <w:rFonts w:hint="eastAsia"/>
                      <w:color w:val="000000"/>
                      <w:szCs w:val="21"/>
                      <w:lang w:val="en-US" w:eastAsia="zh-CN"/>
                    </w:rPr>
                    <w:t>1.55</w:t>
                  </w:r>
                </w:p>
              </w:tc>
              <w:tc>
                <w:tcPr>
                  <w:tcW w:w="1464" w:type="dxa"/>
                  <w:gridSpan w:val="2"/>
                  <w:vMerge w:val="continue"/>
                  <w:noWrap w:val="0"/>
                  <w:vAlign w:val="center"/>
                </w:tcPr>
                <w:p w14:paraId="7320820C">
                  <w:pPr>
                    <w:jc w:val="center"/>
                    <w:rPr>
                      <w:rFonts w:hint="eastAsia"/>
                      <w:color w:val="000000"/>
                      <w:szCs w:val="21"/>
                    </w:rPr>
                  </w:pPr>
                </w:p>
              </w:tc>
            </w:tr>
            <w:tr w14:paraId="54CF7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88" w:type="dxa"/>
                  <w:noWrap w:val="0"/>
                  <w:vAlign w:val="center"/>
                </w:tcPr>
                <w:p w14:paraId="5D29CC31">
                  <w:pPr>
                    <w:jc w:val="center"/>
                    <w:rPr>
                      <w:rFonts w:hint="eastAsia"/>
                      <w:lang w:val="en-US" w:eastAsia="zh-CN"/>
                    </w:rPr>
                  </w:pPr>
                  <w:r>
                    <w:rPr>
                      <w:rFonts w:hint="eastAsia"/>
                      <w:lang w:val="en-US" w:eastAsia="zh-CN"/>
                    </w:rPr>
                    <w:t>废催化剂</w:t>
                  </w:r>
                </w:p>
              </w:tc>
              <w:tc>
                <w:tcPr>
                  <w:tcW w:w="1268" w:type="dxa"/>
                  <w:vMerge w:val="continue"/>
                  <w:noWrap w:val="0"/>
                  <w:vAlign w:val="center"/>
                </w:tcPr>
                <w:p w14:paraId="6AB26041">
                  <w:pPr>
                    <w:jc w:val="center"/>
                    <w:rPr>
                      <w:rFonts w:hint="eastAsia"/>
                      <w:color w:val="000000"/>
                      <w:szCs w:val="21"/>
                    </w:rPr>
                  </w:pPr>
                </w:p>
              </w:tc>
              <w:tc>
                <w:tcPr>
                  <w:tcW w:w="1009" w:type="dxa"/>
                  <w:noWrap w:val="0"/>
                  <w:vAlign w:val="center"/>
                </w:tcPr>
                <w:p w14:paraId="2A1F8054">
                  <w:pPr>
                    <w:jc w:val="center"/>
                    <w:rPr>
                      <w:rFonts w:hint="default"/>
                      <w:color w:val="000000"/>
                      <w:szCs w:val="21"/>
                      <w:lang w:val="en-US" w:eastAsia="zh-CN"/>
                    </w:rPr>
                  </w:pPr>
                  <w:r>
                    <w:rPr>
                      <w:rFonts w:hint="default"/>
                      <w:color w:val="000000"/>
                      <w:szCs w:val="21"/>
                      <w:lang w:val="en-US" w:eastAsia="zh-CN"/>
                    </w:rPr>
                    <w:t>HW50</w:t>
                  </w:r>
                </w:p>
              </w:tc>
              <w:tc>
                <w:tcPr>
                  <w:tcW w:w="1313" w:type="dxa"/>
                  <w:noWrap w:val="0"/>
                  <w:vAlign w:val="center"/>
                </w:tcPr>
                <w:p w14:paraId="41576495">
                  <w:pPr>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900-049-50</w:t>
                  </w:r>
                </w:p>
              </w:tc>
              <w:tc>
                <w:tcPr>
                  <w:tcW w:w="1148" w:type="dxa"/>
                  <w:vMerge w:val="restart"/>
                  <w:noWrap w:val="0"/>
                  <w:vAlign w:val="center"/>
                </w:tcPr>
                <w:p w14:paraId="2BDB7E8B">
                  <w:pPr>
                    <w:jc w:val="center"/>
                    <w:rPr>
                      <w:rFonts w:hint="eastAsia"/>
                      <w:color w:val="000000"/>
                      <w:szCs w:val="21"/>
                      <w:lang w:val="en-US" w:eastAsia="zh-CN"/>
                    </w:rPr>
                  </w:pPr>
                  <w:r>
                    <w:rPr>
                      <w:rFonts w:hint="default" w:ascii="Calibri" w:hAnsi="Calibri" w:eastAsia="宋体" w:cs="Calibri"/>
                      <w:spacing w:val="0"/>
                      <w:sz w:val="21"/>
                      <w:szCs w:val="21"/>
                      <w:lang w:val="en-US" w:eastAsia="zh-CN"/>
                    </w:rPr>
                    <w:t>0.</w:t>
                  </w:r>
                  <w:r>
                    <w:rPr>
                      <w:rFonts w:hint="eastAsia" w:ascii="Calibri" w:hAnsi="Calibri" w:cs="Calibri"/>
                      <w:spacing w:val="0"/>
                      <w:sz w:val="21"/>
                      <w:szCs w:val="21"/>
                      <w:lang w:val="en-US" w:eastAsia="zh-CN"/>
                    </w:rPr>
                    <w:t>5</w:t>
                  </w:r>
                  <w:r>
                    <w:rPr>
                      <w:rFonts w:hint="default" w:ascii="Calibri" w:hAnsi="Calibri" w:eastAsia="宋体" w:cs="Calibri"/>
                      <w:spacing w:val="0"/>
                      <w:sz w:val="21"/>
                      <w:szCs w:val="21"/>
                      <w:lang w:val="en-US" w:eastAsia="zh-CN"/>
                    </w:rPr>
                    <w:t>m</w:t>
                  </w:r>
                  <w:r>
                    <w:rPr>
                      <w:rFonts w:hint="default" w:ascii="Calibri" w:hAnsi="Calibri" w:eastAsia="宋体" w:cs="Calibri"/>
                      <w:spacing w:val="0"/>
                      <w:sz w:val="21"/>
                      <w:szCs w:val="21"/>
                      <w:vertAlign w:val="superscript"/>
                      <w:lang w:val="en-US" w:eastAsia="zh-CN"/>
                    </w:rPr>
                    <w:t>3</w:t>
                  </w:r>
                  <w:r>
                    <w:rPr>
                      <w:rFonts w:hint="default" w:ascii="Calibri" w:hAnsi="Calibri" w:eastAsia="宋体" w:cs="Calibri"/>
                      <w:spacing w:val="0"/>
                      <w:sz w:val="21"/>
                      <w:szCs w:val="21"/>
                      <w:lang w:val="en-US" w:eastAsia="zh-CN"/>
                    </w:rPr>
                    <w:t>/4a</w:t>
                  </w:r>
                </w:p>
              </w:tc>
              <w:tc>
                <w:tcPr>
                  <w:tcW w:w="1464" w:type="dxa"/>
                  <w:gridSpan w:val="2"/>
                  <w:vMerge w:val="continue"/>
                  <w:noWrap w:val="0"/>
                  <w:vAlign w:val="center"/>
                </w:tcPr>
                <w:p w14:paraId="52038071">
                  <w:pPr>
                    <w:jc w:val="center"/>
                    <w:rPr>
                      <w:rFonts w:hint="eastAsia"/>
                      <w:color w:val="000000"/>
                      <w:szCs w:val="21"/>
                    </w:rPr>
                  </w:pPr>
                </w:p>
              </w:tc>
            </w:tr>
            <w:tr w14:paraId="36075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88" w:type="dxa"/>
                  <w:noWrap w:val="0"/>
                  <w:vAlign w:val="center"/>
                </w:tcPr>
                <w:p w14:paraId="6CED0A6B">
                  <w:pPr>
                    <w:jc w:val="center"/>
                    <w:rPr>
                      <w:rFonts w:hint="eastAsia"/>
                      <w:lang w:val="en-US" w:eastAsia="zh-CN"/>
                    </w:rPr>
                  </w:pPr>
                  <w:r>
                    <w:rPr>
                      <w:rFonts w:hint="eastAsia"/>
                      <w:lang w:val="en-US" w:eastAsia="zh-CN"/>
                    </w:rPr>
                    <w:t>废玻璃纤维棉和纸箱过滤器</w:t>
                  </w:r>
                </w:p>
              </w:tc>
              <w:tc>
                <w:tcPr>
                  <w:tcW w:w="1268" w:type="dxa"/>
                  <w:vMerge w:val="continue"/>
                  <w:noWrap w:val="0"/>
                  <w:vAlign w:val="center"/>
                </w:tcPr>
                <w:p w14:paraId="3882CBE2">
                  <w:pPr>
                    <w:jc w:val="center"/>
                    <w:rPr>
                      <w:rFonts w:hint="eastAsia"/>
                      <w:color w:val="000000"/>
                      <w:szCs w:val="21"/>
                    </w:rPr>
                  </w:pPr>
                </w:p>
              </w:tc>
              <w:tc>
                <w:tcPr>
                  <w:tcW w:w="1009" w:type="dxa"/>
                  <w:noWrap w:val="0"/>
                  <w:vAlign w:val="center"/>
                </w:tcPr>
                <w:p w14:paraId="1A9C1EA5">
                  <w:pPr>
                    <w:jc w:val="center"/>
                    <w:rPr>
                      <w:rFonts w:hint="eastAsia"/>
                      <w:color w:val="000000"/>
                      <w:szCs w:val="21"/>
                      <w:lang w:val="en-US" w:eastAsia="zh-CN"/>
                    </w:rPr>
                  </w:pPr>
                  <w:r>
                    <w:rPr>
                      <w:rFonts w:hint="eastAsia"/>
                      <w:color w:val="000000"/>
                      <w:szCs w:val="21"/>
                      <w:lang w:val="en-US" w:eastAsia="zh-CN"/>
                    </w:rPr>
                    <w:t>HW49</w:t>
                  </w:r>
                </w:p>
              </w:tc>
              <w:tc>
                <w:tcPr>
                  <w:tcW w:w="1313" w:type="dxa"/>
                  <w:noWrap w:val="0"/>
                  <w:vAlign w:val="center"/>
                </w:tcPr>
                <w:p w14:paraId="191D8CE5">
                  <w:pPr>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900-04</w:t>
                  </w:r>
                  <w:r>
                    <w:rPr>
                      <w:rFonts w:hint="eastAsia"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lang w:val="en-US" w:eastAsia="zh-CN"/>
                    </w:rPr>
                    <w:t>-49</w:t>
                  </w:r>
                </w:p>
              </w:tc>
              <w:tc>
                <w:tcPr>
                  <w:tcW w:w="1148" w:type="dxa"/>
                  <w:vMerge w:val="continue"/>
                  <w:noWrap w:val="0"/>
                  <w:vAlign w:val="center"/>
                </w:tcPr>
                <w:p w14:paraId="1D38E4CB">
                  <w:pPr>
                    <w:jc w:val="center"/>
                    <w:rPr>
                      <w:rFonts w:hint="default" w:ascii="Calibri" w:hAnsi="Calibri" w:eastAsia="宋体" w:cs="Calibri"/>
                      <w:spacing w:val="0"/>
                      <w:sz w:val="21"/>
                      <w:szCs w:val="21"/>
                      <w:lang w:val="en-US" w:eastAsia="zh-CN"/>
                    </w:rPr>
                  </w:pPr>
                </w:p>
              </w:tc>
              <w:tc>
                <w:tcPr>
                  <w:tcW w:w="1464" w:type="dxa"/>
                  <w:gridSpan w:val="2"/>
                  <w:vMerge w:val="continue"/>
                  <w:noWrap w:val="0"/>
                  <w:vAlign w:val="center"/>
                </w:tcPr>
                <w:p w14:paraId="69F08447">
                  <w:pPr>
                    <w:jc w:val="center"/>
                    <w:rPr>
                      <w:rFonts w:hint="eastAsia"/>
                      <w:color w:val="000000"/>
                      <w:szCs w:val="21"/>
                    </w:rPr>
                  </w:pPr>
                </w:p>
              </w:tc>
            </w:tr>
          </w:tbl>
          <w:p w14:paraId="21695779">
            <w:pPr>
              <w:pStyle w:val="14"/>
              <w:keepNext w:val="0"/>
              <w:keepLines w:val="0"/>
              <w:pageBreakBefore w:val="0"/>
              <w:widowControl w:val="0"/>
              <w:kinsoku/>
              <w:wordWrap/>
              <w:overflowPunct/>
              <w:topLinePunct w:val="0"/>
              <w:autoSpaceDE/>
              <w:autoSpaceDN/>
              <w:bidi w:val="0"/>
              <w:adjustRightInd/>
              <w:snapToGrid/>
              <w:spacing w:line="520" w:lineRule="exact"/>
              <w:ind w:firstLine="556"/>
              <w:textAlignment w:val="auto"/>
              <w:rPr>
                <w:rFonts w:hint="eastAsia"/>
                <w:sz w:val="24"/>
              </w:rPr>
            </w:pPr>
            <w:r>
              <w:rPr>
                <w:rFonts w:hint="eastAsia"/>
                <w:sz w:val="24"/>
              </w:rPr>
              <w:t>综上所述，本项目固体废物都得到</w:t>
            </w:r>
            <w:r>
              <w:rPr>
                <w:rFonts w:hint="eastAsia"/>
                <w:sz w:val="24"/>
                <w:lang w:eastAsia="zh-CN"/>
              </w:rPr>
              <w:t>有效</w:t>
            </w:r>
            <w:r>
              <w:rPr>
                <w:rFonts w:hint="eastAsia"/>
                <w:sz w:val="24"/>
              </w:rPr>
              <w:t>处置，对周围环境影响较小。</w:t>
            </w:r>
          </w:p>
          <w:p w14:paraId="1D3EA9CA">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eastAsia="宋体" w:cs="Times New Roman"/>
                <w:b/>
                <w:bCs/>
                <w:color w:val="auto"/>
                <w:spacing w:val="-4"/>
                <w:sz w:val="24"/>
                <w:szCs w:val="24"/>
                <w:highlight w:val="none"/>
                <w:lang w:val="en-US" w:eastAsia="zh-CN"/>
              </w:rPr>
            </w:pPr>
            <w:r>
              <w:rPr>
                <w:rFonts w:hint="eastAsia" w:ascii="Times New Roman" w:hAnsi="Times New Roman" w:cs="Times New Roman"/>
                <w:b/>
                <w:bCs/>
                <w:color w:val="auto"/>
                <w:spacing w:val="-4"/>
                <w:sz w:val="24"/>
                <w:szCs w:val="24"/>
                <w:highlight w:val="none"/>
                <w:lang w:val="en-US" w:eastAsia="zh-CN"/>
              </w:rPr>
              <w:t>2.固体废物管理要求</w:t>
            </w:r>
          </w:p>
          <w:p w14:paraId="32835F16">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（1）一般固体废物环境管理要求</w:t>
            </w:r>
          </w:p>
          <w:p w14:paraId="635CD25B">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根据《一般工业固体废物贮存和填埋污染控制标准》（GB 18599-2020）要求，针对一般工业固体废物产生、收集、贮存、运输、利用、处置等过程提出以下管理要求：</w:t>
            </w:r>
          </w:p>
          <w:p w14:paraId="7CCBEAA6">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A.建立污染环境防治责任制度</w:t>
            </w:r>
          </w:p>
          <w:p w14:paraId="39A4BE3B">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公司应当建立健全工业固体废物产生、收集、贮存、运输、利用、处置全过程的污染环境防治责任制度。</w:t>
            </w:r>
          </w:p>
          <w:p w14:paraId="57F31D30">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B.制定一般固体废物管理台账</w:t>
            </w:r>
          </w:p>
          <w:p w14:paraId="61567C50">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按照《一般工业固体废物管理台账制定指南（试行）》（公告2021年第82号）建立一般固体废物台账，具体台账要求如下：</w:t>
            </w:r>
          </w:p>
          <w:p w14:paraId="039A4ABE">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①一般工业固体废物管理台账实施分级管理。</w:t>
            </w:r>
          </w:p>
          <w:p w14:paraId="486998A6">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②记录固体废物在产废单位内部的贮存、利用、处置等信息。确保固体废物的来源信息、流向信息完整准确；根据固体废物产生周期，可按日或按班次、批次填写。</w:t>
            </w:r>
          </w:p>
          <w:p w14:paraId="1AFBE945">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③填写台账记录表时，应当根据自身固体废物产生情况，选择对应的固体废物种类和代码，并根据固体废物种类确定固体废物的具体名称。</w:t>
            </w:r>
          </w:p>
          <w:p w14:paraId="481F5978">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④建议建设单位采用国家建立的一般工业固体废物管理电子台账，简化数据填写、台账管理等工作。</w:t>
            </w:r>
          </w:p>
          <w:p w14:paraId="71084399">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⑤台账记录表各表单的负责人对记录信息的真实性、完整性和规范性负责。</w:t>
            </w:r>
          </w:p>
          <w:p w14:paraId="34528077">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⑥设立专人负责台账的管理与归档，一般工业固体废物管理台账保存期限不少于5年。</w:t>
            </w:r>
          </w:p>
          <w:p w14:paraId="0202FBA2">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⑦建议建设单位在固体废物产生场所、贮存场所及磅秤位置等关键点位设置视频监控，提高台账记录信息的准确性。</w:t>
            </w:r>
          </w:p>
          <w:p w14:paraId="30F7CC1A">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C.</w:t>
            </w:r>
            <w:r>
              <w:rPr>
                <w:rFonts w:hint="eastAsia" w:ascii="Times New Roman" w:hAnsi="Times New Roman" w:cs="Times New Roman"/>
                <w:color w:val="auto"/>
                <w:spacing w:val="-4"/>
                <w:sz w:val="24"/>
                <w:szCs w:val="24"/>
                <w:highlight w:val="none"/>
                <w:lang w:eastAsia="zh-CN"/>
              </w:rPr>
              <w:t>一般固体废物贮存库</w:t>
            </w:r>
            <w:r>
              <w:rPr>
                <w:rFonts w:hint="default" w:ascii="Times New Roman" w:hAnsi="Times New Roman" w:cs="Times New Roman"/>
                <w:color w:val="auto"/>
                <w:spacing w:val="-4"/>
                <w:sz w:val="24"/>
                <w:szCs w:val="24"/>
                <w:highlight w:val="none"/>
              </w:rPr>
              <w:t>设置要求</w:t>
            </w:r>
          </w:p>
          <w:p w14:paraId="2175AF45">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①划定</w:t>
            </w:r>
            <w:r>
              <w:rPr>
                <w:rFonts w:hint="eastAsia" w:ascii="Times New Roman" w:hAnsi="Times New Roman" w:cs="Times New Roman"/>
                <w:color w:val="auto"/>
                <w:spacing w:val="-4"/>
                <w:sz w:val="24"/>
                <w:szCs w:val="24"/>
                <w:highlight w:val="none"/>
                <w:lang w:eastAsia="zh-CN"/>
              </w:rPr>
              <w:t>一般固体废物贮存库</w:t>
            </w:r>
            <w:r>
              <w:rPr>
                <w:rFonts w:hint="default" w:ascii="Times New Roman" w:hAnsi="Times New Roman" w:cs="Times New Roman"/>
                <w:color w:val="auto"/>
                <w:spacing w:val="-4"/>
                <w:sz w:val="24"/>
                <w:szCs w:val="24"/>
                <w:highlight w:val="none"/>
              </w:rPr>
              <w:t>1</w:t>
            </w:r>
            <w:r>
              <w:rPr>
                <w:rFonts w:hint="eastAsia" w:ascii="Times New Roman" w:hAnsi="Times New Roman" w:cs="Times New Roman"/>
                <w:color w:val="auto"/>
                <w:spacing w:val="-4"/>
                <w:sz w:val="24"/>
                <w:szCs w:val="24"/>
                <w:highlight w:val="none"/>
                <w:lang w:val="en-US" w:eastAsia="zh-CN"/>
              </w:rPr>
              <w:t>座</w:t>
            </w:r>
            <w:r>
              <w:rPr>
                <w:rFonts w:hint="default" w:ascii="Times New Roman" w:hAnsi="Times New Roman" w:cs="Times New Roman"/>
                <w:color w:val="auto"/>
                <w:spacing w:val="-4"/>
                <w:sz w:val="24"/>
                <w:szCs w:val="24"/>
                <w:highlight w:val="none"/>
              </w:rPr>
              <w:t>，</w:t>
            </w:r>
            <w:r>
              <w:rPr>
                <w:rFonts w:hint="eastAsia" w:ascii="Times New Roman" w:hAnsi="Times New Roman" w:cs="Times New Roman"/>
                <w:color w:val="auto"/>
                <w:spacing w:val="-4"/>
                <w:sz w:val="24"/>
                <w:szCs w:val="24"/>
                <w:highlight w:val="none"/>
                <w:lang w:eastAsia="zh-CN"/>
              </w:rPr>
              <w:t>一般固体废物贮存库</w:t>
            </w:r>
            <w:r>
              <w:rPr>
                <w:rFonts w:hint="default" w:ascii="Times New Roman" w:hAnsi="Times New Roman" w:cs="Times New Roman"/>
                <w:color w:val="auto"/>
                <w:spacing w:val="-4"/>
                <w:sz w:val="24"/>
                <w:szCs w:val="24"/>
                <w:highlight w:val="none"/>
              </w:rPr>
              <w:t>防渗使用水泥地面，且设置在车间内部，可以满足《一般工业固体废物贮存和填埋污染控制标准》（GB 18599-2020）中防渗漏、防雨淋、防扬尘等环境保护要求。</w:t>
            </w:r>
          </w:p>
          <w:p w14:paraId="7C9BC126">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②在</w:t>
            </w:r>
            <w:r>
              <w:rPr>
                <w:rFonts w:hint="eastAsia" w:ascii="Times New Roman" w:hAnsi="Times New Roman" w:cs="Times New Roman"/>
                <w:color w:val="auto"/>
                <w:spacing w:val="-4"/>
                <w:sz w:val="24"/>
                <w:szCs w:val="24"/>
                <w:highlight w:val="none"/>
                <w:lang w:eastAsia="zh-CN"/>
              </w:rPr>
              <w:t>一般固体废物贮存库</w:t>
            </w:r>
            <w:r>
              <w:rPr>
                <w:rFonts w:hint="default" w:ascii="Times New Roman" w:hAnsi="Times New Roman" w:cs="Times New Roman"/>
                <w:color w:val="auto"/>
                <w:spacing w:val="-4"/>
                <w:sz w:val="24"/>
                <w:szCs w:val="24"/>
                <w:highlight w:val="none"/>
              </w:rPr>
              <w:t>显著位置张贴《环境保护图形标志 固体废物贮存（处置）场》（GB 15562.2-1995）要求的环境保护图形标志。</w:t>
            </w:r>
          </w:p>
          <w:p w14:paraId="756634E8">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③危险废物和生活垃圾不得存入</w:t>
            </w:r>
            <w:r>
              <w:rPr>
                <w:rFonts w:hint="eastAsia" w:ascii="Times New Roman" w:hAnsi="Times New Roman" w:cs="Times New Roman"/>
                <w:color w:val="auto"/>
                <w:spacing w:val="-4"/>
                <w:sz w:val="24"/>
                <w:szCs w:val="24"/>
                <w:highlight w:val="none"/>
                <w:lang w:eastAsia="zh-CN"/>
              </w:rPr>
              <w:t>一般固体废物贮存库</w:t>
            </w:r>
            <w:r>
              <w:rPr>
                <w:rFonts w:hint="default" w:ascii="Times New Roman" w:hAnsi="Times New Roman" w:cs="Times New Roman"/>
                <w:color w:val="auto"/>
                <w:spacing w:val="-4"/>
                <w:sz w:val="24"/>
                <w:szCs w:val="24"/>
                <w:highlight w:val="none"/>
              </w:rPr>
              <w:t>。</w:t>
            </w:r>
          </w:p>
          <w:p w14:paraId="15CAC007">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D.委托他人运输、利用、处置工业固体废物要求</w:t>
            </w:r>
          </w:p>
          <w:p w14:paraId="6D79083C">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委托他人运输、利用、处置工业固体废物的，应当对受托方的主体资格和技术能力进行核实，依法签订书面合同，在合同中约定污染防治要求。受托方运输、利用、处置工业固体废物，应当依照有关法律法规的规定和合同约定履行污染防治要求，并将运输、利用、处置情况告知建设单位。</w:t>
            </w:r>
          </w:p>
          <w:p w14:paraId="65D84142">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E.信息公开</w:t>
            </w:r>
          </w:p>
          <w:p w14:paraId="09F5B69C">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建设单位应当依法及时公开固体废物污染环境防治信息，主动接受社会监督。</w:t>
            </w:r>
          </w:p>
          <w:p w14:paraId="76718AE7">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lang w:val="en-US" w:eastAsia="zh-CN"/>
              </w:rPr>
            </w:pPr>
            <w:r>
              <w:rPr>
                <w:rFonts w:hint="eastAsia" w:ascii="Times New Roman" w:hAnsi="Times New Roman" w:cs="Times New Roman"/>
                <w:color w:val="auto"/>
                <w:spacing w:val="-4"/>
                <w:sz w:val="24"/>
                <w:szCs w:val="24"/>
                <w:highlight w:val="none"/>
                <w:lang w:val="en-US" w:eastAsia="zh-CN"/>
              </w:rPr>
              <w:t>F.规范化台账</w:t>
            </w:r>
          </w:p>
          <w:p w14:paraId="711D8E20">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规范全厂一般工业固体废物管理，废膜边角料、废离型膜、废包装袋等全部明确资源化回收去向；建立一般工业固体废物管理台账，记录产生量、内部贮存、外售利用单位、交接记录，做到一般固废产生‑贮存‑流向全过程可追溯。</w:t>
            </w:r>
          </w:p>
          <w:p w14:paraId="10AC7119">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（2）危险废物环境管理要求</w:t>
            </w:r>
          </w:p>
          <w:p w14:paraId="0D710129">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根据《建设项目危险废物环境影响评价指南》（环保部公告2017年第43号），危险废物从产生、收集、贮存、转运、处置等各个环节都可能因管理不善而进入环境，因此，为了使各种危险废物能更好地达到合理合法处置的目的，本评价按照《危险废物贮存污染控制标准》（GB18597-2023）《危险废物转移管理办法》《危险废物识别标志设置技术规范》（HJ1276-2022）等国家相关法律法规，提出相应的治理措施，以进一步规范项目在收集、贮运、处置方式等操作过程。</w:t>
            </w:r>
          </w:p>
          <w:p w14:paraId="1198CAC3">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①收集</w:t>
            </w:r>
          </w:p>
          <w:p w14:paraId="37BB39FF">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危险废物容器和包装物应满足相应的防渗、防漏、防腐和强度等要求；</w:t>
            </w:r>
          </w:p>
          <w:p w14:paraId="30C1C31F">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硬质容器和包装物及其支护结构堆叠码放时不应有明显变形，无破损泄漏；</w:t>
            </w:r>
          </w:p>
          <w:p w14:paraId="7E758A38">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柔性容器和包装物堆叠码放时应封口严密，无破损泄漏；</w:t>
            </w:r>
          </w:p>
          <w:p w14:paraId="705F69E0">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使用容器盛装液态、半固态危险废物时，容器内部应留有适当的空间，以适应因温度变化等可能引发的收缩和膨胀，防止其导致容器渗漏或永久变形；</w:t>
            </w:r>
          </w:p>
          <w:p w14:paraId="6646FF12">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容器和包装物外表面应保持清洁。</w:t>
            </w:r>
          </w:p>
          <w:p w14:paraId="3C094D69">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厂内产生危险废物应分类收集；原料拆包、设备检修、废气治理更换废物过程中，若发现来料物料中混入危险废物，应立即隔离，单独密闭包装、贴标签，禁止与一般固废混杂，按对应危险废物类别纳入危废库贮存，后续委托有资质单位处置，并做好异常来料记录台账。</w:t>
            </w:r>
          </w:p>
          <w:p w14:paraId="518C75FD">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②贮存</w:t>
            </w:r>
          </w:p>
          <w:p w14:paraId="5F147DDE">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产生、收集、贮存、利用、处置危险废物的单位应建造危险废物贮存设施或设置贮存场所，并根据需要选择贮存设施类型。本项目厂区拟设置一座占地面积为 50 m² 的危险废物贮存库，危险废物贮存库严格执行《危险废物贮存污染控制标准》（GB18597-2023）相关要求，严禁露天堆放危险废物。</w:t>
            </w:r>
          </w:p>
          <w:p w14:paraId="04AE1D4B">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贮存危险废物应根据危险废物的类别、数量、形态、物理化学性质和环境风险等因素，确定贮存设施或场所类型和规模；按废物类别设置独立贮存分区，设置分区围堰、隔离隔断，避免不相容危险废物直接接触、混合存放。</w:t>
            </w:r>
          </w:p>
          <w:p w14:paraId="17765B22">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贮存危险废物应根据危险废物的形态、物理化学性质、包装形式和污染物迁移途径，采取措施减少渗滤液、渗漏液、颗粒物、VOCs、有毒有害大气污染物和刺激性气味气体等污染物的产生，防止其污染环境。本项目废活性炭、废机油、废胶渣等危险废物盛装在密闭塑料包装 / 容器内，防止有机组分挥发、物料渗漏。</w:t>
            </w:r>
          </w:p>
          <w:p w14:paraId="52AB45CD">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危险废物贮存过程中产生的液态废物和固态废物应分类收集，按环境管理要求妥善处理。</w:t>
            </w:r>
          </w:p>
          <w:p w14:paraId="7CE73D97">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贮存设施地面与裙脚采用坚固、防渗、与危废相容的材料建造；地面、裙脚、围堰等防渗层采用至少1 m厚黏土层（渗透系数≤10⁻⁷ cm/s）或≥2 mm厚高密度聚乙烯膜人工防渗材料（渗透系数≤10⁻¹⁰ cm/s），或等效防渗材料；贮存库落实防风、防晒、防雨、防漏，设置泄漏液体收集围堰。</w:t>
            </w:r>
          </w:p>
          <w:p w14:paraId="3961E47E">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贮存设施或场所、容器和包装物应按《危险废物识别标志设置技术规范》（HJ1276‑2022）的要求设置危险废物贮存设施标志、贮存分区标志和危险废物标签。</w:t>
            </w:r>
          </w:p>
          <w:p w14:paraId="637903C1">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《危险废物管理计划和管理台账制定技术导则》（HJ 1259‑2022）规定的危险废物环境单位，应</w:t>
            </w:r>
            <w:r>
              <w:rPr>
                <w:rFonts w:hint="eastAsia" w:cs="Times New Roman"/>
                <w:color w:val="auto"/>
                <w:spacing w:val="-4"/>
                <w:sz w:val="24"/>
                <w:szCs w:val="24"/>
                <w:highlight w:val="none"/>
                <w:lang w:eastAsia="zh-CN"/>
              </w:rPr>
              <w:t>采用</w:t>
            </w:r>
            <w:r>
              <w:rPr>
                <w:rFonts w:hint="default" w:ascii="Times New Roman" w:hAnsi="Times New Roman" w:cs="Times New Roman"/>
                <w:color w:val="auto"/>
                <w:spacing w:val="-4"/>
                <w:sz w:val="24"/>
                <w:szCs w:val="24"/>
                <w:highlight w:val="none"/>
              </w:rPr>
              <w:t>基础台账+视频监控等技术手段对危险废物贮存过程进行信息化管理，确保数据完整、真实、准确；采用视频监控的应确保监控画面清晰，视频记录保存时间至少为3个月。</w:t>
            </w:r>
          </w:p>
          <w:p w14:paraId="27B2EAD6">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贮存设施退役时，所有者或运营者应依法履行环境保护责任，退役前应妥善处理处置贮存设施内剩余的危险废物，并对贮存设施进行清理，消除污染；还应依据土壤污染防治相关法律法规履行场地环境风险防控责任。</w:t>
            </w:r>
          </w:p>
          <w:p w14:paraId="3CC9A46E">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在常温常压下易爆、易燃及排出有毒气体的危险废物应进行预处理，使之稳定后贮存，否则应按易爆、易燃危险品贮存。</w:t>
            </w:r>
          </w:p>
          <w:p w14:paraId="2F5A20B0">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危险废物贮存除应满足环境保护相关要求外，还应执行国家安全生产、职业健康、交通运输、消防等法律法规和标准的相关要求。</w:t>
            </w:r>
          </w:p>
          <w:p w14:paraId="45C299A2">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③厂内转运与外部转移</w:t>
            </w:r>
          </w:p>
          <w:p w14:paraId="3A84EA7F">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危险废物从产生工位转运至危废贮存库过程，采用密闭容器转运，防止散落、泄漏；危险废物外运处置必须委托持有相应危险废物经营许可证的单位，严格执行危险废物电子转移联单制度，不得交由无资质单位处置，完整记录危险废物产生、贮存、转移、处置全流程信息。</w:t>
            </w:r>
          </w:p>
          <w:p w14:paraId="0005772D">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④台账管理</w:t>
            </w:r>
          </w:p>
          <w:p w14:paraId="5CFFCB88">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建立危险废物全过程管理台账，如实记录危险废物产生种类、数量、产生时间、贮存、厂内转运、委托处置去向、转移联单等信息，台账保存期限不少于5年。</w:t>
            </w:r>
          </w:p>
          <w:p w14:paraId="2B688D17">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pacing w:val="-4"/>
                <w:sz w:val="24"/>
                <w:szCs w:val="24"/>
                <w:highlight w:val="none"/>
              </w:rPr>
            </w:pPr>
            <w:r>
              <w:rPr>
                <w:rFonts w:hint="default" w:ascii="Times New Roman" w:hAnsi="Times New Roman" w:cs="Times New Roman"/>
                <w:color w:val="auto"/>
                <w:spacing w:val="-4"/>
                <w:sz w:val="24"/>
                <w:szCs w:val="24"/>
                <w:highlight w:val="none"/>
              </w:rPr>
              <w:t>⑤制度建设</w:t>
            </w:r>
          </w:p>
          <w:p w14:paraId="542B4C5A">
            <w:pPr>
              <w:keepNext w:val="0"/>
              <w:keepLines w:val="0"/>
              <w:pageBreakBefore w:val="0"/>
              <w:widowControl w:val="0"/>
              <w:shd w:val="clear" w:color="auto" w:fill="auto"/>
              <w:kinsoku/>
              <w:wordWrap/>
              <w:overflowPunct/>
              <w:topLinePunct w:val="0"/>
              <w:autoSpaceDE/>
              <w:autoSpaceDN/>
              <w:bidi w:val="0"/>
              <w:spacing w:line="520" w:lineRule="exact"/>
              <w:ind w:firstLine="480"/>
              <w:textAlignment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4"/>
                <w:sz w:val="24"/>
                <w:szCs w:val="24"/>
                <w:highlight w:val="none"/>
              </w:rPr>
              <w:t>危险废物贮存库门上张贴危险废物警告标志，库内张贴危险废物管理制度、应急处置操作规程；配备沙土、吸附棉等应急物资，用于发生泄漏时应急处置。</w:t>
            </w:r>
          </w:p>
          <w:p w14:paraId="4D10F594">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生活垃圾防治措施</w:t>
            </w:r>
          </w:p>
          <w:p w14:paraId="0EA772DA">
            <w:pPr>
              <w:keepNext w:val="0"/>
              <w:keepLines w:val="0"/>
              <w:pageBreakBefore w:val="0"/>
              <w:widowControl w:val="0"/>
              <w:kinsoku/>
              <w:wordWrap/>
              <w:overflowPunct/>
              <w:topLinePunct w:val="0"/>
              <w:autoSpaceDE/>
              <w:autoSpaceDN/>
              <w:bidi w:val="0"/>
              <w:spacing w:line="520" w:lineRule="exact"/>
              <w:ind w:firstLine="480" w:firstLineChars="200"/>
              <w:jc w:val="both"/>
              <w:rPr>
                <w:rFonts w:hint="eastAsia" w:cs="Times New Roman"/>
                <w:color w:val="auto"/>
                <w:sz w:val="24"/>
                <w:szCs w:val="24"/>
                <w:highlight w:val="none"/>
                <w:lang w:eastAsia="zh-CN"/>
              </w:rPr>
            </w:pPr>
            <w:r>
              <w:rPr>
                <w:rFonts w:hint="default" w:ascii="Times New Roman" w:hAnsi="Times New Roman" w:cs="Times New Roman"/>
                <w:color w:val="auto"/>
                <w:sz w:val="24"/>
                <w:szCs w:val="24"/>
                <w:highlight w:val="none"/>
              </w:rPr>
              <w:t>项目厂区生活办公楼内设置室内垃圾桶收集生活垃圾，厂区内设置环保垃圾箱对生活垃圾集中分类收集</w:t>
            </w:r>
            <w:r>
              <w:rPr>
                <w:rFonts w:hint="eastAsia" w:ascii="Times New Roman" w:hAnsi="Times New Roman" w:cs="Times New Roman"/>
                <w:color w:val="auto"/>
                <w:sz w:val="24"/>
                <w:szCs w:val="24"/>
                <w:highlight w:val="none"/>
                <w:lang w:val="en-US" w:eastAsia="zh-CN"/>
              </w:rPr>
              <w:t>后</w:t>
            </w:r>
            <w:r>
              <w:rPr>
                <w:rFonts w:hint="default" w:ascii="Times New Roman" w:hAnsi="Times New Roman" w:cs="Times New Roman"/>
                <w:color w:val="auto"/>
                <w:sz w:val="24"/>
                <w:szCs w:val="24"/>
                <w:highlight w:val="none"/>
              </w:rPr>
              <w:t>，交由环卫部门处置</w:t>
            </w:r>
            <w:r>
              <w:rPr>
                <w:rFonts w:hint="eastAsia" w:cs="Times New Roman"/>
                <w:color w:val="auto"/>
                <w:sz w:val="24"/>
                <w:szCs w:val="24"/>
                <w:highlight w:val="none"/>
                <w:lang w:eastAsia="zh-CN"/>
              </w:rPr>
              <w:t>。</w:t>
            </w:r>
          </w:p>
          <w:p w14:paraId="103192BA">
            <w:pPr>
              <w:keepNext w:val="0"/>
              <w:keepLines w:val="0"/>
              <w:pageBreakBefore w:val="0"/>
              <w:widowControl w:val="0"/>
              <w:kinsoku/>
              <w:wordWrap/>
              <w:overflowPunct/>
              <w:topLinePunct w:val="0"/>
              <w:autoSpaceDE/>
              <w:autoSpaceDN/>
              <w:bidi w:val="0"/>
              <w:adjustRightInd/>
              <w:snapToGrid/>
              <w:spacing w:line="520" w:lineRule="exact"/>
              <w:textAlignment w:val="auto"/>
              <w:rPr>
                <w:b/>
                <w:sz w:val="24"/>
              </w:rPr>
            </w:pPr>
            <w:r>
              <w:rPr>
                <w:b/>
                <w:sz w:val="24"/>
              </w:rPr>
              <w:t>（五）地下水、土壤环境影响分析</w:t>
            </w:r>
          </w:p>
          <w:p w14:paraId="4DE0D8C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sz w:val="24"/>
              </w:rPr>
            </w:pPr>
            <w:r>
              <w:rPr>
                <w:rFonts w:hint="eastAsia"/>
                <w:sz w:val="24"/>
              </w:rPr>
              <w:t>建设单位对</w:t>
            </w:r>
            <w:r>
              <w:rPr>
                <w:rFonts w:hint="eastAsia"/>
                <w:sz w:val="24"/>
                <w:lang w:val="en-US" w:eastAsia="zh-CN"/>
              </w:rPr>
              <w:t>生产车间</w:t>
            </w:r>
            <w:r>
              <w:rPr>
                <w:rFonts w:hint="eastAsia"/>
                <w:sz w:val="24"/>
                <w:lang w:eastAsia="zh-CN"/>
              </w:rPr>
              <w:t>、</w:t>
            </w:r>
            <w:r>
              <w:rPr>
                <w:rFonts w:hint="eastAsia"/>
                <w:sz w:val="24"/>
                <w:lang w:val="en-US" w:eastAsia="zh-CN"/>
              </w:rPr>
              <w:t>化粪池、危险废物贮存库</w:t>
            </w:r>
            <w:r>
              <w:rPr>
                <w:rFonts w:hint="eastAsia"/>
                <w:sz w:val="24"/>
              </w:rPr>
              <w:t>均做防渗防漏处理后，其</w:t>
            </w:r>
            <w:r>
              <w:rPr>
                <w:rFonts w:hint="eastAsia"/>
                <w:sz w:val="24"/>
                <w:lang w:val="en-US" w:eastAsia="zh-CN"/>
              </w:rPr>
              <w:t>原辅料、</w:t>
            </w:r>
            <w:r>
              <w:rPr>
                <w:rFonts w:hint="eastAsia"/>
                <w:sz w:val="24"/>
              </w:rPr>
              <w:t>废水、危险废物正常情况下不直接下渗入地面，可杜绝地下水、土壤的污染途径。</w:t>
            </w:r>
          </w:p>
          <w:p w14:paraId="2EC2D908">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b/>
                <w:bCs/>
                <w:sz w:val="24"/>
              </w:rPr>
            </w:pPr>
            <w:r>
              <w:rPr>
                <w:rFonts w:hint="eastAsia"/>
                <w:b/>
                <w:bCs/>
                <w:sz w:val="24"/>
              </w:rPr>
              <w:t>地下水、土壤污染防治措施：</w:t>
            </w:r>
          </w:p>
          <w:p w14:paraId="1CD073B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（1）分区控制措施</w:t>
            </w:r>
          </w:p>
          <w:p w14:paraId="538EA11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根据厂址各生产、生活功能单元可能产生污染的地区，对厂区可能</w:t>
            </w:r>
            <w:r>
              <w:rPr>
                <w:rFonts w:hint="eastAsia"/>
                <w:sz w:val="24"/>
                <w:lang w:eastAsia="zh-CN"/>
              </w:rPr>
              <w:t>泄漏</w:t>
            </w:r>
            <w:r>
              <w:rPr>
                <w:rFonts w:hint="eastAsia"/>
                <w:sz w:val="24"/>
              </w:rPr>
              <w:t>污染物的地面进行防渗处理，可有效</w:t>
            </w:r>
            <w:r>
              <w:rPr>
                <w:rFonts w:hint="eastAsia"/>
                <w:sz w:val="24"/>
                <w:lang w:eastAsia="zh-CN"/>
              </w:rPr>
              <w:t>防止</w:t>
            </w:r>
            <w:r>
              <w:rPr>
                <w:rFonts w:hint="eastAsia"/>
                <w:sz w:val="24"/>
              </w:rPr>
              <w:t>污染物渗入地下，并及时地将</w:t>
            </w:r>
            <w:r>
              <w:rPr>
                <w:rFonts w:hint="eastAsia"/>
                <w:sz w:val="24"/>
                <w:lang w:eastAsia="zh-CN"/>
              </w:rPr>
              <w:t>泄漏</w:t>
            </w:r>
            <w:r>
              <w:rPr>
                <w:rFonts w:hint="eastAsia"/>
                <w:sz w:val="24"/>
              </w:rPr>
              <w:t>、渗漏的污染物收集并进行集中处理。根据厂区各建筑物功能，将厂区划分为重点防渗区、一般防渗区和简单防渗区。</w:t>
            </w:r>
          </w:p>
          <w:p w14:paraId="0D0911F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①重点防渗区</w:t>
            </w:r>
          </w:p>
          <w:p w14:paraId="6E752BC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eastAsia="宋体"/>
                <w:sz w:val="24"/>
                <w:lang w:val="en-US" w:eastAsia="zh-CN"/>
              </w:rPr>
            </w:pPr>
            <w:r>
              <w:rPr>
                <w:rFonts w:hint="eastAsia"/>
                <w:sz w:val="24"/>
              </w:rPr>
              <w:t>指对地下水有污染的物料或者污染物</w:t>
            </w:r>
            <w:r>
              <w:rPr>
                <w:rFonts w:hint="eastAsia"/>
                <w:sz w:val="24"/>
                <w:lang w:eastAsia="zh-CN"/>
              </w:rPr>
              <w:t>泄漏</w:t>
            </w:r>
            <w:r>
              <w:rPr>
                <w:rFonts w:hint="eastAsia"/>
                <w:sz w:val="24"/>
              </w:rPr>
              <w:t>后，不能及时发现和处理的</w:t>
            </w:r>
            <w:r>
              <w:rPr>
                <w:rFonts w:hint="eastAsia"/>
                <w:sz w:val="24"/>
                <w:lang w:val="en-US" w:eastAsia="zh-CN"/>
              </w:rPr>
              <w:t>区域</w:t>
            </w:r>
            <w:r>
              <w:rPr>
                <w:rFonts w:hint="eastAsia"/>
                <w:sz w:val="24"/>
              </w:rPr>
              <w:t>或者部位，主要包括</w:t>
            </w:r>
            <w:r>
              <w:rPr>
                <w:rFonts w:hint="eastAsia"/>
                <w:sz w:val="24"/>
                <w:lang w:eastAsia="zh-CN"/>
              </w:rPr>
              <w:t>危险废物贮存库</w:t>
            </w:r>
            <w:r>
              <w:rPr>
                <w:rFonts w:hint="eastAsia"/>
                <w:sz w:val="24"/>
              </w:rPr>
              <w:t>。</w:t>
            </w:r>
            <w:r>
              <w:rPr>
                <w:rFonts w:hint="eastAsia"/>
                <w:sz w:val="24"/>
                <w:lang w:val="en-US" w:eastAsia="zh-CN"/>
              </w:rPr>
              <w:t>危险废物贮存库应根据</w:t>
            </w:r>
            <w:r>
              <w:rPr>
                <w:sz w:val="24"/>
              </w:rPr>
              <w:t>《危险废物贮存污染控制标准》（GB18597-20</w:t>
            </w:r>
            <w:r>
              <w:rPr>
                <w:rFonts w:hint="eastAsia"/>
                <w:sz w:val="24"/>
                <w:lang w:val="en-US" w:eastAsia="zh-CN"/>
              </w:rPr>
              <w:t>23</w:t>
            </w:r>
            <w:r>
              <w:rPr>
                <w:sz w:val="24"/>
              </w:rPr>
              <w:t>）</w:t>
            </w:r>
            <w:r>
              <w:rPr>
                <w:rFonts w:hint="eastAsia"/>
                <w:sz w:val="24"/>
                <w:lang w:val="en-US" w:eastAsia="zh-CN"/>
              </w:rPr>
              <w:t>中要求，表面防渗材料应与所接触的物料或污染物相容，采用抗渗混凝土、高密度聚乙烯膜、钠基膨润土防水毯或其他防渗性能等效的材料。贮存的危险废物直接接触地面的，还应进行基础防渗，防渗层为至少1m厚黏土层（渗透系数不大于10</w:t>
            </w:r>
            <w:r>
              <w:rPr>
                <w:rFonts w:hint="eastAsia"/>
                <w:sz w:val="24"/>
                <w:vertAlign w:val="superscript"/>
                <w:lang w:val="en-US" w:eastAsia="zh-CN"/>
              </w:rPr>
              <w:t>-7</w:t>
            </w:r>
            <w:r>
              <w:rPr>
                <w:rFonts w:hint="eastAsia"/>
                <w:sz w:val="24"/>
                <w:lang w:val="en-US" w:eastAsia="zh-CN"/>
              </w:rPr>
              <w:t xml:space="preserve"> cm/s），或至少2mm厚高密度聚乙烯膜等人工防渗材料（渗透系数不大于10</w:t>
            </w:r>
            <w:r>
              <w:rPr>
                <w:rFonts w:hint="eastAsia"/>
                <w:sz w:val="24"/>
                <w:vertAlign w:val="superscript"/>
                <w:lang w:val="en-US" w:eastAsia="zh-CN"/>
              </w:rPr>
              <w:t xml:space="preserve">-10 </w:t>
            </w:r>
            <w:r>
              <w:rPr>
                <w:rFonts w:hint="eastAsia"/>
                <w:sz w:val="24"/>
                <w:lang w:val="en-US" w:eastAsia="zh-CN"/>
              </w:rPr>
              <w:t>cm/s），或其他防渗性能等效的材料。</w:t>
            </w:r>
          </w:p>
          <w:p w14:paraId="6E1E7E6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②一般防渗区</w:t>
            </w:r>
          </w:p>
          <w:p w14:paraId="5DC3574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指对地下水环境有污染的物料或者污染物</w:t>
            </w:r>
            <w:r>
              <w:rPr>
                <w:rFonts w:hint="eastAsia"/>
                <w:sz w:val="24"/>
                <w:lang w:eastAsia="zh-CN"/>
              </w:rPr>
              <w:t>泄漏</w:t>
            </w:r>
            <w:r>
              <w:rPr>
                <w:rFonts w:hint="eastAsia"/>
                <w:sz w:val="24"/>
              </w:rPr>
              <w:t>后，可及时发现和处理的区域或部位，主要为</w:t>
            </w:r>
            <w:r>
              <w:rPr>
                <w:rFonts w:hint="eastAsia"/>
                <w:sz w:val="24"/>
                <w:lang w:eastAsia="zh-CN"/>
              </w:rPr>
              <w:t>一般固体废物贮存库、化粪池、</w:t>
            </w:r>
            <w:r>
              <w:rPr>
                <w:rFonts w:hint="eastAsia"/>
                <w:sz w:val="24"/>
                <w:lang w:val="en-US" w:eastAsia="zh-CN"/>
              </w:rPr>
              <w:t>生产车间</w:t>
            </w:r>
            <w:r>
              <w:rPr>
                <w:rFonts w:hint="eastAsia"/>
                <w:sz w:val="24"/>
              </w:rPr>
              <w:t>。该区域防渗技术要求：等效黏土防渗层Mb≥1.5m，K≤1×10</w:t>
            </w:r>
            <w:r>
              <w:rPr>
                <w:rFonts w:hint="eastAsia"/>
                <w:sz w:val="24"/>
                <w:vertAlign w:val="superscript"/>
              </w:rPr>
              <w:t>-7</w:t>
            </w:r>
            <w:r>
              <w:rPr>
                <w:rFonts w:hint="eastAsia"/>
                <w:sz w:val="24"/>
              </w:rPr>
              <w:t>cm/s或参照GB16889执行。</w:t>
            </w:r>
          </w:p>
          <w:p w14:paraId="723E8B0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③简单防渗区</w:t>
            </w:r>
          </w:p>
          <w:p w14:paraId="1546AB4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项目简单防渗区主要为</w:t>
            </w:r>
            <w:r>
              <w:rPr>
                <w:rFonts w:hint="eastAsia"/>
                <w:sz w:val="24"/>
                <w:lang w:val="en-US" w:eastAsia="zh-CN"/>
              </w:rPr>
              <w:t>堆仓</w:t>
            </w:r>
            <w:r>
              <w:rPr>
                <w:rFonts w:hint="eastAsia"/>
                <w:sz w:val="24"/>
              </w:rPr>
              <w:t>不会对地下水环境造成污染或可能产生轻微污染的，采取的防渗措施为</w:t>
            </w:r>
            <w:r>
              <w:rPr>
                <w:sz w:val="24"/>
              </w:rPr>
              <w:t>地面混凝土</w:t>
            </w:r>
            <w:r>
              <w:rPr>
                <w:rFonts w:hint="eastAsia"/>
                <w:sz w:val="24"/>
                <w:lang w:eastAsia="zh-CN"/>
              </w:rPr>
              <w:t>浇筑</w:t>
            </w:r>
            <w:r>
              <w:rPr>
                <w:sz w:val="24"/>
              </w:rPr>
              <w:t>底板，达到</w:t>
            </w:r>
            <w:r>
              <w:rPr>
                <w:rFonts w:hint="eastAsia"/>
                <w:sz w:val="24"/>
              </w:rPr>
              <w:t>简单防渗</w:t>
            </w:r>
            <w:r>
              <w:rPr>
                <w:sz w:val="24"/>
              </w:rPr>
              <w:t>要求</w:t>
            </w:r>
            <w:r>
              <w:rPr>
                <w:rFonts w:hint="eastAsia"/>
                <w:sz w:val="24"/>
              </w:rPr>
              <w:t>。</w:t>
            </w:r>
          </w:p>
          <w:p w14:paraId="18C74B8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eastAsia="宋体"/>
                <w:sz w:val="24"/>
                <w:lang w:eastAsia="zh-CN"/>
              </w:rPr>
            </w:pPr>
            <w:r>
              <w:rPr>
                <w:rFonts w:hint="eastAsia"/>
                <w:sz w:val="24"/>
              </w:rPr>
              <w:t>针对不同的防渗区域采取不同防渗措施，并给出不同分区的具体防渗要求。项目分区防渗要求见</w:t>
            </w:r>
            <w:r>
              <w:rPr>
                <w:rFonts w:hint="eastAsia"/>
                <w:sz w:val="24"/>
                <w:lang w:eastAsia="zh-CN"/>
              </w:rPr>
              <w:t>下表。</w:t>
            </w:r>
          </w:p>
          <w:p w14:paraId="185E1498">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eastAsia="宋体"/>
                <w:b/>
                <w:bCs/>
                <w:sz w:val="24"/>
                <w:lang w:val="en-US" w:eastAsia="zh-CN"/>
              </w:rPr>
            </w:pPr>
            <w:r>
              <w:rPr>
                <w:rFonts w:hint="eastAsia"/>
                <w:b/>
                <w:bCs/>
                <w:sz w:val="24"/>
                <w:lang w:eastAsia="zh-CN"/>
              </w:rPr>
              <w:t>表</w:t>
            </w:r>
            <w:r>
              <w:rPr>
                <w:rFonts w:hint="eastAsia"/>
                <w:b/>
                <w:bCs/>
                <w:sz w:val="24"/>
                <w:lang w:val="en-US" w:eastAsia="zh-CN"/>
              </w:rPr>
              <w:t>4-10   厂区主要设施采取的防渗措施</w:t>
            </w:r>
          </w:p>
          <w:tbl>
            <w:tblPr>
              <w:tblStyle w:val="24"/>
              <w:tblW w:w="851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67"/>
              <w:gridCol w:w="1682"/>
              <w:gridCol w:w="5562"/>
            </w:tblGrid>
            <w:tr w14:paraId="16A60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49" w:type="dxa"/>
                  <w:gridSpan w:val="2"/>
                  <w:noWrap w:val="0"/>
                  <w:vAlign w:val="center"/>
                </w:tcPr>
                <w:p w14:paraId="642CD9A5">
                  <w:pPr>
                    <w:jc w:val="center"/>
                    <w:rPr>
                      <w:rFonts w:hint="eastAsia"/>
                      <w:color w:val="000000"/>
                      <w:szCs w:val="21"/>
                      <w:lang w:eastAsia="zh-CN"/>
                    </w:rPr>
                  </w:pPr>
                  <w:r>
                    <w:rPr>
                      <w:rFonts w:hint="eastAsia"/>
                      <w:color w:val="000000"/>
                      <w:szCs w:val="21"/>
                      <w:lang w:eastAsia="zh-CN"/>
                    </w:rPr>
                    <w:t>防渗区域</w:t>
                  </w:r>
                </w:p>
              </w:tc>
              <w:tc>
                <w:tcPr>
                  <w:tcW w:w="5562" w:type="dxa"/>
                  <w:noWrap w:val="0"/>
                  <w:vAlign w:val="center"/>
                </w:tcPr>
                <w:p w14:paraId="5BADD412">
                  <w:pPr>
                    <w:jc w:val="center"/>
                    <w:rPr>
                      <w:rFonts w:hint="eastAsia" w:eastAsia="宋体"/>
                      <w:color w:val="000000"/>
                      <w:szCs w:val="21"/>
                      <w:lang w:eastAsia="zh-CN"/>
                    </w:rPr>
                  </w:pPr>
                  <w:r>
                    <w:rPr>
                      <w:rFonts w:hint="eastAsia"/>
                      <w:color w:val="000000"/>
                      <w:szCs w:val="21"/>
                      <w:lang w:eastAsia="zh-CN"/>
                    </w:rPr>
                    <w:t>具体要求</w:t>
                  </w:r>
                </w:p>
              </w:tc>
            </w:tr>
            <w:tr w14:paraId="0FA33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67" w:type="dxa"/>
                  <w:noWrap w:val="0"/>
                  <w:vAlign w:val="center"/>
                </w:tcPr>
                <w:p w14:paraId="5E431807">
                  <w:pPr>
                    <w:jc w:val="center"/>
                    <w:rPr>
                      <w:rFonts w:hint="eastAsia" w:eastAsia="宋体"/>
                      <w:color w:val="000000"/>
                      <w:szCs w:val="21"/>
                      <w:lang w:eastAsia="zh-CN"/>
                    </w:rPr>
                  </w:pPr>
                  <w:r>
                    <w:rPr>
                      <w:rFonts w:hint="eastAsia"/>
                      <w:color w:val="000000"/>
                      <w:szCs w:val="21"/>
                      <w:lang w:eastAsia="zh-CN"/>
                    </w:rPr>
                    <w:t>重点防渗区</w:t>
                  </w:r>
                </w:p>
              </w:tc>
              <w:tc>
                <w:tcPr>
                  <w:tcW w:w="1682" w:type="dxa"/>
                  <w:noWrap w:val="0"/>
                  <w:vAlign w:val="center"/>
                </w:tcPr>
                <w:p w14:paraId="0FF81B58">
                  <w:pPr>
                    <w:jc w:val="center"/>
                    <w:rPr>
                      <w:rFonts w:hint="eastAsia" w:eastAsia="宋体"/>
                      <w:color w:val="000000"/>
                      <w:sz w:val="21"/>
                      <w:szCs w:val="21"/>
                      <w:lang w:eastAsia="zh-CN"/>
                    </w:rPr>
                  </w:pPr>
                  <w:r>
                    <w:rPr>
                      <w:rFonts w:hint="eastAsia"/>
                      <w:color w:val="000000"/>
                      <w:sz w:val="21"/>
                      <w:szCs w:val="21"/>
                      <w:lang w:eastAsia="zh-CN"/>
                    </w:rPr>
                    <w:t>危险废物贮存库</w:t>
                  </w:r>
                </w:p>
              </w:tc>
              <w:tc>
                <w:tcPr>
                  <w:tcW w:w="5562" w:type="dxa"/>
                  <w:noWrap w:val="0"/>
                  <w:vAlign w:val="center"/>
                </w:tcPr>
                <w:p w14:paraId="53E42517">
                  <w:pPr>
                    <w:jc w:val="center"/>
                    <w:rPr>
                      <w:rFonts w:hint="default" w:eastAsia="宋体"/>
                      <w:color w:val="000000"/>
                      <w:sz w:val="21"/>
                      <w:szCs w:val="21"/>
                      <w:lang w:val="en-US" w:eastAsia="zh-CN"/>
                    </w:rPr>
                  </w:pPr>
                  <w:r>
                    <w:rPr>
                      <w:rFonts w:hint="eastAsia"/>
                      <w:sz w:val="21"/>
                      <w:szCs w:val="21"/>
                      <w:lang w:val="en-US" w:eastAsia="zh-CN"/>
                    </w:rPr>
                    <w:t>表面防渗材料应与所接触的物料或污染物相容，采用抗渗混凝土、高密度聚乙烯膜、钠基膨润土防水毯或其他防渗性能等效的材料。贮存的危险废物直接接触地面的，还应进行基础防渗，防渗层为至少1m厚黏土层（渗透系数不大于10</w:t>
                  </w:r>
                  <w:r>
                    <w:rPr>
                      <w:rFonts w:hint="eastAsia"/>
                      <w:sz w:val="21"/>
                      <w:szCs w:val="21"/>
                      <w:vertAlign w:val="superscript"/>
                      <w:lang w:val="en-US" w:eastAsia="zh-CN"/>
                    </w:rPr>
                    <w:t>-7</w:t>
                  </w:r>
                  <w:r>
                    <w:rPr>
                      <w:rFonts w:hint="eastAsia"/>
                      <w:sz w:val="21"/>
                      <w:szCs w:val="21"/>
                      <w:lang w:val="en-US" w:eastAsia="zh-CN"/>
                    </w:rPr>
                    <w:t xml:space="preserve"> cm/s），或至少2mm厚高密度聚乙烯膜等人工防渗材料（渗透系数不大于10</w:t>
                  </w:r>
                  <w:r>
                    <w:rPr>
                      <w:rFonts w:hint="eastAsia"/>
                      <w:sz w:val="21"/>
                      <w:szCs w:val="21"/>
                      <w:vertAlign w:val="superscript"/>
                      <w:lang w:val="en-US" w:eastAsia="zh-CN"/>
                    </w:rPr>
                    <w:t>-10</w:t>
                  </w:r>
                  <w:r>
                    <w:rPr>
                      <w:rFonts w:hint="eastAsia"/>
                      <w:sz w:val="21"/>
                      <w:szCs w:val="21"/>
                      <w:lang w:val="en-US" w:eastAsia="zh-CN"/>
                    </w:rPr>
                    <w:t>cm/s），或其他防渗性能等效的材料</w:t>
                  </w:r>
                </w:p>
              </w:tc>
            </w:tr>
            <w:tr w14:paraId="74E16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67" w:type="dxa"/>
                  <w:noWrap w:val="0"/>
                  <w:vAlign w:val="center"/>
                </w:tcPr>
                <w:p w14:paraId="6D0891F8">
                  <w:pPr>
                    <w:jc w:val="center"/>
                    <w:rPr>
                      <w:rFonts w:hint="eastAsia" w:eastAsia="宋体"/>
                      <w:color w:val="000000"/>
                      <w:szCs w:val="21"/>
                      <w:lang w:eastAsia="zh-CN"/>
                    </w:rPr>
                  </w:pPr>
                  <w:r>
                    <w:rPr>
                      <w:rFonts w:hint="eastAsia"/>
                      <w:color w:val="000000"/>
                      <w:szCs w:val="21"/>
                      <w:lang w:eastAsia="zh-CN"/>
                    </w:rPr>
                    <w:t>一般防渗区</w:t>
                  </w:r>
                </w:p>
              </w:tc>
              <w:tc>
                <w:tcPr>
                  <w:tcW w:w="1682" w:type="dxa"/>
                  <w:noWrap w:val="0"/>
                  <w:vAlign w:val="center"/>
                </w:tcPr>
                <w:p w14:paraId="18E8CFA7">
                  <w:pPr>
                    <w:jc w:val="center"/>
                    <w:rPr>
                      <w:rFonts w:hint="default" w:eastAsia="宋体"/>
                      <w:color w:val="000000"/>
                      <w:sz w:val="21"/>
                      <w:szCs w:val="21"/>
                      <w:lang w:val="en-US" w:eastAsia="zh-CN"/>
                    </w:rPr>
                  </w:pPr>
                  <w:r>
                    <w:rPr>
                      <w:rFonts w:hint="eastAsia"/>
                      <w:lang w:eastAsia="zh-CN"/>
                    </w:rPr>
                    <w:t>化粪池、</w:t>
                  </w:r>
                  <w:r>
                    <w:rPr>
                      <w:rFonts w:hint="eastAsia"/>
                      <w:color w:val="000000"/>
                      <w:sz w:val="21"/>
                      <w:szCs w:val="21"/>
                      <w:lang w:eastAsia="zh-CN"/>
                    </w:rPr>
                    <w:t>一般固体废物贮存库、</w:t>
                  </w:r>
                  <w:r>
                    <w:rPr>
                      <w:rFonts w:hint="eastAsia"/>
                      <w:color w:val="000000"/>
                      <w:sz w:val="21"/>
                      <w:szCs w:val="21"/>
                      <w:lang w:val="en-US" w:eastAsia="zh-CN"/>
                    </w:rPr>
                    <w:t>生产车间、仓库等</w:t>
                  </w:r>
                </w:p>
              </w:tc>
              <w:tc>
                <w:tcPr>
                  <w:tcW w:w="5562" w:type="dxa"/>
                  <w:noWrap w:val="0"/>
                  <w:vAlign w:val="center"/>
                </w:tcPr>
                <w:p w14:paraId="306BE87E">
                  <w:pPr>
                    <w:jc w:val="center"/>
                    <w:rPr>
                      <w:rFonts w:hint="eastAsia"/>
                      <w:color w:val="000000"/>
                      <w:sz w:val="21"/>
                      <w:szCs w:val="21"/>
                    </w:rPr>
                  </w:pPr>
                  <w:r>
                    <w:rPr>
                      <w:rFonts w:hint="eastAsia"/>
                      <w:sz w:val="21"/>
                      <w:szCs w:val="21"/>
                    </w:rPr>
                    <w:t>等效黏土防渗层Mb≥1.5m，K≤1×10</w:t>
                  </w:r>
                  <w:r>
                    <w:rPr>
                      <w:rFonts w:hint="eastAsia"/>
                      <w:sz w:val="21"/>
                      <w:szCs w:val="21"/>
                      <w:vertAlign w:val="superscript"/>
                    </w:rPr>
                    <w:t>-7</w:t>
                  </w:r>
                  <w:r>
                    <w:rPr>
                      <w:rFonts w:hint="eastAsia"/>
                      <w:sz w:val="21"/>
                      <w:szCs w:val="21"/>
                    </w:rPr>
                    <w:t>cm/s或参照GB16889执行</w:t>
                  </w:r>
                </w:p>
              </w:tc>
            </w:tr>
            <w:tr w14:paraId="36794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267" w:type="dxa"/>
                  <w:noWrap w:val="0"/>
                  <w:vAlign w:val="center"/>
                </w:tcPr>
                <w:p w14:paraId="7BF20F8B">
                  <w:pPr>
                    <w:jc w:val="center"/>
                    <w:rPr>
                      <w:rFonts w:hint="eastAsia"/>
                      <w:color w:val="000000"/>
                      <w:szCs w:val="21"/>
                      <w:lang w:eastAsia="zh-CN"/>
                    </w:rPr>
                  </w:pPr>
                  <w:r>
                    <w:rPr>
                      <w:rFonts w:hint="eastAsia"/>
                      <w:color w:val="000000"/>
                      <w:szCs w:val="21"/>
                      <w:lang w:eastAsia="zh-CN"/>
                    </w:rPr>
                    <w:t>简单防渗区</w:t>
                  </w:r>
                </w:p>
              </w:tc>
              <w:tc>
                <w:tcPr>
                  <w:tcW w:w="1682" w:type="dxa"/>
                  <w:noWrap w:val="0"/>
                  <w:vAlign w:val="center"/>
                </w:tcPr>
                <w:p w14:paraId="257093B7">
                  <w:pPr>
                    <w:jc w:val="center"/>
                    <w:rPr>
                      <w:rFonts w:hint="default" w:eastAsia="宋体"/>
                      <w:color w:val="000000"/>
                      <w:szCs w:val="21"/>
                      <w:lang w:val="en-US" w:eastAsia="zh-CN"/>
                    </w:rPr>
                  </w:pPr>
                  <w:r>
                    <w:rPr>
                      <w:rFonts w:hint="eastAsia"/>
                      <w:color w:val="000000"/>
                      <w:szCs w:val="21"/>
                      <w:lang w:eastAsia="zh-CN"/>
                    </w:rPr>
                    <w:t>办公</w:t>
                  </w:r>
                  <w:r>
                    <w:rPr>
                      <w:rFonts w:hint="eastAsia"/>
                      <w:color w:val="000000"/>
                      <w:szCs w:val="21"/>
                      <w:lang w:val="en-US" w:eastAsia="zh-CN"/>
                    </w:rPr>
                    <w:t>楼、泵房等</w:t>
                  </w:r>
                </w:p>
              </w:tc>
              <w:tc>
                <w:tcPr>
                  <w:tcW w:w="5562" w:type="dxa"/>
                  <w:noWrap w:val="0"/>
                  <w:vAlign w:val="center"/>
                </w:tcPr>
                <w:p w14:paraId="061ED081">
                  <w:pPr>
                    <w:jc w:val="center"/>
                    <w:rPr>
                      <w:rFonts w:hint="eastAsia" w:eastAsia="宋体"/>
                      <w:color w:val="000000"/>
                      <w:szCs w:val="21"/>
                      <w:lang w:eastAsia="zh-CN"/>
                    </w:rPr>
                  </w:pPr>
                  <w:r>
                    <w:rPr>
                      <w:rFonts w:hint="eastAsia" w:eastAsia="宋体"/>
                      <w:color w:val="000000"/>
                      <w:szCs w:val="21"/>
                      <w:lang w:eastAsia="zh-CN"/>
                    </w:rPr>
                    <w:t>地面混凝土浇筑底板</w:t>
                  </w:r>
                </w:p>
              </w:tc>
            </w:tr>
          </w:tbl>
          <w:p w14:paraId="30B8CE4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w:t>
            </w:r>
            <w:r>
              <w:rPr>
                <w:rFonts w:hint="eastAsia"/>
                <w:sz w:val="24"/>
                <w:lang w:val="en-US" w:eastAsia="zh-CN"/>
              </w:rPr>
              <w:t>2</w:t>
            </w:r>
            <w:r>
              <w:rPr>
                <w:rFonts w:hint="eastAsia"/>
                <w:sz w:val="24"/>
              </w:rPr>
              <w:t>）跟踪监测要求</w:t>
            </w:r>
          </w:p>
          <w:p w14:paraId="5FA5501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eastAsia="宋体" w:cs="Times New Roman"/>
                <w:sz w:val="24"/>
              </w:rPr>
              <w:t>根据项目生产特点和主要污染物的排放情况，</w:t>
            </w:r>
            <w:r>
              <w:rPr>
                <w:rFonts w:hint="eastAsia"/>
                <w:sz w:val="24"/>
              </w:rPr>
              <w:t>其废水、危险废物正常情况下不直接下渗入地面，可杜绝地下水、土壤的污染途径</w:t>
            </w:r>
            <w:r>
              <w:rPr>
                <w:rFonts w:hint="eastAsia"/>
                <w:sz w:val="24"/>
                <w:lang w:eastAsia="zh-CN"/>
              </w:rPr>
              <w:t>，故不开展地下水及土壤监测计划</w:t>
            </w:r>
            <w:r>
              <w:rPr>
                <w:rFonts w:hint="eastAsia" w:ascii="Times New Roman" w:hAnsi="Times New Roman" w:eastAsia="宋体" w:cs="Times New Roman"/>
                <w:sz w:val="24"/>
                <w:lang w:eastAsia="zh-CN"/>
              </w:rPr>
              <w:t>。</w:t>
            </w:r>
          </w:p>
          <w:p w14:paraId="383755CE">
            <w:pPr>
              <w:keepNext w:val="0"/>
              <w:keepLines w:val="0"/>
              <w:pageBreakBefore w:val="0"/>
              <w:widowControl w:val="0"/>
              <w:kinsoku/>
              <w:wordWrap/>
              <w:overflowPunct/>
              <w:topLinePunct w:val="0"/>
              <w:autoSpaceDE/>
              <w:autoSpaceDN/>
              <w:bidi w:val="0"/>
              <w:spacing w:line="520" w:lineRule="exact"/>
              <w:textAlignment w:val="auto"/>
              <w:rPr>
                <w:rFonts w:hint="eastAsia" w:ascii="宋体" w:hAnsi="宋体" w:cs="宋体"/>
                <w:b/>
                <w:sz w:val="24"/>
              </w:rPr>
            </w:pPr>
            <w:r>
              <w:rPr>
                <w:rFonts w:hint="eastAsia" w:ascii="宋体" w:hAnsi="宋体" w:cs="宋体"/>
                <w:b/>
                <w:sz w:val="24"/>
              </w:rPr>
              <w:t>（六）环境风险分析</w:t>
            </w:r>
          </w:p>
          <w:p w14:paraId="0E0CECC5">
            <w:pPr>
              <w:keepNext w:val="0"/>
              <w:keepLines w:val="0"/>
              <w:pageBreakBefore w:val="0"/>
              <w:widowControl w:val="0"/>
              <w:kinsoku/>
              <w:wordWrap/>
              <w:overflowPunct/>
              <w:topLinePunct w:val="0"/>
              <w:autoSpaceDE/>
              <w:autoSpaceDN/>
              <w:bidi w:val="0"/>
              <w:adjustRightInd w:val="0"/>
              <w:snapToGrid w:val="0"/>
              <w:spacing w:line="520" w:lineRule="exact"/>
              <w:ind w:firstLine="482" w:firstLineChars="200"/>
              <w:textAlignment w:val="auto"/>
              <w:rPr>
                <w:b/>
                <w:bCs/>
                <w:sz w:val="24"/>
              </w:rPr>
            </w:pPr>
            <w:r>
              <w:rPr>
                <w:b/>
                <w:bCs/>
                <w:sz w:val="24"/>
              </w:rPr>
              <w:t>1</w:t>
            </w:r>
            <w:r>
              <w:rPr>
                <w:rFonts w:hint="eastAsia"/>
                <w:b/>
                <w:bCs/>
                <w:sz w:val="24"/>
              </w:rPr>
              <w:t>.</w:t>
            </w:r>
            <w:r>
              <w:rPr>
                <w:b/>
                <w:bCs/>
                <w:sz w:val="24"/>
              </w:rPr>
              <w:t>本项目</w:t>
            </w:r>
            <w:r>
              <w:rPr>
                <w:rFonts w:hint="eastAsia"/>
                <w:b/>
                <w:bCs/>
                <w:sz w:val="24"/>
              </w:rPr>
              <w:t>风险物质识别</w:t>
            </w:r>
          </w:p>
          <w:p w14:paraId="32D3DA6D">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sz w:val="24"/>
              </w:rPr>
            </w:pPr>
            <w:r>
              <w:rPr>
                <w:rFonts w:hint="eastAsia"/>
                <w:sz w:val="24"/>
                <w:szCs w:val="32"/>
              </w:rPr>
              <w:t>按照《建设项目环境风险评价技术导则》（HJ 169-2018）附录B中的“突发环境事件风险物质及临界量表</w:t>
            </w:r>
            <w:r>
              <w:rPr>
                <w:rFonts w:hint="eastAsia"/>
                <w:sz w:val="24"/>
                <w:szCs w:val="32"/>
                <w:lang w:eastAsia="zh-CN"/>
              </w:rPr>
              <w:t>”</w:t>
            </w:r>
            <w:r>
              <w:rPr>
                <w:rFonts w:hint="eastAsia"/>
                <w:sz w:val="24"/>
                <w:szCs w:val="32"/>
              </w:rPr>
              <w:t>进行危险性识别，本项目涉及的风险物质总量与其临界量比值</w:t>
            </w:r>
            <w:r>
              <w:rPr>
                <w:rFonts w:hint="eastAsia"/>
                <w:sz w:val="24"/>
                <w:szCs w:val="32"/>
                <w:lang w:eastAsia="zh-CN"/>
              </w:rPr>
              <w:t>（</w:t>
            </w:r>
            <w:r>
              <w:rPr>
                <w:rFonts w:hint="eastAsia"/>
                <w:sz w:val="24"/>
                <w:szCs w:val="32"/>
              </w:rPr>
              <w:t>Q值</w:t>
            </w:r>
            <w:r>
              <w:rPr>
                <w:rFonts w:hint="eastAsia"/>
                <w:sz w:val="24"/>
                <w:szCs w:val="32"/>
                <w:lang w:eastAsia="zh-CN"/>
              </w:rPr>
              <w:t>）</w:t>
            </w:r>
            <w:r>
              <w:rPr>
                <w:rFonts w:hint="eastAsia"/>
                <w:sz w:val="24"/>
                <w:szCs w:val="32"/>
              </w:rPr>
              <w:t>确定表</w:t>
            </w:r>
            <w:r>
              <w:rPr>
                <w:rFonts w:hint="eastAsia"/>
                <w:sz w:val="24"/>
              </w:rPr>
              <w:t>见表</w:t>
            </w:r>
            <w:r>
              <w:rPr>
                <w:rFonts w:hint="eastAsia"/>
                <w:sz w:val="24"/>
                <w:lang w:val="en-US" w:eastAsia="zh-CN"/>
              </w:rPr>
              <w:t>4-11。</w:t>
            </w:r>
          </w:p>
          <w:p w14:paraId="0D74D49B">
            <w:pPr>
              <w:keepNext w:val="0"/>
              <w:keepLines w:val="0"/>
              <w:pageBreakBefore w:val="0"/>
              <w:widowControl w:val="0"/>
              <w:kinsoku/>
              <w:wordWrap/>
              <w:overflowPunct/>
              <w:topLinePunct w:val="0"/>
              <w:autoSpaceDE/>
              <w:autoSpaceDN/>
              <w:bidi w:val="0"/>
              <w:snapToGrid w:val="0"/>
              <w:spacing w:line="520" w:lineRule="exact"/>
              <w:jc w:val="center"/>
              <w:textAlignment w:val="auto"/>
              <w:rPr>
                <w:b/>
                <w:bCs/>
                <w:sz w:val="24"/>
              </w:rPr>
            </w:pPr>
            <w:r>
              <w:rPr>
                <w:rFonts w:hint="eastAsia"/>
                <w:b/>
                <w:bCs/>
                <w:sz w:val="24"/>
              </w:rPr>
              <w:t>表</w:t>
            </w:r>
            <w:r>
              <w:rPr>
                <w:rFonts w:hint="eastAsia"/>
                <w:b/>
                <w:bCs/>
                <w:sz w:val="24"/>
                <w:lang w:val="en-US" w:eastAsia="zh-CN"/>
              </w:rPr>
              <w:t>4-11</w:t>
            </w:r>
            <w:r>
              <w:rPr>
                <w:rFonts w:hint="eastAsia"/>
                <w:b/>
                <w:bCs/>
                <w:sz w:val="24"/>
              </w:rPr>
              <w:t xml:space="preserve">   危险物质</w:t>
            </w:r>
            <w:r>
              <w:rPr>
                <w:rFonts w:hint="eastAsia"/>
                <w:b/>
                <w:bCs/>
                <w:sz w:val="24"/>
                <w:lang w:val="en-US" w:eastAsia="zh-CN"/>
              </w:rPr>
              <w:t>一览</w:t>
            </w:r>
            <w:r>
              <w:rPr>
                <w:rFonts w:hint="eastAsia"/>
                <w:b/>
                <w:bCs/>
                <w:sz w:val="24"/>
              </w:rPr>
              <w:t>情况表</w:t>
            </w:r>
          </w:p>
          <w:tbl>
            <w:tblPr>
              <w:tblStyle w:val="24"/>
              <w:tblW w:w="85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535"/>
              <w:gridCol w:w="1392"/>
              <w:gridCol w:w="1238"/>
              <w:gridCol w:w="1218"/>
              <w:gridCol w:w="1218"/>
              <w:gridCol w:w="1218"/>
            </w:tblGrid>
            <w:tr w14:paraId="5688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center"/>
                </w:tcPr>
                <w:p w14:paraId="66354C2D">
                  <w:pPr>
                    <w:jc w:val="center"/>
                    <w:rPr>
                      <w:szCs w:val="21"/>
                    </w:rPr>
                  </w:pPr>
                  <w:r>
                    <w:rPr>
                      <w:szCs w:val="21"/>
                    </w:rPr>
                    <w:t>序号</w:t>
                  </w:r>
                </w:p>
              </w:tc>
              <w:tc>
                <w:tcPr>
                  <w:tcW w:w="1535" w:type="dxa"/>
                  <w:noWrap w:val="0"/>
                  <w:vAlign w:val="center"/>
                </w:tcPr>
                <w:p w14:paraId="301A33A8">
                  <w:pPr>
                    <w:jc w:val="center"/>
                    <w:rPr>
                      <w:szCs w:val="21"/>
                    </w:rPr>
                  </w:pPr>
                  <w:r>
                    <w:rPr>
                      <w:szCs w:val="21"/>
                    </w:rPr>
                    <w:t>危险物质</w:t>
                  </w:r>
                </w:p>
              </w:tc>
              <w:tc>
                <w:tcPr>
                  <w:tcW w:w="1392" w:type="dxa"/>
                  <w:noWrap w:val="0"/>
                  <w:vAlign w:val="center"/>
                </w:tcPr>
                <w:p w14:paraId="40338903">
                  <w:pPr>
                    <w:jc w:val="center"/>
                    <w:rPr>
                      <w:rFonts w:hint="eastAsia" w:eastAsia="宋体"/>
                      <w:szCs w:val="21"/>
                      <w:lang w:val="en-US" w:eastAsia="zh-CN"/>
                    </w:rPr>
                  </w:pPr>
                  <w:r>
                    <w:rPr>
                      <w:szCs w:val="21"/>
                    </w:rPr>
                    <w:t>最大储存量</w:t>
                  </w:r>
                  <w:r>
                    <w:rPr>
                      <w:rFonts w:hint="eastAsia"/>
                      <w:szCs w:val="21"/>
                      <w:lang w:val="en-US" w:eastAsia="zh-CN"/>
                    </w:rPr>
                    <w:t>t</w:t>
                  </w:r>
                </w:p>
              </w:tc>
              <w:tc>
                <w:tcPr>
                  <w:tcW w:w="1238" w:type="dxa"/>
                  <w:noWrap w:val="0"/>
                  <w:vAlign w:val="center"/>
                </w:tcPr>
                <w:p w14:paraId="10EE03DA">
                  <w:pPr>
                    <w:jc w:val="center"/>
                    <w:rPr>
                      <w:szCs w:val="21"/>
                    </w:rPr>
                  </w:pPr>
                  <w:r>
                    <w:rPr>
                      <w:szCs w:val="21"/>
                    </w:rPr>
                    <w:t>临界量</w:t>
                  </w:r>
                </w:p>
              </w:tc>
              <w:tc>
                <w:tcPr>
                  <w:tcW w:w="1218" w:type="dxa"/>
                  <w:noWrap w:val="0"/>
                  <w:vAlign w:val="center"/>
                </w:tcPr>
                <w:p w14:paraId="7699EF82">
                  <w:pPr>
                    <w:jc w:val="center"/>
                    <w:rPr>
                      <w:szCs w:val="21"/>
                    </w:rPr>
                  </w:pPr>
                  <w:r>
                    <w:rPr>
                      <w:szCs w:val="21"/>
                    </w:rPr>
                    <w:t>qi/Qi</w:t>
                  </w:r>
                </w:p>
              </w:tc>
              <w:tc>
                <w:tcPr>
                  <w:tcW w:w="1218" w:type="dxa"/>
                  <w:noWrap w:val="0"/>
                  <w:vAlign w:val="center"/>
                </w:tcPr>
                <w:p w14:paraId="69AB88A7">
                  <w:pPr>
                    <w:jc w:val="center"/>
                    <w:rPr>
                      <w:szCs w:val="21"/>
                    </w:rPr>
                  </w:pPr>
                  <w:r>
                    <w:rPr>
                      <w:szCs w:val="21"/>
                    </w:rPr>
                    <w:t>分布</w:t>
                  </w:r>
                </w:p>
              </w:tc>
              <w:tc>
                <w:tcPr>
                  <w:tcW w:w="1218" w:type="dxa"/>
                  <w:noWrap w:val="0"/>
                  <w:vAlign w:val="center"/>
                </w:tcPr>
                <w:p w14:paraId="026A5A58">
                  <w:pPr>
                    <w:jc w:val="center"/>
                    <w:rPr>
                      <w:szCs w:val="21"/>
                    </w:rPr>
                  </w:pPr>
                  <w:r>
                    <w:rPr>
                      <w:szCs w:val="21"/>
                    </w:rPr>
                    <w:t>风险类型</w:t>
                  </w:r>
                </w:p>
              </w:tc>
            </w:tr>
            <w:tr w14:paraId="4D39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07" w:type="dxa"/>
                  <w:noWrap w:val="0"/>
                  <w:vAlign w:val="center"/>
                </w:tcPr>
                <w:p w14:paraId="7B27DE1C">
                  <w:pPr>
                    <w:jc w:val="center"/>
                    <w:rPr>
                      <w:szCs w:val="21"/>
                    </w:rPr>
                  </w:pPr>
                  <w:r>
                    <w:rPr>
                      <w:szCs w:val="21"/>
                    </w:rPr>
                    <w:t>1</w:t>
                  </w:r>
                </w:p>
              </w:tc>
              <w:tc>
                <w:tcPr>
                  <w:tcW w:w="1535" w:type="dxa"/>
                  <w:noWrap w:val="0"/>
                  <w:vAlign w:val="center"/>
                </w:tcPr>
                <w:p w14:paraId="62FF962E">
                  <w:pPr>
                    <w:jc w:val="center"/>
                    <w:rPr>
                      <w:rFonts w:hint="default" w:eastAsia="宋体"/>
                      <w:szCs w:val="21"/>
                      <w:lang w:val="en-US" w:eastAsia="zh-CN"/>
                    </w:rPr>
                  </w:pPr>
                  <w:r>
                    <w:rPr>
                      <w:rFonts w:hint="eastAsia"/>
                      <w:szCs w:val="21"/>
                      <w:lang w:val="en-US" w:eastAsia="zh-CN"/>
                    </w:rPr>
                    <w:t>废包装桶</w:t>
                  </w:r>
                </w:p>
              </w:tc>
              <w:tc>
                <w:tcPr>
                  <w:tcW w:w="1392" w:type="dxa"/>
                  <w:noWrap w:val="0"/>
                  <w:vAlign w:val="center"/>
                </w:tcPr>
                <w:p w14:paraId="72E25398">
                  <w:pPr>
                    <w:jc w:val="center"/>
                    <w:rPr>
                      <w:rFonts w:hint="default" w:eastAsia="宋体"/>
                      <w:szCs w:val="21"/>
                      <w:lang w:val="en-US" w:eastAsia="zh-CN"/>
                    </w:rPr>
                  </w:pPr>
                  <w:r>
                    <w:rPr>
                      <w:rFonts w:hint="eastAsia"/>
                      <w:szCs w:val="21"/>
                      <w:lang w:val="en-US" w:eastAsia="zh-CN"/>
                    </w:rPr>
                    <w:t>2</w:t>
                  </w:r>
                </w:p>
              </w:tc>
              <w:tc>
                <w:tcPr>
                  <w:tcW w:w="1238" w:type="dxa"/>
                  <w:noWrap w:val="0"/>
                  <w:vAlign w:val="center"/>
                </w:tcPr>
                <w:p w14:paraId="4EC5FBC7">
                  <w:pPr>
                    <w:jc w:val="center"/>
                    <w:rPr>
                      <w:rFonts w:hint="default" w:eastAsia="宋体"/>
                      <w:szCs w:val="21"/>
                      <w:lang w:val="en-US" w:eastAsia="zh-CN"/>
                    </w:rPr>
                  </w:pPr>
                  <w:r>
                    <w:rPr>
                      <w:rFonts w:hint="eastAsia"/>
                      <w:szCs w:val="21"/>
                      <w:lang w:val="en-US" w:eastAsia="zh-CN"/>
                    </w:rPr>
                    <w:t>10</w:t>
                  </w:r>
                </w:p>
              </w:tc>
              <w:tc>
                <w:tcPr>
                  <w:tcW w:w="1218" w:type="dxa"/>
                  <w:noWrap w:val="0"/>
                  <w:vAlign w:val="center"/>
                </w:tcPr>
                <w:p w14:paraId="1CB4A046">
                  <w:pPr>
                    <w:jc w:val="center"/>
                    <w:rPr>
                      <w:rFonts w:hint="default" w:eastAsia="宋体"/>
                      <w:szCs w:val="21"/>
                      <w:lang w:val="en-US" w:eastAsia="zh-CN"/>
                    </w:rPr>
                  </w:pPr>
                  <w:r>
                    <w:rPr>
                      <w:rFonts w:hint="eastAsia" w:eastAsia="宋体"/>
                      <w:szCs w:val="21"/>
                      <w:lang w:val="en-US" w:eastAsia="zh-CN"/>
                    </w:rPr>
                    <w:t>0.</w:t>
                  </w:r>
                  <w:r>
                    <w:rPr>
                      <w:rFonts w:hint="eastAsia"/>
                      <w:szCs w:val="21"/>
                      <w:lang w:val="en-US" w:eastAsia="zh-CN"/>
                    </w:rPr>
                    <w:t>2</w:t>
                  </w:r>
                </w:p>
              </w:tc>
              <w:tc>
                <w:tcPr>
                  <w:tcW w:w="1218" w:type="dxa"/>
                  <w:vMerge w:val="restart"/>
                  <w:noWrap w:val="0"/>
                  <w:vAlign w:val="center"/>
                </w:tcPr>
                <w:p w14:paraId="665DEF88">
                  <w:pPr>
                    <w:jc w:val="center"/>
                    <w:rPr>
                      <w:rFonts w:hint="default" w:eastAsia="宋体"/>
                      <w:szCs w:val="21"/>
                      <w:lang w:val="en-US" w:eastAsia="zh-CN"/>
                    </w:rPr>
                  </w:pPr>
                  <w:r>
                    <w:rPr>
                      <w:rFonts w:hint="eastAsia" w:eastAsia="宋体"/>
                      <w:szCs w:val="21"/>
                      <w:lang w:val="en-US" w:eastAsia="zh-CN"/>
                    </w:rPr>
                    <w:t>危险废物贮存库</w:t>
                  </w:r>
                </w:p>
              </w:tc>
              <w:tc>
                <w:tcPr>
                  <w:tcW w:w="1218" w:type="dxa"/>
                  <w:vMerge w:val="restart"/>
                  <w:noWrap w:val="0"/>
                  <w:vAlign w:val="center"/>
                </w:tcPr>
                <w:p w14:paraId="6E24A55E">
                  <w:pPr>
                    <w:jc w:val="center"/>
                    <w:rPr>
                      <w:rFonts w:hint="eastAsia" w:eastAsia="宋体"/>
                      <w:szCs w:val="21"/>
                      <w:highlight w:val="none"/>
                      <w:lang w:eastAsia="zh-CN"/>
                    </w:rPr>
                  </w:pPr>
                  <w:r>
                    <w:rPr>
                      <w:szCs w:val="21"/>
                      <w:highlight w:val="none"/>
                    </w:rPr>
                    <w:t>火灾、</w:t>
                  </w:r>
                  <w:r>
                    <w:rPr>
                      <w:rFonts w:hint="eastAsia"/>
                      <w:szCs w:val="21"/>
                      <w:highlight w:val="none"/>
                      <w:lang w:eastAsia="zh-CN"/>
                    </w:rPr>
                    <w:t>泄漏</w:t>
                  </w:r>
                </w:p>
              </w:tc>
            </w:tr>
            <w:tr w14:paraId="1A62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707" w:type="dxa"/>
                  <w:noWrap w:val="0"/>
                  <w:vAlign w:val="center"/>
                </w:tcPr>
                <w:p w14:paraId="70B4A179">
                  <w:pPr>
                    <w:jc w:val="center"/>
                    <w:rPr>
                      <w:rFonts w:hint="eastAsia" w:eastAsia="宋体"/>
                      <w:szCs w:val="21"/>
                      <w:lang w:eastAsia="zh-CN"/>
                    </w:rPr>
                  </w:pPr>
                  <w:r>
                    <w:rPr>
                      <w:rFonts w:hint="eastAsia"/>
                      <w:szCs w:val="21"/>
                      <w:lang w:val="en-US" w:eastAsia="zh-CN"/>
                    </w:rPr>
                    <w:t>2</w:t>
                  </w:r>
                </w:p>
              </w:tc>
              <w:tc>
                <w:tcPr>
                  <w:tcW w:w="1535" w:type="dxa"/>
                  <w:noWrap w:val="0"/>
                  <w:vAlign w:val="center"/>
                </w:tcPr>
                <w:p w14:paraId="4489D2DD">
                  <w:pPr>
                    <w:jc w:val="center"/>
                    <w:rPr>
                      <w:rFonts w:hint="eastAsia" w:eastAsia="宋体"/>
                      <w:szCs w:val="21"/>
                      <w:lang w:val="en-US" w:eastAsia="zh-CN"/>
                    </w:rPr>
                  </w:pPr>
                  <w:r>
                    <w:rPr>
                      <w:rFonts w:hint="eastAsia"/>
                      <w:szCs w:val="21"/>
                      <w:lang w:val="en-US" w:eastAsia="zh-CN"/>
                    </w:rPr>
                    <w:t>废机油、废含油抹布、手套</w:t>
                  </w:r>
                </w:p>
              </w:tc>
              <w:tc>
                <w:tcPr>
                  <w:tcW w:w="1392" w:type="dxa"/>
                  <w:noWrap w:val="0"/>
                  <w:vAlign w:val="center"/>
                </w:tcPr>
                <w:p w14:paraId="61353923">
                  <w:pPr>
                    <w:jc w:val="center"/>
                    <w:rPr>
                      <w:rFonts w:hint="default" w:eastAsia="宋体"/>
                      <w:szCs w:val="21"/>
                      <w:lang w:val="en-US" w:eastAsia="zh-CN"/>
                    </w:rPr>
                  </w:pPr>
                  <w:r>
                    <w:rPr>
                      <w:rFonts w:hint="eastAsia"/>
                      <w:szCs w:val="21"/>
                      <w:lang w:val="en-US" w:eastAsia="zh-CN"/>
                    </w:rPr>
                    <w:t>0.05</w:t>
                  </w:r>
                </w:p>
              </w:tc>
              <w:tc>
                <w:tcPr>
                  <w:tcW w:w="1238" w:type="dxa"/>
                  <w:noWrap w:val="0"/>
                  <w:vAlign w:val="center"/>
                </w:tcPr>
                <w:p w14:paraId="1987B468">
                  <w:pPr>
                    <w:jc w:val="center"/>
                    <w:rPr>
                      <w:szCs w:val="21"/>
                    </w:rPr>
                  </w:pPr>
                  <w:r>
                    <w:rPr>
                      <w:szCs w:val="21"/>
                    </w:rPr>
                    <w:t>2500</w:t>
                  </w:r>
                </w:p>
              </w:tc>
              <w:tc>
                <w:tcPr>
                  <w:tcW w:w="1218" w:type="dxa"/>
                  <w:noWrap w:val="0"/>
                  <w:vAlign w:val="center"/>
                </w:tcPr>
                <w:p w14:paraId="6DE56043">
                  <w:pPr>
                    <w:jc w:val="center"/>
                    <w:rPr>
                      <w:rFonts w:hint="default" w:eastAsia="宋体"/>
                      <w:szCs w:val="21"/>
                      <w:lang w:val="en-US" w:eastAsia="zh-CN"/>
                    </w:rPr>
                  </w:pPr>
                  <w:r>
                    <w:rPr>
                      <w:rFonts w:hint="eastAsia" w:eastAsia="宋体"/>
                      <w:szCs w:val="21"/>
                      <w:lang w:val="en-US" w:eastAsia="zh-CN"/>
                    </w:rPr>
                    <w:t>0.00002</w:t>
                  </w:r>
                </w:p>
              </w:tc>
              <w:tc>
                <w:tcPr>
                  <w:tcW w:w="1218" w:type="dxa"/>
                  <w:vMerge w:val="continue"/>
                  <w:noWrap w:val="0"/>
                  <w:vAlign w:val="center"/>
                </w:tcPr>
                <w:p w14:paraId="11A0C286">
                  <w:pPr>
                    <w:jc w:val="center"/>
                    <w:rPr>
                      <w:szCs w:val="21"/>
                    </w:rPr>
                  </w:pPr>
                </w:p>
              </w:tc>
              <w:tc>
                <w:tcPr>
                  <w:tcW w:w="1218" w:type="dxa"/>
                  <w:vMerge w:val="continue"/>
                  <w:noWrap w:val="0"/>
                  <w:vAlign w:val="center"/>
                </w:tcPr>
                <w:p w14:paraId="09DBE36D">
                  <w:pPr>
                    <w:jc w:val="center"/>
                    <w:rPr>
                      <w:rFonts w:hint="eastAsia" w:eastAsia="宋体"/>
                      <w:szCs w:val="21"/>
                      <w:highlight w:val="none"/>
                      <w:lang w:eastAsia="zh-CN"/>
                    </w:rPr>
                  </w:pPr>
                </w:p>
              </w:tc>
            </w:tr>
            <w:tr w14:paraId="2679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noWrap w:val="0"/>
                  <w:vAlign w:val="center"/>
                </w:tcPr>
                <w:p w14:paraId="60A0F88A">
                  <w:pPr>
                    <w:jc w:val="center"/>
                    <w:rPr>
                      <w:rFonts w:hint="default"/>
                      <w:szCs w:val="21"/>
                      <w:lang w:val="en-US" w:eastAsia="zh-CN"/>
                    </w:rPr>
                  </w:pPr>
                  <w:r>
                    <w:rPr>
                      <w:rFonts w:hint="eastAsia"/>
                      <w:szCs w:val="21"/>
                      <w:lang w:val="en-US" w:eastAsia="zh-CN"/>
                    </w:rPr>
                    <w:t>3</w:t>
                  </w:r>
                </w:p>
              </w:tc>
              <w:tc>
                <w:tcPr>
                  <w:tcW w:w="1535" w:type="dxa"/>
                  <w:noWrap w:val="0"/>
                  <w:vAlign w:val="center"/>
                </w:tcPr>
                <w:p w14:paraId="16438487">
                  <w:pPr>
                    <w:jc w:val="center"/>
                    <w:rPr>
                      <w:rFonts w:hint="default"/>
                      <w:szCs w:val="21"/>
                      <w:lang w:val="en-US" w:eastAsia="zh-CN"/>
                    </w:rPr>
                  </w:pPr>
                  <w:r>
                    <w:rPr>
                      <w:rFonts w:hint="eastAsia"/>
                      <w:szCs w:val="21"/>
                      <w:lang w:val="en-US" w:eastAsia="zh-CN"/>
                    </w:rPr>
                    <w:t>废活性炭</w:t>
                  </w:r>
                </w:p>
              </w:tc>
              <w:tc>
                <w:tcPr>
                  <w:tcW w:w="1392" w:type="dxa"/>
                  <w:noWrap w:val="0"/>
                  <w:vAlign w:val="center"/>
                </w:tcPr>
                <w:p w14:paraId="4D6DE40B">
                  <w:pPr>
                    <w:jc w:val="center"/>
                    <w:rPr>
                      <w:rFonts w:hint="default"/>
                      <w:szCs w:val="21"/>
                      <w:lang w:val="en-US" w:eastAsia="zh-CN"/>
                    </w:rPr>
                  </w:pPr>
                  <w:r>
                    <w:rPr>
                      <w:rFonts w:hint="eastAsia"/>
                      <w:szCs w:val="21"/>
                      <w:lang w:val="en-US" w:eastAsia="zh-CN"/>
                    </w:rPr>
                    <w:t>1.55</w:t>
                  </w:r>
                </w:p>
              </w:tc>
              <w:tc>
                <w:tcPr>
                  <w:tcW w:w="1238" w:type="dxa"/>
                  <w:noWrap w:val="0"/>
                  <w:vAlign w:val="center"/>
                </w:tcPr>
                <w:p w14:paraId="7379F70F">
                  <w:pPr>
                    <w:jc w:val="center"/>
                    <w:rPr>
                      <w:rFonts w:hint="default" w:eastAsia="宋体"/>
                      <w:szCs w:val="21"/>
                      <w:lang w:val="en-US" w:eastAsia="zh-CN"/>
                    </w:rPr>
                  </w:pPr>
                  <w:r>
                    <w:rPr>
                      <w:rFonts w:hint="eastAsia"/>
                      <w:szCs w:val="21"/>
                      <w:lang w:val="en-US" w:eastAsia="zh-CN"/>
                    </w:rPr>
                    <w:t>10</w:t>
                  </w:r>
                </w:p>
              </w:tc>
              <w:tc>
                <w:tcPr>
                  <w:tcW w:w="1218" w:type="dxa"/>
                  <w:noWrap w:val="0"/>
                  <w:vAlign w:val="center"/>
                </w:tcPr>
                <w:p w14:paraId="21AEF4AC">
                  <w:pPr>
                    <w:jc w:val="center"/>
                    <w:rPr>
                      <w:rFonts w:hint="default" w:eastAsia="宋体"/>
                      <w:szCs w:val="21"/>
                      <w:lang w:val="en-US" w:eastAsia="zh-CN"/>
                    </w:rPr>
                  </w:pPr>
                  <w:r>
                    <w:rPr>
                      <w:rFonts w:hint="eastAsia"/>
                      <w:szCs w:val="21"/>
                      <w:lang w:val="en-US" w:eastAsia="zh-CN"/>
                    </w:rPr>
                    <w:t>0.155</w:t>
                  </w:r>
                </w:p>
              </w:tc>
              <w:tc>
                <w:tcPr>
                  <w:tcW w:w="1218" w:type="dxa"/>
                  <w:vMerge w:val="continue"/>
                  <w:noWrap w:val="0"/>
                  <w:vAlign w:val="center"/>
                </w:tcPr>
                <w:p w14:paraId="4A4896D6">
                  <w:pPr>
                    <w:jc w:val="center"/>
                    <w:rPr>
                      <w:szCs w:val="21"/>
                    </w:rPr>
                  </w:pPr>
                </w:p>
              </w:tc>
              <w:tc>
                <w:tcPr>
                  <w:tcW w:w="1218" w:type="dxa"/>
                  <w:vMerge w:val="continue"/>
                  <w:noWrap w:val="0"/>
                  <w:vAlign w:val="center"/>
                </w:tcPr>
                <w:p w14:paraId="7976EDFA">
                  <w:pPr>
                    <w:jc w:val="center"/>
                    <w:rPr>
                      <w:rFonts w:hint="eastAsia" w:eastAsia="宋体"/>
                      <w:szCs w:val="21"/>
                      <w:highlight w:val="none"/>
                      <w:lang w:eastAsia="zh-CN"/>
                    </w:rPr>
                  </w:pPr>
                </w:p>
              </w:tc>
            </w:tr>
            <w:tr w14:paraId="4918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2" w:type="dxa"/>
                  <w:gridSpan w:val="4"/>
                  <w:noWrap w:val="0"/>
                  <w:vAlign w:val="center"/>
                </w:tcPr>
                <w:p w14:paraId="5512D2FE">
                  <w:pPr>
                    <w:jc w:val="center"/>
                    <w:rPr>
                      <w:rFonts w:hint="default"/>
                      <w:szCs w:val="21"/>
                      <w:lang w:val="en-US" w:eastAsia="zh-CN"/>
                    </w:rPr>
                  </w:pPr>
                  <w:r>
                    <w:rPr>
                      <w:rFonts w:hint="eastAsia"/>
                      <w:szCs w:val="21"/>
                      <w:lang w:val="en-US" w:eastAsia="zh-CN"/>
                    </w:rPr>
                    <w:t>合计Q</w:t>
                  </w:r>
                </w:p>
              </w:tc>
              <w:tc>
                <w:tcPr>
                  <w:tcW w:w="1218" w:type="dxa"/>
                  <w:noWrap w:val="0"/>
                  <w:vAlign w:val="center"/>
                </w:tcPr>
                <w:p w14:paraId="0F2453D9">
                  <w:pPr>
                    <w:jc w:val="center"/>
                    <w:rPr>
                      <w:rFonts w:hint="default"/>
                      <w:szCs w:val="21"/>
                      <w:lang w:val="en-US" w:eastAsia="zh-CN"/>
                    </w:rPr>
                  </w:pPr>
                  <w:r>
                    <w:rPr>
                      <w:rFonts w:hint="eastAsia"/>
                      <w:szCs w:val="21"/>
                      <w:lang w:val="en-US" w:eastAsia="zh-CN"/>
                    </w:rPr>
                    <w:t>0.35502</w:t>
                  </w:r>
                </w:p>
              </w:tc>
              <w:tc>
                <w:tcPr>
                  <w:tcW w:w="1218" w:type="dxa"/>
                  <w:noWrap w:val="0"/>
                  <w:vAlign w:val="center"/>
                </w:tcPr>
                <w:p w14:paraId="32A5AE5F">
                  <w:pPr>
                    <w:jc w:val="center"/>
                    <w:rPr>
                      <w:rFonts w:hint="default"/>
                      <w:szCs w:val="21"/>
                      <w:lang w:val="en-US" w:eastAsia="zh-CN"/>
                    </w:rPr>
                  </w:pPr>
                  <w:r>
                    <w:rPr>
                      <w:rFonts w:hint="eastAsia"/>
                      <w:szCs w:val="21"/>
                      <w:lang w:val="en-US" w:eastAsia="zh-CN"/>
                    </w:rPr>
                    <w:t>/</w:t>
                  </w:r>
                </w:p>
              </w:tc>
              <w:tc>
                <w:tcPr>
                  <w:tcW w:w="1218" w:type="dxa"/>
                  <w:noWrap w:val="0"/>
                  <w:vAlign w:val="center"/>
                </w:tcPr>
                <w:p w14:paraId="38AA2231">
                  <w:pPr>
                    <w:jc w:val="center"/>
                    <w:rPr>
                      <w:rFonts w:hint="default"/>
                      <w:szCs w:val="21"/>
                      <w:lang w:val="en-US" w:eastAsia="zh-CN"/>
                    </w:rPr>
                  </w:pPr>
                  <w:r>
                    <w:rPr>
                      <w:rFonts w:hint="eastAsia"/>
                      <w:szCs w:val="21"/>
                      <w:lang w:val="en-US" w:eastAsia="zh-CN"/>
                    </w:rPr>
                    <w:t>/</w:t>
                  </w:r>
                </w:p>
              </w:tc>
            </w:tr>
          </w:tbl>
          <w:p w14:paraId="604F4C8E">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b/>
                <w:bCs/>
                <w:sz w:val="24"/>
              </w:rPr>
            </w:pPr>
            <w:r>
              <w:rPr>
                <w:rFonts w:hint="eastAsia"/>
                <w:b/>
                <w:bCs/>
                <w:sz w:val="24"/>
                <w:lang w:val="en-US" w:eastAsia="zh-CN"/>
              </w:rPr>
              <w:t>2</w:t>
            </w:r>
            <w:r>
              <w:rPr>
                <w:rFonts w:hint="eastAsia"/>
                <w:b/>
                <w:bCs/>
                <w:sz w:val="24"/>
              </w:rPr>
              <w:t>.环境风险源</w:t>
            </w:r>
            <w:r>
              <w:rPr>
                <w:rFonts w:hint="eastAsia"/>
                <w:b/>
                <w:bCs/>
                <w:sz w:val="24"/>
                <w:lang w:val="en-US" w:eastAsia="zh-CN"/>
              </w:rPr>
              <w:t>分布情况及可能</w:t>
            </w:r>
            <w:r>
              <w:rPr>
                <w:rFonts w:hint="eastAsia"/>
                <w:b/>
                <w:bCs/>
                <w:sz w:val="24"/>
              </w:rPr>
              <w:t>影响途径</w:t>
            </w:r>
          </w:p>
          <w:p w14:paraId="42E996C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eastAsia="宋体"/>
                <w:sz w:val="24"/>
                <w:lang w:eastAsia="zh-CN"/>
              </w:rPr>
            </w:pPr>
            <w:r>
              <w:rPr>
                <w:rFonts w:hint="eastAsia"/>
                <w:sz w:val="24"/>
              </w:rPr>
              <w:t>本项目具体事故类型及其环境污染特征如下表</w:t>
            </w:r>
            <w:r>
              <w:rPr>
                <w:rFonts w:hint="eastAsia"/>
                <w:sz w:val="24"/>
                <w:lang w:eastAsia="zh-CN"/>
              </w:rPr>
              <w:t>。</w:t>
            </w:r>
          </w:p>
          <w:p w14:paraId="01B0B57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heme="minorAscii" w:hAnsiTheme="minorAscii" w:eastAsiaTheme="minorEastAsia" w:cstheme="minorEastAsia"/>
                <w:b/>
                <w:bCs/>
                <w:color w:val="auto"/>
                <w:sz w:val="24"/>
                <w:szCs w:val="24"/>
                <w:lang w:val="en-US" w:eastAsia="zh-CN"/>
              </w:rPr>
            </w:pPr>
            <w:r>
              <w:rPr>
                <w:rFonts w:hint="default" w:asciiTheme="minorAscii" w:hAnsiTheme="minorAscii" w:eastAsiaTheme="minorEastAsia" w:cstheme="minorEastAsia"/>
                <w:b/>
                <w:bCs/>
                <w:color w:val="auto"/>
                <w:sz w:val="24"/>
                <w:szCs w:val="24"/>
              </w:rPr>
              <w:t>表4-</w:t>
            </w:r>
            <w:r>
              <w:rPr>
                <w:rFonts w:hint="default" w:asciiTheme="minorAscii" w:hAnsiTheme="minorAscii" w:eastAsiaTheme="minorEastAsia" w:cstheme="minorEastAsia"/>
                <w:b/>
                <w:bCs/>
                <w:color w:val="auto"/>
                <w:sz w:val="24"/>
                <w:szCs w:val="24"/>
                <w:lang w:val="en-US" w:eastAsia="zh-CN"/>
              </w:rPr>
              <w:t xml:space="preserve">12 </w:t>
            </w:r>
            <w:r>
              <w:rPr>
                <w:rFonts w:hint="default" w:asciiTheme="minorAscii" w:hAnsiTheme="minorAscii" w:eastAsiaTheme="minorEastAsia" w:cstheme="minorEastAsia"/>
                <w:b/>
                <w:bCs/>
                <w:color w:val="auto"/>
                <w:sz w:val="24"/>
                <w:szCs w:val="24"/>
              </w:rPr>
              <w:t xml:space="preserve">  项目具体事故类型及其环境污染特征</w:t>
            </w:r>
            <w:r>
              <w:rPr>
                <w:rFonts w:hint="default" w:asciiTheme="minorAscii" w:hAnsiTheme="minorAscii" w:eastAsiaTheme="minorEastAsia" w:cstheme="minorEastAsia"/>
                <w:b/>
                <w:bCs/>
                <w:color w:val="auto"/>
                <w:sz w:val="24"/>
                <w:szCs w:val="24"/>
                <w:lang w:val="en-US" w:eastAsia="zh-CN"/>
              </w:rPr>
              <w:t>一览表</w:t>
            </w:r>
          </w:p>
          <w:tbl>
            <w:tblPr>
              <w:tblStyle w:val="25"/>
              <w:tblW w:w="8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4"/>
              <w:gridCol w:w="1713"/>
              <w:gridCol w:w="1458"/>
              <w:gridCol w:w="3791"/>
            </w:tblGrid>
            <w:tr w14:paraId="387D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Align w:val="center"/>
                </w:tcPr>
                <w:p w14:paraId="35FB9E14">
                  <w:pPr>
                    <w:pStyle w:val="71"/>
                    <w:rPr>
                      <w:rFonts w:cs="Times New Roman"/>
                      <w:color w:val="auto"/>
                      <w:sz w:val="21"/>
                      <w:szCs w:val="21"/>
                    </w:rPr>
                  </w:pPr>
                  <w:r>
                    <w:rPr>
                      <w:rFonts w:cs="Times New Roman"/>
                      <w:color w:val="auto"/>
                      <w:sz w:val="21"/>
                      <w:szCs w:val="21"/>
                    </w:rPr>
                    <w:t>风险源分布情况</w:t>
                  </w:r>
                </w:p>
              </w:tc>
              <w:tc>
                <w:tcPr>
                  <w:tcW w:w="1713" w:type="dxa"/>
                  <w:vAlign w:val="center"/>
                </w:tcPr>
                <w:p w14:paraId="18C6C2B1">
                  <w:pPr>
                    <w:pStyle w:val="71"/>
                    <w:rPr>
                      <w:rFonts w:cs="Times New Roman"/>
                      <w:color w:val="auto"/>
                      <w:sz w:val="21"/>
                      <w:szCs w:val="21"/>
                    </w:rPr>
                  </w:pPr>
                  <w:r>
                    <w:rPr>
                      <w:rFonts w:cs="Times New Roman"/>
                      <w:color w:val="auto"/>
                      <w:sz w:val="21"/>
                      <w:szCs w:val="21"/>
                    </w:rPr>
                    <w:t>风险源</w:t>
                  </w:r>
                </w:p>
              </w:tc>
              <w:tc>
                <w:tcPr>
                  <w:tcW w:w="1458" w:type="dxa"/>
                  <w:vAlign w:val="center"/>
                </w:tcPr>
                <w:p w14:paraId="3F767633">
                  <w:pPr>
                    <w:pStyle w:val="71"/>
                    <w:rPr>
                      <w:rFonts w:hint="eastAsia" w:eastAsia="宋体" w:cs="Times New Roman"/>
                      <w:color w:val="auto"/>
                      <w:sz w:val="21"/>
                      <w:szCs w:val="21"/>
                      <w:lang w:eastAsia="zh-CN"/>
                    </w:rPr>
                  </w:pPr>
                  <w:r>
                    <w:rPr>
                      <w:rFonts w:hint="eastAsia" w:cs="Times New Roman"/>
                      <w:color w:val="auto"/>
                      <w:sz w:val="21"/>
                      <w:szCs w:val="21"/>
                      <w:lang w:val="en-US" w:eastAsia="zh-CN"/>
                    </w:rPr>
                    <w:t>事故类型</w:t>
                  </w:r>
                </w:p>
              </w:tc>
              <w:tc>
                <w:tcPr>
                  <w:tcW w:w="3791" w:type="dxa"/>
                  <w:vAlign w:val="center"/>
                </w:tcPr>
                <w:p w14:paraId="40F05595">
                  <w:pPr>
                    <w:pStyle w:val="71"/>
                    <w:rPr>
                      <w:rFonts w:cs="Times New Roman"/>
                      <w:color w:val="auto"/>
                      <w:sz w:val="21"/>
                      <w:szCs w:val="21"/>
                    </w:rPr>
                  </w:pPr>
                  <w:r>
                    <w:rPr>
                      <w:rFonts w:hint="eastAsia" w:cs="Times New Roman"/>
                      <w:color w:val="auto"/>
                      <w:sz w:val="21"/>
                      <w:szCs w:val="21"/>
                      <w:lang w:val="en-US" w:eastAsia="zh-CN"/>
                    </w:rPr>
                    <w:t>事故</w:t>
                  </w:r>
                  <w:r>
                    <w:rPr>
                      <w:rFonts w:cs="Times New Roman"/>
                      <w:color w:val="auto"/>
                      <w:sz w:val="21"/>
                      <w:szCs w:val="21"/>
                    </w:rPr>
                    <w:t>影响途径</w:t>
                  </w:r>
                  <w:r>
                    <w:rPr>
                      <w:rFonts w:hint="eastAsia" w:cs="Times New Roman"/>
                      <w:color w:val="auto"/>
                      <w:sz w:val="21"/>
                      <w:szCs w:val="21"/>
                      <w:lang w:val="en-US" w:eastAsia="zh-CN"/>
                    </w:rPr>
                    <w:t>及危害</w:t>
                  </w:r>
                </w:p>
              </w:tc>
            </w:tr>
            <w:tr w14:paraId="26DB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Align w:val="center"/>
                </w:tcPr>
                <w:p w14:paraId="5ECF43E1">
                  <w:pPr>
                    <w:pStyle w:val="71"/>
                    <w:rPr>
                      <w:rFonts w:hint="eastAsia" w:eastAsia="宋体" w:cs="Times New Roman"/>
                      <w:color w:val="auto"/>
                      <w:sz w:val="21"/>
                      <w:szCs w:val="21"/>
                      <w:lang w:eastAsia="zh-CN"/>
                    </w:rPr>
                  </w:pPr>
                  <w:r>
                    <w:rPr>
                      <w:rFonts w:hint="eastAsia" w:cs="Times New Roman"/>
                      <w:color w:val="auto"/>
                      <w:sz w:val="21"/>
                      <w:szCs w:val="21"/>
                      <w:lang w:val="en-US" w:eastAsia="zh-CN"/>
                    </w:rPr>
                    <w:t>厂区内</w:t>
                  </w:r>
                </w:p>
              </w:tc>
              <w:tc>
                <w:tcPr>
                  <w:tcW w:w="1713" w:type="dxa"/>
                  <w:vAlign w:val="center"/>
                </w:tcPr>
                <w:p w14:paraId="7875B3C3">
                  <w:pPr>
                    <w:pStyle w:val="71"/>
                    <w:rPr>
                      <w:rFonts w:hint="default" w:eastAsia="宋体" w:cs="Times New Roman"/>
                      <w:color w:val="auto"/>
                      <w:sz w:val="21"/>
                      <w:szCs w:val="21"/>
                      <w:lang w:val="en-US" w:eastAsia="zh-CN"/>
                    </w:rPr>
                  </w:pPr>
                  <w:r>
                    <w:rPr>
                      <w:rFonts w:hint="eastAsia" w:cs="Times New Roman"/>
                      <w:color w:val="auto"/>
                      <w:sz w:val="21"/>
                      <w:szCs w:val="21"/>
                      <w:lang w:val="en-US" w:eastAsia="zh-CN"/>
                    </w:rPr>
                    <w:t>成品打包膜</w:t>
                  </w:r>
                  <w:r>
                    <w:rPr>
                      <w:rFonts w:hint="default" w:eastAsia="宋体" w:cs="Times New Roman"/>
                      <w:color w:val="auto"/>
                      <w:sz w:val="21"/>
                      <w:szCs w:val="21"/>
                      <w:lang w:val="en-US" w:eastAsia="zh-CN"/>
                    </w:rPr>
                    <w:t>、</w:t>
                  </w:r>
                  <w:r>
                    <w:rPr>
                      <w:rFonts w:hint="eastAsia" w:cs="Times New Roman"/>
                      <w:color w:val="auto"/>
                      <w:sz w:val="21"/>
                      <w:szCs w:val="21"/>
                      <w:lang w:val="en-US" w:eastAsia="zh-CN"/>
                    </w:rPr>
                    <w:t>原辅料</w:t>
                  </w:r>
                  <w:r>
                    <w:rPr>
                      <w:rFonts w:hint="default" w:eastAsia="宋体" w:cs="Times New Roman"/>
                      <w:color w:val="auto"/>
                      <w:sz w:val="21"/>
                      <w:szCs w:val="21"/>
                      <w:lang w:val="en-US" w:eastAsia="zh-CN"/>
                    </w:rPr>
                    <w:t>胶水</w:t>
                  </w:r>
                  <w:r>
                    <w:rPr>
                      <w:rFonts w:hint="eastAsia" w:cs="Times New Roman"/>
                      <w:color w:val="auto"/>
                      <w:sz w:val="21"/>
                      <w:szCs w:val="21"/>
                      <w:lang w:val="en-US" w:eastAsia="zh-CN"/>
                    </w:rPr>
                    <w:t>等易燃物质</w:t>
                  </w:r>
                </w:p>
              </w:tc>
              <w:tc>
                <w:tcPr>
                  <w:tcW w:w="1458" w:type="dxa"/>
                  <w:vAlign w:val="center"/>
                </w:tcPr>
                <w:p w14:paraId="6771F328">
                  <w:pPr>
                    <w:pStyle w:val="71"/>
                    <w:rPr>
                      <w:rFonts w:hint="default" w:eastAsia="宋体" w:cs="Times New Roman"/>
                      <w:color w:val="auto"/>
                      <w:sz w:val="21"/>
                      <w:szCs w:val="21"/>
                      <w:lang w:val="en-US" w:eastAsia="zh-CN"/>
                    </w:rPr>
                  </w:pPr>
                  <w:r>
                    <w:rPr>
                      <w:rFonts w:hint="eastAsia" w:cs="Times New Roman"/>
                      <w:color w:val="auto"/>
                      <w:sz w:val="21"/>
                      <w:szCs w:val="21"/>
                      <w:lang w:val="en-US" w:eastAsia="zh-CN"/>
                    </w:rPr>
                    <w:t>泄漏；火灾引起的次生污染物排放</w:t>
                  </w:r>
                </w:p>
              </w:tc>
              <w:tc>
                <w:tcPr>
                  <w:tcW w:w="3791" w:type="dxa"/>
                  <w:vAlign w:val="center"/>
                </w:tcPr>
                <w:p w14:paraId="02AE788D">
                  <w:pPr>
                    <w:pStyle w:val="71"/>
                    <w:rPr>
                      <w:rFonts w:cs="Times New Roman"/>
                      <w:color w:val="auto"/>
                      <w:sz w:val="21"/>
                      <w:szCs w:val="21"/>
                    </w:rPr>
                  </w:pPr>
                  <w:r>
                    <w:rPr>
                      <w:rFonts w:hint="eastAsia" w:cs="Times New Roman"/>
                      <w:color w:val="auto"/>
                      <w:sz w:val="21"/>
                      <w:szCs w:val="21"/>
                    </w:rPr>
                    <w:t>项目原辅材料水性丙烯酸压敏胶乳液，发生桶体破损泄漏时，胶体渗入土壤、雨水冲刷后会污染地下水</w:t>
                  </w:r>
                  <w:r>
                    <w:rPr>
                      <w:rFonts w:hint="eastAsia" w:cs="Times New Roman"/>
                      <w:color w:val="auto"/>
                      <w:sz w:val="21"/>
                      <w:szCs w:val="21"/>
                      <w:lang w:eastAsia="zh-CN"/>
                    </w:rPr>
                    <w:t>；</w:t>
                  </w:r>
                  <w:r>
                    <w:rPr>
                      <w:rFonts w:hint="eastAsia" w:cs="Times New Roman"/>
                      <w:color w:val="auto"/>
                      <w:sz w:val="21"/>
                      <w:szCs w:val="21"/>
                      <w:lang w:val="en-US" w:eastAsia="zh-CN"/>
                    </w:rPr>
                    <w:t>原辅料</w:t>
                  </w:r>
                  <w:r>
                    <w:rPr>
                      <w:rFonts w:hint="eastAsia" w:cs="Times New Roman"/>
                      <w:color w:val="auto"/>
                      <w:sz w:val="21"/>
                      <w:szCs w:val="21"/>
                    </w:rPr>
                    <w:t>厂区火灾或爆炸引起燃烧，产生的烟气逸散到大气对环境造成影响。</w:t>
                  </w:r>
                </w:p>
              </w:tc>
            </w:tr>
            <w:tr w14:paraId="3F1B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Align w:val="center"/>
                </w:tcPr>
                <w:p w14:paraId="21966825">
                  <w:pPr>
                    <w:pStyle w:val="71"/>
                    <w:rPr>
                      <w:rFonts w:hint="default" w:eastAsia="宋体" w:cs="Times New Roman"/>
                      <w:color w:val="auto"/>
                      <w:sz w:val="21"/>
                      <w:szCs w:val="21"/>
                      <w:lang w:val="en-US" w:eastAsia="zh-CN"/>
                    </w:rPr>
                  </w:pPr>
                  <w:r>
                    <w:rPr>
                      <w:rFonts w:hint="eastAsia" w:cs="Times New Roman"/>
                      <w:color w:val="auto"/>
                      <w:sz w:val="21"/>
                      <w:szCs w:val="21"/>
                      <w:lang w:val="en-US" w:eastAsia="zh-CN"/>
                    </w:rPr>
                    <w:t>危险废物贮存库</w:t>
                  </w:r>
                </w:p>
              </w:tc>
              <w:tc>
                <w:tcPr>
                  <w:tcW w:w="1713" w:type="dxa"/>
                  <w:vAlign w:val="center"/>
                </w:tcPr>
                <w:p w14:paraId="505FCE72">
                  <w:pPr>
                    <w:pStyle w:val="71"/>
                    <w:rPr>
                      <w:rFonts w:hint="default" w:cs="Times New Roman"/>
                      <w:color w:val="auto"/>
                      <w:sz w:val="21"/>
                      <w:szCs w:val="21"/>
                      <w:lang w:val="en-US"/>
                    </w:rPr>
                  </w:pPr>
                  <w:r>
                    <w:rPr>
                      <w:rFonts w:hint="eastAsia"/>
                      <w:szCs w:val="21"/>
                      <w:lang w:val="en-US" w:eastAsia="zh-CN"/>
                    </w:rPr>
                    <w:t>废包装桶、废机油、废含油抹布、手套、废活性炭</w:t>
                  </w:r>
                </w:p>
              </w:tc>
              <w:tc>
                <w:tcPr>
                  <w:tcW w:w="1458" w:type="dxa"/>
                  <w:vAlign w:val="center"/>
                </w:tcPr>
                <w:p w14:paraId="26B00569">
                  <w:pPr>
                    <w:pStyle w:val="71"/>
                    <w:rPr>
                      <w:rFonts w:hint="default" w:eastAsia="宋体" w:cs="Times New Roman"/>
                      <w:color w:val="auto"/>
                      <w:sz w:val="21"/>
                      <w:szCs w:val="21"/>
                      <w:lang w:val="en-US" w:eastAsia="zh-CN"/>
                    </w:rPr>
                  </w:pPr>
                  <w:r>
                    <w:rPr>
                      <w:rFonts w:hint="eastAsia" w:cs="Times New Roman"/>
                      <w:color w:val="auto"/>
                      <w:sz w:val="21"/>
                      <w:szCs w:val="21"/>
                      <w:lang w:val="en-US" w:eastAsia="zh-CN"/>
                    </w:rPr>
                    <w:t>危险物质泄漏</w:t>
                  </w:r>
                </w:p>
              </w:tc>
              <w:tc>
                <w:tcPr>
                  <w:tcW w:w="3791" w:type="dxa"/>
                  <w:vAlign w:val="center"/>
                </w:tcPr>
                <w:p w14:paraId="30CB81ED">
                  <w:pPr>
                    <w:pStyle w:val="71"/>
                    <w:rPr>
                      <w:rFonts w:cs="Times New Roman"/>
                      <w:color w:val="auto"/>
                      <w:sz w:val="21"/>
                      <w:szCs w:val="21"/>
                    </w:rPr>
                  </w:pPr>
                  <w:r>
                    <w:rPr>
                      <w:rFonts w:hint="eastAsia" w:cs="Times New Roman"/>
                      <w:color w:val="auto"/>
                      <w:sz w:val="21"/>
                      <w:szCs w:val="21"/>
                    </w:rPr>
                    <w:t>危险物质在泄漏过程中可能渗入周边土壤，导致土壤</w:t>
                  </w:r>
                  <w:r>
                    <w:rPr>
                      <w:rFonts w:hint="eastAsia" w:cs="Times New Roman"/>
                      <w:color w:val="auto"/>
                      <w:sz w:val="21"/>
                      <w:szCs w:val="21"/>
                      <w:lang w:eastAsia="zh-CN"/>
                    </w:rPr>
                    <w:t>受到</w:t>
                  </w:r>
                  <w:r>
                    <w:rPr>
                      <w:rFonts w:hint="eastAsia" w:cs="Times New Roman"/>
                      <w:color w:val="auto"/>
                      <w:sz w:val="21"/>
                      <w:szCs w:val="21"/>
                    </w:rPr>
                    <w:t>污染，或遇明火可能燃烧引起火灾。</w:t>
                  </w:r>
                </w:p>
              </w:tc>
            </w:tr>
          </w:tbl>
          <w:p w14:paraId="2446D546">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b/>
                <w:bCs/>
                <w:sz w:val="24"/>
              </w:rPr>
            </w:pPr>
            <w:r>
              <w:rPr>
                <w:rFonts w:hint="eastAsia"/>
                <w:b/>
                <w:bCs/>
                <w:sz w:val="24"/>
                <w:lang w:eastAsia="zh-CN"/>
              </w:rPr>
              <w:t>3.</w:t>
            </w:r>
            <w:r>
              <w:rPr>
                <w:rFonts w:hint="eastAsia"/>
                <w:b/>
                <w:bCs/>
                <w:sz w:val="24"/>
              </w:rPr>
              <w:t>环境风险防范措施</w:t>
            </w:r>
          </w:p>
          <w:p w14:paraId="417CCB7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（1）火灾爆炸风险防范措施</w:t>
            </w:r>
          </w:p>
          <w:p w14:paraId="5E8AFC9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严禁烟火，车间内禁止吸烟，加强管理，严格操作规范，制定一系列的防火规章制度；厂内车间应在进口处的明显位置设有醒目的严禁烟火的标志；加强危险物质和应急物资的管理。</w:t>
            </w:r>
          </w:p>
          <w:p w14:paraId="4B36279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危险废物</w:t>
            </w:r>
            <w:r>
              <w:rPr>
                <w:rFonts w:hint="eastAsia"/>
                <w:sz w:val="24"/>
                <w:lang w:val="en-US" w:eastAsia="zh-CN"/>
              </w:rPr>
              <w:t>贮存库</w:t>
            </w:r>
            <w:r>
              <w:rPr>
                <w:rFonts w:hint="eastAsia"/>
                <w:sz w:val="24"/>
              </w:rPr>
              <w:t>要做好防风、防雨、防渗措施，挥发性危险废物密闭桶装。</w:t>
            </w:r>
          </w:p>
          <w:p w14:paraId="3B17CEA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定期对</w:t>
            </w:r>
            <w:r>
              <w:rPr>
                <w:rFonts w:hint="eastAsia"/>
                <w:sz w:val="24"/>
                <w:lang w:val="en-US" w:eastAsia="zh-CN"/>
              </w:rPr>
              <w:t>生产设备</w:t>
            </w:r>
            <w:r>
              <w:rPr>
                <w:rFonts w:hint="eastAsia"/>
                <w:sz w:val="24"/>
              </w:rPr>
              <w:t>、阀门</w:t>
            </w:r>
            <w:r>
              <w:rPr>
                <w:rFonts w:hint="eastAsia"/>
                <w:sz w:val="24"/>
                <w:lang w:val="en-US" w:eastAsia="zh-CN"/>
              </w:rPr>
              <w:t>等节点</w:t>
            </w:r>
            <w:r>
              <w:rPr>
                <w:rFonts w:hint="eastAsia"/>
                <w:sz w:val="24"/>
              </w:rPr>
              <w:t>进行</w:t>
            </w:r>
            <w:r>
              <w:rPr>
                <w:rFonts w:hint="eastAsia"/>
                <w:sz w:val="24"/>
                <w:lang w:val="en-US" w:eastAsia="zh-CN"/>
              </w:rPr>
              <w:t>维修检测</w:t>
            </w:r>
            <w:r>
              <w:rPr>
                <w:rFonts w:hint="eastAsia"/>
                <w:sz w:val="24"/>
              </w:rPr>
              <w:t>。</w:t>
            </w:r>
          </w:p>
          <w:p w14:paraId="4B960A0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生产车间、仓库内必须有自然通风设施及强制通风设施，保证车间内空气流通。</w:t>
            </w:r>
          </w:p>
          <w:p w14:paraId="05BA05C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操作人员应进行安全学习，提高职工的安全意识，识别事故发生前的异常状态，并采取相应的防火措施。</w:t>
            </w:r>
          </w:p>
          <w:p w14:paraId="79A2A4C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完善整个厂区的消防设施，完善火灾预防机制，定期对员工进行防火安全意识培训和消防救火演练来应对突发性火灾事故。</w:t>
            </w:r>
          </w:p>
          <w:p w14:paraId="1625DE8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为避免人员及财产的重大损失，应做好日常的检查工作，对细小部件，特别是对仪器仪表、阀门等要认真细致地检查，责任到人，防止泄漏事故发生；夏季高温要做好降温工作，确保安全，杜绝事故发生。</w:t>
            </w:r>
          </w:p>
          <w:p w14:paraId="6F40178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（2）泄漏事故风险防范措施</w:t>
            </w:r>
          </w:p>
          <w:p w14:paraId="6ADAE89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①严格危险物质的使用及管理要求，落实专门管理人员，制定相关责任制度。</w:t>
            </w:r>
          </w:p>
          <w:p w14:paraId="06F2013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②在</w:t>
            </w:r>
            <w:r>
              <w:rPr>
                <w:rFonts w:hint="eastAsia"/>
                <w:sz w:val="24"/>
                <w:lang w:eastAsia="zh-CN"/>
              </w:rPr>
              <w:t>危险废物贮存库</w:t>
            </w:r>
            <w:r>
              <w:rPr>
                <w:rFonts w:hint="eastAsia"/>
                <w:sz w:val="24"/>
              </w:rPr>
              <w:t>设置围堰或托盘，收集桶、事故收集槽，放置活性炭、沙土等惰性吸附材料等措施，以便泄漏事故发生时应急处置使用。</w:t>
            </w:r>
          </w:p>
          <w:p w14:paraId="43FAD74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③原料应密闭存储，</w:t>
            </w:r>
            <w:r>
              <w:rPr>
                <w:rFonts w:hint="eastAsia"/>
                <w:sz w:val="24"/>
                <w:lang w:eastAsia="zh-CN"/>
              </w:rPr>
              <w:t>设置</w:t>
            </w:r>
            <w:r>
              <w:rPr>
                <w:rFonts w:hint="eastAsia"/>
                <w:sz w:val="24"/>
              </w:rPr>
              <w:t>托盘、应急设施等，以便泄漏事故发生时应急处置使用。</w:t>
            </w:r>
          </w:p>
          <w:p w14:paraId="0924BD8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④进一步细化事故应对措施；平时进行职工教育和信息发布，并加强应急培训与演练；一旦发生泄漏事故</w:t>
            </w:r>
            <w:r>
              <w:rPr>
                <w:rFonts w:hint="eastAsia"/>
                <w:sz w:val="24"/>
                <w:lang w:eastAsia="zh-CN"/>
              </w:rPr>
              <w:t>，</w:t>
            </w:r>
            <w:r>
              <w:rPr>
                <w:rFonts w:hint="eastAsia"/>
                <w:sz w:val="24"/>
              </w:rPr>
              <w:t>应积极组织应急处置，并做好相关善后恢复措施。</w:t>
            </w:r>
          </w:p>
          <w:p w14:paraId="456264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（3）污染事故风险防范措施</w:t>
            </w:r>
          </w:p>
          <w:p w14:paraId="14695B9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本项目必须高度重视废气的收集和处理，高标准、严要求配套废气收集处理设施，并通过配套备用风机、备用零部件等，确保治理设施长期稳定运行，切实防止事故排放的发生。</w:t>
            </w:r>
          </w:p>
          <w:p w14:paraId="3768BE4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lang w:eastAsia="zh-CN"/>
              </w:rPr>
              <w:t>3.</w:t>
            </w:r>
            <w:r>
              <w:rPr>
                <w:rFonts w:hint="eastAsia"/>
                <w:sz w:val="24"/>
              </w:rPr>
              <w:t>应急要求</w:t>
            </w:r>
          </w:p>
          <w:p w14:paraId="3E97401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（1）处理设施故障时，应及时进行检修，必要时停产，待检修完成方可开工生产。</w:t>
            </w:r>
          </w:p>
          <w:p w14:paraId="61EE135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（2）火灾事故发生时，消防人员须佩戴防毒面具、穿全身消防服，在上风向灭火。尽可能将容器从火场移至空旷处。喷水保持火场容器冷却，直至灭火结束。灭火剂为</w:t>
            </w:r>
            <w:r>
              <w:rPr>
                <w:rFonts w:hint="eastAsia"/>
                <w:sz w:val="24"/>
                <w:lang w:eastAsia="zh-CN"/>
              </w:rPr>
              <w:t>消防砂</w:t>
            </w:r>
            <w:r>
              <w:rPr>
                <w:rFonts w:hint="eastAsia"/>
                <w:sz w:val="24"/>
              </w:rPr>
              <w:t>、干粉，及时消灭初期火源，火势较大时应及时报告相关消防、公安部门协助灭火疏散人员和物资，尽量减少损失。</w:t>
            </w:r>
          </w:p>
          <w:p w14:paraId="4E4728B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（3）火灾事故较严重时，应指挥现场及周围人员撤离事故区，根据现场风向制定撤离路线，避免发生吸入烟气中毒事故。</w:t>
            </w:r>
          </w:p>
          <w:p w14:paraId="7379586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（4）加强事故应急演练，有效减少和防止事故的影响和扩散。</w:t>
            </w:r>
          </w:p>
          <w:p w14:paraId="5383FD7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（5）编制突发环境事件应急预案，预案要求如下：</w:t>
            </w:r>
          </w:p>
          <w:p w14:paraId="3823CAA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①应急计划区</w:t>
            </w:r>
          </w:p>
          <w:p w14:paraId="1FED98B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对厂区平面布置进行介绍，详细说明厂区布置，确定应急计划区并给出分布图。</w:t>
            </w:r>
          </w:p>
          <w:p w14:paraId="338991F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②指挥机构及人员</w:t>
            </w:r>
          </w:p>
          <w:p w14:paraId="43BA786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主要包括指挥人员的名单、职责，不同事故时的不同指挥地点，常规值班表。</w:t>
            </w:r>
          </w:p>
          <w:p w14:paraId="7638B18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③预案分级响应条件</w:t>
            </w:r>
          </w:p>
          <w:p w14:paraId="1021AF6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根据工程特征，规范预案的级别及分级响应程序。</w:t>
            </w:r>
          </w:p>
          <w:p w14:paraId="4958F97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④应急救援保障</w:t>
            </w:r>
          </w:p>
          <w:p w14:paraId="3B9CF8D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规定并明确应急设施、设备与器材，并落实专人管理。</w:t>
            </w:r>
          </w:p>
          <w:p w14:paraId="0B09AE1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⑤报警、通讯联络方式</w:t>
            </w:r>
          </w:p>
          <w:p w14:paraId="3337E2D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主要包括事故报警电话号码、通讯、联络方法、较远距离的信号联络，突发停电、雷电暴雨等特殊情况下的报警、通讯、联络。</w:t>
            </w:r>
          </w:p>
          <w:p w14:paraId="55D8686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⑥应急措施</w:t>
            </w:r>
          </w:p>
          <w:p w14:paraId="142E23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包括两个方面，一是应急环境监测、抢险、救援与控制措施，由专业队伍负责对事故现场进行监测，对事故性质、参数与后果进行评估，为指挥部提供决策依据；二是应急监测、防护措施，包括事故现场、临近区域及控制防火区域，明确控制和清除污染措施及相应设备。制定不同事故时不同的救援方案和程序（例如火灾爆炸应急方案和程序、停水停电应急措施等），并配有清晰的图示，明确职工自救、互救方法，规定伤员转运途中的医护技术要求，制定医护人员的常规值班表、详细地址和联络途径，确定现场急救点并设置明显标志。</w:t>
            </w:r>
          </w:p>
          <w:p w14:paraId="634CE1F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⑦人员撤离计划</w:t>
            </w:r>
          </w:p>
          <w:p w14:paraId="2F9A5CF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包括人员紧急撤离、疏散，应急剂量控制及撤离组织计划，明确事故现场、工厂邻近区域、受事故影响的区域人员及公众对毒物应急剂量控制规定，制定医疗救护程序。详细规定本厂事故情况下紧急集结点及周边居民区的紧急集结点，确定紧急事故情况下的安全疏散路线。</w:t>
            </w:r>
          </w:p>
          <w:p w14:paraId="377741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⑧事故应急救援关闭程序与恢复措施</w:t>
            </w:r>
          </w:p>
          <w:p w14:paraId="052C5E3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规定应急状态终止程序，提出事故现场善后处理和恢复措施及邻近区域解除事故警戒及善后恢复措施。</w:t>
            </w:r>
          </w:p>
          <w:p w14:paraId="2DF13F5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⑨应急培训计划</w:t>
            </w:r>
          </w:p>
          <w:p w14:paraId="63C5066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sz w:val="24"/>
              </w:rPr>
              <w:t>应急计划制定后，要定期安排人员进行培训和演练，必要时包括附近的居民。</w:t>
            </w:r>
          </w:p>
          <w:p w14:paraId="5BD01CD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b/>
                <w:bCs/>
                <w:kern w:val="0"/>
                <w:sz w:val="24"/>
                <w:lang w:val="en-US" w:eastAsia="zh-CN"/>
              </w:rPr>
            </w:pPr>
            <w:r>
              <w:rPr>
                <w:rFonts w:hint="eastAsia"/>
                <w:sz w:val="24"/>
              </w:rPr>
              <w:t>本项目在做好上述各项防范措施，且切实落实安评提出的各项安全管理措施后，厂区发生事故的可</w:t>
            </w:r>
            <w:r>
              <w:rPr>
                <w:rFonts w:hint="eastAsia"/>
                <w:sz w:val="24"/>
                <w:lang w:eastAsia="zh-CN"/>
              </w:rPr>
              <w:t>能性</w:t>
            </w:r>
            <w:r>
              <w:rPr>
                <w:rFonts w:hint="eastAsia"/>
                <w:sz w:val="24"/>
              </w:rPr>
              <w:t>将进一步降低，因此，本项目的环境风险是可控的。</w:t>
            </w:r>
          </w:p>
          <w:p w14:paraId="1E916809">
            <w:pPr>
              <w:keepNext w:val="0"/>
              <w:keepLines w:val="0"/>
              <w:pageBreakBefore w:val="0"/>
              <w:widowControl w:val="0"/>
              <w:kinsoku/>
              <w:wordWrap/>
              <w:overflowPunct/>
              <w:topLinePunct w:val="0"/>
              <w:autoSpaceDE/>
              <w:autoSpaceDN/>
              <w:bidi w:val="0"/>
              <w:spacing w:line="520" w:lineRule="exact"/>
              <w:textAlignment w:val="auto"/>
              <w:rPr>
                <w:rFonts w:hint="eastAsia" w:ascii="宋体" w:hAnsi="宋体" w:eastAsia="宋体" w:cs="宋体"/>
                <w:b/>
                <w:sz w:val="24"/>
              </w:rPr>
            </w:pPr>
            <w:r>
              <w:rPr>
                <w:rFonts w:hint="eastAsia" w:ascii="宋体" w:hAnsi="宋体" w:eastAsia="宋体" w:cs="宋体"/>
                <w:b/>
                <w:sz w:val="24"/>
                <w:lang w:eastAsia="zh-CN"/>
              </w:rPr>
              <w:t>（七）</w:t>
            </w:r>
            <w:r>
              <w:rPr>
                <w:rFonts w:hint="eastAsia" w:ascii="宋体" w:hAnsi="宋体" w:eastAsia="宋体" w:cs="宋体"/>
                <w:b/>
                <w:sz w:val="24"/>
              </w:rPr>
              <w:t>环境管理</w:t>
            </w:r>
          </w:p>
          <w:p w14:paraId="059B6884">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根据《固定污染源排污许可分类管理名录（2019 年版）》，项目属于二十四、橡胶和塑料制品业29，年产1万吨及以上的泡沫塑料制造2924，年产1万吨及以上涉及改性的塑料薄膜制造2921、塑料板、管、型材制造2922塑料丝、绳和编织品制造2923、塑料包装箱及容器制造2926.日用塑料品制造2927、人造草坪制造2928、塑料零件及其他塑料制品制造2929，属于简化管理。</w:t>
            </w:r>
          </w:p>
          <w:p w14:paraId="2FB6BFEE">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sz w:val="24"/>
              </w:rPr>
            </w:pPr>
            <w:r>
              <w:rPr>
                <w:rFonts w:hint="eastAsia" w:ascii="Times New Roman" w:hAnsi="Times New Roman" w:eastAsia="宋体" w:cs="Times New Roman"/>
                <w:sz w:val="24"/>
                <w:lang w:val="en-US" w:eastAsia="zh-CN"/>
              </w:rPr>
              <w:t>严格按照《排污单位自行监测技术指南 总则》（HJ819-2017）、《排污单位自行监测技术指南 橡胶和塑料制品》（HJ1207-2021）及《排污许可证申请与核发技术规范 橡胶和塑料制品工业》（HJ1122-2020）相关要求开展自行监测，建立完善的环境管理台账，记录污染治理设施运行、污染物排放等信息，定期向生态环境主管部门上报监测数据和环境管理情况，主动公开污染物排放信息，接受生态环境部门及公众监督。设置专职环境管理人员，明确环境管理岗位职责，组织开展环保知识培训，提升员工环境保护意识，定期对各项环保治理设施进行日常检查、维护和保养，确保污染治理设施长期稳定达标运行。</w:t>
            </w:r>
          </w:p>
          <w:p w14:paraId="2A6A2A1D">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eastAsia="宋体"/>
                <w:sz w:val="24"/>
                <w:szCs w:val="24"/>
                <w:lang w:eastAsia="zh-CN"/>
              </w:rPr>
            </w:pPr>
            <w:r>
              <w:rPr>
                <w:rFonts w:hint="eastAsia"/>
                <w:sz w:val="24"/>
                <w:szCs w:val="24"/>
                <w:lang w:val="en-US" w:eastAsia="zh-CN"/>
              </w:rPr>
              <w:t>项目建成后应</w:t>
            </w:r>
            <w:r>
              <w:rPr>
                <w:rFonts w:hint="eastAsia"/>
                <w:sz w:val="24"/>
                <w:szCs w:val="24"/>
              </w:rPr>
              <w:t>根据《排污单位污染物排放口二维码标识技术规范》（HJ1297—2023）《危险废物识别标志设置技术规范 》（HJ 1276—2022）和《环境保护图形标志—固体废物贮存（处置）场》（GB 15562.2-1995）修改单，设置与之相适应的环境保护图形标志牌</w:t>
            </w:r>
            <w:r>
              <w:rPr>
                <w:rFonts w:hint="eastAsia"/>
                <w:sz w:val="24"/>
                <w:szCs w:val="24"/>
                <w:lang w:eastAsia="zh-CN"/>
              </w:rPr>
              <w:t>，必须使用由国家生态环境局统一定点制作和监制的环境保护图形标志牌，环境保护图形标志牌设置位置应距污染物排放口（源）及固体废物贮存（处置）场或采样点较近且醒目处，并能长久保留。</w:t>
            </w:r>
          </w:p>
          <w:p w14:paraId="6C128C9D">
            <w:pPr>
              <w:keepNext w:val="0"/>
              <w:keepLines w:val="0"/>
              <w:pageBreakBefore w:val="0"/>
              <w:wordWrap/>
              <w:overflowPunct/>
              <w:topLinePunct w:val="0"/>
              <w:bidi w:val="0"/>
              <w:adjustRightInd w:val="0"/>
              <w:snapToGrid w:val="0"/>
              <w:spacing w:line="520" w:lineRule="exact"/>
              <w:ind w:firstLine="480" w:firstLineChars="200"/>
              <w:rPr>
                <w:rFonts w:ascii="宋体" w:cs="宋体"/>
                <w:b/>
                <w:kern w:val="0"/>
                <w:sz w:val="24"/>
                <w:szCs w:val="24"/>
              </w:rPr>
            </w:pPr>
            <w:r>
              <w:rPr>
                <w:rFonts w:hint="eastAsia"/>
                <w:sz w:val="24"/>
                <w:szCs w:val="24"/>
              </w:rPr>
              <w:t>建设单位应强化营运期的环境管理工作，确保项目运营不影响环境，不扰民。认真落实环保设施的“三同时”，本项目建成后</w:t>
            </w:r>
            <w:r>
              <w:rPr>
                <w:rFonts w:hint="eastAsia"/>
                <w:sz w:val="24"/>
                <w:szCs w:val="24"/>
                <w:lang w:val="en-US" w:eastAsia="zh-CN"/>
              </w:rPr>
              <w:t>建设单位自行开展项目竣工环境保护验收，</w:t>
            </w:r>
            <w:r>
              <w:rPr>
                <w:rFonts w:hint="eastAsia"/>
                <w:sz w:val="24"/>
                <w:szCs w:val="24"/>
              </w:rPr>
              <w:t>验收后到环保部门进行备案登记，并随时接受环保部门的不定期监督检查</w:t>
            </w:r>
            <w:r>
              <w:rPr>
                <w:rFonts w:hint="eastAsia"/>
                <w:sz w:val="24"/>
                <w:szCs w:val="24"/>
                <w:lang w:eastAsia="zh-CN"/>
              </w:rPr>
              <w:t>。</w:t>
            </w:r>
            <w:r>
              <w:rPr>
                <w:rFonts w:hint="eastAsia" w:ascii="宋体" w:hAnsi="宋体" w:cs="宋体"/>
                <w:bCs/>
                <w:spacing w:val="10"/>
                <w:sz w:val="24"/>
                <w:szCs w:val="24"/>
              </w:rPr>
              <w:t>环境保护图形标志详见下表。</w:t>
            </w:r>
          </w:p>
          <w:p w14:paraId="255212D4">
            <w:pPr>
              <w:keepNext w:val="0"/>
              <w:keepLines w:val="0"/>
              <w:pageBreakBefore w:val="0"/>
              <w:widowControl/>
              <w:kinsoku w:val="0"/>
              <w:wordWrap/>
              <w:overflowPunct/>
              <w:topLinePunct w:val="0"/>
              <w:autoSpaceDE w:val="0"/>
              <w:autoSpaceDN w:val="0"/>
              <w:bidi w:val="0"/>
              <w:adjustRightInd w:val="0"/>
              <w:snapToGrid w:val="0"/>
              <w:spacing w:line="520" w:lineRule="exact"/>
              <w:jc w:val="center"/>
              <w:textAlignment w:val="baseline"/>
              <w:rPr>
                <w:rFonts w:hint="eastAsia" w:ascii="宋体" w:hAnsi="宋体" w:cs="宋体"/>
                <w:b/>
                <w:bCs/>
                <w:spacing w:val="6"/>
                <w:sz w:val="24"/>
                <w:szCs w:val="24"/>
              </w:rPr>
            </w:pPr>
            <w:bookmarkStart w:id="26" w:name="_Ref975"/>
            <w:r>
              <w:rPr>
                <w:rFonts w:hint="eastAsia" w:ascii="宋体" w:hAnsi="宋体" w:cs="宋体"/>
                <w:b/>
                <w:bCs/>
                <w:spacing w:val="6"/>
                <w:sz w:val="24"/>
                <w:szCs w:val="24"/>
              </w:rPr>
              <w:t>表4-</w:t>
            </w:r>
            <w:r>
              <w:rPr>
                <w:rFonts w:hint="eastAsia" w:ascii="宋体" w:hAnsi="宋体" w:cs="宋体"/>
                <w:b/>
                <w:bCs/>
                <w:spacing w:val="6"/>
                <w:sz w:val="24"/>
                <w:szCs w:val="24"/>
                <w:lang w:val="en-US" w:eastAsia="zh-CN"/>
              </w:rPr>
              <w:t>12</w:t>
            </w:r>
            <w:r>
              <w:rPr>
                <w:rFonts w:hint="eastAsia" w:ascii="宋体" w:hAnsi="宋体" w:cs="宋体"/>
                <w:b/>
                <w:bCs/>
                <w:spacing w:val="6"/>
                <w:sz w:val="24"/>
                <w:szCs w:val="24"/>
              </w:rPr>
              <w:t xml:space="preserve">   环境保护图形标志</w:t>
            </w:r>
            <w:bookmarkEnd w:id="26"/>
            <w:r>
              <w:rPr>
                <w:rFonts w:hint="eastAsia" w:ascii="宋体" w:hAnsi="宋体" w:cs="宋体"/>
                <w:b/>
                <w:bCs/>
                <w:spacing w:val="6"/>
                <w:sz w:val="24"/>
                <w:szCs w:val="24"/>
              </w:rPr>
              <w:t>一览表</w:t>
            </w:r>
          </w:p>
          <w:tbl>
            <w:tblPr>
              <w:tblStyle w:val="24"/>
              <w:tblW w:w="8533" w:type="dxa"/>
              <w:jc w:val="center"/>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fixed"/>
              <w:tblCellMar>
                <w:top w:w="0" w:type="dxa"/>
                <w:left w:w="108" w:type="dxa"/>
                <w:bottom w:w="0" w:type="dxa"/>
                <w:right w:w="108" w:type="dxa"/>
              </w:tblCellMar>
            </w:tblPr>
            <w:tblGrid>
              <w:gridCol w:w="1125"/>
              <w:gridCol w:w="2489"/>
              <w:gridCol w:w="2329"/>
              <w:gridCol w:w="2590"/>
            </w:tblGrid>
            <w:tr w14:paraId="4C7EF1B9">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5" w:type="dxa"/>
                  <w:tcBorders>
                    <w:tl2br w:val="nil"/>
                    <w:tr2bl w:val="nil"/>
                  </w:tcBorders>
                  <w:noWrap w:val="0"/>
                  <w:vAlign w:val="center"/>
                </w:tcPr>
                <w:p w14:paraId="62AE7912">
                  <w:pPr>
                    <w:adjustRightInd w:val="0"/>
                    <w:snapToGrid w:val="0"/>
                    <w:jc w:val="center"/>
                    <w:rPr>
                      <w:szCs w:val="21"/>
                    </w:rPr>
                  </w:pPr>
                  <w:r>
                    <w:rPr>
                      <w:szCs w:val="21"/>
                    </w:rPr>
                    <w:t>序号</w:t>
                  </w:r>
                </w:p>
              </w:tc>
              <w:tc>
                <w:tcPr>
                  <w:tcW w:w="2489" w:type="dxa"/>
                  <w:tcBorders>
                    <w:tl2br w:val="nil"/>
                    <w:tr2bl w:val="nil"/>
                  </w:tcBorders>
                  <w:noWrap w:val="0"/>
                  <w:vAlign w:val="center"/>
                </w:tcPr>
                <w:p w14:paraId="0B7B959E">
                  <w:pPr>
                    <w:adjustRightInd w:val="0"/>
                    <w:snapToGrid w:val="0"/>
                    <w:jc w:val="center"/>
                    <w:rPr>
                      <w:szCs w:val="21"/>
                    </w:rPr>
                  </w:pPr>
                  <w:r>
                    <w:rPr>
                      <w:szCs w:val="21"/>
                    </w:rPr>
                    <w:t>提示图形标志</w:t>
                  </w:r>
                </w:p>
              </w:tc>
              <w:tc>
                <w:tcPr>
                  <w:tcW w:w="2329" w:type="dxa"/>
                  <w:tcBorders>
                    <w:tl2br w:val="nil"/>
                    <w:tr2bl w:val="nil"/>
                  </w:tcBorders>
                  <w:noWrap w:val="0"/>
                  <w:vAlign w:val="center"/>
                </w:tcPr>
                <w:p w14:paraId="548B1EA0">
                  <w:pPr>
                    <w:adjustRightInd w:val="0"/>
                    <w:snapToGrid w:val="0"/>
                    <w:jc w:val="center"/>
                    <w:rPr>
                      <w:szCs w:val="21"/>
                    </w:rPr>
                  </w:pPr>
                  <w:r>
                    <w:rPr>
                      <w:szCs w:val="21"/>
                    </w:rPr>
                    <w:t>警告图形符号</w:t>
                  </w:r>
                </w:p>
              </w:tc>
              <w:tc>
                <w:tcPr>
                  <w:tcW w:w="2590" w:type="dxa"/>
                  <w:tcBorders>
                    <w:tl2br w:val="nil"/>
                    <w:tr2bl w:val="nil"/>
                  </w:tcBorders>
                  <w:noWrap w:val="0"/>
                  <w:vAlign w:val="center"/>
                </w:tcPr>
                <w:p w14:paraId="193912C9">
                  <w:pPr>
                    <w:adjustRightInd w:val="0"/>
                    <w:snapToGrid w:val="0"/>
                    <w:jc w:val="center"/>
                    <w:rPr>
                      <w:szCs w:val="21"/>
                    </w:rPr>
                  </w:pPr>
                  <w:r>
                    <w:rPr>
                      <w:szCs w:val="21"/>
                    </w:rPr>
                    <w:t>名称</w:t>
                  </w:r>
                </w:p>
              </w:tc>
            </w:tr>
            <w:tr w14:paraId="66A43B8E">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5" w:type="dxa"/>
                  <w:tcBorders>
                    <w:tl2br w:val="nil"/>
                    <w:tr2bl w:val="nil"/>
                  </w:tcBorders>
                  <w:noWrap w:val="0"/>
                  <w:vAlign w:val="center"/>
                </w:tcPr>
                <w:p w14:paraId="0859E4D5">
                  <w:pPr>
                    <w:adjustRightInd w:val="0"/>
                    <w:snapToGrid w:val="0"/>
                    <w:jc w:val="center"/>
                    <w:rPr>
                      <w:szCs w:val="21"/>
                    </w:rPr>
                  </w:pPr>
                  <w:r>
                    <w:rPr>
                      <w:szCs w:val="21"/>
                    </w:rPr>
                    <w:t>1</w:t>
                  </w:r>
                </w:p>
              </w:tc>
              <w:tc>
                <w:tcPr>
                  <w:tcW w:w="2489" w:type="dxa"/>
                  <w:tcBorders>
                    <w:tl2br w:val="nil"/>
                    <w:tr2bl w:val="nil"/>
                  </w:tcBorders>
                  <w:noWrap w:val="0"/>
                  <w:vAlign w:val="center"/>
                </w:tcPr>
                <w:p w14:paraId="0F3DFB1C">
                  <w:pPr>
                    <w:adjustRightInd w:val="0"/>
                    <w:snapToGrid w:val="0"/>
                    <w:jc w:val="center"/>
                    <w:rPr>
                      <w:szCs w:val="21"/>
                    </w:rPr>
                  </w:pPr>
                  <w:r>
                    <w:rPr>
                      <w:szCs w:val="21"/>
                    </w:rPr>
                    <w:drawing>
                      <wp:inline distT="0" distB="0" distL="114300" distR="114300">
                        <wp:extent cx="866775" cy="904875"/>
                        <wp:effectExtent l="0" t="0" r="9525" b="952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0"/>
                                <a:stretch>
                                  <a:fillRect/>
                                </a:stretch>
                              </pic:blipFill>
                              <pic:spPr>
                                <a:xfrm>
                                  <a:off x="0" y="0"/>
                                  <a:ext cx="866775" cy="904875"/>
                                </a:xfrm>
                                <a:prstGeom prst="rect">
                                  <a:avLst/>
                                </a:prstGeom>
                                <a:noFill/>
                                <a:ln>
                                  <a:noFill/>
                                </a:ln>
                              </pic:spPr>
                            </pic:pic>
                          </a:graphicData>
                        </a:graphic>
                      </wp:inline>
                    </w:drawing>
                  </w:r>
                </w:p>
              </w:tc>
              <w:tc>
                <w:tcPr>
                  <w:tcW w:w="2329" w:type="dxa"/>
                  <w:tcBorders>
                    <w:tl2br w:val="nil"/>
                    <w:tr2bl w:val="nil"/>
                  </w:tcBorders>
                  <w:noWrap w:val="0"/>
                  <w:vAlign w:val="center"/>
                </w:tcPr>
                <w:p w14:paraId="1871A1CC">
                  <w:pPr>
                    <w:adjustRightInd w:val="0"/>
                    <w:snapToGrid w:val="0"/>
                    <w:jc w:val="center"/>
                    <w:rPr>
                      <w:szCs w:val="21"/>
                    </w:rPr>
                  </w:pPr>
                  <w:r>
                    <w:rPr>
                      <w:szCs w:val="21"/>
                    </w:rPr>
                    <w:drawing>
                      <wp:inline distT="0" distB="0" distL="114300" distR="114300">
                        <wp:extent cx="923925" cy="923925"/>
                        <wp:effectExtent l="0" t="0" r="9525" b="952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11"/>
                                <a:stretch>
                                  <a:fillRect/>
                                </a:stretch>
                              </pic:blipFill>
                              <pic:spPr>
                                <a:xfrm>
                                  <a:off x="0" y="0"/>
                                  <a:ext cx="923925" cy="923925"/>
                                </a:xfrm>
                                <a:prstGeom prst="rect">
                                  <a:avLst/>
                                </a:prstGeom>
                                <a:noFill/>
                                <a:ln>
                                  <a:noFill/>
                                </a:ln>
                              </pic:spPr>
                            </pic:pic>
                          </a:graphicData>
                        </a:graphic>
                      </wp:inline>
                    </w:drawing>
                  </w:r>
                </w:p>
              </w:tc>
              <w:tc>
                <w:tcPr>
                  <w:tcW w:w="2590" w:type="dxa"/>
                  <w:tcBorders>
                    <w:tl2br w:val="nil"/>
                    <w:tr2bl w:val="nil"/>
                  </w:tcBorders>
                  <w:noWrap w:val="0"/>
                  <w:vAlign w:val="center"/>
                </w:tcPr>
                <w:p w14:paraId="470526A0">
                  <w:pPr>
                    <w:adjustRightInd w:val="0"/>
                    <w:snapToGrid w:val="0"/>
                    <w:jc w:val="center"/>
                    <w:rPr>
                      <w:szCs w:val="21"/>
                    </w:rPr>
                  </w:pPr>
                  <w:r>
                    <w:rPr>
                      <w:szCs w:val="21"/>
                    </w:rPr>
                    <w:t>废水排放口</w:t>
                  </w:r>
                </w:p>
              </w:tc>
            </w:tr>
            <w:tr w14:paraId="038612E0">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5" w:type="dxa"/>
                  <w:tcBorders>
                    <w:tl2br w:val="nil"/>
                    <w:tr2bl w:val="nil"/>
                  </w:tcBorders>
                  <w:noWrap w:val="0"/>
                  <w:vAlign w:val="center"/>
                </w:tcPr>
                <w:p w14:paraId="253D0909">
                  <w:pPr>
                    <w:adjustRightInd w:val="0"/>
                    <w:snapToGrid w:val="0"/>
                    <w:jc w:val="center"/>
                    <w:rPr>
                      <w:szCs w:val="21"/>
                    </w:rPr>
                  </w:pPr>
                  <w:r>
                    <w:rPr>
                      <w:szCs w:val="21"/>
                    </w:rPr>
                    <w:t>2</w:t>
                  </w:r>
                </w:p>
              </w:tc>
              <w:tc>
                <w:tcPr>
                  <w:tcW w:w="2489" w:type="dxa"/>
                  <w:tcBorders>
                    <w:tl2br w:val="nil"/>
                    <w:tr2bl w:val="nil"/>
                  </w:tcBorders>
                  <w:noWrap w:val="0"/>
                  <w:vAlign w:val="center"/>
                </w:tcPr>
                <w:p w14:paraId="7F47AE38">
                  <w:pPr>
                    <w:adjustRightInd w:val="0"/>
                    <w:snapToGrid w:val="0"/>
                    <w:jc w:val="center"/>
                    <w:rPr>
                      <w:szCs w:val="21"/>
                    </w:rPr>
                  </w:pPr>
                  <w:r>
                    <w:rPr>
                      <w:szCs w:val="21"/>
                    </w:rPr>
                    <w:drawing>
                      <wp:inline distT="0" distB="0" distL="114300" distR="114300">
                        <wp:extent cx="923925" cy="866775"/>
                        <wp:effectExtent l="0" t="0" r="9525" b="952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12"/>
                                <a:stretch>
                                  <a:fillRect/>
                                </a:stretch>
                              </pic:blipFill>
                              <pic:spPr>
                                <a:xfrm>
                                  <a:off x="0" y="0"/>
                                  <a:ext cx="923925" cy="866775"/>
                                </a:xfrm>
                                <a:prstGeom prst="rect">
                                  <a:avLst/>
                                </a:prstGeom>
                                <a:noFill/>
                                <a:ln>
                                  <a:noFill/>
                                </a:ln>
                              </pic:spPr>
                            </pic:pic>
                          </a:graphicData>
                        </a:graphic>
                      </wp:inline>
                    </w:drawing>
                  </w:r>
                </w:p>
              </w:tc>
              <w:tc>
                <w:tcPr>
                  <w:tcW w:w="2329" w:type="dxa"/>
                  <w:tcBorders>
                    <w:tl2br w:val="nil"/>
                    <w:tr2bl w:val="nil"/>
                  </w:tcBorders>
                  <w:noWrap w:val="0"/>
                  <w:vAlign w:val="center"/>
                </w:tcPr>
                <w:p w14:paraId="0099D573">
                  <w:pPr>
                    <w:adjustRightInd w:val="0"/>
                    <w:snapToGrid w:val="0"/>
                    <w:jc w:val="center"/>
                    <w:rPr>
                      <w:szCs w:val="21"/>
                    </w:rPr>
                  </w:pPr>
                  <w:r>
                    <w:rPr>
                      <w:szCs w:val="21"/>
                    </w:rPr>
                    <w:drawing>
                      <wp:inline distT="0" distB="0" distL="114300" distR="114300">
                        <wp:extent cx="952500" cy="904875"/>
                        <wp:effectExtent l="0" t="0" r="0" b="9525"/>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13"/>
                                <a:stretch>
                                  <a:fillRect/>
                                </a:stretch>
                              </pic:blipFill>
                              <pic:spPr>
                                <a:xfrm>
                                  <a:off x="0" y="0"/>
                                  <a:ext cx="952500" cy="904875"/>
                                </a:xfrm>
                                <a:prstGeom prst="rect">
                                  <a:avLst/>
                                </a:prstGeom>
                                <a:noFill/>
                                <a:ln>
                                  <a:noFill/>
                                </a:ln>
                              </pic:spPr>
                            </pic:pic>
                          </a:graphicData>
                        </a:graphic>
                      </wp:inline>
                    </w:drawing>
                  </w:r>
                </w:p>
              </w:tc>
              <w:tc>
                <w:tcPr>
                  <w:tcW w:w="2590" w:type="dxa"/>
                  <w:tcBorders>
                    <w:tl2br w:val="nil"/>
                    <w:tr2bl w:val="nil"/>
                  </w:tcBorders>
                  <w:noWrap w:val="0"/>
                  <w:vAlign w:val="center"/>
                </w:tcPr>
                <w:p w14:paraId="62254EC8">
                  <w:pPr>
                    <w:adjustRightInd w:val="0"/>
                    <w:snapToGrid w:val="0"/>
                    <w:jc w:val="center"/>
                    <w:rPr>
                      <w:szCs w:val="21"/>
                    </w:rPr>
                  </w:pPr>
                  <w:r>
                    <w:rPr>
                      <w:szCs w:val="21"/>
                    </w:rPr>
                    <w:t>废气排放口</w:t>
                  </w:r>
                </w:p>
              </w:tc>
            </w:tr>
            <w:tr w14:paraId="66783AEC">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5" w:type="dxa"/>
                  <w:tcBorders>
                    <w:tl2br w:val="nil"/>
                    <w:tr2bl w:val="nil"/>
                  </w:tcBorders>
                  <w:noWrap w:val="0"/>
                  <w:vAlign w:val="center"/>
                </w:tcPr>
                <w:p w14:paraId="29B344B2">
                  <w:pPr>
                    <w:adjustRightInd w:val="0"/>
                    <w:snapToGrid w:val="0"/>
                    <w:jc w:val="center"/>
                    <w:rPr>
                      <w:szCs w:val="21"/>
                    </w:rPr>
                  </w:pPr>
                  <w:r>
                    <w:rPr>
                      <w:szCs w:val="21"/>
                    </w:rPr>
                    <w:t>3</w:t>
                  </w:r>
                </w:p>
              </w:tc>
              <w:tc>
                <w:tcPr>
                  <w:tcW w:w="2489" w:type="dxa"/>
                  <w:tcBorders>
                    <w:tl2br w:val="nil"/>
                    <w:tr2bl w:val="nil"/>
                  </w:tcBorders>
                  <w:noWrap w:val="0"/>
                  <w:vAlign w:val="center"/>
                </w:tcPr>
                <w:p w14:paraId="474BD270">
                  <w:pPr>
                    <w:adjustRightInd w:val="0"/>
                    <w:snapToGrid w:val="0"/>
                    <w:jc w:val="center"/>
                    <w:rPr>
                      <w:szCs w:val="21"/>
                    </w:rPr>
                  </w:pPr>
                  <w:r>
                    <w:rPr>
                      <w:szCs w:val="21"/>
                    </w:rPr>
                    <w:drawing>
                      <wp:inline distT="0" distB="0" distL="114300" distR="114300">
                        <wp:extent cx="962025" cy="923925"/>
                        <wp:effectExtent l="0" t="0" r="9525" b="9525"/>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4"/>
                                <a:stretch>
                                  <a:fillRect/>
                                </a:stretch>
                              </pic:blipFill>
                              <pic:spPr>
                                <a:xfrm>
                                  <a:off x="0" y="0"/>
                                  <a:ext cx="962025" cy="923925"/>
                                </a:xfrm>
                                <a:prstGeom prst="rect">
                                  <a:avLst/>
                                </a:prstGeom>
                                <a:noFill/>
                                <a:ln>
                                  <a:noFill/>
                                </a:ln>
                              </pic:spPr>
                            </pic:pic>
                          </a:graphicData>
                        </a:graphic>
                      </wp:inline>
                    </w:drawing>
                  </w:r>
                </w:p>
              </w:tc>
              <w:tc>
                <w:tcPr>
                  <w:tcW w:w="2329" w:type="dxa"/>
                  <w:tcBorders>
                    <w:tl2br w:val="nil"/>
                    <w:tr2bl w:val="nil"/>
                  </w:tcBorders>
                  <w:noWrap w:val="0"/>
                  <w:vAlign w:val="center"/>
                </w:tcPr>
                <w:p w14:paraId="5CFC919A">
                  <w:pPr>
                    <w:adjustRightInd w:val="0"/>
                    <w:snapToGrid w:val="0"/>
                    <w:jc w:val="center"/>
                    <w:rPr>
                      <w:szCs w:val="21"/>
                    </w:rPr>
                  </w:pPr>
                  <w:r>
                    <w:rPr>
                      <w:szCs w:val="21"/>
                    </w:rPr>
                    <w:drawing>
                      <wp:inline distT="0" distB="0" distL="114300" distR="114300">
                        <wp:extent cx="962660" cy="777875"/>
                        <wp:effectExtent l="0" t="0" r="8890" b="3175"/>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15"/>
                                <a:stretch>
                                  <a:fillRect/>
                                </a:stretch>
                              </pic:blipFill>
                              <pic:spPr>
                                <a:xfrm>
                                  <a:off x="0" y="0"/>
                                  <a:ext cx="962660" cy="777875"/>
                                </a:xfrm>
                                <a:prstGeom prst="rect">
                                  <a:avLst/>
                                </a:prstGeom>
                                <a:noFill/>
                                <a:ln>
                                  <a:noFill/>
                                </a:ln>
                              </pic:spPr>
                            </pic:pic>
                          </a:graphicData>
                        </a:graphic>
                      </wp:inline>
                    </w:drawing>
                  </w:r>
                </w:p>
              </w:tc>
              <w:tc>
                <w:tcPr>
                  <w:tcW w:w="2590" w:type="dxa"/>
                  <w:tcBorders>
                    <w:tl2br w:val="nil"/>
                    <w:tr2bl w:val="nil"/>
                  </w:tcBorders>
                  <w:noWrap w:val="0"/>
                  <w:vAlign w:val="center"/>
                </w:tcPr>
                <w:p w14:paraId="5F3ADC0D">
                  <w:pPr>
                    <w:adjustRightInd w:val="0"/>
                    <w:snapToGrid w:val="0"/>
                    <w:jc w:val="center"/>
                    <w:rPr>
                      <w:szCs w:val="21"/>
                    </w:rPr>
                  </w:pPr>
                  <w:r>
                    <w:rPr>
                      <w:szCs w:val="21"/>
                    </w:rPr>
                    <w:t>噪声排放源</w:t>
                  </w:r>
                </w:p>
              </w:tc>
            </w:tr>
            <w:tr w14:paraId="6EB78FC0">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5" w:type="dxa"/>
                  <w:tcBorders>
                    <w:tl2br w:val="nil"/>
                    <w:tr2bl w:val="nil"/>
                  </w:tcBorders>
                  <w:noWrap w:val="0"/>
                  <w:vAlign w:val="center"/>
                </w:tcPr>
                <w:p w14:paraId="03937952">
                  <w:pPr>
                    <w:adjustRightInd w:val="0"/>
                    <w:snapToGrid w:val="0"/>
                    <w:jc w:val="center"/>
                    <w:rPr>
                      <w:rFonts w:hint="eastAsia" w:eastAsia="宋体"/>
                      <w:szCs w:val="21"/>
                      <w:lang w:val="en-US" w:eastAsia="zh-CN"/>
                    </w:rPr>
                  </w:pPr>
                  <w:r>
                    <w:rPr>
                      <w:rFonts w:hint="eastAsia"/>
                      <w:szCs w:val="21"/>
                      <w:lang w:val="en-US" w:eastAsia="zh-CN"/>
                    </w:rPr>
                    <w:t>4</w:t>
                  </w:r>
                </w:p>
              </w:tc>
              <w:tc>
                <w:tcPr>
                  <w:tcW w:w="2489" w:type="dxa"/>
                  <w:tcBorders>
                    <w:tl2br w:val="nil"/>
                    <w:tr2bl w:val="nil"/>
                  </w:tcBorders>
                  <w:noWrap w:val="0"/>
                  <w:vAlign w:val="center"/>
                </w:tcPr>
                <w:p w14:paraId="6B2CC993">
                  <w:pPr>
                    <w:pStyle w:val="63"/>
                    <w:ind w:firstLine="0" w:firstLineChars="0"/>
                    <w:rPr>
                      <w:szCs w:val="21"/>
                    </w:rPr>
                  </w:pPr>
                  <w:r>
                    <w:rPr>
                      <w:rFonts w:ascii="Calibri" w:hAnsi="Calibri" w:eastAsia="Times New Roman" w:cs="Calibri"/>
                      <w:sz w:val="21"/>
                      <w:szCs w:val="21"/>
                    </w:rPr>
                    <w:drawing>
                      <wp:inline distT="0" distB="0" distL="0" distR="0">
                        <wp:extent cx="909955" cy="947420"/>
                        <wp:effectExtent l="0" t="0" r="4445" b="5080"/>
                        <wp:docPr id="11" name="IM 252"/>
                        <wp:cNvGraphicFramePr/>
                        <a:graphic xmlns:a="http://schemas.openxmlformats.org/drawingml/2006/main">
                          <a:graphicData uri="http://schemas.openxmlformats.org/drawingml/2006/picture">
                            <pic:pic xmlns:pic="http://schemas.openxmlformats.org/drawingml/2006/picture">
                              <pic:nvPicPr>
                                <pic:cNvPr id="11" name="IM 252"/>
                                <pic:cNvPicPr/>
                              </pic:nvPicPr>
                              <pic:blipFill>
                                <a:blip r:embed="rId16"/>
                                <a:stretch>
                                  <a:fillRect/>
                                </a:stretch>
                              </pic:blipFill>
                              <pic:spPr>
                                <a:xfrm>
                                  <a:off x="0" y="0"/>
                                  <a:ext cx="909955" cy="947420"/>
                                </a:xfrm>
                                <a:prstGeom prst="rect">
                                  <a:avLst/>
                                </a:prstGeom>
                              </pic:spPr>
                            </pic:pic>
                          </a:graphicData>
                        </a:graphic>
                      </wp:inline>
                    </w:drawing>
                  </w:r>
                </w:p>
              </w:tc>
              <w:tc>
                <w:tcPr>
                  <w:tcW w:w="2329" w:type="dxa"/>
                  <w:tcBorders>
                    <w:tl2br w:val="nil"/>
                    <w:tr2bl w:val="nil"/>
                  </w:tcBorders>
                  <w:noWrap w:val="0"/>
                  <w:vAlign w:val="center"/>
                </w:tcPr>
                <w:p w14:paraId="1D646880">
                  <w:pPr>
                    <w:pStyle w:val="63"/>
                    <w:ind w:firstLine="0" w:firstLineChars="0"/>
                    <w:rPr>
                      <w:szCs w:val="21"/>
                    </w:rPr>
                  </w:pPr>
                  <w:r>
                    <w:rPr>
                      <w:rFonts w:ascii="Calibri" w:hAnsi="Calibri" w:eastAsia="Times New Roman" w:cs="Calibri"/>
                      <w:sz w:val="21"/>
                      <w:szCs w:val="21"/>
                    </w:rPr>
                    <w:drawing>
                      <wp:inline distT="0" distB="0" distL="0" distR="0">
                        <wp:extent cx="982345" cy="835660"/>
                        <wp:effectExtent l="0" t="0" r="8255" b="2540"/>
                        <wp:docPr id="12" name="IM 254"/>
                        <wp:cNvGraphicFramePr/>
                        <a:graphic xmlns:a="http://schemas.openxmlformats.org/drawingml/2006/main">
                          <a:graphicData uri="http://schemas.openxmlformats.org/drawingml/2006/picture">
                            <pic:pic xmlns:pic="http://schemas.openxmlformats.org/drawingml/2006/picture">
                              <pic:nvPicPr>
                                <pic:cNvPr id="12" name="IM 254"/>
                                <pic:cNvPicPr/>
                              </pic:nvPicPr>
                              <pic:blipFill>
                                <a:blip r:embed="rId17"/>
                                <a:stretch>
                                  <a:fillRect/>
                                </a:stretch>
                              </pic:blipFill>
                              <pic:spPr>
                                <a:xfrm>
                                  <a:off x="0" y="0"/>
                                  <a:ext cx="982345" cy="835660"/>
                                </a:xfrm>
                                <a:prstGeom prst="rect">
                                  <a:avLst/>
                                </a:prstGeom>
                              </pic:spPr>
                            </pic:pic>
                          </a:graphicData>
                        </a:graphic>
                      </wp:inline>
                    </w:drawing>
                  </w:r>
                </w:p>
              </w:tc>
              <w:tc>
                <w:tcPr>
                  <w:tcW w:w="2590" w:type="dxa"/>
                  <w:tcBorders>
                    <w:tl2br w:val="nil"/>
                    <w:tr2bl w:val="nil"/>
                  </w:tcBorders>
                  <w:noWrap w:val="0"/>
                  <w:vAlign w:val="center"/>
                </w:tcPr>
                <w:p w14:paraId="604E5600">
                  <w:pPr>
                    <w:pStyle w:val="63"/>
                    <w:ind w:firstLine="0" w:firstLineChars="0"/>
                    <w:rPr>
                      <w:szCs w:val="21"/>
                    </w:rPr>
                  </w:pPr>
                  <w:r>
                    <w:rPr>
                      <w:rFonts w:ascii="Calibri" w:hAnsi="Calibri" w:eastAsia="Times New Roman" w:cs="Calibri"/>
                      <w:sz w:val="21"/>
                      <w:szCs w:val="21"/>
                    </w:rPr>
                    <w:t>一般固体废物</w:t>
                  </w:r>
                </w:p>
              </w:tc>
            </w:tr>
            <w:tr w14:paraId="1A2F639B">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1673" w:hRule="atLeast"/>
                <w:jc w:val="center"/>
              </w:trPr>
              <w:tc>
                <w:tcPr>
                  <w:tcW w:w="1125" w:type="dxa"/>
                  <w:tcBorders>
                    <w:tl2br w:val="nil"/>
                    <w:tr2bl w:val="nil"/>
                  </w:tcBorders>
                  <w:noWrap w:val="0"/>
                  <w:vAlign w:val="center"/>
                </w:tcPr>
                <w:p w14:paraId="154D4161">
                  <w:pPr>
                    <w:adjustRightInd w:val="0"/>
                    <w:snapToGrid w:val="0"/>
                    <w:jc w:val="center"/>
                    <w:rPr>
                      <w:rFonts w:hint="eastAsia" w:eastAsia="宋体"/>
                      <w:szCs w:val="21"/>
                      <w:lang w:val="en-US" w:eastAsia="zh-CN"/>
                    </w:rPr>
                  </w:pPr>
                  <w:r>
                    <w:rPr>
                      <w:rFonts w:hint="eastAsia"/>
                      <w:szCs w:val="21"/>
                      <w:lang w:val="en-US" w:eastAsia="zh-CN"/>
                    </w:rPr>
                    <w:t>5</w:t>
                  </w:r>
                </w:p>
              </w:tc>
              <w:tc>
                <w:tcPr>
                  <w:tcW w:w="2489" w:type="dxa"/>
                  <w:tcBorders>
                    <w:tl2br w:val="nil"/>
                    <w:tr2bl w:val="nil"/>
                  </w:tcBorders>
                  <w:noWrap w:val="0"/>
                  <w:vAlign w:val="center"/>
                </w:tcPr>
                <w:p w14:paraId="0BA9BAD1">
                  <w:pPr>
                    <w:adjustRightInd w:val="0"/>
                    <w:snapToGrid w:val="0"/>
                    <w:jc w:val="center"/>
                    <w:rPr>
                      <w:szCs w:val="21"/>
                    </w:rPr>
                  </w:pPr>
                  <w:r>
                    <w:rPr>
                      <w:szCs w:val="21"/>
                    </w:rPr>
                    <w:t>/</w:t>
                  </w:r>
                </w:p>
              </w:tc>
              <w:tc>
                <w:tcPr>
                  <w:tcW w:w="2329" w:type="dxa"/>
                  <w:tcBorders>
                    <w:tl2br w:val="nil"/>
                    <w:tr2bl w:val="nil"/>
                  </w:tcBorders>
                  <w:noWrap w:val="0"/>
                  <w:vAlign w:val="center"/>
                </w:tcPr>
                <w:p w14:paraId="5A90CFF1">
                  <w:pPr>
                    <w:adjustRightInd w:val="0"/>
                    <w:snapToGrid w:val="0"/>
                    <w:jc w:val="center"/>
                    <w:rPr>
                      <w:szCs w:val="21"/>
                    </w:rPr>
                  </w:pPr>
                  <w:r>
                    <w:rPr>
                      <w:szCs w:val="21"/>
                    </w:rPr>
                    <w:drawing>
                      <wp:anchor distT="0" distB="0" distL="114300" distR="114300" simplePos="0" relativeHeight="251661312" behindDoc="0" locked="0" layoutInCell="1" allowOverlap="1">
                        <wp:simplePos x="0" y="0"/>
                        <wp:positionH relativeFrom="column">
                          <wp:posOffset>206375</wp:posOffset>
                        </wp:positionH>
                        <wp:positionV relativeFrom="paragraph">
                          <wp:posOffset>176530</wp:posOffset>
                        </wp:positionV>
                        <wp:extent cx="947420" cy="838200"/>
                        <wp:effectExtent l="0" t="0" r="5080" b="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8"/>
                                <a:stretch>
                                  <a:fillRect/>
                                </a:stretch>
                              </pic:blipFill>
                              <pic:spPr>
                                <a:xfrm>
                                  <a:off x="0" y="0"/>
                                  <a:ext cx="947420" cy="838200"/>
                                </a:xfrm>
                                <a:prstGeom prst="rect">
                                  <a:avLst/>
                                </a:prstGeom>
                                <a:noFill/>
                                <a:ln>
                                  <a:noFill/>
                                </a:ln>
                              </pic:spPr>
                            </pic:pic>
                          </a:graphicData>
                        </a:graphic>
                      </wp:anchor>
                    </w:drawing>
                  </w:r>
                </w:p>
                <w:p w14:paraId="325077FE">
                  <w:pPr>
                    <w:adjustRightInd w:val="0"/>
                    <w:snapToGrid w:val="0"/>
                    <w:jc w:val="center"/>
                    <w:rPr>
                      <w:szCs w:val="21"/>
                    </w:rPr>
                  </w:pPr>
                </w:p>
                <w:p w14:paraId="78510881">
                  <w:pPr>
                    <w:adjustRightInd w:val="0"/>
                    <w:snapToGrid w:val="0"/>
                    <w:jc w:val="center"/>
                    <w:rPr>
                      <w:szCs w:val="21"/>
                    </w:rPr>
                  </w:pPr>
                </w:p>
                <w:p w14:paraId="630E0E23">
                  <w:pPr>
                    <w:adjustRightInd w:val="0"/>
                    <w:snapToGrid w:val="0"/>
                    <w:jc w:val="center"/>
                    <w:rPr>
                      <w:szCs w:val="21"/>
                    </w:rPr>
                  </w:pPr>
                </w:p>
                <w:p w14:paraId="362AB3DC">
                  <w:pPr>
                    <w:adjustRightInd w:val="0"/>
                    <w:snapToGrid w:val="0"/>
                    <w:jc w:val="center"/>
                    <w:rPr>
                      <w:szCs w:val="21"/>
                    </w:rPr>
                  </w:pPr>
                </w:p>
                <w:p w14:paraId="676DD247">
                  <w:pPr>
                    <w:adjustRightInd w:val="0"/>
                    <w:snapToGrid w:val="0"/>
                    <w:jc w:val="center"/>
                    <w:rPr>
                      <w:szCs w:val="21"/>
                    </w:rPr>
                  </w:pPr>
                </w:p>
              </w:tc>
              <w:tc>
                <w:tcPr>
                  <w:tcW w:w="2590" w:type="dxa"/>
                  <w:tcBorders>
                    <w:tl2br w:val="nil"/>
                    <w:tr2bl w:val="nil"/>
                  </w:tcBorders>
                  <w:noWrap w:val="0"/>
                  <w:vAlign w:val="center"/>
                </w:tcPr>
                <w:p w14:paraId="30B6F88B">
                  <w:pPr>
                    <w:adjustRightInd w:val="0"/>
                    <w:snapToGrid w:val="0"/>
                    <w:jc w:val="center"/>
                    <w:rPr>
                      <w:szCs w:val="21"/>
                    </w:rPr>
                  </w:pPr>
                  <w:r>
                    <w:rPr>
                      <w:szCs w:val="21"/>
                    </w:rPr>
                    <w:t>危险废物</w:t>
                  </w:r>
                </w:p>
              </w:tc>
            </w:tr>
          </w:tbl>
          <w:p w14:paraId="11163B07">
            <w:pPr>
              <w:keepNext w:val="0"/>
              <w:keepLines w:val="0"/>
              <w:pageBreakBefore w:val="0"/>
              <w:widowControl w:val="0"/>
              <w:kinsoku/>
              <w:wordWrap/>
              <w:overflowPunct/>
              <w:topLinePunct w:val="0"/>
              <w:bidi w:val="0"/>
              <w:adjustRightInd w:val="0"/>
              <w:snapToGrid w:val="0"/>
              <w:spacing w:line="520" w:lineRule="exact"/>
              <w:textAlignment w:val="auto"/>
              <w:rPr>
                <w:b/>
                <w:bCs/>
                <w:kern w:val="0"/>
                <w:sz w:val="24"/>
              </w:rPr>
            </w:pPr>
            <w:r>
              <w:rPr>
                <w:rFonts w:hint="eastAsia"/>
                <w:b/>
                <w:bCs/>
                <w:kern w:val="0"/>
                <w:sz w:val="24"/>
                <w:lang w:eastAsia="zh-CN"/>
              </w:rPr>
              <w:t>（</w:t>
            </w:r>
            <w:r>
              <w:rPr>
                <w:rFonts w:hint="eastAsia"/>
                <w:b/>
                <w:bCs/>
                <w:kern w:val="0"/>
                <w:sz w:val="24"/>
                <w:lang w:val="en-US" w:eastAsia="zh-CN"/>
              </w:rPr>
              <w:t>八</w:t>
            </w:r>
            <w:r>
              <w:rPr>
                <w:rFonts w:hint="eastAsia"/>
                <w:b/>
                <w:bCs/>
                <w:kern w:val="0"/>
                <w:sz w:val="24"/>
                <w:lang w:eastAsia="zh-CN"/>
              </w:rPr>
              <w:t>）</w:t>
            </w:r>
            <w:r>
              <w:rPr>
                <w:b/>
                <w:bCs/>
                <w:kern w:val="0"/>
                <w:sz w:val="24"/>
              </w:rPr>
              <w:t>项目环保投资估算</w:t>
            </w:r>
          </w:p>
          <w:p w14:paraId="7E5979F7">
            <w:pPr>
              <w:keepNext w:val="0"/>
              <w:keepLines w:val="0"/>
              <w:pageBreakBefore w:val="0"/>
              <w:widowControl w:val="0"/>
              <w:kinsoku/>
              <w:wordWrap/>
              <w:overflowPunct/>
              <w:topLinePunct w:val="0"/>
              <w:bidi w:val="0"/>
              <w:spacing w:line="520" w:lineRule="exact"/>
              <w:ind w:firstLine="480"/>
              <w:textAlignment w:val="auto"/>
              <w:rPr>
                <w:color w:val="auto"/>
                <w:sz w:val="24"/>
              </w:rPr>
            </w:pPr>
            <w:r>
              <w:rPr>
                <w:color w:val="auto"/>
                <w:sz w:val="24"/>
              </w:rPr>
              <w:t>本项目总</w:t>
            </w:r>
            <w:r>
              <w:rPr>
                <w:rFonts w:hint="eastAsia"/>
                <w:color w:val="auto"/>
                <w:sz w:val="24"/>
              </w:rPr>
              <w:t>投资</w:t>
            </w:r>
            <w:r>
              <w:rPr>
                <w:rFonts w:hint="eastAsia"/>
                <w:color w:val="auto"/>
                <w:sz w:val="24"/>
                <w:lang w:val="en-US" w:eastAsia="zh-CN"/>
              </w:rPr>
              <w:t>2500</w:t>
            </w:r>
            <w:r>
              <w:rPr>
                <w:color w:val="auto"/>
                <w:sz w:val="24"/>
              </w:rPr>
              <w:t>万元，其中环保投资</w:t>
            </w:r>
            <w:r>
              <w:rPr>
                <w:rFonts w:hint="eastAsia"/>
                <w:color w:val="auto"/>
                <w:sz w:val="24"/>
                <w:lang w:val="en-US" w:eastAsia="zh-CN"/>
              </w:rPr>
              <w:t>71.5</w:t>
            </w:r>
            <w:r>
              <w:rPr>
                <w:rFonts w:hint="eastAsia"/>
                <w:color w:val="auto"/>
                <w:sz w:val="24"/>
              </w:rPr>
              <w:t>万元</w:t>
            </w:r>
            <w:r>
              <w:rPr>
                <w:color w:val="auto"/>
                <w:sz w:val="24"/>
              </w:rPr>
              <w:t>，占投资的</w:t>
            </w:r>
            <w:r>
              <w:rPr>
                <w:rFonts w:hint="eastAsia"/>
                <w:color w:val="auto"/>
                <w:sz w:val="24"/>
                <w:lang w:val="en-US" w:eastAsia="zh-CN"/>
              </w:rPr>
              <w:t>2.9</w:t>
            </w:r>
            <w:r>
              <w:rPr>
                <w:rFonts w:hint="eastAsia"/>
                <w:color w:val="auto"/>
                <w:sz w:val="24"/>
              </w:rPr>
              <w:t>%</w:t>
            </w:r>
            <w:r>
              <w:rPr>
                <w:color w:val="auto"/>
                <w:sz w:val="24"/>
              </w:rPr>
              <w:t>，具体情况见</w:t>
            </w:r>
            <w:r>
              <w:rPr>
                <w:rFonts w:hint="eastAsia"/>
                <w:color w:val="auto"/>
                <w:sz w:val="24"/>
                <w:lang w:eastAsia="zh-CN"/>
              </w:rPr>
              <w:t>表</w:t>
            </w:r>
            <w:r>
              <w:rPr>
                <w:rFonts w:hint="eastAsia"/>
                <w:color w:val="auto"/>
                <w:sz w:val="24"/>
                <w:lang w:val="en-US" w:eastAsia="zh-CN"/>
              </w:rPr>
              <w:t>4-13</w:t>
            </w:r>
            <w:r>
              <w:rPr>
                <w:color w:val="auto"/>
                <w:sz w:val="24"/>
              </w:rPr>
              <w:t>。</w:t>
            </w:r>
          </w:p>
          <w:p w14:paraId="0FCED36B">
            <w:pPr>
              <w:pStyle w:val="60"/>
              <w:keepNext w:val="0"/>
              <w:keepLines w:val="0"/>
              <w:pageBreakBefore w:val="0"/>
              <w:widowControl w:val="0"/>
              <w:kinsoku/>
              <w:wordWrap/>
              <w:overflowPunct/>
              <w:topLinePunct w:val="0"/>
              <w:bidi w:val="0"/>
              <w:adjustRightInd w:val="0"/>
              <w:snapToGrid w:val="0"/>
              <w:spacing w:line="520" w:lineRule="exact"/>
              <w:ind w:firstLine="0" w:firstLineChars="0"/>
              <w:jc w:val="center"/>
              <w:textAlignment w:val="auto"/>
              <w:rPr>
                <w:rFonts w:hint="eastAsia" w:ascii="宋体" w:hAnsi="宋体" w:cs="宋体"/>
                <w:szCs w:val="21"/>
              </w:rPr>
            </w:pPr>
            <w:r>
              <w:rPr>
                <w:rFonts w:ascii="Times New Roman" w:hAnsi="Times New Roman"/>
                <w:b/>
                <w:color w:val="000000"/>
                <w:szCs w:val="24"/>
              </w:rPr>
              <w:t>表</w:t>
            </w:r>
            <w:r>
              <w:rPr>
                <w:rFonts w:hint="eastAsia" w:ascii="Times New Roman" w:hAnsi="Times New Roman"/>
                <w:b/>
                <w:color w:val="000000"/>
                <w:szCs w:val="24"/>
                <w:lang w:val="en-US" w:eastAsia="zh-CN"/>
              </w:rPr>
              <w:t>4-13</w:t>
            </w:r>
            <w:r>
              <w:rPr>
                <w:rFonts w:hint="eastAsia" w:ascii="Times New Roman" w:hAnsi="Times New Roman"/>
                <w:b/>
                <w:color w:val="000000"/>
                <w:szCs w:val="24"/>
              </w:rPr>
              <w:t xml:space="preserve">   </w:t>
            </w:r>
            <w:r>
              <w:rPr>
                <w:rFonts w:ascii="Times New Roman" w:hAnsi="Times New Roman"/>
                <w:b/>
                <w:color w:val="000000"/>
                <w:szCs w:val="24"/>
              </w:rPr>
              <w:t>环保设施（措施）及投资估算一览表</w:t>
            </w:r>
          </w:p>
          <w:tbl>
            <w:tblPr>
              <w:tblStyle w:val="24"/>
              <w:tblW w:w="8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40"/>
              <w:gridCol w:w="415"/>
              <w:gridCol w:w="1633"/>
              <w:gridCol w:w="5226"/>
              <w:gridCol w:w="922"/>
            </w:tblGrid>
            <w:tr w14:paraId="6072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7EDF0DA1">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序号</w:t>
                  </w:r>
                </w:p>
              </w:tc>
              <w:tc>
                <w:tcPr>
                  <w:tcW w:w="2048" w:type="dxa"/>
                  <w:gridSpan w:val="2"/>
                  <w:vAlign w:val="center"/>
                </w:tcPr>
                <w:p w14:paraId="15118E05">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污染源</w:t>
                  </w:r>
                </w:p>
              </w:tc>
              <w:tc>
                <w:tcPr>
                  <w:tcW w:w="5226" w:type="dxa"/>
                  <w:vAlign w:val="center"/>
                </w:tcPr>
                <w:p w14:paraId="0C291E76">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环保设施设备</w:t>
                  </w:r>
                </w:p>
              </w:tc>
              <w:tc>
                <w:tcPr>
                  <w:tcW w:w="922" w:type="dxa"/>
                  <w:vAlign w:val="center"/>
                </w:tcPr>
                <w:p w14:paraId="04C7432D">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投资概算（万元）</w:t>
                  </w:r>
                </w:p>
              </w:tc>
            </w:tr>
            <w:tr w14:paraId="68B3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394D1123">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415" w:type="dxa"/>
                  <w:vMerge w:val="restart"/>
                  <w:vAlign w:val="center"/>
                </w:tcPr>
                <w:p w14:paraId="3A9D2E8F">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施工期</w:t>
                  </w:r>
                </w:p>
              </w:tc>
              <w:tc>
                <w:tcPr>
                  <w:tcW w:w="1633" w:type="dxa"/>
                  <w:vAlign w:val="center"/>
                </w:tcPr>
                <w:p w14:paraId="3B74EF8E">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基础、结构等施工</w:t>
                  </w:r>
                  <w:r>
                    <w:rPr>
                      <w:rFonts w:hint="eastAsia" w:ascii="Times New Roman" w:hAnsi="Times New Roman" w:eastAsia="宋体" w:cs="Times New Roman"/>
                      <w:color w:val="auto"/>
                      <w:sz w:val="21"/>
                      <w:szCs w:val="21"/>
                    </w:rPr>
                    <w:t>粉尘</w:t>
                  </w:r>
                </w:p>
              </w:tc>
              <w:tc>
                <w:tcPr>
                  <w:tcW w:w="5226" w:type="dxa"/>
                  <w:vAlign w:val="center"/>
                </w:tcPr>
                <w:p w14:paraId="649477C2">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作业场地将采取围挡、洒水降尘、车辆加盖篷布，建筑垃圾及弃土应及时处理、清运</w:t>
                  </w:r>
                </w:p>
              </w:tc>
              <w:tc>
                <w:tcPr>
                  <w:tcW w:w="922" w:type="dxa"/>
                  <w:vAlign w:val="center"/>
                </w:tcPr>
                <w:p w14:paraId="2364CF3A">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r>
            <w:tr w14:paraId="7216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62DCAAD6">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415" w:type="dxa"/>
                  <w:vMerge w:val="continue"/>
                  <w:vAlign w:val="center"/>
                </w:tcPr>
                <w:p w14:paraId="00A5DB29">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p>
              </w:tc>
              <w:tc>
                <w:tcPr>
                  <w:tcW w:w="1633" w:type="dxa"/>
                  <w:vAlign w:val="center"/>
                </w:tcPr>
                <w:p w14:paraId="291D9489">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施工废水</w:t>
                  </w:r>
                </w:p>
              </w:tc>
              <w:tc>
                <w:tcPr>
                  <w:tcW w:w="5226" w:type="dxa"/>
                  <w:vAlign w:val="center"/>
                </w:tcPr>
                <w:p w14:paraId="3616D897">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lang w:val="en-US" w:eastAsia="zh-CN"/>
                    </w:rPr>
                    <w:t>临时沉淀池沉淀后</w:t>
                  </w:r>
                  <w:r>
                    <w:rPr>
                      <w:rFonts w:hint="eastAsia" w:ascii="Times New Roman" w:hAnsi="Times New Roman" w:eastAsia="宋体" w:cs="Times New Roman"/>
                      <w:color w:val="auto"/>
                      <w:sz w:val="21"/>
                      <w:szCs w:val="21"/>
                    </w:rPr>
                    <w:t>用于场地洒水降尘</w:t>
                  </w:r>
                </w:p>
              </w:tc>
              <w:tc>
                <w:tcPr>
                  <w:tcW w:w="922" w:type="dxa"/>
                  <w:vAlign w:val="center"/>
                </w:tcPr>
                <w:p w14:paraId="0DC2505B">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5</w:t>
                  </w:r>
                </w:p>
              </w:tc>
            </w:tr>
            <w:tr w14:paraId="50A7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151AD153">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415" w:type="dxa"/>
                  <w:vMerge w:val="continue"/>
                  <w:vAlign w:val="center"/>
                </w:tcPr>
                <w:p w14:paraId="11CE2E5E">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p>
              </w:tc>
              <w:tc>
                <w:tcPr>
                  <w:tcW w:w="1633" w:type="dxa"/>
                  <w:vAlign w:val="center"/>
                </w:tcPr>
                <w:p w14:paraId="4E5792A0">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生活污水</w:t>
                  </w:r>
                </w:p>
              </w:tc>
              <w:tc>
                <w:tcPr>
                  <w:tcW w:w="5226" w:type="dxa"/>
                  <w:vAlign w:val="center"/>
                </w:tcPr>
                <w:p w14:paraId="011AF754">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新建</w:t>
                  </w:r>
                  <w:r>
                    <w:rPr>
                      <w:rFonts w:hint="eastAsia" w:ascii="Times New Roman" w:hAnsi="Times New Roman" w:cs="Times New Roman"/>
                      <w:color w:val="auto"/>
                      <w:sz w:val="21"/>
                      <w:szCs w:val="21"/>
                      <w:lang w:val="en-US" w:eastAsia="zh-CN"/>
                    </w:rPr>
                    <w:t>化粪池排入园区管网</w:t>
                  </w:r>
                </w:p>
              </w:tc>
              <w:tc>
                <w:tcPr>
                  <w:tcW w:w="922" w:type="dxa"/>
                  <w:vAlign w:val="center"/>
                </w:tcPr>
                <w:p w14:paraId="2C00F339">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r>
            <w:tr w14:paraId="4E77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00A3EAD8">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415" w:type="dxa"/>
                  <w:vMerge w:val="continue"/>
                  <w:vAlign w:val="center"/>
                </w:tcPr>
                <w:p w14:paraId="1FC24D63">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p>
              </w:tc>
              <w:tc>
                <w:tcPr>
                  <w:tcW w:w="1633" w:type="dxa"/>
                  <w:vAlign w:val="center"/>
                </w:tcPr>
                <w:p w14:paraId="001BB29B">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施工机械设备、运输车辆噪声</w:t>
                  </w:r>
                </w:p>
              </w:tc>
              <w:tc>
                <w:tcPr>
                  <w:tcW w:w="5226" w:type="dxa"/>
                  <w:vAlign w:val="center"/>
                </w:tcPr>
                <w:p w14:paraId="2CDB1B50">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在施工场地四周设立临时声屏障</w:t>
                  </w:r>
                </w:p>
              </w:tc>
              <w:tc>
                <w:tcPr>
                  <w:tcW w:w="922" w:type="dxa"/>
                  <w:vAlign w:val="center"/>
                </w:tcPr>
                <w:p w14:paraId="42A01764">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r>
            <w:tr w14:paraId="5129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4BD27708">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415" w:type="dxa"/>
                  <w:vMerge w:val="continue"/>
                  <w:vAlign w:val="center"/>
                </w:tcPr>
                <w:p w14:paraId="0EFF70BE">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p>
              </w:tc>
              <w:tc>
                <w:tcPr>
                  <w:tcW w:w="1633" w:type="dxa"/>
                  <w:vAlign w:val="center"/>
                </w:tcPr>
                <w:p w14:paraId="2A21F02E">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施工固废</w:t>
                  </w:r>
                </w:p>
              </w:tc>
              <w:tc>
                <w:tcPr>
                  <w:tcW w:w="5226" w:type="dxa"/>
                  <w:vAlign w:val="center"/>
                </w:tcPr>
                <w:p w14:paraId="6AA801D2">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政府部门指定地点处置</w:t>
                  </w:r>
                </w:p>
              </w:tc>
              <w:tc>
                <w:tcPr>
                  <w:tcW w:w="922" w:type="dxa"/>
                  <w:vAlign w:val="center"/>
                </w:tcPr>
                <w:p w14:paraId="1F653A78">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5</w:t>
                  </w:r>
                </w:p>
              </w:tc>
            </w:tr>
            <w:tr w14:paraId="4A68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0C214408">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415" w:type="dxa"/>
                  <w:vMerge w:val="restart"/>
                  <w:vAlign w:val="center"/>
                </w:tcPr>
                <w:p w14:paraId="1C80A4E8">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运营期</w:t>
                  </w:r>
                </w:p>
              </w:tc>
              <w:tc>
                <w:tcPr>
                  <w:tcW w:w="1633" w:type="dxa"/>
                  <w:vAlign w:val="center"/>
                </w:tcPr>
                <w:p w14:paraId="09376C87">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有机废气</w:t>
                  </w:r>
                </w:p>
              </w:tc>
              <w:tc>
                <w:tcPr>
                  <w:tcW w:w="5226" w:type="dxa"/>
                  <w:vAlign w:val="center"/>
                </w:tcPr>
                <w:p w14:paraId="03D36CA3">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吹膜、涂胶烘干工序产生的废气经集气罩收集后通过“活性炭吸附/脱附+催化燃烧（热源采用电加热）”装置处理后通过20m排气筒（DA001）</w:t>
                  </w:r>
                  <w:r>
                    <w:rPr>
                      <w:rFonts w:hint="eastAsia" w:ascii="Times New Roman" w:hAnsi="Times New Roman" w:cs="Times New Roman"/>
                      <w:color w:val="auto"/>
                      <w:sz w:val="21"/>
                      <w:szCs w:val="21"/>
                      <w:lang w:val="en-US" w:eastAsia="zh-CN"/>
                    </w:rPr>
                    <w:t>排放</w:t>
                  </w:r>
                  <w:r>
                    <w:rPr>
                      <w:rFonts w:hint="eastAsia"/>
                      <w:lang w:eastAsia="zh-CN"/>
                    </w:rPr>
                    <w:t>；</w:t>
                  </w:r>
                  <w:r>
                    <w:rPr>
                      <w:rFonts w:hint="eastAsia"/>
                      <w:lang w:val="en-US" w:eastAsia="zh-CN"/>
                    </w:rPr>
                    <w:t>无组织通风措施</w:t>
                  </w:r>
                </w:p>
              </w:tc>
              <w:tc>
                <w:tcPr>
                  <w:tcW w:w="922" w:type="dxa"/>
                  <w:vAlign w:val="center"/>
                </w:tcPr>
                <w:p w14:paraId="6752665C">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30</w:t>
                  </w:r>
                </w:p>
              </w:tc>
            </w:tr>
            <w:tr w14:paraId="1416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3A4F587A">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415" w:type="dxa"/>
                  <w:vMerge w:val="continue"/>
                  <w:vAlign w:val="center"/>
                </w:tcPr>
                <w:p w14:paraId="6BA56783">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p>
              </w:tc>
              <w:tc>
                <w:tcPr>
                  <w:tcW w:w="1633" w:type="dxa"/>
                  <w:vAlign w:val="center"/>
                </w:tcPr>
                <w:p w14:paraId="17FBA3CA">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生活污水</w:t>
                  </w:r>
                </w:p>
              </w:tc>
              <w:tc>
                <w:tcPr>
                  <w:tcW w:w="5226" w:type="dxa"/>
                  <w:vAlign w:val="center"/>
                </w:tcPr>
                <w:p w14:paraId="4793CE74">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设置隔油池</w:t>
                  </w:r>
                </w:p>
              </w:tc>
              <w:tc>
                <w:tcPr>
                  <w:tcW w:w="922" w:type="dxa"/>
                  <w:vAlign w:val="center"/>
                </w:tcPr>
                <w:p w14:paraId="3A27957E">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w:t>
                  </w:r>
                </w:p>
              </w:tc>
            </w:tr>
            <w:tr w14:paraId="1A4D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55DAF1C7">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415" w:type="dxa"/>
                  <w:vMerge w:val="continue"/>
                  <w:vAlign w:val="center"/>
                </w:tcPr>
                <w:p w14:paraId="456740E7">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p>
              </w:tc>
              <w:tc>
                <w:tcPr>
                  <w:tcW w:w="1633" w:type="dxa"/>
                  <w:vAlign w:val="center"/>
                </w:tcPr>
                <w:p w14:paraId="3E236A2D">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食堂油烟</w:t>
                  </w:r>
                </w:p>
              </w:tc>
              <w:tc>
                <w:tcPr>
                  <w:tcW w:w="5226" w:type="dxa"/>
                  <w:vAlign w:val="center"/>
                </w:tcPr>
                <w:p w14:paraId="2399389B">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油烟净化器</w:t>
                  </w:r>
                </w:p>
              </w:tc>
              <w:tc>
                <w:tcPr>
                  <w:tcW w:w="922" w:type="dxa"/>
                  <w:vAlign w:val="center"/>
                </w:tcPr>
                <w:p w14:paraId="0B15865F">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0.3</w:t>
                  </w:r>
                </w:p>
              </w:tc>
            </w:tr>
            <w:tr w14:paraId="1B5A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300A2450">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415" w:type="dxa"/>
                  <w:vMerge w:val="continue"/>
                  <w:vAlign w:val="center"/>
                </w:tcPr>
                <w:p w14:paraId="6AE3C4D7">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p>
              </w:tc>
              <w:tc>
                <w:tcPr>
                  <w:tcW w:w="1633" w:type="dxa"/>
                  <w:vAlign w:val="center"/>
                </w:tcPr>
                <w:p w14:paraId="5C4018AC">
                  <w:pPr>
                    <w:keepNext w:val="0"/>
                    <w:keepLines w:val="0"/>
                    <w:pageBreakBefore w:val="0"/>
                    <w:widowControl w:val="0"/>
                    <w:kinsoku/>
                    <w:wordWrap/>
                    <w:overflowPunct/>
                    <w:topLinePunct w:val="0"/>
                    <w:bidi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噪声</w:t>
                  </w:r>
                </w:p>
              </w:tc>
              <w:tc>
                <w:tcPr>
                  <w:tcW w:w="5226" w:type="dxa"/>
                  <w:vAlign w:val="center"/>
                </w:tcPr>
                <w:p w14:paraId="080E66EF">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基础减震、隔声</w:t>
                  </w:r>
                </w:p>
              </w:tc>
              <w:tc>
                <w:tcPr>
                  <w:tcW w:w="922" w:type="dxa"/>
                  <w:vAlign w:val="center"/>
                </w:tcPr>
                <w:p w14:paraId="0B0993A1">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r>
            <w:tr w14:paraId="75AD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3D90668C">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415" w:type="dxa"/>
                  <w:vMerge w:val="continue"/>
                  <w:vAlign w:val="center"/>
                </w:tcPr>
                <w:p w14:paraId="4EB1BBDC">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p>
              </w:tc>
              <w:tc>
                <w:tcPr>
                  <w:tcW w:w="1633" w:type="dxa"/>
                  <w:vAlign w:val="center"/>
                </w:tcPr>
                <w:p w14:paraId="13DDC31A">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生活垃圾</w:t>
                  </w:r>
                </w:p>
              </w:tc>
              <w:tc>
                <w:tcPr>
                  <w:tcW w:w="5226" w:type="dxa"/>
                  <w:vAlign w:val="center"/>
                </w:tcPr>
                <w:p w14:paraId="20FFF04F">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环卫部门定期清运</w:t>
                  </w:r>
                </w:p>
              </w:tc>
              <w:tc>
                <w:tcPr>
                  <w:tcW w:w="922" w:type="dxa"/>
                  <w:vAlign w:val="center"/>
                </w:tcPr>
                <w:p w14:paraId="1FC5F530">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r>
            <w:tr w14:paraId="6BB2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340" w:type="dxa"/>
                  <w:vAlign w:val="center"/>
                </w:tcPr>
                <w:p w14:paraId="72EC1B52">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415" w:type="dxa"/>
                  <w:vMerge w:val="continue"/>
                  <w:vAlign w:val="center"/>
                </w:tcPr>
                <w:p w14:paraId="2B36E9FF">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p>
              </w:tc>
              <w:tc>
                <w:tcPr>
                  <w:tcW w:w="1633" w:type="dxa"/>
                  <w:vAlign w:val="center"/>
                </w:tcPr>
                <w:p w14:paraId="72F2EE9B">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固体废物</w:t>
                  </w:r>
                </w:p>
              </w:tc>
              <w:tc>
                <w:tcPr>
                  <w:tcW w:w="5226" w:type="dxa"/>
                  <w:vAlign w:val="center"/>
                </w:tcPr>
                <w:p w14:paraId="3D0FB77C">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一般固体废物贮存库、危险废物贮存库</w:t>
                  </w:r>
                </w:p>
              </w:tc>
              <w:tc>
                <w:tcPr>
                  <w:tcW w:w="922" w:type="dxa"/>
                  <w:vAlign w:val="center"/>
                </w:tcPr>
                <w:p w14:paraId="67AC3DC5">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r>
            <w:tr w14:paraId="0F70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7614" w:type="dxa"/>
                  <w:gridSpan w:val="4"/>
                  <w:vAlign w:val="center"/>
                </w:tcPr>
                <w:p w14:paraId="29F1FF72">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合计</w:t>
                  </w:r>
                </w:p>
              </w:tc>
              <w:tc>
                <w:tcPr>
                  <w:tcW w:w="922" w:type="dxa"/>
                  <w:vAlign w:val="center"/>
                </w:tcPr>
                <w:p w14:paraId="50AE8E77">
                  <w:pPr>
                    <w:keepNext w:val="0"/>
                    <w:keepLines w:val="0"/>
                    <w:pageBreakBefore w:val="0"/>
                    <w:widowControl w:val="0"/>
                    <w:kinsoku/>
                    <w:wordWrap/>
                    <w:overflowPunct/>
                    <w:topLinePunct w:val="0"/>
                    <w:bidi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71.5</w:t>
                  </w:r>
                </w:p>
              </w:tc>
            </w:tr>
          </w:tbl>
          <w:p w14:paraId="520FB07C">
            <w:pPr>
              <w:pStyle w:val="14"/>
              <w:spacing w:line="360" w:lineRule="auto"/>
              <w:rPr>
                <w:rFonts w:hint="eastAsia"/>
                <w:sz w:val="24"/>
              </w:rPr>
            </w:pPr>
          </w:p>
          <w:p w14:paraId="2B1DAACC">
            <w:pPr>
              <w:adjustRightInd w:val="0"/>
              <w:snapToGrid w:val="0"/>
              <w:spacing w:line="360" w:lineRule="auto"/>
              <w:rPr>
                <w:rFonts w:hint="eastAsia" w:ascii="宋体" w:cs="宋体"/>
                <w:b/>
                <w:kern w:val="0"/>
                <w:sz w:val="28"/>
                <w:szCs w:val="28"/>
                <w:vertAlign w:val="baseline"/>
              </w:rPr>
            </w:pPr>
          </w:p>
          <w:p w14:paraId="30C2D7CE">
            <w:pPr>
              <w:adjustRightInd w:val="0"/>
              <w:snapToGrid w:val="0"/>
              <w:spacing w:line="360" w:lineRule="auto"/>
              <w:rPr>
                <w:rFonts w:hint="eastAsia" w:ascii="宋体" w:cs="宋体"/>
                <w:b/>
                <w:kern w:val="0"/>
                <w:sz w:val="28"/>
                <w:szCs w:val="28"/>
                <w:vertAlign w:val="baseline"/>
              </w:rPr>
            </w:pPr>
          </w:p>
          <w:p w14:paraId="73DF8164">
            <w:pPr>
              <w:adjustRightInd w:val="0"/>
              <w:snapToGrid w:val="0"/>
              <w:spacing w:line="360" w:lineRule="auto"/>
              <w:rPr>
                <w:rFonts w:hint="eastAsia" w:ascii="宋体" w:cs="宋体"/>
                <w:b/>
                <w:kern w:val="0"/>
                <w:sz w:val="28"/>
                <w:szCs w:val="28"/>
                <w:vertAlign w:val="baseline"/>
              </w:rPr>
            </w:pPr>
          </w:p>
          <w:p w14:paraId="2F0A07DE">
            <w:pPr>
              <w:adjustRightInd w:val="0"/>
              <w:snapToGrid w:val="0"/>
              <w:spacing w:line="360" w:lineRule="auto"/>
              <w:rPr>
                <w:rFonts w:hint="eastAsia" w:ascii="宋体" w:cs="宋体"/>
                <w:b/>
                <w:kern w:val="0"/>
                <w:sz w:val="28"/>
                <w:szCs w:val="28"/>
                <w:vertAlign w:val="baseline"/>
              </w:rPr>
            </w:pPr>
          </w:p>
          <w:p w14:paraId="2613E4DC">
            <w:pPr>
              <w:adjustRightInd w:val="0"/>
              <w:snapToGrid w:val="0"/>
              <w:spacing w:line="360" w:lineRule="auto"/>
              <w:rPr>
                <w:rFonts w:hint="eastAsia" w:ascii="宋体" w:cs="宋体"/>
                <w:b/>
                <w:kern w:val="0"/>
                <w:sz w:val="28"/>
                <w:szCs w:val="28"/>
                <w:vertAlign w:val="baseline"/>
              </w:rPr>
            </w:pPr>
          </w:p>
          <w:p w14:paraId="21472F9F">
            <w:pPr>
              <w:adjustRightInd w:val="0"/>
              <w:snapToGrid w:val="0"/>
              <w:spacing w:line="360" w:lineRule="auto"/>
              <w:rPr>
                <w:rFonts w:hint="eastAsia" w:ascii="宋体" w:cs="宋体"/>
                <w:b/>
                <w:kern w:val="0"/>
                <w:sz w:val="28"/>
                <w:szCs w:val="28"/>
                <w:vertAlign w:val="baseline"/>
              </w:rPr>
            </w:pPr>
          </w:p>
          <w:p w14:paraId="157B94D3">
            <w:pPr>
              <w:adjustRightInd w:val="0"/>
              <w:snapToGrid w:val="0"/>
              <w:spacing w:line="360" w:lineRule="auto"/>
              <w:rPr>
                <w:rFonts w:hint="eastAsia" w:ascii="宋体" w:cs="宋体"/>
                <w:b/>
                <w:kern w:val="0"/>
                <w:sz w:val="28"/>
                <w:szCs w:val="28"/>
                <w:vertAlign w:val="baseline"/>
              </w:rPr>
            </w:pPr>
          </w:p>
          <w:p w14:paraId="6DB0A2B7">
            <w:pPr>
              <w:adjustRightInd w:val="0"/>
              <w:snapToGrid w:val="0"/>
              <w:spacing w:line="360" w:lineRule="auto"/>
              <w:rPr>
                <w:rFonts w:hint="eastAsia" w:ascii="宋体" w:cs="宋体"/>
                <w:b/>
                <w:kern w:val="0"/>
                <w:sz w:val="28"/>
                <w:szCs w:val="28"/>
                <w:vertAlign w:val="baseline"/>
              </w:rPr>
            </w:pPr>
          </w:p>
          <w:p w14:paraId="30583485">
            <w:pPr>
              <w:adjustRightInd w:val="0"/>
              <w:snapToGrid w:val="0"/>
              <w:spacing w:line="360" w:lineRule="auto"/>
              <w:rPr>
                <w:rFonts w:hint="eastAsia" w:ascii="宋体" w:cs="宋体"/>
                <w:b/>
                <w:kern w:val="0"/>
                <w:sz w:val="28"/>
                <w:szCs w:val="28"/>
                <w:vertAlign w:val="baseline"/>
              </w:rPr>
            </w:pPr>
          </w:p>
          <w:p w14:paraId="2DB616E7">
            <w:pPr>
              <w:adjustRightInd w:val="0"/>
              <w:snapToGrid w:val="0"/>
              <w:spacing w:line="360" w:lineRule="auto"/>
              <w:rPr>
                <w:rFonts w:hint="eastAsia" w:ascii="宋体" w:cs="宋体"/>
                <w:b/>
                <w:kern w:val="0"/>
                <w:sz w:val="28"/>
                <w:szCs w:val="28"/>
                <w:vertAlign w:val="baseline"/>
              </w:rPr>
            </w:pPr>
          </w:p>
          <w:p w14:paraId="43435722">
            <w:pPr>
              <w:adjustRightInd w:val="0"/>
              <w:snapToGrid w:val="0"/>
              <w:spacing w:line="360" w:lineRule="auto"/>
              <w:rPr>
                <w:rFonts w:hint="eastAsia" w:ascii="宋体" w:cs="宋体"/>
                <w:b/>
                <w:kern w:val="0"/>
                <w:sz w:val="28"/>
                <w:szCs w:val="28"/>
                <w:vertAlign w:val="baseline"/>
              </w:rPr>
            </w:pPr>
          </w:p>
          <w:p w14:paraId="3E5F73DD">
            <w:pPr>
              <w:adjustRightInd w:val="0"/>
              <w:snapToGrid w:val="0"/>
              <w:spacing w:line="360" w:lineRule="auto"/>
              <w:rPr>
                <w:rFonts w:hint="eastAsia" w:ascii="宋体" w:cs="宋体"/>
                <w:b/>
                <w:kern w:val="0"/>
                <w:sz w:val="28"/>
                <w:szCs w:val="28"/>
                <w:vertAlign w:val="baseline"/>
              </w:rPr>
            </w:pPr>
          </w:p>
          <w:p w14:paraId="484C704A">
            <w:pPr>
              <w:adjustRightInd w:val="0"/>
              <w:snapToGrid w:val="0"/>
              <w:spacing w:line="360" w:lineRule="auto"/>
              <w:rPr>
                <w:rFonts w:hint="eastAsia" w:ascii="宋体" w:cs="宋体"/>
                <w:b/>
                <w:kern w:val="0"/>
                <w:sz w:val="28"/>
                <w:szCs w:val="28"/>
                <w:vertAlign w:val="baseline"/>
              </w:rPr>
            </w:pPr>
          </w:p>
          <w:p w14:paraId="1D03E4A3">
            <w:pPr>
              <w:adjustRightInd w:val="0"/>
              <w:snapToGrid w:val="0"/>
              <w:spacing w:line="360" w:lineRule="auto"/>
              <w:rPr>
                <w:rFonts w:hint="eastAsia" w:ascii="宋体" w:cs="宋体"/>
                <w:b/>
                <w:kern w:val="0"/>
                <w:sz w:val="28"/>
                <w:szCs w:val="28"/>
                <w:vertAlign w:val="baseline"/>
              </w:rPr>
            </w:pPr>
          </w:p>
          <w:p w14:paraId="4D270B9C">
            <w:pPr>
              <w:adjustRightInd w:val="0"/>
              <w:snapToGrid w:val="0"/>
              <w:spacing w:line="360" w:lineRule="auto"/>
              <w:rPr>
                <w:rFonts w:hint="eastAsia" w:ascii="宋体" w:cs="宋体"/>
                <w:b/>
                <w:kern w:val="0"/>
                <w:sz w:val="28"/>
                <w:szCs w:val="28"/>
                <w:vertAlign w:val="baseline"/>
              </w:rPr>
            </w:pPr>
          </w:p>
          <w:p w14:paraId="1C623B81">
            <w:pPr>
              <w:adjustRightInd w:val="0"/>
              <w:snapToGrid w:val="0"/>
              <w:spacing w:line="360" w:lineRule="auto"/>
              <w:rPr>
                <w:rFonts w:hint="eastAsia" w:ascii="宋体" w:cs="宋体"/>
                <w:b/>
                <w:kern w:val="0"/>
                <w:sz w:val="28"/>
                <w:szCs w:val="28"/>
                <w:vertAlign w:val="baseline"/>
              </w:rPr>
            </w:pPr>
          </w:p>
          <w:p w14:paraId="4DD87CEF">
            <w:pPr>
              <w:adjustRightInd w:val="0"/>
              <w:snapToGrid w:val="0"/>
              <w:spacing w:line="360" w:lineRule="auto"/>
              <w:rPr>
                <w:rFonts w:hint="eastAsia" w:ascii="宋体" w:cs="宋体"/>
                <w:b/>
                <w:kern w:val="0"/>
                <w:sz w:val="28"/>
                <w:szCs w:val="28"/>
                <w:vertAlign w:val="baseline"/>
              </w:rPr>
            </w:pPr>
          </w:p>
          <w:p w14:paraId="426C10D1">
            <w:pPr>
              <w:adjustRightInd w:val="0"/>
              <w:snapToGrid w:val="0"/>
              <w:spacing w:line="360" w:lineRule="auto"/>
              <w:rPr>
                <w:rFonts w:hint="eastAsia" w:ascii="宋体" w:cs="宋体"/>
                <w:b/>
                <w:kern w:val="0"/>
                <w:sz w:val="28"/>
                <w:szCs w:val="28"/>
                <w:vertAlign w:val="baseline"/>
              </w:rPr>
            </w:pPr>
          </w:p>
          <w:p w14:paraId="05EC62F7">
            <w:pPr>
              <w:adjustRightInd w:val="0"/>
              <w:snapToGrid w:val="0"/>
              <w:spacing w:line="360" w:lineRule="auto"/>
              <w:rPr>
                <w:rFonts w:hint="eastAsia" w:ascii="宋体" w:cs="宋体"/>
                <w:b/>
                <w:kern w:val="0"/>
                <w:sz w:val="28"/>
                <w:szCs w:val="28"/>
                <w:vertAlign w:val="baseline"/>
              </w:rPr>
            </w:pPr>
          </w:p>
          <w:p w14:paraId="56D880B9">
            <w:pPr>
              <w:adjustRightInd w:val="0"/>
              <w:snapToGrid w:val="0"/>
              <w:spacing w:line="360" w:lineRule="auto"/>
              <w:rPr>
                <w:rFonts w:hint="eastAsia" w:ascii="宋体" w:cs="宋体"/>
                <w:b/>
                <w:kern w:val="0"/>
                <w:sz w:val="28"/>
                <w:szCs w:val="28"/>
                <w:vertAlign w:val="baseline"/>
              </w:rPr>
            </w:pPr>
          </w:p>
          <w:p w14:paraId="35E4FAF3">
            <w:pPr>
              <w:adjustRightInd w:val="0"/>
              <w:snapToGrid w:val="0"/>
              <w:spacing w:line="360" w:lineRule="auto"/>
              <w:rPr>
                <w:rFonts w:hint="eastAsia" w:ascii="宋体" w:cs="宋体"/>
                <w:b/>
                <w:kern w:val="0"/>
                <w:sz w:val="28"/>
                <w:szCs w:val="28"/>
                <w:vertAlign w:val="baseline"/>
              </w:rPr>
            </w:pPr>
          </w:p>
          <w:p w14:paraId="72155ED6">
            <w:pPr>
              <w:adjustRightInd w:val="0"/>
              <w:snapToGrid w:val="0"/>
              <w:spacing w:line="360" w:lineRule="auto"/>
              <w:rPr>
                <w:rFonts w:hint="eastAsia" w:ascii="宋体" w:cs="宋体"/>
                <w:b/>
                <w:kern w:val="0"/>
                <w:sz w:val="28"/>
                <w:szCs w:val="28"/>
                <w:vertAlign w:val="baseline"/>
              </w:rPr>
            </w:pPr>
          </w:p>
        </w:tc>
      </w:tr>
    </w:tbl>
    <w:p w14:paraId="15374CE0">
      <w:pPr>
        <w:adjustRightInd w:val="0"/>
        <w:snapToGrid w:val="0"/>
        <w:spacing w:line="360" w:lineRule="auto"/>
        <w:rPr>
          <w:rFonts w:hint="eastAsia" w:ascii="宋体" w:cs="宋体"/>
          <w:b/>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6CAB7D84">
      <w:pPr>
        <w:pStyle w:val="21"/>
        <w:jc w:val="center"/>
        <w:outlineLvl w:val="0"/>
        <w:rPr>
          <w:rFonts w:ascii="黑体" w:hAnsi="黑体" w:eastAsia="黑体"/>
          <w:snapToGrid w:val="0"/>
          <w:sz w:val="30"/>
          <w:szCs w:val="30"/>
        </w:rPr>
      </w:pPr>
      <w:r>
        <w:rPr>
          <w:rFonts w:hint="eastAsia" w:ascii="黑体" w:hAnsi="黑体" w:eastAsia="黑体"/>
          <w:snapToGrid w:val="0"/>
          <w:sz w:val="30"/>
          <w:szCs w:val="30"/>
        </w:rPr>
        <w:t>五、</w:t>
      </w:r>
      <w:bookmarkStart w:id="27" w:name="_Hlk54167917"/>
      <w:r>
        <w:rPr>
          <w:rFonts w:hint="eastAsia" w:ascii="黑体" w:hAnsi="黑体" w:eastAsia="黑体"/>
          <w:snapToGrid w:val="0"/>
          <w:sz w:val="30"/>
          <w:szCs w:val="30"/>
        </w:rPr>
        <w:t>环境保护措施监督检查清单</w:t>
      </w:r>
      <w:bookmarkEnd w:id="27"/>
    </w:p>
    <w:tbl>
      <w:tblPr>
        <w:tblStyle w:val="24"/>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755"/>
        <w:gridCol w:w="1686"/>
        <w:gridCol w:w="1826"/>
      </w:tblGrid>
      <w:tr w14:paraId="37036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44E01DF8">
            <w:pPr>
              <w:adjustRightInd w:val="0"/>
              <w:snapToGrid w:val="0"/>
              <w:ind w:firstLine="840"/>
              <w:rPr>
                <w:rFonts w:hint="eastAsia" w:ascii="宋体" w:hAnsi="宋体" w:cs="宋体"/>
                <w:szCs w:val="21"/>
              </w:rPr>
            </w:pPr>
            <w:r>
              <w:rPr>
                <w:rFonts w:hint="eastAsia" w:ascii="宋体" w:hAnsi="宋体" w:cs="宋体"/>
                <w:szCs w:val="21"/>
              </w:rPr>
              <w:t>内容</w:t>
            </w:r>
          </w:p>
          <w:p w14:paraId="7FE26B7F">
            <w:pPr>
              <w:adjustRightInd w:val="0"/>
              <w:snapToGrid w:val="0"/>
              <w:rPr>
                <w:rFonts w:hint="eastAsia" w:ascii="宋体" w:hAnsi="宋体" w:cs="宋体"/>
                <w:szCs w:val="21"/>
              </w:rPr>
            </w:pPr>
            <w:r>
              <w:rPr>
                <w:rFonts w:hint="eastAsia" w:ascii="宋体" w:hAnsi="宋体" w:cs="宋体"/>
                <w:szCs w:val="21"/>
              </w:rPr>
              <w:t>要素</w:t>
            </w:r>
          </w:p>
        </w:tc>
        <w:tc>
          <w:tcPr>
            <w:tcW w:w="1755" w:type="dxa"/>
            <w:noWrap w:val="0"/>
            <w:vAlign w:val="center"/>
          </w:tcPr>
          <w:p w14:paraId="147AA168">
            <w:pPr>
              <w:adjustRightInd w:val="0"/>
              <w:snapToGrid w:val="0"/>
              <w:jc w:val="center"/>
              <w:rPr>
                <w:rFonts w:hint="eastAsia" w:ascii="宋体" w:hAnsi="宋体" w:cs="宋体"/>
                <w:szCs w:val="21"/>
              </w:rPr>
            </w:pPr>
            <w:r>
              <w:rPr>
                <w:rFonts w:hint="eastAsia" w:ascii="宋体" w:hAnsi="宋体" w:cs="宋体"/>
                <w:szCs w:val="21"/>
              </w:rPr>
              <w:t>排放口</w:t>
            </w:r>
            <w:r>
              <w:rPr>
                <w:rFonts w:hint="eastAsia" w:ascii="宋体" w:hAnsi="宋体" w:cs="宋体"/>
                <w:szCs w:val="21"/>
                <w:lang w:eastAsia="zh-CN"/>
              </w:rPr>
              <w:t>（</w:t>
            </w:r>
            <w:r>
              <w:rPr>
                <w:rFonts w:hint="eastAsia" w:ascii="宋体" w:hAnsi="宋体" w:cs="宋体"/>
                <w:szCs w:val="21"/>
              </w:rPr>
              <w:t>编号、</w:t>
            </w:r>
          </w:p>
          <w:p w14:paraId="0F15D07C">
            <w:pPr>
              <w:adjustRightInd w:val="0"/>
              <w:snapToGrid w:val="0"/>
              <w:jc w:val="center"/>
              <w:rPr>
                <w:rFonts w:hint="eastAsia" w:ascii="宋体" w:hAnsi="宋体" w:cs="宋体"/>
                <w:szCs w:val="21"/>
              </w:rPr>
            </w:pPr>
            <w:r>
              <w:rPr>
                <w:rFonts w:hint="eastAsia" w:ascii="宋体" w:hAnsi="宋体" w:cs="宋体"/>
                <w:szCs w:val="21"/>
              </w:rPr>
              <w:t>名称</w:t>
            </w:r>
            <w:r>
              <w:rPr>
                <w:rFonts w:hint="eastAsia" w:ascii="宋体" w:hAnsi="宋体" w:cs="宋体"/>
                <w:szCs w:val="21"/>
                <w:lang w:eastAsia="zh-CN"/>
              </w:rPr>
              <w:t>）</w:t>
            </w:r>
            <w:r>
              <w:rPr>
                <w:rFonts w:hint="eastAsia" w:ascii="宋体" w:hAnsi="宋体" w:cs="宋体"/>
                <w:szCs w:val="21"/>
              </w:rPr>
              <w:t>/污染源</w:t>
            </w:r>
          </w:p>
        </w:tc>
        <w:tc>
          <w:tcPr>
            <w:tcW w:w="1755" w:type="dxa"/>
            <w:noWrap w:val="0"/>
            <w:vAlign w:val="center"/>
          </w:tcPr>
          <w:p w14:paraId="01D4D39A">
            <w:pPr>
              <w:adjustRightInd w:val="0"/>
              <w:snapToGrid w:val="0"/>
              <w:jc w:val="center"/>
              <w:rPr>
                <w:rFonts w:hint="eastAsia" w:ascii="宋体" w:hAnsi="宋体" w:cs="宋体"/>
                <w:szCs w:val="21"/>
              </w:rPr>
            </w:pPr>
            <w:r>
              <w:rPr>
                <w:rFonts w:hint="eastAsia" w:ascii="宋体" w:hAnsi="宋体" w:cs="宋体"/>
                <w:szCs w:val="21"/>
              </w:rPr>
              <w:t>污染物项目</w:t>
            </w:r>
          </w:p>
        </w:tc>
        <w:tc>
          <w:tcPr>
            <w:tcW w:w="1686" w:type="dxa"/>
            <w:noWrap w:val="0"/>
            <w:vAlign w:val="center"/>
          </w:tcPr>
          <w:p w14:paraId="7B673569">
            <w:pPr>
              <w:adjustRightInd w:val="0"/>
              <w:snapToGrid w:val="0"/>
              <w:jc w:val="center"/>
              <w:rPr>
                <w:rFonts w:hint="eastAsia" w:ascii="宋体" w:hAnsi="宋体" w:cs="宋体"/>
                <w:szCs w:val="21"/>
              </w:rPr>
            </w:pPr>
            <w:r>
              <w:rPr>
                <w:rFonts w:hint="eastAsia" w:ascii="宋体" w:hAnsi="宋体" w:cs="宋体"/>
                <w:szCs w:val="21"/>
              </w:rPr>
              <w:t>环境保护措施</w:t>
            </w:r>
          </w:p>
        </w:tc>
        <w:tc>
          <w:tcPr>
            <w:tcW w:w="1826" w:type="dxa"/>
            <w:noWrap w:val="0"/>
            <w:vAlign w:val="center"/>
          </w:tcPr>
          <w:p w14:paraId="201CCE2C">
            <w:pPr>
              <w:adjustRightInd w:val="0"/>
              <w:snapToGrid w:val="0"/>
              <w:jc w:val="center"/>
              <w:rPr>
                <w:rFonts w:hint="eastAsia" w:ascii="宋体" w:hAnsi="宋体" w:cs="宋体"/>
                <w:szCs w:val="21"/>
              </w:rPr>
            </w:pPr>
            <w:r>
              <w:rPr>
                <w:rFonts w:hint="eastAsia" w:ascii="宋体" w:hAnsi="宋体" w:cs="宋体"/>
                <w:szCs w:val="21"/>
              </w:rPr>
              <w:t>执行标准</w:t>
            </w:r>
          </w:p>
        </w:tc>
      </w:tr>
      <w:tr w14:paraId="55C47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2" w:hRule="atLeast"/>
          <w:jc w:val="center"/>
        </w:trPr>
        <w:tc>
          <w:tcPr>
            <w:tcW w:w="1778" w:type="dxa"/>
            <w:vMerge w:val="restart"/>
            <w:noWrap w:val="0"/>
            <w:vAlign w:val="center"/>
          </w:tcPr>
          <w:p w14:paraId="15CB631F">
            <w:pPr>
              <w:adjustRightInd w:val="0"/>
              <w:snapToGrid w:val="0"/>
              <w:jc w:val="center"/>
              <w:rPr>
                <w:rFonts w:hint="eastAsia" w:ascii="宋体" w:hAnsi="宋体" w:cs="宋体"/>
                <w:szCs w:val="21"/>
              </w:rPr>
            </w:pPr>
            <w:r>
              <w:rPr>
                <w:rFonts w:hint="eastAsia" w:ascii="宋体" w:hAnsi="宋体" w:cs="宋体"/>
                <w:szCs w:val="21"/>
              </w:rPr>
              <w:t>大气环境</w:t>
            </w:r>
          </w:p>
        </w:tc>
        <w:tc>
          <w:tcPr>
            <w:tcW w:w="1755" w:type="dxa"/>
            <w:noWrap w:val="0"/>
            <w:vAlign w:val="center"/>
          </w:tcPr>
          <w:p w14:paraId="21FC8564">
            <w:pPr>
              <w:jc w:val="center"/>
              <w:rPr>
                <w:rFonts w:hint="eastAsia" w:ascii="宋体" w:hAnsi="宋体" w:cs="宋体"/>
                <w:szCs w:val="21"/>
              </w:rPr>
            </w:pPr>
            <w:r>
              <w:rPr>
                <w:rFonts w:hint="eastAsia" w:ascii="宋体" w:hAnsi="宋体" w:cs="宋体"/>
                <w:szCs w:val="21"/>
              </w:rPr>
              <w:t>原料投料粉尘</w:t>
            </w:r>
          </w:p>
        </w:tc>
        <w:tc>
          <w:tcPr>
            <w:tcW w:w="1755" w:type="dxa"/>
            <w:noWrap w:val="0"/>
            <w:vAlign w:val="center"/>
          </w:tcPr>
          <w:p w14:paraId="465CBE17">
            <w:pPr>
              <w:adjustRightInd w:val="0"/>
              <w:snapToGrid w:val="0"/>
              <w:jc w:val="center"/>
              <w:rPr>
                <w:rFonts w:hint="eastAsia" w:ascii="宋体" w:hAnsi="宋体" w:cs="宋体"/>
                <w:szCs w:val="21"/>
              </w:rPr>
            </w:pPr>
            <w:r>
              <w:rPr>
                <w:rFonts w:hint="eastAsia" w:ascii="宋体" w:hAnsi="宋体" w:cs="宋体"/>
                <w:szCs w:val="21"/>
              </w:rPr>
              <w:t>颗粒物</w:t>
            </w:r>
          </w:p>
        </w:tc>
        <w:tc>
          <w:tcPr>
            <w:tcW w:w="1686" w:type="dxa"/>
            <w:noWrap w:val="0"/>
            <w:vAlign w:val="center"/>
          </w:tcPr>
          <w:p w14:paraId="40C19E9E">
            <w:pPr>
              <w:snapToGrid w:val="0"/>
              <w:jc w:val="center"/>
              <w:rPr>
                <w:rFonts w:hint="eastAsia" w:ascii="宋体" w:hAnsi="宋体" w:eastAsia="宋体" w:cs="宋体"/>
                <w:szCs w:val="21"/>
                <w:lang w:eastAsia="zh-CN"/>
              </w:rPr>
            </w:pPr>
            <w:r>
              <w:rPr>
                <w:rFonts w:hint="eastAsia" w:ascii="宋体" w:hAnsi="宋体" w:eastAsia="宋体" w:cs="宋体"/>
                <w:szCs w:val="21"/>
                <w:lang w:eastAsia="zh-CN"/>
              </w:rPr>
              <w:t>对</w:t>
            </w:r>
            <w:r>
              <w:rPr>
                <w:rFonts w:hint="eastAsia" w:ascii="宋体" w:hAnsi="宋体" w:cs="宋体"/>
                <w:szCs w:val="21"/>
                <w:lang w:eastAsia="zh-CN"/>
              </w:rPr>
              <w:t>投料口</w:t>
            </w:r>
            <w:r>
              <w:rPr>
                <w:rFonts w:hint="eastAsia" w:ascii="宋体" w:hAnsi="宋体" w:eastAsia="宋体" w:cs="宋体"/>
                <w:szCs w:val="21"/>
                <w:lang w:eastAsia="zh-CN"/>
              </w:rPr>
              <w:t>进行</w:t>
            </w:r>
            <w:r>
              <w:rPr>
                <w:rFonts w:hint="eastAsia" w:ascii="宋体" w:hAnsi="宋体" w:cs="宋体"/>
                <w:szCs w:val="21"/>
                <w:lang w:eastAsia="zh-CN"/>
              </w:rPr>
              <w:t>半围挡</w:t>
            </w:r>
            <w:r>
              <w:rPr>
                <w:rFonts w:hint="eastAsia" w:ascii="宋体" w:hAnsi="宋体" w:eastAsia="宋体" w:cs="宋体"/>
                <w:szCs w:val="21"/>
                <w:lang w:eastAsia="zh-CN"/>
              </w:rPr>
              <w:t>，再配合车间密闭</w:t>
            </w:r>
          </w:p>
        </w:tc>
        <w:tc>
          <w:tcPr>
            <w:tcW w:w="1826" w:type="dxa"/>
            <w:vMerge w:val="restart"/>
            <w:noWrap w:val="0"/>
            <w:vAlign w:val="center"/>
          </w:tcPr>
          <w:p w14:paraId="1A1AD416">
            <w:pPr>
              <w:jc w:val="center"/>
              <w:rPr>
                <w:rFonts w:hint="eastAsia"/>
                <w:szCs w:val="21"/>
              </w:rPr>
            </w:pPr>
            <w:r>
              <w:rPr>
                <w:rFonts w:hint="eastAsia"/>
                <w:szCs w:val="21"/>
              </w:rPr>
              <w:t>《合成树脂工业污染物排放标准》</w:t>
            </w:r>
            <w:r>
              <w:rPr>
                <w:rFonts w:hint="eastAsia"/>
                <w:szCs w:val="21"/>
                <w:lang w:eastAsia="zh-CN"/>
              </w:rPr>
              <w:t>（</w:t>
            </w:r>
            <w:r>
              <w:rPr>
                <w:rFonts w:hint="eastAsia"/>
                <w:szCs w:val="21"/>
              </w:rPr>
              <w:t>GB</w:t>
            </w:r>
            <w:r>
              <w:rPr>
                <w:rFonts w:hint="eastAsia"/>
                <w:szCs w:val="21"/>
                <w:lang w:val="en-US" w:eastAsia="zh-CN"/>
              </w:rPr>
              <w:t xml:space="preserve"> </w:t>
            </w:r>
            <w:r>
              <w:rPr>
                <w:rFonts w:hint="eastAsia"/>
                <w:szCs w:val="21"/>
              </w:rPr>
              <w:t>31572-2015</w:t>
            </w:r>
            <w:r>
              <w:rPr>
                <w:rFonts w:hint="eastAsia"/>
                <w:szCs w:val="21"/>
                <w:lang w:eastAsia="zh-CN"/>
              </w:rPr>
              <w:t>，</w:t>
            </w:r>
            <w:r>
              <w:rPr>
                <w:rFonts w:hint="eastAsia"/>
                <w:szCs w:val="21"/>
                <w:lang w:val="en-US" w:eastAsia="zh-CN"/>
              </w:rPr>
              <w:t>含2024年第1号修改单</w:t>
            </w:r>
            <w:r>
              <w:rPr>
                <w:rFonts w:hint="eastAsia"/>
                <w:szCs w:val="21"/>
                <w:lang w:eastAsia="zh-CN"/>
              </w:rPr>
              <w:t>）</w:t>
            </w:r>
          </w:p>
        </w:tc>
      </w:tr>
      <w:tr w14:paraId="0E9103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39C8B44B">
            <w:pPr>
              <w:adjustRightInd w:val="0"/>
              <w:snapToGrid w:val="0"/>
              <w:jc w:val="center"/>
              <w:rPr>
                <w:rFonts w:hint="eastAsia" w:ascii="宋体" w:hAnsi="宋体" w:cs="宋体"/>
                <w:szCs w:val="21"/>
              </w:rPr>
            </w:pPr>
          </w:p>
        </w:tc>
        <w:tc>
          <w:tcPr>
            <w:tcW w:w="1755" w:type="dxa"/>
            <w:noWrap w:val="0"/>
            <w:vAlign w:val="center"/>
          </w:tcPr>
          <w:p w14:paraId="4475AC8C">
            <w:pPr>
              <w:jc w:val="center"/>
              <w:rPr>
                <w:rFonts w:hint="eastAsia" w:ascii="宋体" w:hAnsi="宋体" w:cs="宋体"/>
                <w:szCs w:val="21"/>
              </w:rPr>
            </w:pPr>
            <w:r>
              <w:rPr>
                <w:rFonts w:hint="eastAsia" w:ascii="宋体" w:hAnsi="宋体" w:cs="宋体"/>
                <w:szCs w:val="21"/>
              </w:rPr>
              <w:t>吹膜、涂胶烘干废气</w:t>
            </w:r>
          </w:p>
        </w:tc>
        <w:tc>
          <w:tcPr>
            <w:tcW w:w="1755" w:type="dxa"/>
            <w:noWrap w:val="0"/>
            <w:vAlign w:val="center"/>
          </w:tcPr>
          <w:p w14:paraId="037C0043">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非甲烷总烃、臭气浓度</w:t>
            </w:r>
          </w:p>
        </w:tc>
        <w:tc>
          <w:tcPr>
            <w:tcW w:w="1686" w:type="dxa"/>
            <w:noWrap w:val="0"/>
            <w:vAlign w:val="center"/>
          </w:tcPr>
          <w:p w14:paraId="728B64C7">
            <w:pPr>
              <w:spacing w:line="240" w:lineRule="auto"/>
              <w:jc w:val="center"/>
              <w:rPr>
                <w:rFonts w:hint="default" w:ascii="宋体" w:hAnsi="宋体" w:eastAsia="宋体" w:cs="宋体"/>
                <w:szCs w:val="21"/>
                <w:lang w:val="en-US" w:eastAsia="zh-CN"/>
              </w:rPr>
            </w:pPr>
            <w:r>
              <w:rPr>
                <w:rFonts w:hint="eastAsia" w:ascii="宋体" w:hAnsi="宋体" w:cs="宋体"/>
                <w:szCs w:val="21"/>
              </w:rPr>
              <w:t>活性炭吸附/脱附+催化燃烧（热源采用电加热）处理后通过20m排气筒排放</w:t>
            </w:r>
            <w:r>
              <w:rPr>
                <w:rFonts w:hint="eastAsia"/>
                <w:lang w:eastAsia="zh-CN"/>
              </w:rPr>
              <w:t>；</w:t>
            </w:r>
            <w:r>
              <w:rPr>
                <w:rFonts w:hint="eastAsia"/>
                <w:lang w:val="en-US" w:eastAsia="zh-CN"/>
              </w:rPr>
              <w:t>车间通风</w:t>
            </w:r>
          </w:p>
        </w:tc>
        <w:tc>
          <w:tcPr>
            <w:tcW w:w="1826" w:type="dxa"/>
            <w:vMerge w:val="continue"/>
            <w:noWrap w:val="0"/>
            <w:vAlign w:val="center"/>
          </w:tcPr>
          <w:p w14:paraId="3AC3C375">
            <w:pPr>
              <w:jc w:val="center"/>
              <w:rPr>
                <w:rFonts w:hint="eastAsia" w:ascii="宋体" w:hAnsi="宋体" w:cs="宋体"/>
                <w:szCs w:val="21"/>
              </w:rPr>
            </w:pPr>
          </w:p>
        </w:tc>
      </w:tr>
      <w:tr w14:paraId="3328C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4462C3E8">
            <w:pPr>
              <w:adjustRightInd w:val="0"/>
              <w:snapToGrid w:val="0"/>
              <w:jc w:val="center"/>
              <w:rPr>
                <w:rFonts w:hint="eastAsia" w:ascii="宋体" w:hAnsi="宋体" w:cs="宋体"/>
                <w:szCs w:val="21"/>
              </w:rPr>
            </w:pPr>
          </w:p>
        </w:tc>
        <w:tc>
          <w:tcPr>
            <w:tcW w:w="1755" w:type="dxa"/>
            <w:noWrap w:val="0"/>
            <w:vAlign w:val="center"/>
          </w:tcPr>
          <w:p w14:paraId="68B5BF86">
            <w:pPr>
              <w:jc w:val="center"/>
              <w:rPr>
                <w:rFonts w:hint="default" w:ascii="宋体" w:hAnsi="宋体" w:eastAsia="宋体" w:cs="宋体"/>
                <w:szCs w:val="21"/>
                <w:lang w:val="en-US" w:eastAsia="zh-CN"/>
              </w:rPr>
            </w:pPr>
            <w:r>
              <w:rPr>
                <w:rFonts w:hint="eastAsia" w:ascii="宋体" w:hAnsi="宋体" w:cs="宋体"/>
                <w:szCs w:val="21"/>
                <w:lang w:val="en-US" w:eastAsia="zh-CN"/>
              </w:rPr>
              <w:t>食堂油烟废气</w:t>
            </w:r>
          </w:p>
        </w:tc>
        <w:tc>
          <w:tcPr>
            <w:tcW w:w="1755" w:type="dxa"/>
            <w:noWrap w:val="0"/>
            <w:vAlign w:val="center"/>
          </w:tcPr>
          <w:p w14:paraId="5A1BE82D">
            <w:pPr>
              <w:adjustRightInd w:val="0"/>
              <w:snapToGrid w:val="0"/>
              <w:jc w:val="center"/>
              <w:rPr>
                <w:rFonts w:hint="default" w:ascii="宋体" w:hAnsi="宋体" w:cs="宋体"/>
                <w:szCs w:val="21"/>
                <w:lang w:val="en-US" w:eastAsia="zh-CN"/>
              </w:rPr>
            </w:pPr>
            <w:r>
              <w:rPr>
                <w:rFonts w:hint="eastAsia" w:ascii="宋体" w:hAnsi="宋体" w:cs="宋体"/>
                <w:szCs w:val="21"/>
                <w:lang w:val="en-US" w:eastAsia="zh-CN"/>
              </w:rPr>
              <w:t>油烟</w:t>
            </w:r>
          </w:p>
        </w:tc>
        <w:tc>
          <w:tcPr>
            <w:tcW w:w="1686" w:type="dxa"/>
            <w:noWrap w:val="0"/>
            <w:vAlign w:val="center"/>
          </w:tcPr>
          <w:p w14:paraId="2501C86D">
            <w:pPr>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油烟净化器</w:t>
            </w:r>
          </w:p>
        </w:tc>
        <w:tc>
          <w:tcPr>
            <w:tcW w:w="1826" w:type="dxa"/>
            <w:noWrap w:val="0"/>
            <w:vAlign w:val="center"/>
          </w:tcPr>
          <w:p w14:paraId="219F3DF0">
            <w:pPr>
              <w:jc w:val="center"/>
              <w:rPr>
                <w:rFonts w:hint="eastAsia" w:ascii="宋体" w:hAnsi="宋体" w:cs="宋体"/>
                <w:szCs w:val="21"/>
              </w:rPr>
            </w:pPr>
            <w:r>
              <w:rPr>
                <w:rFonts w:hint="eastAsia" w:ascii="宋体" w:hAnsi="宋体" w:cs="宋体"/>
                <w:szCs w:val="21"/>
              </w:rPr>
              <w:t>《饮食业油烟排放标准（试行）》（GB18483-2001）</w:t>
            </w:r>
          </w:p>
        </w:tc>
      </w:tr>
      <w:tr w14:paraId="6E424A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79D827B3">
            <w:pPr>
              <w:adjustRightInd w:val="0"/>
              <w:snapToGrid w:val="0"/>
              <w:jc w:val="center"/>
              <w:rPr>
                <w:rFonts w:hint="eastAsia" w:ascii="宋体" w:hAnsi="宋体" w:cs="宋体"/>
                <w:szCs w:val="21"/>
              </w:rPr>
            </w:pPr>
            <w:r>
              <w:rPr>
                <w:rFonts w:hint="eastAsia" w:ascii="宋体" w:hAnsi="宋体" w:cs="宋体"/>
                <w:szCs w:val="21"/>
              </w:rPr>
              <w:t>地表水环境</w:t>
            </w:r>
          </w:p>
        </w:tc>
        <w:tc>
          <w:tcPr>
            <w:tcW w:w="1755" w:type="dxa"/>
            <w:noWrap w:val="0"/>
            <w:vAlign w:val="center"/>
          </w:tcPr>
          <w:p w14:paraId="10EDD222">
            <w:pPr>
              <w:ind w:left="8" w:leftChars="-3" w:hanging="14" w:hangingChars="7"/>
              <w:jc w:val="center"/>
              <w:rPr>
                <w:rFonts w:hint="eastAsia" w:ascii="宋体" w:hAnsi="宋体" w:eastAsia="宋体" w:cs="宋体"/>
                <w:szCs w:val="21"/>
                <w:lang w:val="en-US" w:eastAsia="zh-CN"/>
              </w:rPr>
            </w:pPr>
            <w:r>
              <w:rPr>
                <w:rFonts w:hint="eastAsia"/>
                <w:szCs w:val="21"/>
              </w:rPr>
              <w:t>职工生活</w:t>
            </w:r>
            <w:r>
              <w:rPr>
                <w:rFonts w:hint="eastAsia"/>
                <w:szCs w:val="21"/>
                <w:lang w:val="en-US" w:eastAsia="zh-CN"/>
              </w:rPr>
              <w:t>办公</w:t>
            </w:r>
          </w:p>
        </w:tc>
        <w:tc>
          <w:tcPr>
            <w:tcW w:w="1755" w:type="dxa"/>
            <w:noWrap w:val="0"/>
            <w:vAlign w:val="center"/>
          </w:tcPr>
          <w:p w14:paraId="16937182">
            <w:pPr>
              <w:jc w:val="center"/>
              <w:rPr>
                <w:rFonts w:hint="eastAsia" w:ascii="宋体" w:hAnsi="宋体" w:cs="宋体"/>
                <w:szCs w:val="21"/>
              </w:rPr>
            </w:pPr>
            <w:r>
              <w:rPr>
                <w:rFonts w:hint="eastAsia"/>
                <w:szCs w:val="21"/>
              </w:rPr>
              <w:t>生活污水</w:t>
            </w:r>
          </w:p>
        </w:tc>
        <w:tc>
          <w:tcPr>
            <w:tcW w:w="1686" w:type="dxa"/>
            <w:noWrap w:val="0"/>
            <w:vAlign w:val="center"/>
          </w:tcPr>
          <w:p w14:paraId="7368B98E">
            <w:pPr>
              <w:snapToGrid w:val="0"/>
              <w:jc w:val="center"/>
              <w:rPr>
                <w:rFonts w:hint="default" w:ascii="宋体" w:hAnsi="宋体" w:eastAsia="宋体" w:cs="宋体"/>
                <w:szCs w:val="21"/>
                <w:lang w:val="en-US" w:eastAsia="zh-CN"/>
              </w:rPr>
            </w:pPr>
            <w:r>
              <w:rPr>
                <w:rFonts w:hint="eastAsia"/>
                <w:szCs w:val="21"/>
              </w:rPr>
              <w:t>收集到化粪池处理后</w:t>
            </w:r>
            <w:r>
              <w:rPr>
                <w:rFonts w:hint="eastAsia"/>
                <w:szCs w:val="21"/>
                <w:lang w:val="en-US" w:eastAsia="zh-CN"/>
              </w:rPr>
              <w:t>排入园区管网，最终进入轮台县新城区生活污水处理厂处理</w:t>
            </w:r>
          </w:p>
        </w:tc>
        <w:tc>
          <w:tcPr>
            <w:tcW w:w="1826" w:type="dxa"/>
            <w:noWrap w:val="0"/>
            <w:vAlign w:val="center"/>
          </w:tcPr>
          <w:p w14:paraId="3E86104E">
            <w:pPr>
              <w:adjustRightInd w:val="0"/>
              <w:snapToGrid w:val="0"/>
              <w:jc w:val="center"/>
              <w:rPr>
                <w:rFonts w:hint="eastAsia" w:ascii="宋体" w:hAnsi="宋体" w:cs="宋体"/>
                <w:szCs w:val="21"/>
              </w:rPr>
            </w:pPr>
            <w:r>
              <w:rPr>
                <w:rFonts w:hint="eastAsia" w:ascii="宋体" w:hAnsi="宋体" w:cs="宋体"/>
                <w:szCs w:val="21"/>
              </w:rPr>
              <w:t>达到轮台县</w:t>
            </w:r>
            <w:r>
              <w:rPr>
                <w:rFonts w:hint="eastAsia" w:ascii="宋体" w:hAnsi="宋体" w:cs="宋体"/>
                <w:szCs w:val="21"/>
                <w:lang w:val="en-US" w:eastAsia="zh-CN"/>
              </w:rPr>
              <w:t>新城区</w:t>
            </w:r>
            <w:r>
              <w:rPr>
                <w:rFonts w:hint="eastAsia" w:ascii="宋体" w:hAnsi="宋体" w:cs="宋体"/>
                <w:szCs w:val="21"/>
              </w:rPr>
              <w:t>污水处理厂纳管条件</w:t>
            </w:r>
          </w:p>
        </w:tc>
      </w:tr>
      <w:tr w14:paraId="05AE24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3A68980E">
            <w:pPr>
              <w:adjustRightInd w:val="0"/>
              <w:snapToGrid w:val="0"/>
              <w:jc w:val="center"/>
              <w:rPr>
                <w:rFonts w:hint="eastAsia" w:ascii="宋体" w:hAnsi="宋体" w:cs="宋体"/>
                <w:szCs w:val="21"/>
              </w:rPr>
            </w:pPr>
            <w:r>
              <w:rPr>
                <w:rFonts w:hint="eastAsia" w:ascii="宋体" w:hAnsi="宋体" w:cs="宋体"/>
                <w:szCs w:val="21"/>
              </w:rPr>
              <w:t>声环境</w:t>
            </w:r>
          </w:p>
        </w:tc>
        <w:tc>
          <w:tcPr>
            <w:tcW w:w="1755" w:type="dxa"/>
            <w:noWrap w:val="0"/>
            <w:vAlign w:val="center"/>
          </w:tcPr>
          <w:p w14:paraId="30A0AB88">
            <w:pPr>
              <w:spacing w:line="240" w:lineRule="auto"/>
              <w:jc w:val="center"/>
              <w:rPr>
                <w:rFonts w:hint="eastAsia" w:ascii="宋体" w:hAnsi="宋体" w:cs="宋体"/>
                <w:szCs w:val="21"/>
              </w:rPr>
            </w:pPr>
            <w:r>
              <w:rPr>
                <w:rFonts w:hint="default" w:ascii="Times New Roman" w:hAnsi="Times New Roman" w:eastAsia="宋体" w:cs="Times New Roman"/>
                <w:color w:val="auto"/>
                <w:sz w:val="21"/>
                <w:szCs w:val="21"/>
                <w:highlight w:val="none"/>
              </w:rPr>
              <w:t>生产设备</w:t>
            </w:r>
          </w:p>
        </w:tc>
        <w:tc>
          <w:tcPr>
            <w:tcW w:w="1755" w:type="dxa"/>
            <w:noWrap w:val="0"/>
            <w:vAlign w:val="center"/>
          </w:tcPr>
          <w:p w14:paraId="4AD1D9A6">
            <w:pPr>
              <w:spacing w:line="240" w:lineRule="auto"/>
              <w:jc w:val="center"/>
              <w:rPr>
                <w:rFonts w:hint="eastAsia" w:ascii="宋体" w:hAnsi="宋体" w:cs="宋体"/>
                <w:szCs w:val="21"/>
              </w:rPr>
            </w:pPr>
            <w:r>
              <w:rPr>
                <w:rFonts w:hint="default" w:ascii="Times New Roman" w:hAnsi="Times New Roman" w:eastAsia="宋体" w:cs="Times New Roman"/>
                <w:color w:val="auto"/>
                <w:sz w:val="21"/>
                <w:szCs w:val="21"/>
                <w:highlight w:val="none"/>
              </w:rPr>
              <w:t>噪声</w:t>
            </w:r>
          </w:p>
        </w:tc>
        <w:tc>
          <w:tcPr>
            <w:tcW w:w="1686" w:type="dxa"/>
            <w:noWrap w:val="0"/>
            <w:vAlign w:val="center"/>
          </w:tcPr>
          <w:p w14:paraId="7FEC271D">
            <w:pPr>
              <w:adjustRightInd w:val="0"/>
              <w:snapToGrid w:val="0"/>
              <w:jc w:val="center"/>
              <w:rPr>
                <w:rFonts w:hint="eastAsia" w:ascii="宋体" w:hAnsi="宋体" w:cs="宋体"/>
                <w:szCs w:val="21"/>
              </w:rPr>
            </w:pPr>
            <w:r>
              <w:rPr>
                <w:rFonts w:hint="eastAsia"/>
                <w:szCs w:val="21"/>
                <w:lang w:val="en-US" w:eastAsia="zh-CN"/>
              </w:rPr>
              <w:t>基础减振、厂房隔声、选用低噪声设备</w:t>
            </w:r>
          </w:p>
        </w:tc>
        <w:tc>
          <w:tcPr>
            <w:tcW w:w="1826" w:type="dxa"/>
            <w:noWrap w:val="0"/>
            <w:vAlign w:val="center"/>
          </w:tcPr>
          <w:p w14:paraId="211FB7C1">
            <w:pPr>
              <w:adjustRightInd w:val="0"/>
              <w:snapToGrid w:val="0"/>
              <w:jc w:val="center"/>
              <w:rPr>
                <w:rFonts w:hint="eastAsia" w:ascii="宋体" w:hAnsi="宋体" w:cs="宋体"/>
                <w:szCs w:val="21"/>
              </w:rPr>
            </w:pPr>
            <w:r>
              <w:rPr>
                <w:szCs w:val="21"/>
              </w:rPr>
              <w:t>《工业企业厂界环境噪声排放标准》</w:t>
            </w:r>
            <w:r>
              <w:rPr>
                <w:rFonts w:hint="eastAsia"/>
                <w:szCs w:val="21"/>
              </w:rPr>
              <w:t>（</w:t>
            </w:r>
            <w:r>
              <w:rPr>
                <w:szCs w:val="21"/>
              </w:rPr>
              <w:t>GB12348-2008</w:t>
            </w:r>
            <w:r>
              <w:rPr>
                <w:rFonts w:hint="eastAsia"/>
                <w:szCs w:val="21"/>
              </w:rPr>
              <w:t>）</w:t>
            </w:r>
            <w:r>
              <w:rPr>
                <w:szCs w:val="21"/>
              </w:rPr>
              <w:t>中的</w:t>
            </w:r>
            <w:r>
              <w:rPr>
                <w:rFonts w:hint="eastAsia"/>
                <w:szCs w:val="21"/>
                <w:lang w:val="en-US" w:eastAsia="zh-CN"/>
              </w:rPr>
              <w:t>3</w:t>
            </w:r>
            <w:r>
              <w:rPr>
                <w:szCs w:val="21"/>
              </w:rPr>
              <w:t>类标准值</w:t>
            </w:r>
          </w:p>
        </w:tc>
      </w:tr>
      <w:tr w14:paraId="375456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12888362">
            <w:pPr>
              <w:adjustRightInd w:val="0"/>
              <w:snapToGrid w:val="0"/>
              <w:jc w:val="center"/>
              <w:rPr>
                <w:rFonts w:hint="eastAsia" w:ascii="宋体" w:hAnsi="宋体" w:cs="宋体"/>
                <w:szCs w:val="21"/>
              </w:rPr>
            </w:pPr>
            <w:r>
              <w:rPr>
                <w:rFonts w:hint="eastAsia" w:ascii="宋体" w:hAnsi="宋体" w:cs="宋体"/>
                <w:szCs w:val="21"/>
              </w:rPr>
              <w:t>电磁辐射</w:t>
            </w:r>
          </w:p>
        </w:tc>
        <w:tc>
          <w:tcPr>
            <w:tcW w:w="7022" w:type="dxa"/>
            <w:gridSpan w:val="4"/>
            <w:noWrap w:val="0"/>
            <w:vAlign w:val="center"/>
          </w:tcPr>
          <w:p w14:paraId="5451F7DF">
            <w:pPr>
              <w:jc w:val="center"/>
              <w:rPr>
                <w:rFonts w:hint="eastAsia" w:ascii="宋体" w:hAnsi="宋体" w:cs="宋体"/>
                <w:szCs w:val="21"/>
              </w:rPr>
            </w:pPr>
            <w:r>
              <w:rPr>
                <w:rFonts w:hint="eastAsia" w:ascii="宋体" w:hAnsi="宋体" w:cs="宋体"/>
                <w:szCs w:val="21"/>
              </w:rPr>
              <w:t>/</w:t>
            </w:r>
          </w:p>
        </w:tc>
      </w:tr>
      <w:tr w14:paraId="4998FF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restart"/>
            <w:noWrap w:val="0"/>
            <w:vAlign w:val="center"/>
          </w:tcPr>
          <w:p w14:paraId="008494EB">
            <w:pPr>
              <w:adjustRightInd w:val="0"/>
              <w:snapToGrid w:val="0"/>
              <w:jc w:val="center"/>
              <w:rPr>
                <w:rFonts w:hint="eastAsia" w:ascii="宋体" w:hAnsi="宋体" w:cs="宋体"/>
                <w:szCs w:val="21"/>
              </w:rPr>
            </w:pPr>
            <w:r>
              <w:rPr>
                <w:rFonts w:hint="eastAsia" w:ascii="宋体" w:hAnsi="宋体" w:cs="宋体"/>
                <w:szCs w:val="21"/>
              </w:rPr>
              <w:t>固体废物</w:t>
            </w:r>
          </w:p>
        </w:tc>
        <w:tc>
          <w:tcPr>
            <w:tcW w:w="1755" w:type="dxa"/>
            <w:vMerge w:val="restart"/>
            <w:noWrap w:val="0"/>
            <w:vAlign w:val="center"/>
          </w:tcPr>
          <w:p w14:paraId="1123DA78">
            <w:pPr>
              <w:adjustRightInd w:val="0"/>
              <w:snapToGrid w:val="0"/>
              <w:jc w:val="center"/>
              <w:rPr>
                <w:rFonts w:hint="eastAsia" w:ascii="宋体" w:hAnsi="宋体" w:cs="宋体"/>
                <w:sz w:val="21"/>
                <w:szCs w:val="21"/>
              </w:rPr>
            </w:pPr>
            <w:r>
              <w:rPr>
                <w:rFonts w:hint="eastAsia"/>
                <w:sz w:val="21"/>
                <w:szCs w:val="21"/>
              </w:rPr>
              <w:t>生产过程</w:t>
            </w:r>
          </w:p>
        </w:tc>
        <w:tc>
          <w:tcPr>
            <w:tcW w:w="1755" w:type="dxa"/>
            <w:noWrap w:val="0"/>
            <w:vAlign w:val="center"/>
          </w:tcPr>
          <w:p w14:paraId="7A23AB1E">
            <w:pPr>
              <w:jc w:val="center"/>
              <w:rPr>
                <w:rFonts w:hint="eastAsia" w:ascii="宋体" w:hAnsi="宋体" w:eastAsia="宋体" w:cs="宋体"/>
                <w:sz w:val="21"/>
                <w:szCs w:val="21"/>
                <w:lang w:eastAsia="zh-CN"/>
              </w:rPr>
            </w:pPr>
            <w:r>
              <w:rPr>
                <w:rFonts w:hint="eastAsia"/>
                <w:bCs/>
                <w:sz w:val="21"/>
                <w:szCs w:val="21"/>
                <w:lang w:val="en-US" w:eastAsia="zh-CN"/>
              </w:rPr>
              <w:t>废膜边角料、废离型膜、废双面胶</w:t>
            </w:r>
          </w:p>
        </w:tc>
        <w:tc>
          <w:tcPr>
            <w:tcW w:w="1686" w:type="dxa"/>
            <w:vMerge w:val="restart"/>
            <w:noWrap w:val="0"/>
            <w:vAlign w:val="center"/>
          </w:tcPr>
          <w:p w14:paraId="20257DFB">
            <w:pPr>
              <w:adjustRightInd w:val="0"/>
              <w:snapToGrid w:val="0"/>
              <w:jc w:val="center"/>
              <w:rPr>
                <w:rFonts w:hint="eastAsia" w:eastAsia="宋体"/>
                <w:sz w:val="21"/>
                <w:szCs w:val="21"/>
                <w:lang w:eastAsia="zh-CN"/>
              </w:rPr>
            </w:pPr>
            <w:r>
              <w:rPr>
                <w:rFonts w:hint="eastAsia" w:eastAsia="宋体"/>
                <w:sz w:val="21"/>
                <w:szCs w:val="21"/>
                <w:lang w:eastAsia="zh-CN"/>
              </w:rPr>
              <w:t>分类收集、分区暂存，外售综合回收利用</w:t>
            </w:r>
          </w:p>
        </w:tc>
        <w:tc>
          <w:tcPr>
            <w:tcW w:w="1826" w:type="dxa"/>
            <w:vMerge w:val="restart"/>
            <w:noWrap w:val="0"/>
            <w:vAlign w:val="center"/>
          </w:tcPr>
          <w:p w14:paraId="0AF003C0">
            <w:pPr>
              <w:adjustRightInd w:val="0"/>
              <w:snapToGrid w:val="0"/>
              <w:jc w:val="center"/>
              <w:rPr>
                <w:rFonts w:hint="eastAsia" w:ascii="宋体" w:hAnsi="宋体" w:cs="宋体"/>
                <w:szCs w:val="21"/>
              </w:rPr>
            </w:pPr>
            <w:r>
              <w:rPr>
                <w:rFonts w:hint="eastAsia" w:ascii="宋体" w:hAnsi="宋体" w:cs="宋体"/>
                <w:color w:val="000000"/>
                <w:szCs w:val="21"/>
              </w:rPr>
              <w:t>《一般工业固体废物贮存和填埋污染控制标准》</w:t>
            </w:r>
            <w:r>
              <w:rPr>
                <w:rFonts w:hint="eastAsia" w:ascii="宋体" w:hAnsi="宋体" w:cs="宋体"/>
                <w:color w:val="000000"/>
                <w:szCs w:val="21"/>
                <w:lang w:eastAsia="zh-CN"/>
              </w:rPr>
              <w:t>（</w:t>
            </w:r>
            <w:r>
              <w:rPr>
                <w:rFonts w:hint="eastAsia" w:ascii="宋体" w:hAnsi="宋体" w:cs="宋体"/>
                <w:color w:val="000000"/>
                <w:szCs w:val="21"/>
              </w:rPr>
              <w:t>GB18599—2020</w:t>
            </w:r>
            <w:r>
              <w:rPr>
                <w:rFonts w:hint="eastAsia" w:ascii="宋体" w:hAnsi="宋体" w:cs="宋体"/>
                <w:color w:val="000000"/>
                <w:szCs w:val="21"/>
                <w:lang w:eastAsia="zh-CN"/>
              </w:rPr>
              <w:t>）</w:t>
            </w:r>
            <w:r>
              <w:rPr>
                <w:rFonts w:hint="eastAsia" w:ascii="宋体" w:hAnsi="宋体" w:cs="宋体"/>
                <w:color w:val="000000"/>
                <w:szCs w:val="21"/>
              </w:rPr>
              <w:t>有关要求</w:t>
            </w:r>
          </w:p>
        </w:tc>
      </w:tr>
      <w:tr w14:paraId="740DE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45A5D8BA">
            <w:pPr>
              <w:adjustRightInd w:val="0"/>
              <w:snapToGrid w:val="0"/>
              <w:jc w:val="center"/>
              <w:rPr>
                <w:rFonts w:hint="eastAsia" w:ascii="宋体" w:hAnsi="宋体" w:cs="宋体"/>
                <w:szCs w:val="21"/>
              </w:rPr>
            </w:pPr>
          </w:p>
        </w:tc>
        <w:tc>
          <w:tcPr>
            <w:tcW w:w="1755" w:type="dxa"/>
            <w:vMerge w:val="continue"/>
            <w:noWrap w:val="0"/>
            <w:vAlign w:val="center"/>
          </w:tcPr>
          <w:p w14:paraId="5FDD4A51">
            <w:pPr>
              <w:adjustRightInd w:val="0"/>
              <w:snapToGrid w:val="0"/>
              <w:jc w:val="center"/>
              <w:rPr>
                <w:rFonts w:hint="eastAsia" w:eastAsia="宋体"/>
                <w:sz w:val="21"/>
                <w:szCs w:val="21"/>
                <w:lang w:eastAsia="zh-CN"/>
              </w:rPr>
            </w:pPr>
          </w:p>
        </w:tc>
        <w:tc>
          <w:tcPr>
            <w:tcW w:w="1755" w:type="dxa"/>
            <w:noWrap w:val="0"/>
            <w:vAlign w:val="center"/>
          </w:tcPr>
          <w:p w14:paraId="29CBFDAA">
            <w:pPr>
              <w:jc w:val="center"/>
              <w:rPr>
                <w:rFonts w:hint="eastAsia" w:eastAsia="宋体"/>
                <w:bCs/>
                <w:sz w:val="21"/>
                <w:szCs w:val="21"/>
                <w:lang w:eastAsia="zh-CN"/>
              </w:rPr>
            </w:pPr>
            <w:r>
              <w:rPr>
                <w:rFonts w:hint="eastAsia" w:eastAsia="宋体"/>
                <w:bCs/>
                <w:sz w:val="21"/>
                <w:szCs w:val="21"/>
                <w:lang w:eastAsia="zh-CN"/>
              </w:rPr>
              <w:t>废纸芯管</w:t>
            </w:r>
          </w:p>
        </w:tc>
        <w:tc>
          <w:tcPr>
            <w:tcW w:w="1686" w:type="dxa"/>
            <w:vMerge w:val="continue"/>
            <w:noWrap w:val="0"/>
            <w:vAlign w:val="center"/>
          </w:tcPr>
          <w:p w14:paraId="0CC3035D">
            <w:pPr>
              <w:adjustRightInd w:val="0"/>
              <w:snapToGrid w:val="0"/>
              <w:jc w:val="center"/>
              <w:rPr>
                <w:rFonts w:hint="eastAsia" w:eastAsia="宋体"/>
                <w:sz w:val="21"/>
                <w:szCs w:val="21"/>
                <w:lang w:eastAsia="zh-CN"/>
              </w:rPr>
            </w:pPr>
          </w:p>
        </w:tc>
        <w:tc>
          <w:tcPr>
            <w:tcW w:w="1826" w:type="dxa"/>
            <w:vMerge w:val="continue"/>
            <w:noWrap w:val="0"/>
            <w:vAlign w:val="center"/>
          </w:tcPr>
          <w:p w14:paraId="5C94A7C8">
            <w:pPr>
              <w:adjustRightInd w:val="0"/>
              <w:snapToGrid w:val="0"/>
              <w:jc w:val="center"/>
              <w:rPr>
                <w:rFonts w:hint="eastAsia" w:ascii="宋体" w:hAnsi="宋体" w:cs="宋体"/>
                <w:color w:val="000000"/>
                <w:szCs w:val="21"/>
              </w:rPr>
            </w:pPr>
          </w:p>
        </w:tc>
      </w:tr>
      <w:tr w14:paraId="431F1F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1E840BF3">
            <w:pPr>
              <w:adjustRightInd w:val="0"/>
              <w:snapToGrid w:val="0"/>
              <w:jc w:val="center"/>
            </w:pPr>
          </w:p>
        </w:tc>
        <w:tc>
          <w:tcPr>
            <w:tcW w:w="1755" w:type="dxa"/>
            <w:vMerge w:val="continue"/>
            <w:noWrap w:val="0"/>
            <w:vAlign w:val="center"/>
          </w:tcPr>
          <w:p w14:paraId="3EF6F19E">
            <w:pPr>
              <w:adjustRightInd w:val="0"/>
              <w:snapToGrid w:val="0"/>
              <w:jc w:val="center"/>
              <w:rPr>
                <w:rFonts w:hint="eastAsia" w:ascii="宋体" w:hAnsi="宋体" w:eastAsia="宋体" w:cs="宋体"/>
                <w:sz w:val="21"/>
                <w:szCs w:val="21"/>
                <w:lang w:eastAsia="zh-CN"/>
              </w:rPr>
            </w:pPr>
          </w:p>
        </w:tc>
        <w:tc>
          <w:tcPr>
            <w:tcW w:w="1755" w:type="dxa"/>
            <w:noWrap w:val="0"/>
            <w:vAlign w:val="center"/>
          </w:tcPr>
          <w:p w14:paraId="6E9D6278">
            <w:pPr>
              <w:jc w:val="center"/>
              <w:rPr>
                <w:rFonts w:hint="eastAsia" w:ascii="宋体" w:hAnsi="宋体" w:cs="宋体"/>
                <w:sz w:val="21"/>
                <w:szCs w:val="21"/>
              </w:rPr>
            </w:pPr>
            <w:r>
              <w:rPr>
                <w:rFonts w:hint="eastAsia" w:ascii="宋体" w:hAnsi="宋体" w:cs="宋体"/>
                <w:sz w:val="21"/>
                <w:szCs w:val="21"/>
              </w:rPr>
              <w:t>废原辅料包装袋</w:t>
            </w:r>
            <w:r>
              <w:rPr>
                <w:rFonts w:hint="eastAsia"/>
                <w:szCs w:val="21"/>
                <w:lang w:val="en-US" w:eastAsia="zh-CN"/>
              </w:rPr>
              <w:t>、废包装桶</w:t>
            </w:r>
          </w:p>
        </w:tc>
        <w:tc>
          <w:tcPr>
            <w:tcW w:w="1686" w:type="dxa"/>
            <w:vMerge w:val="continue"/>
            <w:noWrap w:val="0"/>
            <w:vAlign w:val="center"/>
          </w:tcPr>
          <w:p w14:paraId="4570ABD3">
            <w:pPr>
              <w:adjustRightInd w:val="0"/>
              <w:snapToGrid w:val="0"/>
              <w:jc w:val="center"/>
              <w:rPr>
                <w:rFonts w:hint="eastAsia" w:ascii="宋体" w:hAnsi="宋体" w:cs="宋体"/>
                <w:sz w:val="21"/>
                <w:szCs w:val="21"/>
              </w:rPr>
            </w:pPr>
          </w:p>
        </w:tc>
        <w:tc>
          <w:tcPr>
            <w:tcW w:w="1826" w:type="dxa"/>
            <w:vMerge w:val="continue"/>
            <w:noWrap w:val="0"/>
            <w:vAlign w:val="center"/>
          </w:tcPr>
          <w:p w14:paraId="07871394">
            <w:pPr>
              <w:adjustRightInd w:val="0"/>
              <w:snapToGrid w:val="0"/>
              <w:jc w:val="center"/>
              <w:rPr>
                <w:rFonts w:hint="eastAsia" w:ascii="宋体" w:hAnsi="宋体" w:cs="宋体"/>
                <w:szCs w:val="21"/>
              </w:rPr>
            </w:pPr>
          </w:p>
        </w:tc>
      </w:tr>
      <w:tr w14:paraId="580FF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5CDE1428">
            <w:pPr>
              <w:adjustRightInd w:val="0"/>
              <w:snapToGrid w:val="0"/>
              <w:jc w:val="center"/>
              <w:rPr>
                <w:rFonts w:hint="eastAsia" w:ascii="宋体" w:hAnsi="宋体" w:cs="宋体"/>
                <w:szCs w:val="21"/>
              </w:rPr>
            </w:pPr>
          </w:p>
        </w:tc>
        <w:tc>
          <w:tcPr>
            <w:tcW w:w="1755" w:type="dxa"/>
            <w:noWrap w:val="0"/>
            <w:vAlign w:val="center"/>
          </w:tcPr>
          <w:p w14:paraId="23D8FADA">
            <w:pPr>
              <w:adjustRightInd w:val="0"/>
              <w:snapToGrid w:val="0"/>
              <w:jc w:val="center"/>
              <w:rPr>
                <w:rFonts w:hint="eastAsia" w:ascii="宋体" w:hAnsi="宋体" w:cs="宋体"/>
                <w:sz w:val="21"/>
                <w:szCs w:val="21"/>
              </w:rPr>
            </w:pPr>
            <w:r>
              <w:rPr>
                <w:rFonts w:hint="eastAsia"/>
                <w:sz w:val="21"/>
                <w:szCs w:val="21"/>
              </w:rPr>
              <w:t>员工生活</w:t>
            </w:r>
          </w:p>
        </w:tc>
        <w:tc>
          <w:tcPr>
            <w:tcW w:w="1755" w:type="dxa"/>
            <w:noWrap w:val="0"/>
            <w:vAlign w:val="center"/>
          </w:tcPr>
          <w:p w14:paraId="35A3AF35">
            <w:pPr>
              <w:jc w:val="center"/>
              <w:rPr>
                <w:rFonts w:hint="eastAsia" w:ascii="宋体" w:hAnsi="宋体" w:cs="宋体"/>
                <w:sz w:val="21"/>
                <w:szCs w:val="21"/>
              </w:rPr>
            </w:pPr>
            <w:r>
              <w:rPr>
                <w:sz w:val="21"/>
                <w:szCs w:val="21"/>
              </w:rPr>
              <w:t>生活垃圾</w:t>
            </w:r>
          </w:p>
        </w:tc>
        <w:tc>
          <w:tcPr>
            <w:tcW w:w="1686" w:type="dxa"/>
            <w:noWrap w:val="0"/>
            <w:vAlign w:val="center"/>
          </w:tcPr>
          <w:p w14:paraId="5D286E0E">
            <w:pPr>
              <w:adjustRightInd w:val="0"/>
              <w:snapToGrid w:val="0"/>
              <w:jc w:val="center"/>
              <w:rPr>
                <w:rFonts w:hint="eastAsia" w:ascii="宋体" w:hAnsi="宋体" w:cs="宋体"/>
                <w:sz w:val="21"/>
                <w:szCs w:val="21"/>
              </w:rPr>
            </w:pPr>
            <w:r>
              <w:rPr>
                <w:rFonts w:hint="eastAsia"/>
                <w:kern w:val="0"/>
                <w:sz w:val="21"/>
                <w:szCs w:val="21"/>
              </w:rPr>
              <w:t>分类收集后</w:t>
            </w:r>
            <w:r>
              <w:rPr>
                <w:rFonts w:hint="eastAsia"/>
                <w:kern w:val="0"/>
                <w:sz w:val="21"/>
                <w:szCs w:val="21"/>
                <w:lang w:val="en-US" w:eastAsia="zh-CN"/>
              </w:rPr>
              <w:t>交由</w:t>
            </w:r>
            <w:r>
              <w:rPr>
                <w:rFonts w:hint="eastAsia"/>
                <w:kern w:val="0"/>
                <w:sz w:val="21"/>
                <w:szCs w:val="21"/>
              </w:rPr>
              <w:t>环卫部门及时清运</w:t>
            </w:r>
          </w:p>
        </w:tc>
        <w:tc>
          <w:tcPr>
            <w:tcW w:w="1826" w:type="dxa"/>
            <w:noWrap w:val="0"/>
            <w:vAlign w:val="center"/>
          </w:tcPr>
          <w:p w14:paraId="4C46F67E">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w:t>
            </w:r>
          </w:p>
        </w:tc>
      </w:tr>
      <w:tr w14:paraId="1737D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778" w:type="dxa"/>
            <w:vMerge w:val="continue"/>
            <w:noWrap w:val="0"/>
            <w:vAlign w:val="center"/>
          </w:tcPr>
          <w:p w14:paraId="5A593575">
            <w:pPr>
              <w:adjustRightInd w:val="0"/>
              <w:snapToGrid w:val="0"/>
              <w:jc w:val="center"/>
              <w:rPr>
                <w:rFonts w:hint="eastAsia" w:ascii="宋体" w:hAnsi="宋体" w:cs="宋体"/>
                <w:szCs w:val="21"/>
              </w:rPr>
            </w:pPr>
          </w:p>
        </w:tc>
        <w:tc>
          <w:tcPr>
            <w:tcW w:w="1755" w:type="dxa"/>
            <w:noWrap w:val="0"/>
            <w:vAlign w:val="center"/>
          </w:tcPr>
          <w:p w14:paraId="04A9D04A">
            <w:pPr>
              <w:adjustRightInd w:val="0"/>
              <w:snapToGrid w:val="0"/>
              <w:jc w:val="center"/>
              <w:rPr>
                <w:rFonts w:hint="eastAsia" w:eastAsia="宋体"/>
                <w:szCs w:val="21"/>
                <w:lang w:val="en-US" w:eastAsia="zh-CN"/>
              </w:rPr>
            </w:pPr>
            <w:r>
              <w:rPr>
                <w:rFonts w:hint="eastAsia"/>
                <w:szCs w:val="21"/>
                <w:lang w:val="en-US" w:eastAsia="zh-CN"/>
              </w:rPr>
              <w:t>设备、车辆</w:t>
            </w:r>
            <w:r>
              <w:rPr>
                <w:rFonts w:hint="eastAsia"/>
                <w:szCs w:val="21"/>
              </w:rPr>
              <w:t>维护</w:t>
            </w:r>
            <w:r>
              <w:rPr>
                <w:rFonts w:hint="eastAsia"/>
                <w:szCs w:val="21"/>
                <w:lang w:val="en-US" w:eastAsia="zh-CN"/>
              </w:rPr>
              <w:t>保养</w:t>
            </w:r>
          </w:p>
        </w:tc>
        <w:tc>
          <w:tcPr>
            <w:tcW w:w="1755" w:type="dxa"/>
            <w:noWrap w:val="0"/>
            <w:vAlign w:val="center"/>
          </w:tcPr>
          <w:p w14:paraId="6AE1FF39">
            <w:pPr>
              <w:jc w:val="center"/>
              <w:rPr>
                <w:rFonts w:hint="default" w:eastAsia="宋体"/>
                <w:szCs w:val="21"/>
                <w:lang w:val="en-US" w:eastAsia="zh-CN"/>
              </w:rPr>
            </w:pPr>
            <w:r>
              <w:rPr>
                <w:rFonts w:hint="eastAsia"/>
                <w:szCs w:val="21"/>
                <w:lang w:val="en-US" w:eastAsia="zh-CN"/>
              </w:rPr>
              <w:t>废机油、废含油抹布、手套、废活性炭、废催化剂、废玻璃纤维棉和纸箱过滤器</w:t>
            </w:r>
          </w:p>
        </w:tc>
        <w:tc>
          <w:tcPr>
            <w:tcW w:w="1686" w:type="dxa"/>
            <w:noWrap w:val="0"/>
            <w:vAlign w:val="center"/>
          </w:tcPr>
          <w:p w14:paraId="7F91808B">
            <w:pPr>
              <w:adjustRightInd w:val="0"/>
              <w:snapToGrid w:val="0"/>
              <w:jc w:val="center"/>
              <w:rPr>
                <w:rFonts w:hint="eastAsia"/>
                <w:kern w:val="0"/>
                <w:szCs w:val="21"/>
              </w:rPr>
            </w:pPr>
            <w:r>
              <w:rPr>
                <w:rFonts w:hint="eastAsia"/>
                <w:kern w:val="0"/>
                <w:szCs w:val="21"/>
              </w:rPr>
              <w:t>作为危险废物暂存至危险废物贮存库，交由有资质的单位处置</w:t>
            </w:r>
          </w:p>
        </w:tc>
        <w:tc>
          <w:tcPr>
            <w:tcW w:w="1826" w:type="dxa"/>
            <w:noWrap w:val="0"/>
            <w:vAlign w:val="center"/>
          </w:tcPr>
          <w:p w14:paraId="6404E022">
            <w:pPr>
              <w:adjustRightInd w:val="0"/>
              <w:snapToGrid w:val="0"/>
              <w:jc w:val="center"/>
              <w:rPr>
                <w:rFonts w:hint="eastAsia" w:ascii="宋体" w:hAnsi="宋体" w:cs="宋体"/>
                <w:szCs w:val="21"/>
              </w:rPr>
            </w:pPr>
            <w:r>
              <w:rPr>
                <w:rFonts w:hint="eastAsia" w:cs="Times New Roman"/>
                <w:color w:val="auto"/>
                <w:sz w:val="21"/>
                <w:szCs w:val="21"/>
                <w:highlight w:val="none"/>
                <w:lang w:val="en-US" w:eastAsia="zh-CN"/>
              </w:rPr>
              <w:t>《危险废物贮存污染控制标准》（GB18597-2023）</w:t>
            </w:r>
          </w:p>
        </w:tc>
      </w:tr>
      <w:tr w14:paraId="43EE5E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29462248">
            <w:pPr>
              <w:adjustRightInd w:val="0"/>
              <w:snapToGrid w:val="0"/>
              <w:jc w:val="center"/>
              <w:rPr>
                <w:rFonts w:hint="eastAsia" w:ascii="宋体" w:hAnsi="宋体" w:cs="宋体"/>
                <w:szCs w:val="21"/>
              </w:rPr>
            </w:pPr>
            <w:r>
              <w:rPr>
                <w:rFonts w:hint="eastAsia" w:ascii="宋体" w:hAnsi="宋体" w:cs="宋体"/>
                <w:szCs w:val="21"/>
              </w:rPr>
              <w:t>土壤及地下水</w:t>
            </w:r>
          </w:p>
          <w:p w14:paraId="7D997491">
            <w:pPr>
              <w:adjustRightInd w:val="0"/>
              <w:snapToGrid w:val="0"/>
              <w:jc w:val="center"/>
              <w:rPr>
                <w:rFonts w:hint="eastAsia" w:ascii="宋体" w:hAnsi="宋体" w:cs="宋体"/>
                <w:szCs w:val="21"/>
              </w:rPr>
            </w:pPr>
            <w:r>
              <w:rPr>
                <w:rFonts w:hint="eastAsia" w:ascii="宋体" w:hAnsi="宋体" w:cs="宋体"/>
                <w:szCs w:val="21"/>
              </w:rPr>
              <w:t>污染防治措施</w:t>
            </w:r>
          </w:p>
        </w:tc>
        <w:tc>
          <w:tcPr>
            <w:tcW w:w="7022" w:type="dxa"/>
            <w:gridSpan w:val="4"/>
            <w:noWrap w:val="0"/>
            <w:vAlign w:val="center"/>
          </w:tcPr>
          <w:p w14:paraId="0ABBB3B6">
            <w:pPr>
              <w:adjustRightInd w:val="0"/>
              <w:snapToGrid w:val="0"/>
              <w:jc w:val="center"/>
              <w:rPr>
                <w:rFonts w:hint="eastAsia" w:ascii="宋体" w:hAnsi="宋体" w:cs="宋体"/>
                <w:szCs w:val="21"/>
              </w:rPr>
            </w:pPr>
            <w:r>
              <w:rPr>
                <w:szCs w:val="21"/>
              </w:rPr>
              <w:t>划分</w:t>
            </w:r>
            <w:r>
              <w:rPr>
                <w:rFonts w:hint="eastAsia"/>
                <w:szCs w:val="21"/>
              </w:rPr>
              <w:t>一</w:t>
            </w:r>
            <w:r>
              <w:rPr>
                <w:szCs w:val="21"/>
              </w:rPr>
              <w:t>般防渗区、重点防渗区</w:t>
            </w:r>
            <w:r>
              <w:rPr>
                <w:rFonts w:hint="eastAsia"/>
                <w:szCs w:val="21"/>
                <w:lang w:eastAsia="zh-CN"/>
              </w:rPr>
              <w:t>、简单防渗区</w:t>
            </w:r>
            <w:r>
              <w:rPr>
                <w:rFonts w:hint="eastAsia"/>
                <w:szCs w:val="21"/>
              </w:rPr>
              <w:t>，</w:t>
            </w:r>
            <w:r>
              <w:rPr>
                <w:szCs w:val="21"/>
              </w:rPr>
              <w:t>防渗区则应按照不同分区要求，采取不同等级的防渗措施，并确保其可靠性和有效性</w:t>
            </w:r>
          </w:p>
        </w:tc>
      </w:tr>
      <w:tr w14:paraId="644D4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44A48B51">
            <w:pPr>
              <w:adjustRightInd w:val="0"/>
              <w:snapToGrid w:val="0"/>
              <w:jc w:val="center"/>
              <w:rPr>
                <w:rFonts w:hint="eastAsia" w:ascii="宋体" w:hAnsi="宋体" w:cs="宋体"/>
                <w:szCs w:val="21"/>
              </w:rPr>
            </w:pPr>
            <w:r>
              <w:rPr>
                <w:rFonts w:hint="eastAsia" w:ascii="宋体" w:hAnsi="宋体" w:cs="宋体"/>
                <w:szCs w:val="21"/>
              </w:rPr>
              <w:t>生态保护措施</w:t>
            </w:r>
          </w:p>
        </w:tc>
        <w:tc>
          <w:tcPr>
            <w:tcW w:w="7022" w:type="dxa"/>
            <w:gridSpan w:val="4"/>
            <w:noWrap w:val="0"/>
            <w:vAlign w:val="center"/>
          </w:tcPr>
          <w:p w14:paraId="2F4CDC03">
            <w:pPr>
              <w:adjustRightInd w:val="0"/>
              <w:snapToGrid w:val="0"/>
              <w:jc w:val="center"/>
              <w:rPr>
                <w:rFonts w:hint="eastAsia" w:ascii="宋体" w:hAnsi="宋体" w:cs="宋体"/>
                <w:szCs w:val="21"/>
              </w:rPr>
            </w:pPr>
            <w:r>
              <w:rPr>
                <w:rFonts w:hint="eastAsia" w:ascii="宋体" w:hAnsi="宋体" w:cs="宋体"/>
                <w:szCs w:val="21"/>
              </w:rPr>
              <w:t>/</w:t>
            </w:r>
          </w:p>
        </w:tc>
      </w:tr>
      <w:tr w14:paraId="4BA634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07FEE3E0">
            <w:pPr>
              <w:adjustRightInd w:val="0"/>
              <w:snapToGrid w:val="0"/>
              <w:jc w:val="center"/>
              <w:rPr>
                <w:rFonts w:ascii="宋体" w:hAnsi="宋体" w:cs="宋体"/>
                <w:spacing w:val="-8"/>
                <w:szCs w:val="21"/>
              </w:rPr>
            </w:pPr>
            <w:r>
              <w:rPr>
                <w:rFonts w:hint="eastAsia" w:ascii="宋体" w:hAnsi="宋体" w:cs="宋体"/>
                <w:spacing w:val="-8"/>
                <w:szCs w:val="21"/>
              </w:rPr>
              <w:t>环境风险</w:t>
            </w:r>
          </w:p>
          <w:p w14:paraId="595DCEB6">
            <w:pPr>
              <w:adjustRightInd w:val="0"/>
              <w:snapToGrid w:val="0"/>
              <w:jc w:val="center"/>
              <w:rPr>
                <w:rFonts w:hint="eastAsia" w:ascii="宋体" w:hAnsi="宋体" w:cs="宋体"/>
                <w:spacing w:val="-8"/>
                <w:szCs w:val="21"/>
              </w:rPr>
            </w:pPr>
            <w:r>
              <w:rPr>
                <w:rFonts w:hint="eastAsia" w:ascii="宋体" w:hAnsi="宋体" w:cs="宋体"/>
                <w:spacing w:val="-8"/>
                <w:szCs w:val="21"/>
              </w:rPr>
              <w:t>防范措施</w:t>
            </w:r>
          </w:p>
        </w:tc>
        <w:tc>
          <w:tcPr>
            <w:tcW w:w="7022" w:type="dxa"/>
            <w:gridSpan w:val="4"/>
            <w:noWrap w:val="0"/>
            <w:vAlign w:val="center"/>
          </w:tcPr>
          <w:p w14:paraId="59F447F3">
            <w:pPr>
              <w:adjustRightInd w:val="0"/>
              <w:snapToGrid w:val="0"/>
              <w:jc w:val="left"/>
              <w:rPr>
                <w:rFonts w:hint="eastAsia" w:ascii="宋体" w:hAnsi="宋体" w:eastAsia="宋体" w:cs="宋体"/>
                <w:szCs w:val="21"/>
                <w:lang w:eastAsia="zh-CN"/>
              </w:rPr>
            </w:pPr>
            <w:r>
              <w:rPr>
                <w:rFonts w:hint="eastAsia" w:ascii="宋体" w:hAnsi="宋体" w:cs="宋体"/>
                <w:szCs w:val="21"/>
              </w:rPr>
              <w:t>原料密闭贮存；危废库设置围堰、吸附应急物资；废气治理设施定期检修；编制突发环境事件应急预案；厂区严禁明火，落实消防措施</w:t>
            </w:r>
            <w:r>
              <w:rPr>
                <w:rFonts w:hint="eastAsia" w:ascii="宋体" w:hAnsi="宋体" w:cs="宋体"/>
                <w:szCs w:val="21"/>
                <w:lang w:eastAsia="zh-CN"/>
              </w:rPr>
              <w:t>。</w:t>
            </w:r>
          </w:p>
        </w:tc>
      </w:tr>
      <w:tr w14:paraId="6745C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522ACB62">
            <w:pPr>
              <w:adjustRightInd w:val="0"/>
              <w:snapToGrid w:val="0"/>
              <w:jc w:val="center"/>
              <w:rPr>
                <w:rFonts w:ascii="宋体" w:hAnsi="宋体" w:cs="宋体"/>
                <w:spacing w:val="-8"/>
                <w:szCs w:val="21"/>
              </w:rPr>
            </w:pPr>
            <w:r>
              <w:rPr>
                <w:rFonts w:hint="eastAsia" w:ascii="宋体" w:hAnsi="宋体" w:cs="宋体"/>
                <w:spacing w:val="-8"/>
                <w:szCs w:val="21"/>
              </w:rPr>
              <w:t>其他环境</w:t>
            </w:r>
          </w:p>
          <w:p w14:paraId="25902A97">
            <w:pPr>
              <w:adjustRightInd w:val="0"/>
              <w:snapToGrid w:val="0"/>
              <w:jc w:val="center"/>
              <w:rPr>
                <w:rFonts w:hint="eastAsia" w:ascii="宋体" w:hAnsi="宋体" w:cs="宋体"/>
                <w:spacing w:val="-8"/>
                <w:szCs w:val="21"/>
              </w:rPr>
            </w:pPr>
            <w:r>
              <w:rPr>
                <w:rFonts w:hint="eastAsia" w:ascii="宋体" w:hAnsi="宋体" w:cs="宋体"/>
                <w:spacing w:val="-8"/>
                <w:szCs w:val="21"/>
              </w:rPr>
              <w:t>管理要求</w:t>
            </w:r>
          </w:p>
        </w:tc>
        <w:tc>
          <w:tcPr>
            <w:tcW w:w="7022" w:type="dxa"/>
            <w:gridSpan w:val="4"/>
            <w:noWrap w:val="0"/>
            <w:vAlign w:val="center"/>
          </w:tcPr>
          <w:p w14:paraId="60726434">
            <w:pPr>
              <w:adjustRightInd w:val="0"/>
              <w:snapToGrid w:val="0"/>
              <w:jc w:val="left"/>
              <w:rPr>
                <w:rFonts w:hint="eastAsia" w:eastAsia="宋体"/>
                <w:szCs w:val="21"/>
                <w:lang w:eastAsia="zh-CN"/>
              </w:rPr>
            </w:pPr>
            <w:r>
              <w:rPr>
                <w:rFonts w:hint="eastAsia"/>
                <w:szCs w:val="21"/>
              </w:rPr>
              <w:t>为加强项目的环境管理，</w:t>
            </w:r>
            <w:r>
              <w:rPr>
                <w:rFonts w:hint="eastAsia"/>
                <w:szCs w:val="21"/>
                <w:lang w:eastAsia="zh-CN"/>
              </w:rPr>
              <w:t>加大</w:t>
            </w:r>
            <w:r>
              <w:rPr>
                <w:rFonts w:hint="eastAsia"/>
                <w:szCs w:val="21"/>
              </w:rPr>
              <w:t>环境监测的力度，必须严格控制污染物的排放总量，执行建设项目“三同时”制度，为了既发展生产又保护环境，实现建设项目的经济效益，社会效益和环境效益的统一，更好</w:t>
            </w:r>
            <w:r>
              <w:rPr>
                <w:rFonts w:hint="eastAsia"/>
                <w:szCs w:val="21"/>
                <w:lang w:eastAsia="zh-CN"/>
              </w:rPr>
              <w:t>地</w:t>
            </w:r>
            <w:r>
              <w:rPr>
                <w:rFonts w:hint="eastAsia"/>
                <w:szCs w:val="21"/>
              </w:rPr>
              <w:t>监控工程环保设施的运行及时掌握和了解污染治理措施的效果，必须设置相应的环保机构，制定项目环境管理和环境监测计划</w:t>
            </w:r>
          </w:p>
          <w:p w14:paraId="1AAEED01">
            <w:pPr>
              <w:adjustRightInd w:val="0"/>
              <w:snapToGrid w:val="0"/>
              <w:jc w:val="left"/>
              <w:rPr>
                <w:rFonts w:hint="eastAsia" w:eastAsia="宋体"/>
                <w:szCs w:val="21"/>
                <w:lang w:eastAsia="zh-CN"/>
              </w:rPr>
            </w:pPr>
            <w:r>
              <w:rPr>
                <w:rFonts w:hint="eastAsia"/>
                <w:szCs w:val="21"/>
              </w:rPr>
              <w:t>1.环境管理计划</w:t>
            </w:r>
          </w:p>
          <w:p w14:paraId="6F192598">
            <w:pPr>
              <w:adjustRightInd w:val="0"/>
              <w:snapToGrid w:val="0"/>
              <w:jc w:val="left"/>
              <w:rPr>
                <w:rFonts w:hint="eastAsia" w:eastAsia="宋体"/>
                <w:szCs w:val="21"/>
                <w:lang w:eastAsia="zh-CN"/>
              </w:rPr>
            </w:pPr>
            <w:r>
              <w:rPr>
                <w:rFonts w:hint="eastAsia"/>
                <w:szCs w:val="21"/>
              </w:rPr>
              <w:t>为了保证环境管理工作的有效性，项目环境管理应指定专人主管，由专人负责运营期环境保护工作，环境监测可委托具有环境检测资质的单位进行监测监控，废气排放情况及环保设施的运转状况。</w:t>
            </w:r>
          </w:p>
          <w:p w14:paraId="039718B5">
            <w:pPr>
              <w:adjustRightInd w:val="0"/>
              <w:snapToGrid w:val="0"/>
              <w:jc w:val="left"/>
              <w:rPr>
                <w:rFonts w:hint="eastAsia" w:eastAsia="宋体"/>
                <w:szCs w:val="21"/>
                <w:lang w:eastAsia="zh-CN"/>
              </w:rPr>
            </w:pPr>
            <w:r>
              <w:rPr>
                <w:rFonts w:hint="eastAsia"/>
                <w:szCs w:val="21"/>
              </w:rPr>
              <w:t>2.管理职责</w:t>
            </w:r>
          </w:p>
          <w:p w14:paraId="45CB7CB9">
            <w:pPr>
              <w:adjustRightInd w:val="0"/>
              <w:snapToGrid w:val="0"/>
              <w:jc w:val="left"/>
              <w:rPr>
                <w:rFonts w:hint="eastAsia" w:eastAsia="宋体"/>
                <w:szCs w:val="21"/>
                <w:lang w:eastAsia="zh-CN"/>
              </w:rPr>
            </w:pPr>
            <w:r>
              <w:rPr>
                <w:rFonts w:hint="eastAsia"/>
                <w:szCs w:val="21"/>
              </w:rPr>
              <w:t>（1）贯彻执行国家，省级，地方各项环保政策法规标准，根据项目实际编制环</w:t>
            </w:r>
            <w:r>
              <w:rPr>
                <w:rFonts w:hint="eastAsia"/>
                <w:szCs w:val="21"/>
                <w:lang w:eastAsia="zh-CN"/>
              </w:rPr>
              <w:t>境保护</w:t>
            </w:r>
            <w:r>
              <w:rPr>
                <w:rFonts w:hint="eastAsia"/>
                <w:szCs w:val="21"/>
              </w:rPr>
              <w:t>规划和实施细则，并组织实施监督执行。</w:t>
            </w:r>
          </w:p>
          <w:p w14:paraId="0F7C9555">
            <w:pPr>
              <w:adjustRightInd w:val="0"/>
              <w:snapToGrid w:val="0"/>
              <w:jc w:val="left"/>
              <w:rPr>
                <w:rFonts w:hint="eastAsia" w:eastAsia="宋体"/>
                <w:szCs w:val="21"/>
                <w:lang w:eastAsia="zh-CN"/>
              </w:rPr>
            </w:pPr>
            <w:r>
              <w:rPr>
                <w:rFonts w:hint="eastAsia"/>
                <w:szCs w:val="21"/>
              </w:rPr>
              <w:t>（2）建立污染源档案，定期由具有环境监测资质的单位对污染物进行监督监测和应急监测，掌握项目各污染源排放动态，以便为环境管理与污染防治提供科学依据。</w:t>
            </w:r>
          </w:p>
          <w:p w14:paraId="7FF97786">
            <w:pPr>
              <w:adjustRightInd w:val="0"/>
              <w:snapToGrid w:val="0"/>
              <w:jc w:val="left"/>
              <w:rPr>
                <w:rFonts w:hint="eastAsia" w:eastAsia="宋体"/>
                <w:szCs w:val="21"/>
                <w:lang w:eastAsia="zh-CN"/>
              </w:rPr>
            </w:pPr>
            <w:r>
              <w:rPr>
                <w:rFonts w:hint="eastAsia"/>
                <w:szCs w:val="21"/>
              </w:rPr>
              <w:t>（3）制定切实可行的污染物排放控制指标，环保治理设施运行考核指标，组织落实实施，定期进行检查。</w:t>
            </w:r>
          </w:p>
          <w:p w14:paraId="270D37C0">
            <w:pPr>
              <w:adjustRightInd w:val="0"/>
              <w:snapToGrid w:val="0"/>
              <w:jc w:val="left"/>
              <w:rPr>
                <w:rFonts w:hint="eastAsia" w:eastAsia="宋体"/>
                <w:szCs w:val="21"/>
                <w:lang w:eastAsia="zh-CN"/>
              </w:rPr>
            </w:pPr>
            <w:r>
              <w:rPr>
                <w:rFonts w:hint="eastAsia"/>
                <w:szCs w:val="21"/>
              </w:rPr>
              <w:t>（4）组织和管理项目的污染治理工作，负责环保治理设施的运行及管理工作，建立污染物浓度和排放总量双向控制制度，并彻底做到各项污染物达标排放。</w:t>
            </w:r>
          </w:p>
          <w:p w14:paraId="48B4E304">
            <w:pPr>
              <w:adjustRightInd w:val="0"/>
              <w:snapToGrid w:val="0"/>
              <w:jc w:val="left"/>
              <w:rPr>
                <w:rFonts w:hint="eastAsia" w:eastAsia="宋体"/>
                <w:szCs w:val="21"/>
                <w:lang w:eastAsia="zh-CN"/>
              </w:rPr>
            </w:pPr>
            <w:r>
              <w:rPr>
                <w:rFonts w:hint="eastAsia"/>
                <w:szCs w:val="21"/>
              </w:rPr>
              <w:t>（5）定期进行项目环境管理人员环保知识和技术培训工作。</w:t>
            </w:r>
          </w:p>
          <w:p w14:paraId="38508EE8">
            <w:pPr>
              <w:adjustRightInd w:val="0"/>
              <w:snapToGrid w:val="0"/>
              <w:jc w:val="left"/>
              <w:rPr>
                <w:rFonts w:hint="eastAsia" w:eastAsia="宋体"/>
                <w:szCs w:val="21"/>
                <w:lang w:eastAsia="zh-CN"/>
              </w:rPr>
            </w:pPr>
            <w:r>
              <w:rPr>
                <w:rFonts w:hint="eastAsia"/>
                <w:szCs w:val="21"/>
              </w:rPr>
              <w:t>（6）做好常规环境统计工作，掌握各项治理设施的运行状况。</w:t>
            </w:r>
          </w:p>
          <w:p w14:paraId="6ECE6E93">
            <w:pPr>
              <w:adjustRightInd w:val="0"/>
              <w:snapToGrid w:val="0"/>
              <w:jc w:val="left"/>
              <w:rPr>
                <w:rFonts w:hint="eastAsia" w:eastAsia="宋体"/>
                <w:szCs w:val="21"/>
                <w:lang w:eastAsia="zh-CN"/>
              </w:rPr>
            </w:pPr>
            <w:r>
              <w:rPr>
                <w:rFonts w:hint="eastAsia"/>
                <w:szCs w:val="21"/>
              </w:rPr>
              <w:t>（7）科学组织生产调度。通过及时全面了解生产情况，均衡组织生产，使生产各环节协调进行，加强环境保护工作调度，做好</w:t>
            </w:r>
            <w:r>
              <w:rPr>
                <w:rFonts w:hint="eastAsia"/>
                <w:szCs w:val="21"/>
                <w:lang w:eastAsia="zh-CN"/>
              </w:rPr>
              <w:t>突发事件</w:t>
            </w:r>
            <w:r>
              <w:rPr>
                <w:rFonts w:hint="eastAsia"/>
                <w:szCs w:val="21"/>
              </w:rPr>
              <w:t>，</w:t>
            </w:r>
            <w:r>
              <w:rPr>
                <w:rFonts w:hint="eastAsia"/>
                <w:szCs w:val="21"/>
                <w:lang w:eastAsia="zh-CN"/>
              </w:rPr>
              <w:t>防止</w:t>
            </w:r>
            <w:r>
              <w:rPr>
                <w:rFonts w:hint="eastAsia"/>
                <w:szCs w:val="21"/>
              </w:rPr>
              <w:t>污染的应急措施，使生产过程的污染物排放达到最低限度。</w:t>
            </w:r>
          </w:p>
          <w:p w14:paraId="433BE2F6">
            <w:pPr>
              <w:adjustRightInd w:val="0"/>
              <w:snapToGrid w:val="0"/>
              <w:jc w:val="left"/>
              <w:rPr>
                <w:rFonts w:hint="eastAsia"/>
                <w:szCs w:val="21"/>
              </w:rPr>
            </w:pPr>
            <w:r>
              <w:rPr>
                <w:rFonts w:hint="eastAsia"/>
                <w:szCs w:val="21"/>
              </w:rPr>
              <w:t>（8）管好用好设备。合理使用设备，加强对设备的维护和修理，杜绝设备和管道的跑、冒、漏现象。</w:t>
            </w:r>
          </w:p>
          <w:p w14:paraId="2422284B">
            <w:pPr>
              <w:adjustRightInd w:val="0"/>
              <w:snapToGrid w:val="0"/>
              <w:jc w:val="left"/>
              <w:rPr>
                <w:rFonts w:hint="eastAsia"/>
                <w:szCs w:val="21"/>
              </w:rPr>
            </w:pPr>
          </w:p>
          <w:p w14:paraId="323ED93B">
            <w:pPr>
              <w:adjustRightInd w:val="0"/>
              <w:snapToGrid w:val="0"/>
              <w:jc w:val="left"/>
              <w:rPr>
                <w:rFonts w:hint="eastAsia"/>
                <w:szCs w:val="21"/>
              </w:rPr>
            </w:pPr>
          </w:p>
          <w:p w14:paraId="1142217A">
            <w:pPr>
              <w:adjustRightInd w:val="0"/>
              <w:snapToGrid w:val="0"/>
              <w:jc w:val="left"/>
              <w:rPr>
                <w:rFonts w:hint="eastAsia"/>
                <w:szCs w:val="21"/>
              </w:rPr>
            </w:pPr>
          </w:p>
          <w:p w14:paraId="04D2A473">
            <w:pPr>
              <w:adjustRightInd w:val="0"/>
              <w:snapToGrid w:val="0"/>
              <w:jc w:val="left"/>
              <w:rPr>
                <w:rFonts w:hint="eastAsia"/>
                <w:szCs w:val="21"/>
              </w:rPr>
            </w:pPr>
          </w:p>
          <w:p w14:paraId="373D54CF">
            <w:pPr>
              <w:adjustRightInd w:val="0"/>
              <w:snapToGrid w:val="0"/>
              <w:jc w:val="left"/>
              <w:rPr>
                <w:rFonts w:hint="eastAsia"/>
                <w:szCs w:val="21"/>
              </w:rPr>
            </w:pPr>
          </w:p>
          <w:p w14:paraId="0EAFEA4C">
            <w:pPr>
              <w:adjustRightInd w:val="0"/>
              <w:snapToGrid w:val="0"/>
              <w:jc w:val="both"/>
              <w:rPr>
                <w:rFonts w:hint="eastAsia" w:ascii="宋体" w:hAnsi="宋体" w:cs="宋体"/>
                <w:szCs w:val="21"/>
              </w:rPr>
            </w:pPr>
          </w:p>
        </w:tc>
      </w:tr>
    </w:tbl>
    <w:p w14:paraId="1E762279">
      <w:pPr>
        <w:pStyle w:val="21"/>
        <w:jc w:val="center"/>
        <w:outlineLvl w:val="0"/>
        <w:rPr>
          <w:rFonts w:ascii="黑体" w:hAnsi="黑体" w:eastAsia="黑体"/>
          <w:snapToGrid w:val="0"/>
          <w:sz w:val="30"/>
          <w:szCs w:val="30"/>
        </w:rPr>
      </w:pPr>
      <w:r>
        <w:rPr>
          <w:snapToGrid w:val="0"/>
        </w:rPr>
        <w:br w:type="page"/>
      </w:r>
      <w:r>
        <w:rPr>
          <w:rFonts w:hint="eastAsia" w:ascii="黑体" w:hAnsi="黑体" w:eastAsia="黑体"/>
          <w:snapToGrid w:val="0"/>
          <w:sz w:val="30"/>
          <w:szCs w:val="30"/>
        </w:rPr>
        <w:t>六、结论</w:t>
      </w:r>
    </w:p>
    <w:tbl>
      <w:tblPr>
        <w:tblStyle w:val="24"/>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3D0DB6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7554EBA1">
            <w:pPr>
              <w:adjustRightInd w:val="0"/>
              <w:snapToGrid w:val="0"/>
              <w:spacing w:before="120" w:beforeLines="50" w:line="360" w:lineRule="auto"/>
              <w:ind w:firstLine="480" w:firstLineChars="200"/>
              <w:rPr>
                <w:rFonts w:hint="eastAsia" w:ascii="宋体" w:hAnsi="宋体" w:cs="宋体"/>
                <w:sz w:val="24"/>
              </w:rPr>
            </w:pPr>
            <w:r>
              <w:rPr>
                <w:rFonts w:hint="eastAsia" w:ascii="宋体" w:hAnsi="宋体" w:cs="宋体"/>
                <w:sz w:val="24"/>
              </w:rPr>
              <w:t>本项目生产运营会产生噪声、废气</w:t>
            </w:r>
            <w:r>
              <w:rPr>
                <w:rFonts w:hint="eastAsia" w:ascii="宋体" w:hAnsi="宋体" w:cs="宋体"/>
                <w:sz w:val="24"/>
                <w:lang w:eastAsia="zh-CN"/>
              </w:rPr>
              <w:t>、</w:t>
            </w:r>
            <w:r>
              <w:rPr>
                <w:rFonts w:hint="eastAsia" w:ascii="宋体" w:hAnsi="宋体" w:cs="宋体"/>
                <w:sz w:val="24"/>
                <w:lang w:val="en-US" w:eastAsia="zh-CN"/>
              </w:rPr>
              <w:t>废水</w:t>
            </w:r>
            <w:r>
              <w:rPr>
                <w:rFonts w:hint="eastAsia" w:ascii="宋体" w:hAnsi="宋体" w:cs="宋体"/>
                <w:sz w:val="24"/>
              </w:rPr>
              <w:t>及固体废物，经评价分析，在全面落实本报告提出的各项环保措施和建议的基础上，落实本项目的污染防治对策，加强环保管理，环境污染可基本得到控制，做到污染物达标排放，对周围环境影响不大。因此，从环境保护角度，本建设项目环境影响可行。</w:t>
            </w:r>
          </w:p>
          <w:p w14:paraId="6EA4D380">
            <w:pPr>
              <w:spacing w:line="360" w:lineRule="auto"/>
              <w:rPr>
                <w:rFonts w:ascii="宋体" w:cs="宋体"/>
                <w:sz w:val="24"/>
              </w:rPr>
            </w:pPr>
          </w:p>
        </w:tc>
      </w:tr>
    </w:tbl>
    <w:p w14:paraId="37CEDDDC">
      <w:pPr>
        <w:rPr>
          <w:rFonts w:ascii="宋体"/>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756F3C5">
      <w:pPr>
        <w:pStyle w:val="21"/>
        <w:adjustRightInd w:val="0"/>
        <w:snapToGrid w:val="0"/>
        <w:spacing w:before="0" w:beforeAutospacing="0" w:after="0" w:afterAutospacing="0"/>
        <w:jc w:val="center"/>
        <w:outlineLvl w:val="0"/>
        <w:rPr>
          <w:rFonts w:hint="eastAsia" w:ascii="方正小标宋_GBK" w:hAnsi="黑体" w:eastAsia="方正小标宋_GBK"/>
          <w:snapToGrid w:val="0"/>
          <w:sz w:val="38"/>
          <w:szCs w:val="38"/>
        </w:rPr>
      </w:pPr>
      <w:r>
        <w:rPr>
          <w:rFonts w:hint="eastAsia" w:ascii="方正小标宋_GBK" w:hAnsi="黑体" w:eastAsia="方正小标宋_GBK"/>
          <w:snapToGrid w:val="0"/>
          <w:sz w:val="38"/>
          <w:szCs w:val="38"/>
        </w:rPr>
        <w:t>建设项目污染物排放量汇总表</w:t>
      </w:r>
    </w:p>
    <w:tbl>
      <w:tblPr>
        <w:tblStyle w:val="24"/>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02"/>
        <w:gridCol w:w="1616"/>
        <w:gridCol w:w="1276"/>
        <w:gridCol w:w="1701"/>
        <w:gridCol w:w="1559"/>
        <w:gridCol w:w="1761"/>
        <w:gridCol w:w="1732"/>
        <w:gridCol w:w="1053"/>
      </w:tblGrid>
      <w:tr w14:paraId="5B781A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tcBorders>
              <w:tl2br w:val="single" w:color="auto" w:sz="4" w:space="0"/>
            </w:tcBorders>
            <w:noWrap w:val="0"/>
            <w:tcMar>
              <w:left w:w="28" w:type="dxa"/>
              <w:right w:w="28" w:type="dxa"/>
            </w:tcMar>
            <w:vAlign w:val="center"/>
          </w:tcPr>
          <w:p w14:paraId="09C4343C">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jc w:val="right"/>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项目</w:t>
            </w:r>
          </w:p>
          <w:p w14:paraId="4B9B92AC">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jc w:val="left"/>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分类</w:t>
            </w:r>
          </w:p>
        </w:tc>
        <w:tc>
          <w:tcPr>
            <w:tcW w:w="1502" w:type="dxa"/>
            <w:noWrap w:val="0"/>
            <w:tcMar>
              <w:left w:w="28" w:type="dxa"/>
              <w:right w:w="28" w:type="dxa"/>
            </w:tcMar>
            <w:vAlign w:val="center"/>
          </w:tcPr>
          <w:p w14:paraId="7611EFE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污染物名称</w:t>
            </w:r>
          </w:p>
        </w:tc>
        <w:tc>
          <w:tcPr>
            <w:tcW w:w="1616" w:type="dxa"/>
            <w:noWrap w:val="0"/>
            <w:tcMar>
              <w:left w:w="28" w:type="dxa"/>
              <w:right w:w="28" w:type="dxa"/>
            </w:tcMar>
            <w:vAlign w:val="center"/>
          </w:tcPr>
          <w:p w14:paraId="2839163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现有工程</w:t>
            </w:r>
          </w:p>
          <w:p w14:paraId="5D869025">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排放量（固体废物产生量）</w:t>
            </w:r>
            <w:r>
              <w:rPr>
                <w:rFonts w:hint="eastAsia" w:ascii="宋体" w:hAnsi="宋体" w:eastAsia="宋体" w:cs="宋体"/>
                <w:snapToGrid w:val="0"/>
                <w:color w:val="000000"/>
                <w:spacing w:val="0"/>
                <w:kern w:val="21"/>
                <w:sz w:val="21"/>
                <w:szCs w:val="21"/>
              </w:rPr>
              <w:fldChar w:fldCharType="begin"/>
            </w:r>
            <w:r>
              <w:rPr>
                <w:rFonts w:hint="eastAsia" w:ascii="宋体" w:hAnsi="宋体" w:eastAsia="宋体" w:cs="宋体"/>
                <w:snapToGrid w:val="0"/>
                <w:color w:val="000000"/>
                <w:spacing w:val="0"/>
                <w:kern w:val="21"/>
                <w:sz w:val="21"/>
                <w:szCs w:val="21"/>
              </w:rPr>
              <w:instrText xml:space="preserve"> = 1 \* GB3 \* MERGEFORMAT </w:instrText>
            </w:r>
            <w:r>
              <w:rPr>
                <w:rFonts w:hint="eastAsia" w:ascii="宋体" w:hAnsi="宋体" w:eastAsia="宋体" w:cs="宋体"/>
                <w:snapToGrid w:val="0"/>
                <w:color w:val="000000"/>
                <w:spacing w:val="0"/>
                <w:kern w:val="21"/>
                <w:sz w:val="21"/>
                <w:szCs w:val="21"/>
              </w:rPr>
              <w:fldChar w:fldCharType="separate"/>
            </w:r>
            <w:r>
              <w:rPr>
                <w:rFonts w:hint="eastAsia" w:ascii="宋体" w:hAnsi="宋体" w:eastAsia="宋体" w:cs="宋体"/>
                <w:spacing w:val="0"/>
                <w:kern w:val="2"/>
                <w:sz w:val="21"/>
                <w:szCs w:val="21"/>
              </w:rPr>
              <w:t>①</w:t>
            </w:r>
            <w:r>
              <w:rPr>
                <w:rFonts w:hint="eastAsia" w:ascii="宋体" w:hAnsi="宋体" w:eastAsia="宋体" w:cs="宋体"/>
                <w:snapToGrid w:val="0"/>
                <w:color w:val="000000"/>
                <w:spacing w:val="0"/>
                <w:kern w:val="21"/>
                <w:sz w:val="21"/>
                <w:szCs w:val="21"/>
              </w:rPr>
              <w:fldChar w:fldCharType="end"/>
            </w:r>
          </w:p>
        </w:tc>
        <w:tc>
          <w:tcPr>
            <w:tcW w:w="1276" w:type="dxa"/>
            <w:noWrap w:val="0"/>
            <w:tcMar>
              <w:left w:w="28" w:type="dxa"/>
              <w:right w:w="28" w:type="dxa"/>
            </w:tcMar>
            <w:vAlign w:val="center"/>
          </w:tcPr>
          <w:p w14:paraId="708E3B9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现有工程</w:t>
            </w:r>
          </w:p>
          <w:p w14:paraId="315B09B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许可排放量</w:t>
            </w:r>
          </w:p>
          <w:p w14:paraId="15317BC7">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fldChar w:fldCharType="begin"/>
            </w:r>
            <w:r>
              <w:rPr>
                <w:rFonts w:hint="eastAsia" w:ascii="宋体" w:hAnsi="宋体" w:eastAsia="宋体" w:cs="宋体"/>
                <w:snapToGrid w:val="0"/>
                <w:color w:val="000000"/>
                <w:spacing w:val="0"/>
                <w:kern w:val="21"/>
                <w:sz w:val="21"/>
                <w:szCs w:val="21"/>
              </w:rPr>
              <w:instrText xml:space="preserve"> = 2 \* GB3 \* MERGEFORMAT </w:instrText>
            </w:r>
            <w:r>
              <w:rPr>
                <w:rFonts w:hint="eastAsia" w:ascii="宋体" w:hAnsi="宋体" w:eastAsia="宋体" w:cs="宋体"/>
                <w:snapToGrid w:val="0"/>
                <w:color w:val="000000"/>
                <w:spacing w:val="0"/>
                <w:kern w:val="21"/>
                <w:sz w:val="21"/>
                <w:szCs w:val="21"/>
              </w:rPr>
              <w:fldChar w:fldCharType="separate"/>
            </w:r>
            <w:r>
              <w:rPr>
                <w:rFonts w:hint="eastAsia" w:ascii="宋体" w:hAnsi="宋体" w:eastAsia="宋体" w:cs="宋体"/>
                <w:snapToGrid w:val="0"/>
                <w:color w:val="000000"/>
                <w:spacing w:val="0"/>
                <w:kern w:val="21"/>
                <w:sz w:val="21"/>
                <w:szCs w:val="21"/>
              </w:rPr>
              <w:t>②</w:t>
            </w:r>
            <w:r>
              <w:rPr>
                <w:rFonts w:hint="eastAsia" w:ascii="宋体" w:hAnsi="宋体" w:eastAsia="宋体" w:cs="宋体"/>
                <w:snapToGrid w:val="0"/>
                <w:color w:val="000000"/>
                <w:spacing w:val="0"/>
                <w:kern w:val="21"/>
                <w:sz w:val="21"/>
                <w:szCs w:val="21"/>
              </w:rPr>
              <w:fldChar w:fldCharType="end"/>
            </w:r>
          </w:p>
        </w:tc>
        <w:tc>
          <w:tcPr>
            <w:tcW w:w="1701" w:type="dxa"/>
            <w:noWrap w:val="0"/>
            <w:tcMar>
              <w:left w:w="28" w:type="dxa"/>
              <w:right w:w="28" w:type="dxa"/>
            </w:tcMar>
            <w:vAlign w:val="center"/>
          </w:tcPr>
          <w:p w14:paraId="78F881C7">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在建工程</w:t>
            </w:r>
          </w:p>
          <w:p w14:paraId="75E654D1">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排放量（固体废物产生量）</w:t>
            </w:r>
            <w:r>
              <w:rPr>
                <w:rFonts w:hint="eastAsia" w:ascii="宋体" w:hAnsi="宋体" w:eastAsia="宋体" w:cs="宋体"/>
                <w:snapToGrid w:val="0"/>
                <w:color w:val="000000"/>
                <w:spacing w:val="0"/>
                <w:kern w:val="21"/>
                <w:sz w:val="21"/>
                <w:szCs w:val="21"/>
              </w:rPr>
              <w:fldChar w:fldCharType="begin"/>
            </w:r>
            <w:r>
              <w:rPr>
                <w:rFonts w:hint="eastAsia" w:ascii="宋体" w:hAnsi="宋体" w:eastAsia="宋体" w:cs="宋体"/>
                <w:snapToGrid w:val="0"/>
                <w:color w:val="000000"/>
                <w:spacing w:val="0"/>
                <w:kern w:val="21"/>
                <w:sz w:val="21"/>
                <w:szCs w:val="21"/>
              </w:rPr>
              <w:instrText xml:space="preserve"> = 3 \* GB3 \* MERGEFORMAT </w:instrText>
            </w:r>
            <w:r>
              <w:rPr>
                <w:rFonts w:hint="eastAsia" w:ascii="宋体" w:hAnsi="宋体" w:eastAsia="宋体" w:cs="宋体"/>
                <w:snapToGrid w:val="0"/>
                <w:color w:val="000000"/>
                <w:spacing w:val="0"/>
                <w:kern w:val="21"/>
                <w:sz w:val="21"/>
                <w:szCs w:val="21"/>
              </w:rPr>
              <w:fldChar w:fldCharType="separate"/>
            </w:r>
            <w:r>
              <w:rPr>
                <w:rFonts w:hint="eastAsia" w:ascii="宋体" w:hAnsi="宋体" w:eastAsia="宋体" w:cs="宋体"/>
                <w:spacing w:val="0"/>
                <w:kern w:val="2"/>
                <w:sz w:val="21"/>
                <w:szCs w:val="21"/>
              </w:rPr>
              <w:t>③</w:t>
            </w:r>
            <w:r>
              <w:rPr>
                <w:rFonts w:hint="eastAsia" w:ascii="宋体" w:hAnsi="宋体" w:eastAsia="宋体" w:cs="宋体"/>
                <w:snapToGrid w:val="0"/>
                <w:color w:val="000000"/>
                <w:spacing w:val="0"/>
                <w:kern w:val="21"/>
                <w:sz w:val="21"/>
                <w:szCs w:val="21"/>
              </w:rPr>
              <w:fldChar w:fldCharType="end"/>
            </w:r>
          </w:p>
        </w:tc>
        <w:tc>
          <w:tcPr>
            <w:tcW w:w="1559" w:type="dxa"/>
            <w:noWrap w:val="0"/>
            <w:tcMar>
              <w:left w:w="28" w:type="dxa"/>
              <w:right w:w="28" w:type="dxa"/>
            </w:tcMar>
            <w:vAlign w:val="center"/>
          </w:tcPr>
          <w:p w14:paraId="1290D8DC">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本项目</w:t>
            </w:r>
          </w:p>
          <w:p w14:paraId="1744DF1B">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排放量（固体废物产生量）</w:t>
            </w:r>
            <w:r>
              <w:rPr>
                <w:rFonts w:hint="eastAsia" w:ascii="宋体" w:hAnsi="宋体" w:eastAsia="宋体" w:cs="宋体"/>
                <w:snapToGrid w:val="0"/>
                <w:color w:val="000000"/>
                <w:spacing w:val="0"/>
                <w:kern w:val="21"/>
                <w:sz w:val="21"/>
                <w:szCs w:val="21"/>
              </w:rPr>
              <w:fldChar w:fldCharType="begin"/>
            </w:r>
            <w:r>
              <w:rPr>
                <w:rFonts w:hint="eastAsia" w:ascii="宋体" w:hAnsi="宋体" w:eastAsia="宋体" w:cs="宋体"/>
                <w:snapToGrid w:val="0"/>
                <w:color w:val="000000"/>
                <w:spacing w:val="0"/>
                <w:kern w:val="21"/>
                <w:sz w:val="21"/>
                <w:szCs w:val="21"/>
              </w:rPr>
              <w:instrText xml:space="preserve"> = 4 \* GB3 \* MERGEFORMAT </w:instrText>
            </w:r>
            <w:r>
              <w:rPr>
                <w:rFonts w:hint="eastAsia" w:ascii="宋体" w:hAnsi="宋体" w:eastAsia="宋体" w:cs="宋体"/>
                <w:snapToGrid w:val="0"/>
                <w:color w:val="000000"/>
                <w:spacing w:val="0"/>
                <w:kern w:val="21"/>
                <w:sz w:val="21"/>
                <w:szCs w:val="21"/>
              </w:rPr>
              <w:fldChar w:fldCharType="separate"/>
            </w:r>
            <w:r>
              <w:rPr>
                <w:rFonts w:hint="eastAsia" w:ascii="宋体" w:hAnsi="宋体" w:eastAsia="宋体" w:cs="宋体"/>
                <w:spacing w:val="0"/>
                <w:kern w:val="2"/>
                <w:sz w:val="21"/>
                <w:szCs w:val="21"/>
              </w:rPr>
              <w:t>④</w:t>
            </w:r>
            <w:r>
              <w:rPr>
                <w:rFonts w:hint="eastAsia" w:ascii="宋体" w:hAnsi="宋体" w:eastAsia="宋体" w:cs="宋体"/>
                <w:snapToGrid w:val="0"/>
                <w:color w:val="000000"/>
                <w:spacing w:val="0"/>
                <w:kern w:val="21"/>
                <w:sz w:val="21"/>
                <w:szCs w:val="21"/>
              </w:rPr>
              <w:fldChar w:fldCharType="end"/>
            </w:r>
          </w:p>
        </w:tc>
        <w:tc>
          <w:tcPr>
            <w:tcW w:w="1761" w:type="dxa"/>
            <w:noWrap w:val="0"/>
            <w:tcMar>
              <w:left w:w="28" w:type="dxa"/>
              <w:right w:w="28" w:type="dxa"/>
            </w:tcMar>
            <w:vAlign w:val="center"/>
          </w:tcPr>
          <w:p w14:paraId="61C970DC">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以新带老削减量</w:t>
            </w:r>
          </w:p>
          <w:p w14:paraId="7E49D861">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（新建项目不填）</w:t>
            </w:r>
            <w:r>
              <w:rPr>
                <w:rFonts w:hint="eastAsia" w:ascii="宋体" w:hAnsi="宋体" w:eastAsia="宋体" w:cs="宋体"/>
                <w:snapToGrid w:val="0"/>
                <w:color w:val="000000"/>
                <w:spacing w:val="0"/>
                <w:kern w:val="21"/>
                <w:sz w:val="21"/>
                <w:szCs w:val="21"/>
              </w:rPr>
              <w:fldChar w:fldCharType="begin"/>
            </w:r>
            <w:r>
              <w:rPr>
                <w:rFonts w:hint="eastAsia" w:ascii="宋体" w:hAnsi="宋体" w:eastAsia="宋体" w:cs="宋体"/>
                <w:snapToGrid w:val="0"/>
                <w:color w:val="000000"/>
                <w:spacing w:val="0"/>
                <w:kern w:val="21"/>
                <w:sz w:val="21"/>
                <w:szCs w:val="21"/>
              </w:rPr>
              <w:instrText xml:space="preserve"> = 5 \* GB3 \* MERGEFORMAT </w:instrText>
            </w:r>
            <w:r>
              <w:rPr>
                <w:rFonts w:hint="eastAsia" w:ascii="宋体" w:hAnsi="宋体" w:eastAsia="宋体" w:cs="宋体"/>
                <w:snapToGrid w:val="0"/>
                <w:color w:val="000000"/>
                <w:spacing w:val="0"/>
                <w:kern w:val="21"/>
                <w:sz w:val="21"/>
                <w:szCs w:val="21"/>
              </w:rPr>
              <w:fldChar w:fldCharType="separate"/>
            </w:r>
            <w:r>
              <w:rPr>
                <w:rFonts w:hint="eastAsia" w:ascii="宋体" w:hAnsi="宋体" w:eastAsia="宋体" w:cs="宋体"/>
                <w:spacing w:val="0"/>
                <w:kern w:val="2"/>
                <w:sz w:val="21"/>
                <w:szCs w:val="21"/>
              </w:rPr>
              <w:t>⑤</w:t>
            </w:r>
            <w:r>
              <w:rPr>
                <w:rFonts w:hint="eastAsia" w:ascii="宋体" w:hAnsi="宋体" w:eastAsia="宋体" w:cs="宋体"/>
                <w:snapToGrid w:val="0"/>
                <w:color w:val="000000"/>
                <w:spacing w:val="0"/>
                <w:kern w:val="21"/>
                <w:sz w:val="21"/>
                <w:szCs w:val="21"/>
              </w:rPr>
              <w:fldChar w:fldCharType="end"/>
            </w:r>
          </w:p>
        </w:tc>
        <w:tc>
          <w:tcPr>
            <w:tcW w:w="1732" w:type="dxa"/>
            <w:noWrap w:val="0"/>
            <w:tcMar>
              <w:left w:w="28" w:type="dxa"/>
              <w:right w:w="28" w:type="dxa"/>
            </w:tcMar>
            <w:vAlign w:val="center"/>
          </w:tcPr>
          <w:p w14:paraId="7EA9B8A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本项目建成后</w:t>
            </w:r>
          </w:p>
          <w:p w14:paraId="1C015F55">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全厂排放量（固体废物产生量）</w:t>
            </w:r>
            <w:r>
              <w:rPr>
                <w:rFonts w:hint="eastAsia" w:ascii="宋体" w:hAnsi="宋体" w:eastAsia="宋体" w:cs="宋体"/>
                <w:snapToGrid w:val="0"/>
                <w:color w:val="000000"/>
                <w:spacing w:val="0"/>
                <w:kern w:val="21"/>
                <w:sz w:val="21"/>
                <w:szCs w:val="21"/>
              </w:rPr>
              <w:fldChar w:fldCharType="begin"/>
            </w:r>
            <w:r>
              <w:rPr>
                <w:rFonts w:hint="eastAsia" w:ascii="宋体" w:hAnsi="宋体" w:eastAsia="宋体" w:cs="宋体"/>
                <w:snapToGrid w:val="0"/>
                <w:color w:val="000000"/>
                <w:spacing w:val="0"/>
                <w:kern w:val="21"/>
                <w:sz w:val="21"/>
                <w:szCs w:val="21"/>
              </w:rPr>
              <w:instrText xml:space="preserve"> = 6 \* GB3 \* MERGEFORMAT </w:instrText>
            </w:r>
            <w:r>
              <w:rPr>
                <w:rFonts w:hint="eastAsia" w:ascii="宋体" w:hAnsi="宋体" w:eastAsia="宋体" w:cs="宋体"/>
                <w:snapToGrid w:val="0"/>
                <w:color w:val="000000"/>
                <w:spacing w:val="0"/>
                <w:kern w:val="21"/>
                <w:sz w:val="21"/>
                <w:szCs w:val="21"/>
              </w:rPr>
              <w:fldChar w:fldCharType="separate"/>
            </w:r>
            <w:r>
              <w:rPr>
                <w:rFonts w:hint="eastAsia" w:ascii="宋体" w:hAnsi="宋体" w:eastAsia="宋体" w:cs="宋体"/>
                <w:spacing w:val="0"/>
                <w:kern w:val="2"/>
                <w:sz w:val="21"/>
                <w:szCs w:val="21"/>
              </w:rPr>
              <w:t>⑥</w:t>
            </w:r>
            <w:r>
              <w:rPr>
                <w:rFonts w:hint="eastAsia" w:ascii="宋体" w:hAnsi="宋体" w:eastAsia="宋体" w:cs="宋体"/>
                <w:snapToGrid w:val="0"/>
                <w:color w:val="000000"/>
                <w:spacing w:val="0"/>
                <w:kern w:val="21"/>
                <w:sz w:val="21"/>
                <w:szCs w:val="21"/>
              </w:rPr>
              <w:fldChar w:fldCharType="end"/>
            </w:r>
          </w:p>
        </w:tc>
        <w:tc>
          <w:tcPr>
            <w:tcW w:w="1053" w:type="dxa"/>
            <w:noWrap w:val="0"/>
            <w:tcMar>
              <w:left w:w="28" w:type="dxa"/>
              <w:right w:w="28" w:type="dxa"/>
            </w:tcMar>
            <w:vAlign w:val="center"/>
          </w:tcPr>
          <w:p w14:paraId="594101B0">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t>变化量</w:t>
            </w:r>
          </w:p>
          <w:p w14:paraId="06F9C651">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宋体" w:hAnsi="宋体" w:eastAsia="宋体" w:cs="宋体"/>
                <w:snapToGrid w:val="0"/>
                <w:color w:val="000000"/>
                <w:spacing w:val="0"/>
                <w:kern w:val="21"/>
                <w:sz w:val="21"/>
                <w:szCs w:val="21"/>
              </w:rPr>
            </w:pPr>
            <w:r>
              <w:rPr>
                <w:rFonts w:hint="eastAsia" w:ascii="宋体" w:hAnsi="宋体" w:eastAsia="宋体" w:cs="宋体"/>
                <w:snapToGrid w:val="0"/>
                <w:color w:val="000000"/>
                <w:spacing w:val="0"/>
                <w:kern w:val="21"/>
                <w:sz w:val="21"/>
                <w:szCs w:val="21"/>
              </w:rPr>
              <w:fldChar w:fldCharType="begin"/>
            </w:r>
            <w:r>
              <w:rPr>
                <w:rFonts w:hint="eastAsia" w:ascii="宋体" w:hAnsi="宋体" w:eastAsia="宋体" w:cs="宋体"/>
                <w:snapToGrid w:val="0"/>
                <w:color w:val="000000"/>
                <w:spacing w:val="0"/>
                <w:kern w:val="21"/>
                <w:sz w:val="21"/>
                <w:szCs w:val="21"/>
              </w:rPr>
              <w:instrText xml:space="preserve"> = 7 \* GB3 \* MERGEFORMAT </w:instrText>
            </w:r>
            <w:r>
              <w:rPr>
                <w:rFonts w:hint="eastAsia" w:ascii="宋体" w:hAnsi="宋体" w:eastAsia="宋体" w:cs="宋体"/>
                <w:snapToGrid w:val="0"/>
                <w:color w:val="000000"/>
                <w:spacing w:val="0"/>
                <w:kern w:val="21"/>
                <w:sz w:val="21"/>
                <w:szCs w:val="21"/>
              </w:rPr>
              <w:fldChar w:fldCharType="separate"/>
            </w:r>
            <w:r>
              <w:rPr>
                <w:rFonts w:hint="eastAsia" w:ascii="宋体" w:hAnsi="宋体" w:eastAsia="宋体" w:cs="宋体"/>
                <w:spacing w:val="0"/>
                <w:kern w:val="2"/>
                <w:sz w:val="21"/>
                <w:szCs w:val="21"/>
              </w:rPr>
              <w:t>⑦</w:t>
            </w:r>
            <w:r>
              <w:rPr>
                <w:rFonts w:hint="eastAsia" w:ascii="宋体" w:hAnsi="宋体" w:eastAsia="宋体" w:cs="宋体"/>
                <w:snapToGrid w:val="0"/>
                <w:color w:val="000000"/>
                <w:spacing w:val="0"/>
                <w:kern w:val="21"/>
                <w:sz w:val="21"/>
                <w:szCs w:val="21"/>
              </w:rPr>
              <w:fldChar w:fldCharType="end"/>
            </w:r>
          </w:p>
        </w:tc>
      </w:tr>
      <w:tr w14:paraId="08E723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restart"/>
            <w:noWrap w:val="0"/>
            <w:vAlign w:val="center"/>
          </w:tcPr>
          <w:p w14:paraId="341D88FE">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废气</w:t>
            </w:r>
          </w:p>
        </w:tc>
        <w:tc>
          <w:tcPr>
            <w:tcW w:w="1502" w:type="dxa"/>
            <w:noWrap w:val="0"/>
            <w:vAlign w:val="center"/>
          </w:tcPr>
          <w:p w14:paraId="0A868800">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Calibri" w:hAnsi="Calibri" w:eastAsia="宋体" w:cs="宋体"/>
                <w:snapToGrid w:val="0"/>
                <w:color w:val="000000"/>
                <w:spacing w:val="0"/>
                <w:kern w:val="21"/>
                <w:sz w:val="21"/>
                <w:szCs w:val="21"/>
                <w:lang w:eastAsia="zh-CN"/>
              </w:rPr>
            </w:pPr>
            <w:r>
              <w:rPr>
                <w:rFonts w:hint="eastAsia" w:ascii="Calibri" w:hAnsi="Calibri" w:eastAsia="宋体" w:cs="宋体"/>
                <w:snapToGrid w:val="0"/>
                <w:color w:val="000000"/>
                <w:spacing w:val="0"/>
                <w:kern w:val="21"/>
                <w:sz w:val="21"/>
                <w:szCs w:val="21"/>
                <w:lang w:val="en-US" w:eastAsia="zh-CN"/>
              </w:rPr>
              <w:t>颗粒物</w:t>
            </w:r>
          </w:p>
        </w:tc>
        <w:tc>
          <w:tcPr>
            <w:tcW w:w="1616" w:type="dxa"/>
            <w:noWrap w:val="0"/>
            <w:vAlign w:val="center"/>
          </w:tcPr>
          <w:p w14:paraId="66E1EC02">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276" w:type="dxa"/>
            <w:noWrap w:val="0"/>
            <w:vAlign w:val="center"/>
          </w:tcPr>
          <w:p w14:paraId="74D81989">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01" w:type="dxa"/>
            <w:noWrap w:val="0"/>
            <w:vAlign w:val="center"/>
          </w:tcPr>
          <w:p w14:paraId="5BD0EB1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559" w:type="dxa"/>
            <w:noWrap w:val="0"/>
            <w:vAlign w:val="center"/>
          </w:tcPr>
          <w:p w14:paraId="61ED40B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lang w:val="en-US" w:eastAsia="zh-CN"/>
              </w:rPr>
              <w:t>0.</w:t>
            </w:r>
            <w:r>
              <w:rPr>
                <w:rFonts w:hint="eastAsia" w:ascii="Calibri" w:hAnsi="Calibri" w:eastAsia="宋体" w:cs="宋体"/>
                <w:snapToGrid w:val="0"/>
                <w:color w:val="000000"/>
                <w:spacing w:val="0"/>
                <w:kern w:val="21"/>
                <w:sz w:val="21"/>
                <w:szCs w:val="21"/>
                <w:lang w:val="en-US" w:eastAsia="zh-CN"/>
              </w:rPr>
              <w:t>002</w:t>
            </w:r>
            <w:r>
              <w:rPr>
                <w:rFonts w:hint="default" w:ascii="Calibri" w:hAnsi="Calibri" w:eastAsia="宋体" w:cs="宋体"/>
                <w:snapToGrid w:val="0"/>
                <w:color w:val="000000"/>
                <w:spacing w:val="0"/>
                <w:kern w:val="21"/>
                <w:sz w:val="21"/>
                <w:szCs w:val="21"/>
              </w:rPr>
              <w:t>t/a</w:t>
            </w:r>
          </w:p>
        </w:tc>
        <w:tc>
          <w:tcPr>
            <w:tcW w:w="1761" w:type="dxa"/>
            <w:noWrap w:val="0"/>
            <w:vAlign w:val="center"/>
          </w:tcPr>
          <w:p w14:paraId="744AA2BE">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32" w:type="dxa"/>
            <w:noWrap w:val="0"/>
            <w:vAlign w:val="center"/>
          </w:tcPr>
          <w:p w14:paraId="587EF07C">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lang w:val="en-US" w:eastAsia="zh-CN"/>
              </w:rPr>
              <w:t>0.</w:t>
            </w:r>
            <w:r>
              <w:rPr>
                <w:rFonts w:hint="eastAsia" w:ascii="Calibri" w:hAnsi="Calibri" w:eastAsia="宋体" w:cs="宋体"/>
                <w:snapToGrid w:val="0"/>
                <w:color w:val="000000"/>
                <w:spacing w:val="0"/>
                <w:kern w:val="21"/>
                <w:sz w:val="21"/>
                <w:szCs w:val="21"/>
                <w:lang w:val="en-US" w:eastAsia="zh-CN"/>
              </w:rPr>
              <w:t>002</w:t>
            </w:r>
            <w:r>
              <w:rPr>
                <w:rFonts w:hint="default" w:ascii="Calibri" w:hAnsi="Calibri" w:eastAsia="宋体" w:cs="宋体"/>
                <w:snapToGrid w:val="0"/>
                <w:color w:val="000000"/>
                <w:spacing w:val="0"/>
                <w:kern w:val="21"/>
                <w:sz w:val="21"/>
                <w:szCs w:val="21"/>
              </w:rPr>
              <w:t>t/a</w:t>
            </w:r>
          </w:p>
        </w:tc>
        <w:tc>
          <w:tcPr>
            <w:tcW w:w="1053" w:type="dxa"/>
            <w:noWrap w:val="0"/>
            <w:vAlign w:val="center"/>
          </w:tcPr>
          <w:p w14:paraId="03D350DC">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7148F3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63F732C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p>
        </w:tc>
        <w:tc>
          <w:tcPr>
            <w:tcW w:w="1502" w:type="dxa"/>
            <w:noWrap w:val="0"/>
            <w:vAlign w:val="center"/>
          </w:tcPr>
          <w:p w14:paraId="0D08D380">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非甲烷总烃</w:t>
            </w:r>
          </w:p>
        </w:tc>
        <w:tc>
          <w:tcPr>
            <w:tcW w:w="1616" w:type="dxa"/>
            <w:noWrap w:val="0"/>
            <w:vAlign w:val="center"/>
          </w:tcPr>
          <w:p w14:paraId="1AA160B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276" w:type="dxa"/>
            <w:noWrap w:val="0"/>
            <w:vAlign w:val="center"/>
          </w:tcPr>
          <w:p w14:paraId="22CFF96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701" w:type="dxa"/>
            <w:noWrap w:val="0"/>
            <w:vAlign w:val="center"/>
          </w:tcPr>
          <w:p w14:paraId="217FD1F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559" w:type="dxa"/>
            <w:noWrap w:val="0"/>
            <w:vAlign w:val="center"/>
          </w:tcPr>
          <w:p w14:paraId="19B74A61">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2.717t/a</w:t>
            </w:r>
          </w:p>
        </w:tc>
        <w:tc>
          <w:tcPr>
            <w:tcW w:w="1761" w:type="dxa"/>
            <w:noWrap w:val="0"/>
            <w:vAlign w:val="center"/>
          </w:tcPr>
          <w:p w14:paraId="1B71DD20">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732" w:type="dxa"/>
            <w:noWrap w:val="0"/>
            <w:vAlign w:val="center"/>
          </w:tcPr>
          <w:p w14:paraId="5F6F9E9A">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2.717t/a</w:t>
            </w:r>
          </w:p>
        </w:tc>
        <w:tc>
          <w:tcPr>
            <w:tcW w:w="1053" w:type="dxa"/>
            <w:noWrap w:val="0"/>
            <w:vAlign w:val="center"/>
          </w:tcPr>
          <w:p w14:paraId="6DF6845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2CC50F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restart"/>
            <w:noWrap w:val="0"/>
            <w:vAlign w:val="center"/>
          </w:tcPr>
          <w:p w14:paraId="692DA532">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废水</w:t>
            </w:r>
          </w:p>
        </w:tc>
        <w:tc>
          <w:tcPr>
            <w:tcW w:w="1502" w:type="dxa"/>
            <w:noWrap w:val="0"/>
            <w:vAlign w:val="center"/>
          </w:tcPr>
          <w:p w14:paraId="1375EC44">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default" w:ascii="Calibri" w:hAnsi="Calibri" w:eastAsia="宋体" w:cs="宋体"/>
                <w:spacing w:val="0"/>
                <w:sz w:val="21"/>
                <w:szCs w:val="21"/>
              </w:rPr>
              <w:t>COD</w:t>
            </w:r>
            <w:r>
              <w:rPr>
                <w:rFonts w:hint="eastAsia" w:ascii="Calibri" w:hAnsi="Calibri" w:cs="宋体"/>
                <w:spacing w:val="0"/>
                <w:sz w:val="21"/>
                <w:szCs w:val="21"/>
                <w:lang w:val="en-US" w:eastAsia="zh-CN"/>
              </w:rPr>
              <w:t>cr</w:t>
            </w:r>
          </w:p>
        </w:tc>
        <w:tc>
          <w:tcPr>
            <w:tcW w:w="1616" w:type="dxa"/>
            <w:noWrap w:val="0"/>
            <w:vAlign w:val="center"/>
          </w:tcPr>
          <w:p w14:paraId="19D493D2">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276" w:type="dxa"/>
            <w:noWrap w:val="0"/>
            <w:vAlign w:val="center"/>
          </w:tcPr>
          <w:p w14:paraId="23A283F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01" w:type="dxa"/>
            <w:noWrap w:val="0"/>
            <w:vAlign w:val="center"/>
          </w:tcPr>
          <w:p w14:paraId="471B07DC">
            <w:pPr>
              <w:keepNext w:val="0"/>
              <w:keepLines w:val="0"/>
              <w:pageBreakBefore w:val="0"/>
              <w:widowControl w:val="0"/>
              <w:tabs>
                <w:tab w:val="left" w:pos="2148"/>
              </w:tabs>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559" w:type="dxa"/>
            <w:noWrap w:val="0"/>
            <w:vAlign w:val="center"/>
          </w:tcPr>
          <w:p w14:paraId="30195C0A">
            <w:pPr>
              <w:keepNext w:val="0"/>
              <w:keepLines w:val="0"/>
              <w:pageBreakBefore w:val="0"/>
              <w:widowControl w:val="0"/>
              <w:tabs>
                <w:tab w:val="left" w:pos="2148"/>
              </w:tabs>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spacing w:val="0"/>
                <w:sz w:val="21"/>
                <w:szCs w:val="21"/>
              </w:rPr>
              <w:t>0.</w:t>
            </w:r>
            <w:r>
              <w:rPr>
                <w:rFonts w:hint="eastAsia" w:ascii="Calibri" w:hAnsi="Calibri" w:cs="宋体"/>
                <w:snapToGrid w:val="0"/>
                <w:spacing w:val="0"/>
                <w:sz w:val="21"/>
                <w:szCs w:val="21"/>
                <w:lang w:val="en-US" w:eastAsia="zh-CN"/>
              </w:rPr>
              <w:t>999</w:t>
            </w:r>
            <w:r>
              <w:rPr>
                <w:rFonts w:hint="default" w:ascii="Calibri" w:hAnsi="Calibri" w:eastAsia="宋体" w:cs="宋体"/>
                <w:snapToGrid w:val="0"/>
                <w:spacing w:val="0"/>
                <w:sz w:val="21"/>
                <w:szCs w:val="21"/>
              </w:rPr>
              <w:t>t/a</w:t>
            </w:r>
          </w:p>
        </w:tc>
        <w:tc>
          <w:tcPr>
            <w:tcW w:w="1761" w:type="dxa"/>
            <w:noWrap w:val="0"/>
            <w:vAlign w:val="center"/>
          </w:tcPr>
          <w:p w14:paraId="71C0D74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32" w:type="dxa"/>
            <w:noWrap w:val="0"/>
            <w:vAlign w:val="center"/>
          </w:tcPr>
          <w:p w14:paraId="131139A5">
            <w:pPr>
              <w:keepNext w:val="0"/>
              <w:keepLines w:val="0"/>
              <w:pageBreakBefore w:val="0"/>
              <w:widowControl w:val="0"/>
              <w:tabs>
                <w:tab w:val="left" w:pos="2148"/>
              </w:tabs>
              <w:kinsoku/>
              <w:wordWrap/>
              <w:overflowPunct/>
              <w:topLinePunct w:val="0"/>
              <w:autoSpaceDE/>
              <w:autoSpaceDN/>
              <w:bidi w:val="0"/>
              <w:spacing w:line="240" w:lineRule="auto"/>
              <w:ind w:left="0" w:leftChars="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spacing w:val="0"/>
                <w:sz w:val="21"/>
                <w:szCs w:val="21"/>
              </w:rPr>
              <w:t>0.</w:t>
            </w:r>
            <w:r>
              <w:rPr>
                <w:rFonts w:hint="eastAsia" w:ascii="Calibri" w:hAnsi="Calibri" w:cs="宋体"/>
                <w:snapToGrid w:val="0"/>
                <w:spacing w:val="0"/>
                <w:sz w:val="21"/>
                <w:szCs w:val="21"/>
                <w:lang w:val="en-US" w:eastAsia="zh-CN"/>
              </w:rPr>
              <w:t>999</w:t>
            </w:r>
            <w:r>
              <w:rPr>
                <w:rFonts w:hint="default" w:ascii="Calibri" w:hAnsi="Calibri" w:eastAsia="宋体" w:cs="宋体"/>
                <w:snapToGrid w:val="0"/>
                <w:spacing w:val="0"/>
                <w:sz w:val="21"/>
                <w:szCs w:val="21"/>
              </w:rPr>
              <w:t>t/a</w:t>
            </w:r>
          </w:p>
        </w:tc>
        <w:tc>
          <w:tcPr>
            <w:tcW w:w="1053" w:type="dxa"/>
            <w:noWrap w:val="0"/>
            <w:vAlign w:val="center"/>
          </w:tcPr>
          <w:p w14:paraId="5A018EC4">
            <w:pPr>
              <w:keepNext w:val="0"/>
              <w:keepLines w:val="0"/>
              <w:pageBreakBefore w:val="0"/>
              <w:widowControl w:val="0"/>
              <w:tabs>
                <w:tab w:val="left" w:pos="2148"/>
              </w:tabs>
              <w:kinsoku/>
              <w:wordWrap/>
              <w:overflowPunct/>
              <w:topLinePunct w:val="0"/>
              <w:autoSpaceDE/>
              <w:autoSpaceDN/>
              <w:bidi w:val="0"/>
              <w:spacing w:line="240" w:lineRule="auto"/>
              <w:ind w:left="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2CC71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30539DCB">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p>
        </w:tc>
        <w:tc>
          <w:tcPr>
            <w:tcW w:w="1502" w:type="dxa"/>
            <w:noWrap w:val="0"/>
            <w:vAlign w:val="center"/>
          </w:tcPr>
          <w:p w14:paraId="6E9E8544">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default" w:ascii="Calibri" w:hAnsi="Calibri" w:eastAsia="宋体" w:cs="宋体"/>
                <w:spacing w:val="0"/>
                <w:sz w:val="21"/>
                <w:szCs w:val="21"/>
              </w:rPr>
              <w:t>BOD</w:t>
            </w:r>
            <w:r>
              <w:rPr>
                <w:rFonts w:hint="eastAsia" w:ascii="Calibri" w:hAnsi="Calibri" w:cs="宋体"/>
                <w:spacing w:val="0"/>
                <w:sz w:val="21"/>
                <w:szCs w:val="21"/>
                <w:vertAlign w:val="subscript"/>
                <w:lang w:val="en-US" w:eastAsia="zh-CN"/>
              </w:rPr>
              <w:t>5</w:t>
            </w:r>
          </w:p>
        </w:tc>
        <w:tc>
          <w:tcPr>
            <w:tcW w:w="1616" w:type="dxa"/>
            <w:noWrap w:val="0"/>
            <w:vAlign w:val="center"/>
          </w:tcPr>
          <w:p w14:paraId="619E1EB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276" w:type="dxa"/>
            <w:noWrap w:val="0"/>
            <w:vAlign w:val="center"/>
          </w:tcPr>
          <w:p w14:paraId="1943B639">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01" w:type="dxa"/>
            <w:noWrap w:val="0"/>
            <w:vAlign w:val="center"/>
          </w:tcPr>
          <w:p w14:paraId="25E2E9B5">
            <w:pPr>
              <w:keepNext w:val="0"/>
              <w:keepLines w:val="0"/>
              <w:pageBreakBefore w:val="0"/>
              <w:widowControl w:val="0"/>
              <w:tabs>
                <w:tab w:val="left" w:pos="2148"/>
              </w:tabs>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559" w:type="dxa"/>
            <w:noWrap w:val="0"/>
            <w:vAlign w:val="center"/>
          </w:tcPr>
          <w:p w14:paraId="75B319FA">
            <w:pPr>
              <w:keepNext w:val="0"/>
              <w:keepLines w:val="0"/>
              <w:pageBreakBefore w:val="0"/>
              <w:widowControl w:val="0"/>
              <w:tabs>
                <w:tab w:val="left" w:pos="2148"/>
              </w:tabs>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spacing w:val="0"/>
                <w:sz w:val="21"/>
                <w:szCs w:val="21"/>
              </w:rPr>
              <w:t>0.</w:t>
            </w:r>
            <w:r>
              <w:rPr>
                <w:rFonts w:hint="eastAsia" w:ascii="Calibri" w:hAnsi="Calibri" w:cs="宋体"/>
                <w:snapToGrid w:val="0"/>
                <w:spacing w:val="0"/>
                <w:sz w:val="21"/>
                <w:szCs w:val="21"/>
                <w:lang w:val="en-US" w:eastAsia="zh-CN"/>
              </w:rPr>
              <w:t>764</w:t>
            </w:r>
            <w:r>
              <w:rPr>
                <w:rFonts w:hint="default" w:ascii="Calibri" w:hAnsi="Calibri" w:eastAsia="宋体" w:cs="宋体"/>
                <w:snapToGrid w:val="0"/>
                <w:spacing w:val="0"/>
                <w:sz w:val="21"/>
                <w:szCs w:val="21"/>
              </w:rPr>
              <w:t>t/a</w:t>
            </w:r>
          </w:p>
        </w:tc>
        <w:tc>
          <w:tcPr>
            <w:tcW w:w="1761" w:type="dxa"/>
            <w:noWrap w:val="0"/>
            <w:vAlign w:val="center"/>
          </w:tcPr>
          <w:p w14:paraId="0C97B66C">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32" w:type="dxa"/>
            <w:noWrap w:val="0"/>
            <w:vAlign w:val="center"/>
          </w:tcPr>
          <w:p w14:paraId="5D69E6F0">
            <w:pPr>
              <w:keepNext w:val="0"/>
              <w:keepLines w:val="0"/>
              <w:pageBreakBefore w:val="0"/>
              <w:widowControl w:val="0"/>
              <w:tabs>
                <w:tab w:val="left" w:pos="2148"/>
              </w:tabs>
              <w:kinsoku/>
              <w:wordWrap/>
              <w:overflowPunct/>
              <w:topLinePunct w:val="0"/>
              <w:autoSpaceDE/>
              <w:autoSpaceDN/>
              <w:bidi w:val="0"/>
              <w:spacing w:line="240" w:lineRule="auto"/>
              <w:ind w:left="0" w:leftChars="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spacing w:val="0"/>
                <w:sz w:val="21"/>
                <w:szCs w:val="21"/>
              </w:rPr>
              <w:t>0.</w:t>
            </w:r>
            <w:r>
              <w:rPr>
                <w:rFonts w:hint="eastAsia" w:ascii="Calibri" w:hAnsi="Calibri" w:cs="宋体"/>
                <w:snapToGrid w:val="0"/>
                <w:spacing w:val="0"/>
                <w:sz w:val="21"/>
                <w:szCs w:val="21"/>
                <w:lang w:val="en-US" w:eastAsia="zh-CN"/>
              </w:rPr>
              <w:t>764</w:t>
            </w:r>
            <w:r>
              <w:rPr>
                <w:rFonts w:hint="default" w:ascii="Calibri" w:hAnsi="Calibri" w:eastAsia="宋体" w:cs="宋体"/>
                <w:snapToGrid w:val="0"/>
                <w:spacing w:val="0"/>
                <w:sz w:val="21"/>
                <w:szCs w:val="21"/>
              </w:rPr>
              <w:t>t/a</w:t>
            </w:r>
          </w:p>
        </w:tc>
        <w:tc>
          <w:tcPr>
            <w:tcW w:w="1053" w:type="dxa"/>
            <w:noWrap w:val="0"/>
            <w:vAlign w:val="center"/>
          </w:tcPr>
          <w:p w14:paraId="1850112E">
            <w:pPr>
              <w:keepNext w:val="0"/>
              <w:keepLines w:val="0"/>
              <w:pageBreakBefore w:val="0"/>
              <w:widowControl w:val="0"/>
              <w:tabs>
                <w:tab w:val="left" w:pos="2148"/>
              </w:tabs>
              <w:kinsoku/>
              <w:wordWrap/>
              <w:overflowPunct/>
              <w:topLinePunct w:val="0"/>
              <w:autoSpaceDE/>
              <w:autoSpaceDN/>
              <w:bidi w:val="0"/>
              <w:spacing w:line="240" w:lineRule="auto"/>
              <w:ind w:left="0" w:leftChars="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12F640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6270F846">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p>
        </w:tc>
        <w:tc>
          <w:tcPr>
            <w:tcW w:w="1502" w:type="dxa"/>
            <w:noWrap w:val="0"/>
            <w:vAlign w:val="center"/>
          </w:tcPr>
          <w:p w14:paraId="7AEC00A0">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pacing w:val="0"/>
                <w:sz w:val="21"/>
                <w:szCs w:val="21"/>
              </w:rPr>
              <w:t>SS</w:t>
            </w:r>
          </w:p>
        </w:tc>
        <w:tc>
          <w:tcPr>
            <w:tcW w:w="1616" w:type="dxa"/>
            <w:noWrap w:val="0"/>
            <w:vAlign w:val="center"/>
          </w:tcPr>
          <w:p w14:paraId="5A023CAC">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276" w:type="dxa"/>
            <w:noWrap w:val="0"/>
            <w:vAlign w:val="center"/>
          </w:tcPr>
          <w:p w14:paraId="2E04A5DD">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01" w:type="dxa"/>
            <w:noWrap w:val="0"/>
            <w:vAlign w:val="center"/>
          </w:tcPr>
          <w:p w14:paraId="0D4A6241">
            <w:pPr>
              <w:keepNext w:val="0"/>
              <w:keepLines w:val="0"/>
              <w:pageBreakBefore w:val="0"/>
              <w:widowControl w:val="0"/>
              <w:tabs>
                <w:tab w:val="left" w:pos="2148"/>
              </w:tabs>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559" w:type="dxa"/>
            <w:noWrap w:val="0"/>
            <w:vAlign w:val="center"/>
          </w:tcPr>
          <w:p w14:paraId="41B158B8">
            <w:pPr>
              <w:keepNext w:val="0"/>
              <w:keepLines w:val="0"/>
              <w:pageBreakBefore w:val="0"/>
              <w:widowControl w:val="0"/>
              <w:tabs>
                <w:tab w:val="left" w:pos="2148"/>
              </w:tabs>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color w:val="000000"/>
                <w:spacing w:val="0"/>
                <w:kern w:val="0"/>
                <w:sz w:val="21"/>
                <w:szCs w:val="21"/>
                <w:lang w:bidi="ar"/>
              </w:rPr>
              <w:t>0.</w:t>
            </w:r>
            <w:r>
              <w:rPr>
                <w:rFonts w:hint="eastAsia" w:ascii="Calibri" w:hAnsi="Calibri" w:cs="宋体"/>
                <w:color w:val="000000"/>
                <w:spacing w:val="0"/>
                <w:kern w:val="0"/>
                <w:sz w:val="21"/>
                <w:szCs w:val="21"/>
                <w:lang w:val="en-US" w:eastAsia="zh-CN" w:bidi="ar"/>
              </w:rPr>
              <w:t>470</w:t>
            </w:r>
            <w:r>
              <w:rPr>
                <w:rFonts w:hint="default" w:ascii="Calibri" w:hAnsi="Calibri" w:eastAsia="宋体" w:cs="宋体"/>
                <w:snapToGrid w:val="0"/>
                <w:spacing w:val="0"/>
                <w:sz w:val="21"/>
                <w:szCs w:val="21"/>
              </w:rPr>
              <w:t>t/a</w:t>
            </w:r>
          </w:p>
        </w:tc>
        <w:tc>
          <w:tcPr>
            <w:tcW w:w="1761" w:type="dxa"/>
            <w:noWrap w:val="0"/>
            <w:vAlign w:val="center"/>
          </w:tcPr>
          <w:p w14:paraId="070C98C9">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32" w:type="dxa"/>
            <w:noWrap w:val="0"/>
            <w:vAlign w:val="center"/>
          </w:tcPr>
          <w:p w14:paraId="20985957">
            <w:pPr>
              <w:keepNext w:val="0"/>
              <w:keepLines w:val="0"/>
              <w:pageBreakBefore w:val="0"/>
              <w:widowControl w:val="0"/>
              <w:tabs>
                <w:tab w:val="left" w:pos="2148"/>
              </w:tabs>
              <w:kinsoku/>
              <w:wordWrap/>
              <w:overflowPunct/>
              <w:topLinePunct w:val="0"/>
              <w:autoSpaceDE/>
              <w:autoSpaceDN/>
              <w:bidi w:val="0"/>
              <w:spacing w:line="240" w:lineRule="auto"/>
              <w:ind w:left="0" w:leftChars="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color w:val="000000"/>
                <w:spacing w:val="0"/>
                <w:kern w:val="0"/>
                <w:sz w:val="21"/>
                <w:szCs w:val="21"/>
                <w:lang w:bidi="ar"/>
              </w:rPr>
              <w:t>0.</w:t>
            </w:r>
            <w:r>
              <w:rPr>
                <w:rFonts w:hint="eastAsia" w:ascii="Calibri" w:hAnsi="Calibri" w:cs="宋体"/>
                <w:color w:val="000000"/>
                <w:spacing w:val="0"/>
                <w:kern w:val="0"/>
                <w:sz w:val="21"/>
                <w:szCs w:val="21"/>
                <w:lang w:val="en-US" w:eastAsia="zh-CN" w:bidi="ar"/>
              </w:rPr>
              <w:t>470</w:t>
            </w:r>
            <w:r>
              <w:rPr>
                <w:rFonts w:hint="default" w:ascii="Calibri" w:hAnsi="Calibri" w:eastAsia="宋体" w:cs="宋体"/>
                <w:snapToGrid w:val="0"/>
                <w:spacing w:val="0"/>
                <w:sz w:val="21"/>
                <w:szCs w:val="21"/>
              </w:rPr>
              <w:t>t/a</w:t>
            </w:r>
          </w:p>
        </w:tc>
        <w:tc>
          <w:tcPr>
            <w:tcW w:w="1053" w:type="dxa"/>
            <w:noWrap w:val="0"/>
            <w:vAlign w:val="center"/>
          </w:tcPr>
          <w:p w14:paraId="1D5858B6">
            <w:pPr>
              <w:keepNext w:val="0"/>
              <w:keepLines w:val="0"/>
              <w:pageBreakBefore w:val="0"/>
              <w:widowControl w:val="0"/>
              <w:tabs>
                <w:tab w:val="left" w:pos="2148"/>
              </w:tabs>
              <w:kinsoku/>
              <w:wordWrap/>
              <w:overflowPunct/>
              <w:topLinePunct w:val="0"/>
              <w:autoSpaceDE/>
              <w:autoSpaceDN/>
              <w:bidi w:val="0"/>
              <w:spacing w:line="240" w:lineRule="auto"/>
              <w:ind w:left="0" w:leftChars="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33BE21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56E04FFB">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p>
        </w:tc>
        <w:tc>
          <w:tcPr>
            <w:tcW w:w="1502" w:type="dxa"/>
            <w:noWrap w:val="0"/>
            <w:vAlign w:val="center"/>
          </w:tcPr>
          <w:p w14:paraId="00656EC5">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pacing w:val="0"/>
                <w:sz w:val="21"/>
                <w:szCs w:val="21"/>
              </w:rPr>
              <w:t>NH</w:t>
            </w:r>
            <w:r>
              <w:rPr>
                <w:rFonts w:hint="default" w:ascii="Calibri" w:hAnsi="Calibri" w:eastAsia="宋体" w:cs="宋体"/>
                <w:spacing w:val="0"/>
                <w:sz w:val="21"/>
                <w:szCs w:val="21"/>
                <w:vertAlign w:val="subscript"/>
              </w:rPr>
              <w:t>3</w:t>
            </w:r>
            <w:r>
              <w:rPr>
                <w:rFonts w:hint="default" w:ascii="Calibri" w:hAnsi="Calibri" w:eastAsia="宋体" w:cs="宋体"/>
                <w:spacing w:val="0"/>
                <w:sz w:val="21"/>
                <w:szCs w:val="21"/>
              </w:rPr>
              <w:t>-N</w:t>
            </w:r>
          </w:p>
        </w:tc>
        <w:tc>
          <w:tcPr>
            <w:tcW w:w="1616" w:type="dxa"/>
            <w:noWrap w:val="0"/>
            <w:vAlign w:val="center"/>
          </w:tcPr>
          <w:p w14:paraId="57D96A9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276" w:type="dxa"/>
            <w:noWrap w:val="0"/>
            <w:vAlign w:val="center"/>
          </w:tcPr>
          <w:p w14:paraId="62727411">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01" w:type="dxa"/>
            <w:noWrap w:val="0"/>
            <w:vAlign w:val="center"/>
          </w:tcPr>
          <w:p w14:paraId="7FA376F6">
            <w:pPr>
              <w:keepNext w:val="0"/>
              <w:keepLines w:val="0"/>
              <w:pageBreakBefore w:val="0"/>
              <w:widowControl w:val="0"/>
              <w:tabs>
                <w:tab w:val="left" w:pos="2148"/>
              </w:tabs>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559" w:type="dxa"/>
            <w:noWrap w:val="0"/>
            <w:vAlign w:val="center"/>
          </w:tcPr>
          <w:p w14:paraId="4A550CA2">
            <w:pPr>
              <w:keepNext w:val="0"/>
              <w:keepLines w:val="0"/>
              <w:pageBreakBefore w:val="0"/>
              <w:widowControl w:val="0"/>
              <w:tabs>
                <w:tab w:val="left" w:pos="2148"/>
              </w:tabs>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color w:val="000000"/>
                <w:spacing w:val="0"/>
                <w:kern w:val="0"/>
                <w:sz w:val="21"/>
                <w:szCs w:val="21"/>
                <w:lang w:bidi="ar"/>
              </w:rPr>
              <w:t>0.0</w:t>
            </w:r>
            <w:r>
              <w:rPr>
                <w:rFonts w:hint="eastAsia" w:ascii="Calibri" w:hAnsi="Calibri" w:cs="宋体"/>
                <w:color w:val="000000"/>
                <w:spacing w:val="0"/>
                <w:kern w:val="0"/>
                <w:sz w:val="21"/>
                <w:szCs w:val="21"/>
                <w:lang w:val="en-US" w:eastAsia="zh-CN" w:bidi="ar"/>
              </w:rPr>
              <w:t>98</w:t>
            </w:r>
            <w:r>
              <w:rPr>
                <w:rFonts w:hint="default" w:ascii="Calibri" w:hAnsi="Calibri" w:eastAsia="宋体" w:cs="宋体"/>
                <w:snapToGrid w:val="0"/>
                <w:spacing w:val="0"/>
                <w:sz w:val="21"/>
                <w:szCs w:val="21"/>
              </w:rPr>
              <w:t>t/a</w:t>
            </w:r>
          </w:p>
        </w:tc>
        <w:tc>
          <w:tcPr>
            <w:tcW w:w="1761" w:type="dxa"/>
            <w:noWrap w:val="0"/>
            <w:vAlign w:val="center"/>
          </w:tcPr>
          <w:p w14:paraId="35FCC831">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32" w:type="dxa"/>
            <w:noWrap w:val="0"/>
            <w:vAlign w:val="center"/>
          </w:tcPr>
          <w:p w14:paraId="0707175E">
            <w:pPr>
              <w:keepNext w:val="0"/>
              <w:keepLines w:val="0"/>
              <w:pageBreakBefore w:val="0"/>
              <w:widowControl w:val="0"/>
              <w:tabs>
                <w:tab w:val="left" w:pos="2148"/>
              </w:tabs>
              <w:kinsoku/>
              <w:wordWrap/>
              <w:overflowPunct/>
              <w:topLinePunct w:val="0"/>
              <w:autoSpaceDE/>
              <w:autoSpaceDN/>
              <w:bidi w:val="0"/>
              <w:spacing w:line="240" w:lineRule="auto"/>
              <w:ind w:left="0" w:leftChars="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color w:val="000000"/>
                <w:spacing w:val="0"/>
                <w:kern w:val="0"/>
                <w:sz w:val="21"/>
                <w:szCs w:val="21"/>
                <w:lang w:bidi="ar"/>
              </w:rPr>
              <w:t>0.0</w:t>
            </w:r>
            <w:r>
              <w:rPr>
                <w:rFonts w:hint="eastAsia" w:ascii="Calibri" w:hAnsi="Calibri" w:cs="宋体"/>
                <w:color w:val="000000"/>
                <w:spacing w:val="0"/>
                <w:kern w:val="0"/>
                <w:sz w:val="21"/>
                <w:szCs w:val="21"/>
                <w:lang w:val="en-US" w:eastAsia="zh-CN" w:bidi="ar"/>
              </w:rPr>
              <w:t>98</w:t>
            </w:r>
            <w:r>
              <w:rPr>
                <w:rFonts w:hint="default" w:ascii="Calibri" w:hAnsi="Calibri" w:eastAsia="宋体" w:cs="宋体"/>
                <w:snapToGrid w:val="0"/>
                <w:spacing w:val="0"/>
                <w:sz w:val="21"/>
                <w:szCs w:val="21"/>
              </w:rPr>
              <w:t>t/a</w:t>
            </w:r>
          </w:p>
        </w:tc>
        <w:tc>
          <w:tcPr>
            <w:tcW w:w="1053" w:type="dxa"/>
            <w:noWrap w:val="0"/>
            <w:vAlign w:val="center"/>
          </w:tcPr>
          <w:p w14:paraId="1DC32DCD">
            <w:pPr>
              <w:keepNext w:val="0"/>
              <w:keepLines w:val="0"/>
              <w:pageBreakBefore w:val="0"/>
              <w:widowControl w:val="0"/>
              <w:tabs>
                <w:tab w:val="left" w:pos="2148"/>
              </w:tabs>
              <w:kinsoku/>
              <w:wordWrap/>
              <w:overflowPunct/>
              <w:topLinePunct w:val="0"/>
              <w:autoSpaceDE/>
              <w:autoSpaceDN/>
              <w:bidi w:val="0"/>
              <w:spacing w:line="240" w:lineRule="auto"/>
              <w:ind w:left="0" w:leftChars="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5FAB1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restart"/>
            <w:noWrap w:val="0"/>
            <w:vAlign w:val="center"/>
          </w:tcPr>
          <w:p w14:paraId="526EF0F0">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一般工业</w:t>
            </w:r>
          </w:p>
          <w:p w14:paraId="787365C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固体废物</w:t>
            </w:r>
          </w:p>
        </w:tc>
        <w:tc>
          <w:tcPr>
            <w:tcW w:w="1502" w:type="dxa"/>
            <w:noWrap w:val="0"/>
            <w:vAlign w:val="center"/>
          </w:tcPr>
          <w:p w14:paraId="3DF65D40">
            <w:pPr>
              <w:keepNext w:val="0"/>
              <w:keepLines w:val="0"/>
              <w:pageBreakBefore w:val="0"/>
              <w:widowControl w:val="0"/>
              <w:kinsoku/>
              <w:wordWrap/>
              <w:overflowPunct/>
              <w:topLinePunct w:val="0"/>
              <w:autoSpaceDE/>
              <w:autoSpaceDN/>
              <w:bidi w:val="0"/>
              <w:snapToGrid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废膜边角料、废离型膜、废双面胶</w:t>
            </w:r>
          </w:p>
        </w:tc>
        <w:tc>
          <w:tcPr>
            <w:tcW w:w="1616" w:type="dxa"/>
            <w:noWrap w:val="0"/>
            <w:vAlign w:val="center"/>
          </w:tcPr>
          <w:p w14:paraId="05352C3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276" w:type="dxa"/>
            <w:noWrap w:val="0"/>
            <w:vAlign w:val="center"/>
          </w:tcPr>
          <w:p w14:paraId="60590F15">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01" w:type="dxa"/>
            <w:noWrap w:val="0"/>
            <w:vAlign w:val="center"/>
          </w:tcPr>
          <w:p w14:paraId="44A62EB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559" w:type="dxa"/>
            <w:noWrap w:val="0"/>
            <w:vAlign w:val="center"/>
          </w:tcPr>
          <w:p w14:paraId="18E64D86">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6</w:t>
            </w:r>
            <w:r>
              <w:rPr>
                <w:rFonts w:hint="eastAsia" w:ascii="Calibri" w:hAnsi="Calibri" w:cs="宋体"/>
                <w:snapToGrid w:val="0"/>
                <w:color w:val="000000"/>
                <w:spacing w:val="0"/>
                <w:kern w:val="21"/>
                <w:sz w:val="21"/>
                <w:szCs w:val="21"/>
                <w:lang w:val="en-US" w:eastAsia="zh-CN"/>
              </w:rPr>
              <w:t>5</w:t>
            </w:r>
            <w:r>
              <w:rPr>
                <w:rFonts w:hint="eastAsia" w:ascii="Calibri" w:hAnsi="Calibri" w:eastAsia="宋体" w:cs="宋体"/>
                <w:snapToGrid w:val="0"/>
                <w:color w:val="000000"/>
                <w:spacing w:val="0"/>
                <w:kern w:val="21"/>
                <w:sz w:val="21"/>
                <w:szCs w:val="21"/>
                <w:lang w:val="en-US" w:eastAsia="zh-CN"/>
              </w:rPr>
              <w:t>t/a</w:t>
            </w:r>
          </w:p>
        </w:tc>
        <w:tc>
          <w:tcPr>
            <w:tcW w:w="1761" w:type="dxa"/>
            <w:noWrap w:val="0"/>
            <w:vAlign w:val="center"/>
          </w:tcPr>
          <w:p w14:paraId="048A0209">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32" w:type="dxa"/>
            <w:noWrap w:val="0"/>
            <w:vAlign w:val="center"/>
          </w:tcPr>
          <w:p w14:paraId="21566829">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eastAsia" w:ascii="Calibri" w:hAnsi="Calibri" w:eastAsia="宋体" w:cs="宋体"/>
                <w:snapToGrid w:val="0"/>
                <w:color w:val="000000"/>
                <w:spacing w:val="0"/>
                <w:kern w:val="21"/>
                <w:sz w:val="21"/>
                <w:szCs w:val="21"/>
                <w:lang w:val="en-US" w:eastAsia="zh-CN"/>
              </w:rPr>
              <w:t>6</w:t>
            </w:r>
            <w:r>
              <w:rPr>
                <w:rFonts w:hint="eastAsia" w:ascii="Calibri" w:hAnsi="Calibri" w:cs="宋体"/>
                <w:snapToGrid w:val="0"/>
                <w:color w:val="000000"/>
                <w:spacing w:val="0"/>
                <w:kern w:val="21"/>
                <w:sz w:val="21"/>
                <w:szCs w:val="21"/>
                <w:lang w:val="en-US" w:eastAsia="zh-CN"/>
              </w:rPr>
              <w:t>5</w:t>
            </w:r>
            <w:r>
              <w:rPr>
                <w:rFonts w:hint="eastAsia" w:ascii="Calibri" w:hAnsi="Calibri" w:eastAsia="宋体" w:cs="宋体"/>
                <w:snapToGrid w:val="0"/>
                <w:color w:val="000000"/>
                <w:spacing w:val="0"/>
                <w:kern w:val="21"/>
                <w:sz w:val="21"/>
                <w:szCs w:val="21"/>
                <w:lang w:val="en-US" w:eastAsia="zh-CN"/>
              </w:rPr>
              <w:t>t/a</w:t>
            </w:r>
          </w:p>
        </w:tc>
        <w:tc>
          <w:tcPr>
            <w:tcW w:w="1053" w:type="dxa"/>
            <w:noWrap w:val="0"/>
            <w:vAlign w:val="center"/>
          </w:tcPr>
          <w:p w14:paraId="1731B41D">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4A48DB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245D9E16">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p>
        </w:tc>
        <w:tc>
          <w:tcPr>
            <w:tcW w:w="1502" w:type="dxa"/>
            <w:noWrap w:val="0"/>
            <w:vAlign w:val="center"/>
          </w:tcPr>
          <w:p w14:paraId="4C286ED7">
            <w:pPr>
              <w:keepNext w:val="0"/>
              <w:keepLines w:val="0"/>
              <w:pageBreakBefore w:val="0"/>
              <w:widowControl w:val="0"/>
              <w:kinsoku/>
              <w:wordWrap/>
              <w:overflowPunct/>
              <w:topLinePunct w:val="0"/>
              <w:autoSpaceDE/>
              <w:autoSpaceDN/>
              <w:bidi w:val="0"/>
              <w:snapToGrid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lang w:val="en-US"/>
              </w:rPr>
            </w:pPr>
            <w:r>
              <w:rPr>
                <w:rFonts w:hint="default" w:ascii="Calibri" w:hAnsi="Calibri" w:eastAsia="宋体" w:cs="宋体"/>
                <w:snapToGrid w:val="0"/>
                <w:color w:val="000000"/>
                <w:spacing w:val="0"/>
                <w:kern w:val="21"/>
                <w:sz w:val="21"/>
                <w:szCs w:val="21"/>
                <w:lang w:val="en-US"/>
              </w:rPr>
              <w:t>废纸芯管</w:t>
            </w:r>
          </w:p>
        </w:tc>
        <w:tc>
          <w:tcPr>
            <w:tcW w:w="1616" w:type="dxa"/>
            <w:noWrap w:val="0"/>
            <w:vAlign w:val="center"/>
          </w:tcPr>
          <w:p w14:paraId="1C983B63">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276" w:type="dxa"/>
            <w:noWrap w:val="0"/>
            <w:vAlign w:val="center"/>
          </w:tcPr>
          <w:p w14:paraId="3F3C0895">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01" w:type="dxa"/>
            <w:noWrap w:val="0"/>
            <w:vAlign w:val="center"/>
          </w:tcPr>
          <w:p w14:paraId="0B5AA4ED">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559" w:type="dxa"/>
            <w:noWrap w:val="0"/>
            <w:vAlign w:val="center"/>
          </w:tcPr>
          <w:p w14:paraId="6B85AC7D">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eastAsia" w:ascii="Calibri" w:hAnsi="Calibri" w:cs="宋体"/>
                <w:color w:val="000000"/>
                <w:spacing w:val="0"/>
                <w:sz w:val="21"/>
                <w:szCs w:val="21"/>
                <w:lang w:val="en-US" w:eastAsia="zh-CN"/>
              </w:rPr>
              <w:t>2</w:t>
            </w:r>
            <w:r>
              <w:rPr>
                <w:rFonts w:hint="default" w:ascii="Calibri" w:hAnsi="Calibri" w:eastAsia="宋体" w:cs="宋体"/>
                <w:color w:val="000000"/>
                <w:spacing w:val="0"/>
                <w:sz w:val="21"/>
                <w:szCs w:val="21"/>
              </w:rPr>
              <w:t>t/a</w:t>
            </w:r>
          </w:p>
        </w:tc>
        <w:tc>
          <w:tcPr>
            <w:tcW w:w="1761" w:type="dxa"/>
            <w:noWrap w:val="0"/>
            <w:vAlign w:val="center"/>
          </w:tcPr>
          <w:p w14:paraId="5D3BB1E5">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32" w:type="dxa"/>
            <w:noWrap w:val="0"/>
            <w:vAlign w:val="center"/>
          </w:tcPr>
          <w:p w14:paraId="47FF8C4D">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default" w:ascii="Calibri" w:hAnsi="Calibri" w:eastAsia="宋体" w:cs="宋体"/>
                <w:snapToGrid w:val="0"/>
                <w:color w:val="000000"/>
                <w:spacing w:val="0"/>
                <w:kern w:val="21"/>
                <w:sz w:val="21"/>
                <w:szCs w:val="21"/>
              </w:rPr>
            </w:pPr>
            <w:r>
              <w:rPr>
                <w:rFonts w:hint="eastAsia" w:ascii="Calibri" w:hAnsi="Calibri" w:cs="宋体"/>
                <w:color w:val="000000"/>
                <w:spacing w:val="0"/>
                <w:sz w:val="21"/>
                <w:szCs w:val="21"/>
                <w:lang w:val="en-US" w:eastAsia="zh-CN"/>
              </w:rPr>
              <w:t>2</w:t>
            </w:r>
            <w:r>
              <w:rPr>
                <w:rFonts w:hint="default" w:ascii="Calibri" w:hAnsi="Calibri" w:eastAsia="宋体" w:cs="宋体"/>
                <w:color w:val="000000"/>
                <w:spacing w:val="0"/>
                <w:sz w:val="21"/>
                <w:szCs w:val="21"/>
              </w:rPr>
              <w:t>t/a</w:t>
            </w:r>
          </w:p>
        </w:tc>
        <w:tc>
          <w:tcPr>
            <w:tcW w:w="1053" w:type="dxa"/>
            <w:noWrap w:val="0"/>
            <w:vAlign w:val="center"/>
          </w:tcPr>
          <w:p w14:paraId="6BCD2B0B">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1A718C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7B57C0D6">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p>
        </w:tc>
        <w:tc>
          <w:tcPr>
            <w:tcW w:w="1502" w:type="dxa"/>
            <w:noWrap w:val="0"/>
            <w:vAlign w:val="center"/>
          </w:tcPr>
          <w:p w14:paraId="08D5D300">
            <w:pPr>
              <w:keepNext w:val="0"/>
              <w:keepLines w:val="0"/>
              <w:pageBreakBefore w:val="0"/>
              <w:widowControl w:val="0"/>
              <w:kinsoku/>
              <w:wordWrap/>
              <w:overflowPunct/>
              <w:topLinePunct w:val="0"/>
              <w:autoSpaceDE/>
              <w:autoSpaceDN/>
              <w:bidi w:val="0"/>
              <w:snapToGrid w:val="0"/>
              <w:spacing w:line="240" w:lineRule="auto"/>
              <w:ind w:left="0" w:firstLine="0" w:firstLineChars="0"/>
              <w:jc w:val="center"/>
              <w:textAlignment w:val="auto"/>
              <w:rPr>
                <w:rFonts w:hint="default" w:ascii="Calibri" w:hAnsi="Calibri" w:eastAsia="宋体" w:cs="宋体"/>
                <w:spacing w:val="0"/>
                <w:sz w:val="21"/>
                <w:szCs w:val="21"/>
                <w:lang w:eastAsia="zh-CN"/>
              </w:rPr>
            </w:pPr>
            <w:r>
              <w:rPr>
                <w:rFonts w:hint="default" w:ascii="Calibri" w:hAnsi="Calibri" w:eastAsia="宋体" w:cs="宋体"/>
                <w:spacing w:val="0"/>
                <w:sz w:val="21"/>
                <w:szCs w:val="21"/>
                <w:lang w:eastAsia="zh-CN"/>
              </w:rPr>
              <w:t>废原辅料包装袋</w:t>
            </w:r>
            <w:r>
              <w:rPr>
                <w:rFonts w:hint="eastAsia" w:ascii="Calibri" w:hAnsi="Calibri" w:cs="宋体"/>
                <w:spacing w:val="0"/>
                <w:sz w:val="21"/>
                <w:szCs w:val="21"/>
                <w:lang w:eastAsia="zh-CN"/>
              </w:rPr>
              <w:t>、废包装桶</w:t>
            </w:r>
          </w:p>
        </w:tc>
        <w:tc>
          <w:tcPr>
            <w:tcW w:w="1616" w:type="dxa"/>
            <w:noWrap w:val="0"/>
            <w:vAlign w:val="center"/>
          </w:tcPr>
          <w:p w14:paraId="49828BE9">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276" w:type="dxa"/>
            <w:noWrap w:val="0"/>
            <w:vAlign w:val="center"/>
          </w:tcPr>
          <w:p w14:paraId="3ABD1BF6">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01" w:type="dxa"/>
            <w:noWrap w:val="0"/>
            <w:vAlign w:val="center"/>
          </w:tcPr>
          <w:p w14:paraId="22D65B3C">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559" w:type="dxa"/>
            <w:noWrap w:val="0"/>
            <w:vAlign w:val="center"/>
          </w:tcPr>
          <w:p w14:paraId="46929668">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color w:val="000000"/>
                <w:spacing w:val="0"/>
                <w:sz w:val="21"/>
                <w:szCs w:val="21"/>
                <w:lang w:val="en-US" w:eastAsia="zh-CN"/>
              </w:rPr>
            </w:pPr>
            <w:r>
              <w:rPr>
                <w:rFonts w:hint="eastAsia" w:ascii="Calibri" w:hAnsi="Calibri" w:cs="宋体"/>
                <w:color w:val="000000"/>
                <w:spacing w:val="0"/>
                <w:sz w:val="21"/>
                <w:szCs w:val="21"/>
                <w:lang w:val="en-US" w:eastAsia="zh-CN"/>
              </w:rPr>
              <w:t>2.578</w:t>
            </w:r>
            <w:r>
              <w:rPr>
                <w:rFonts w:hint="default" w:ascii="Calibri" w:hAnsi="Calibri" w:eastAsia="宋体" w:cs="宋体"/>
                <w:color w:val="000000"/>
                <w:spacing w:val="0"/>
                <w:sz w:val="21"/>
                <w:szCs w:val="21"/>
                <w:lang w:val="en-US" w:eastAsia="zh-CN"/>
              </w:rPr>
              <w:t>t/a</w:t>
            </w:r>
          </w:p>
        </w:tc>
        <w:tc>
          <w:tcPr>
            <w:tcW w:w="1761" w:type="dxa"/>
            <w:noWrap w:val="0"/>
            <w:vAlign w:val="center"/>
          </w:tcPr>
          <w:p w14:paraId="207D793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732" w:type="dxa"/>
            <w:noWrap w:val="0"/>
            <w:vAlign w:val="center"/>
          </w:tcPr>
          <w:p w14:paraId="30542B31">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default" w:ascii="Calibri" w:hAnsi="Calibri" w:eastAsia="宋体" w:cs="宋体"/>
                <w:color w:val="000000"/>
                <w:spacing w:val="0"/>
                <w:sz w:val="21"/>
                <w:szCs w:val="21"/>
                <w:lang w:val="en-US" w:eastAsia="zh-CN"/>
              </w:rPr>
            </w:pPr>
            <w:r>
              <w:rPr>
                <w:rFonts w:hint="eastAsia" w:ascii="Calibri" w:hAnsi="Calibri" w:cs="宋体"/>
                <w:color w:val="000000"/>
                <w:spacing w:val="0"/>
                <w:sz w:val="21"/>
                <w:szCs w:val="21"/>
                <w:lang w:val="en-US" w:eastAsia="zh-CN"/>
              </w:rPr>
              <w:t>2.578</w:t>
            </w:r>
            <w:r>
              <w:rPr>
                <w:rFonts w:hint="default" w:ascii="Calibri" w:hAnsi="Calibri" w:eastAsia="宋体" w:cs="宋体"/>
                <w:color w:val="000000"/>
                <w:spacing w:val="0"/>
                <w:sz w:val="21"/>
                <w:szCs w:val="21"/>
                <w:lang w:val="en-US" w:eastAsia="zh-CN"/>
              </w:rPr>
              <w:t>t/a</w:t>
            </w:r>
          </w:p>
        </w:tc>
        <w:tc>
          <w:tcPr>
            <w:tcW w:w="1053" w:type="dxa"/>
            <w:noWrap w:val="0"/>
            <w:vAlign w:val="center"/>
          </w:tcPr>
          <w:p w14:paraId="441E2E22">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eastAsia" w:ascii="Calibri" w:hAnsi="Calibri" w:eastAsia="宋体" w:cs="宋体"/>
                <w:color w:val="000000"/>
                <w:spacing w:val="0"/>
                <w:sz w:val="21"/>
                <w:szCs w:val="21"/>
                <w:lang w:val="en-US" w:eastAsia="zh-CN"/>
              </w:rPr>
            </w:pPr>
            <w:r>
              <w:rPr>
                <w:rFonts w:hint="eastAsia" w:ascii="Calibri" w:hAnsi="Calibri" w:eastAsia="宋体" w:cs="宋体"/>
                <w:color w:val="000000"/>
                <w:spacing w:val="0"/>
                <w:sz w:val="21"/>
                <w:szCs w:val="21"/>
                <w:lang w:val="en-US" w:eastAsia="zh-CN"/>
              </w:rPr>
              <w:t>/</w:t>
            </w:r>
          </w:p>
        </w:tc>
      </w:tr>
      <w:tr w14:paraId="5291E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74734EC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p>
        </w:tc>
        <w:tc>
          <w:tcPr>
            <w:tcW w:w="1502" w:type="dxa"/>
            <w:noWrap w:val="0"/>
            <w:vAlign w:val="center"/>
          </w:tcPr>
          <w:p w14:paraId="3518C7E4">
            <w:pPr>
              <w:keepNext w:val="0"/>
              <w:keepLines w:val="0"/>
              <w:pageBreakBefore w:val="0"/>
              <w:widowControl w:val="0"/>
              <w:kinsoku/>
              <w:wordWrap/>
              <w:overflowPunct/>
              <w:topLinePunct w:val="0"/>
              <w:autoSpaceDE/>
              <w:autoSpaceDN/>
              <w:bidi w:val="0"/>
              <w:snapToGrid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pacing w:val="0"/>
                <w:sz w:val="21"/>
                <w:szCs w:val="21"/>
              </w:rPr>
              <w:t>生活垃圾</w:t>
            </w:r>
          </w:p>
        </w:tc>
        <w:tc>
          <w:tcPr>
            <w:tcW w:w="1616" w:type="dxa"/>
            <w:noWrap w:val="0"/>
            <w:vAlign w:val="center"/>
          </w:tcPr>
          <w:p w14:paraId="2A5C1C31">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276" w:type="dxa"/>
            <w:noWrap w:val="0"/>
            <w:vAlign w:val="center"/>
          </w:tcPr>
          <w:p w14:paraId="5F3AF9DE">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01" w:type="dxa"/>
            <w:noWrap w:val="0"/>
            <w:vAlign w:val="center"/>
          </w:tcPr>
          <w:p w14:paraId="3B57DE0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559" w:type="dxa"/>
            <w:noWrap w:val="0"/>
            <w:vAlign w:val="center"/>
          </w:tcPr>
          <w:p w14:paraId="30207CA3">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rPr>
            </w:pPr>
            <w:r>
              <w:rPr>
                <w:rFonts w:hint="eastAsia" w:ascii="Calibri" w:hAnsi="Calibri" w:cs="宋体"/>
                <w:spacing w:val="0"/>
                <w:sz w:val="21"/>
                <w:szCs w:val="21"/>
                <w:lang w:val="en-US" w:eastAsia="zh-CN"/>
              </w:rPr>
              <w:t>21</w:t>
            </w:r>
            <w:r>
              <w:rPr>
                <w:rFonts w:hint="default" w:ascii="Calibri" w:hAnsi="Calibri" w:eastAsia="宋体" w:cs="宋体"/>
                <w:spacing w:val="0"/>
                <w:sz w:val="21"/>
                <w:szCs w:val="21"/>
              </w:rPr>
              <w:t>t/a</w:t>
            </w:r>
          </w:p>
        </w:tc>
        <w:tc>
          <w:tcPr>
            <w:tcW w:w="1761" w:type="dxa"/>
            <w:noWrap w:val="0"/>
            <w:vAlign w:val="center"/>
          </w:tcPr>
          <w:p w14:paraId="3BCCDC8A">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w:t>
            </w:r>
          </w:p>
        </w:tc>
        <w:tc>
          <w:tcPr>
            <w:tcW w:w="1732" w:type="dxa"/>
            <w:noWrap w:val="0"/>
            <w:vAlign w:val="center"/>
          </w:tcPr>
          <w:p w14:paraId="02FDBD38">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default" w:ascii="Calibri" w:hAnsi="Calibri" w:eastAsia="宋体" w:cs="宋体"/>
                <w:snapToGrid w:val="0"/>
                <w:color w:val="000000"/>
                <w:spacing w:val="0"/>
                <w:kern w:val="21"/>
                <w:sz w:val="21"/>
                <w:szCs w:val="21"/>
              </w:rPr>
            </w:pPr>
            <w:r>
              <w:rPr>
                <w:rFonts w:hint="eastAsia" w:ascii="Calibri" w:hAnsi="Calibri" w:cs="宋体"/>
                <w:spacing w:val="0"/>
                <w:sz w:val="21"/>
                <w:szCs w:val="21"/>
                <w:lang w:val="en-US" w:eastAsia="zh-CN"/>
              </w:rPr>
              <w:t>21</w:t>
            </w:r>
            <w:r>
              <w:rPr>
                <w:rFonts w:hint="default" w:ascii="Calibri" w:hAnsi="Calibri" w:eastAsia="宋体" w:cs="宋体"/>
                <w:spacing w:val="0"/>
                <w:sz w:val="21"/>
                <w:szCs w:val="21"/>
              </w:rPr>
              <w:t>t/a</w:t>
            </w:r>
          </w:p>
        </w:tc>
        <w:tc>
          <w:tcPr>
            <w:tcW w:w="1053" w:type="dxa"/>
            <w:noWrap w:val="0"/>
            <w:vAlign w:val="center"/>
          </w:tcPr>
          <w:p w14:paraId="04344A2F">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594926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restart"/>
            <w:noWrap w:val="0"/>
            <w:vAlign w:val="center"/>
          </w:tcPr>
          <w:p w14:paraId="7885F32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危险废物</w:t>
            </w:r>
          </w:p>
        </w:tc>
        <w:tc>
          <w:tcPr>
            <w:tcW w:w="1502" w:type="dxa"/>
            <w:noWrap w:val="0"/>
            <w:vAlign w:val="center"/>
          </w:tcPr>
          <w:p w14:paraId="662F22E0">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default" w:ascii="Calibri" w:hAnsi="Calibri" w:eastAsia="宋体" w:cs="宋体"/>
                <w:snapToGrid w:val="0"/>
                <w:color w:val="000000"/>
                <w:spacing w:val="0"/>
                <w:kern w:val="21"/>
                <w:sz w:val="21"/>
                <w:szCs w:val="21"/>
              </w:rPr>
              <w:t>废机油、废含油抹布、手套</w:t>
            </w:r>
          </w:p>
        </w:tc>
        <w:tc>
          <w:tcPr>
            <w:tcW w:w="1616" w:type="dxa"/>
            <w:noWrap w:val="0"/>
            <w:vAlign w:val="center"/>
          </w:tcPr>
          <w:p w14:paraId="2EAB921E">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Calibri" w:hAnsi="Calibri" w:eastAsia="宋体" w:cs="宋体"/>
                <w:snapToGrid w:val="0"/>
                <w:color w:val="000000"/>
                <w:spacing w:val="0"/>
                <w:kern w:val="21"/>
                <w:sz w:val="21"/>
                <w:szCs w:val="21"/>
              </w:rPr>
            </w:pPr>
            <w:r>
              <w:rPr>
                <w:rFonts w:hint="eastAsia" w:ascii="Calibri" w:hAnsi="Calibri" w:eastAsia="宋体" w:cs="宋体"/>
                <w:snapToGrid w:val="0"/>
                <w:color w:val="000000"/>
                <w:spacing w:val="0"/>
                <w:kern w:val="21"/>
                <w:sz w:val="21"/>
                <w:szCs w:val="21"/>
                <w:lang w:val="en-US" w:eastAsia="zh-CN"/>
              </w:rPr>
              <w:t>/</w:t>
            </w:r>
          </w:p>
        </w:tc>
        <w:tc>
          <w:tcPr>
            <w:tcW w:w="1276" w:type="dxa"/>
            <w:noWrap w:val="0"/>
            <w:vAlign w:val="center"/>
          </w:tcPr>
          <w:p w14:paraId="112DAB23">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Calibri" w:hAnsi="Calibri" w:eastAsia="宋体" w:cs="宋体"/>
                <w:snapToGrid w:val="0"/>
                <w:color w:val="000000"/>
                <w:spacing w:val="0"/>
                <w:kern w:val="21"/>
                <w:sz w:val="21"/>
                <w:szCs w:val="21"/>
              </w:rPr>
            </w:pPr>
            <w:r>
              <w:rPr>
                <w:rFonts w:hint="eastAsia" w:ascii="Calibri" w:hAnsi="Calibri" w:eastAsia="宋体" w:cs="宋体"/>
                <w:snapToGrid w:val="0"/>
                <w:color w:val="000000"/>
                <w:spacing w:val="0"/>
                <w:kern w:val="21"/>
                <w:sz w:val="21"/>
                <w:szCs w:val="21"/>
                <w:lang w:val="en-US" w:eastAsia="zh-CN"/>
              </w:rPr>
              <w:t>/</w:t>
            </w:r>
          </w:p>
        </w:tc>
        <w:tc>
          <w:tcPr>
            <w:tcW w:w="1701" w:type="dxa"/>
            <w:noWrap w:val="0"/>
            <w:vAlign w:val="center"/>
          </w:tcPr>
          <w:p w14:paraId="0F28ADEA">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Calibri" w:hAnsi="Calibri" w:eastAsia="宋体" w:cs="宋体"/>
                <w:snapToGrid w:val="0"/>
                <w:color w:val="000000"/>
                <w:spacing w:val="0"/>
                <w:kern w:val="21"/>
                <w:sz w:val="21"/>
                <w:szCs w:val="21"/>
              </w:rPr>
            </w:pPr>
            <w:r>
              <w:rPr>
                <w:rFonts w:hint="eastAsia" w:ascii="Calibri" w:hAnsi="Calibri" w:eastAsia="宋体" w:cs="宋体"/>
                <w:snapToGrid w:val="0"/>
                <w:color w:val="000000"/>
                <w:spacing w:val="0"/>
                <w:kern w:val="21"/>
                <w:sz w:val="21"/>
                <w:szCs w:val="21"/>
                <w:lang w:val="en-US" w:eastAsia="zh-CN"/>
              </w:rPr>
              <w:t>/</w:t>
            </w:r>
          </w:p>
        </w:tc>
        <w:tc>
          <w:tcPr>
            <w:tcW w:w="1559" w:type="dxa"/>
            <w:noWrap w:val="0"/>
            <w:vAlign w:val="center"/>
          </w:tcPr>
          <w:p w14:paraId="159915F2">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Calibri" w:hAnsi="Calibri" w:eastAsia="宋体" w:cs="宋体"/>
                <w:snapToGrid w:val="0"/>
                <w:color w:val="000000"/>
                <w:spacing w:val="0"/>
                <w:kern w:val="21"/>
                <w:sz w:val="21"/>
                <w:szCs w:val="21"/>
              </w:rPr>
            </w:pPr>
            <w:r>
              <w:rPr>
                <w:rFonts w:hint="eastAsia" w:ascii="Calibri" w:hAnsi="Calibri" w:eastAsia="宋体" w:cs="宋体"/>
                <w:spacing w:val="0"/>
                <w:kern w:val="2"/>
                <w:sz w:val="21"/>
                <w:szCs w:val="21"/>
                <w:lang w:val="en-US" w:eastAsia="zh-CN"/>
              </w:rPr>
              <w:t>0.55t/a</w:t>
            </w:r>
          </w:p>
        </w:tc>
        <w:tc>
          <w:tcPr>
            <w:tcW w:w="1761" w:type="dxa"/>
            <w:noWrap w:val="0"/>
            <w:vAlign w:val="center"/>
          </w:tcPr>
          <w:p w14:paraId="0071C00A">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Calibri" w:hAnsi="Calibri" w:eastAsia="宋体" w:cs="宋体"/>
                <w:snapToGrid w:val="0"/>
                <w:color w:val="000000"/>
                <w:spacing w:val="0"/>
                <w:kern w:val="21"/>
                <w:sz w:val="21"/>
                <w:szCs w:val="21"/>
              </w:rPr>
            </w:pPr>
            <w:r>
              <w:rPr>
                <w:rFonts w:hint="eastAsia" w:ascii="Calibri" w:hAnsi="Calibri" w:eastAsia="宋体" w:cs="宋体"/>
                <w:snapToGrid w:val="0"/>
                <w:color w:val="000000"/>
                <w:spacing w:val="0"/>
                <w:kern w:val="21"/>
                <w:sz w:val="21"/>
                <w:szCs w:val="21"/>
                <w:lang w:val="en-US" w:eastAsia="zh-CN"/>
              </w:rPr>
              <w:t>/</w:t>
            </w:r>
          </w:p>
        </w:tc>
        <w:tc>
          <w:tcPr>
            <w:tcW w:w="1732" w:type="dxa"/>
            <w:noWrap w:val="0"/>
            <w:vAlign w:val="center"/>
          </w:tcPr>
          <w:p w14:paraId="44305F24">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default" w:ascii="Calibri" w:hAnsi="Calibri" w:eastAsia="宋体" w:cs="宋体"/>
                <w:snapToGrid w:val="0"/>
                <w:color w:val="000000"/>
                <w:spacing w:val="0"/>
                <w:kern w:val="21"/>
                <w:sz w:val="21"/>
                <w:szCs w:val="21"/>
              </w:rPr>
            </w:pPr>
            <w:r>
              <w:rPr>
                <w:rFonts w:hint="eastAsia" w:ascii="Calibri" w:hAnsi="Calibri" w:eastAsia="宋体" w:cs="宋体"/>
                <w:spacing w:val="0"/>
                <w:kern w:val="2"/>
                <w:sz w:val="21"/>
                <w:szCs w:val="21"/>
                <w:lang w:val="en-US" w:eastAsia="zh-CN"/>
              </w:rPr>
              <w:t>0.55t/a</w:t>
            </w:r>
          </w:p>
        </w:tc>
        <w:tc>
          <w:tcPr>
            <w:tcW w:w="1053" w:type="dxa"/>
            <w:noWrap w:val="0"/>
            <w:vAlign w:val="center"/>
          </w:tcPr>
          <w:p w14:paraId="557E813C">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eastAsia"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r>
      <w:tr w14:paraId="5B7C68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30A0E6B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p>
        </w:tc>
        <w:tc>
          <w:tcPr>
            <w:tcW w:w="1502" w:type="dxa"/>
            <w:noWrap w:val="0"/>
            <w:vAlign w:val="center"/>
          </w:tcPr>
          <w:p w14:paraId="274FC01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废活性炭</w:t>
            </w:r>
          </w:p>
        </w:tc>
        <w:tc>
          <w:tcPr>
            <w:tcW w:w="1616" w:type="dxa"/>
            <w:noWrap w:val="0"/>
            <w:vAlign w:val="center"/>
          </w:tcPr>
          <w:p w14:paraId="146F932B">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276" w:type="dxa"/>
            <w:noWrap w:val="0"/>
            <w:vAlign w:val="center"/>
          </w:tcPr>
          <w:p w14:paraId="0AF692CC">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701" w:type="dxa"/>
            <w:noWrap w:val="0"/>
            <w:vAlign w:val="center"/>
          </w:tcPr>
          <w:p w14:paraId="24C27D9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559" w:type="dxa"/>
            <w:noWrap w:val="0"/>
            <w:vAlign w:val="center"/>
          </w:tcPr>
          <w:p w14:paraId="2B20158A">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pacing w:val="0"/>
                <w:kern w:val="2"/>
                <w:sz w:val="21"/>
                <w:szCs w:val="21"/>
                <w:lang w:val="en-US" w:eastAsia="zh-CN"/>
              </w:rPr>
            </w:pPr>
            <w:r>
              <w:rPr>
                <w:rFonts w:hint="eastAsia" w:ascii="Calibri" w:hAnsi="Calibri" w:eastAsia="宋体" w:cs="宋体"/>
                <w:spacing w:val="0"/>
                <w:kern w:val="2"/>
                <w:sz w:val="21"/>
                <w:szCs w:val="21"/>
                <w:lang w:val="en-US" w:eastAsia="zh-CN"/>
              </w:rPr>
              <w:t>1.55t/a</w:t>
            </w:r>
          </w:p>
        </w:tc>
        <w:tc>
          <w:tcPr>
            <w:tcW w:w="1761" w:type="dxa"/>
            <w:noWrap w:val="0"/>
            <w:vAlign w:val="center"/>
          </w:tcPr>
          <w:p w14:paraId="07142CC7">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732" w:type="dxa"/>
            <w:noWrap w:val="0"/>
            <w:vAlign w:val="center"/>
          </w:tcPr>
          <w:p w14:paraId="5C8B4092">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eastAsia" w:ascii="Calibri" w:hAnsi="Calibri" w:eastAsia="宋体" w:cs="宋体"/>
                <w:spacing w:val="0"/>
                <w:kern w:val="2"/>
                <w:sz w:val="21"/>
                <w:szCs w:val="21"/>
                <w:lang w:val="en-US" w:eastAsia="zh-CN"/>
              </w:rPr>
            </w:pPr>
            <w:r>
              <w:rPr>
                <w:rFonts w:hint="eastAsia" w:ascii="Calibri" w:hAnsi="Calibri" w:eastAsia="宋体" w:cs="宋体"/>
                <w:spacing w:val="0"/>
                <w:kern w:val="2"/>
                <w:sz w:val="21"/>
                <w:szCs w:val="21"/>
                <w:lang w:val="en-US" w:eastAsia="zh-CN"/>
              </w:rPr>
              <w:t>1.55t/a</w:t>
            </w:r>
          </w:p>
        </w:tc>
        <w:tc>
          <w:tcPr>
            <w:tcW w:w="1053" w:type="dxa"/>
            <w:noWrap w:val="0"/>
            <w:vAlign w:val="center"/>
          </w:tcPr>
          <w:p w14:paraId="40A00262">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cs="宋体"/>
                <w:snapToGrid w:val="0"/>
                <w:color w:val="000000"/>
                <w:spacing w:val="0"/>
                <w:kern w:val="21"/>
                <w:sz w:val="21"/>
                <w:szCs w:val="21"/>
                <w:lang w:val="en-US" w:eastAsia="zh-CN"/>
              </w:rPr>
              <w:t>/</w:t>
            </w:r>
          </w:p>
        </w:tc>
      </w:tr>
      <w:tr w14:paraId="0CDBDE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8" w:type="dxa"/>
            <w:vMerge w:val="continue"/>
            <w:noWrap w:val="0"/>
            <w:vAlign w:val="center"/>
          </w:tcPr>
          <w:p w14:paraId="4722232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p>
        </w:tc>
        <w:tc>
          <w:tcPr>
            <w:tcW w:w="1502" w:type="dxa"/>
            <w:noWrap w:val="0"/>
            <w:vAlign w:val="center"/>
          </w:tcPr>
          <w:p w14:paraId="442706EB">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rPr>
            </w:pPr>
            <w:r>
              <w:rPr>
                <w:rFonts w:hint="default" w:ascii="Calibri" w:hAnsi="Calibri" w:eastAsia="宋体" w:cs="宋体"/>
                <w:snapToGrid w:val="0"/>
                <w:color w:val="000000"/>
                <w:spacing w:val="0"/>
                <w:kern w:val="21"/>
                <w:sz w:val="21"/>
                <w:szCs w:val="21"/>
              </w:rPr>
              <w:t>废催化剂、废玻璃纤维棉和纸箱过滤器</w:t>
            </w:r>
          </w:p>
        </w:tc>
        <w:tc>
          <w:tcPr>
            <w:tcW w:w="1616" w:type="dxa"/>
            <w:noWrap w:val="0"/>
            <w:vAlign w:val="center"/>
          </w:tcPr>
          <w:p w14:paraId="581BD235">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276" w:type="dxa"/>
            <w:noWrap w:val="0"/>
            <w:vAlign w:val="center"/>
          </w:tcPr>
          <w:p w14:paraId="1BBED9BA">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701" w:type="dxa"/>
            <w:noWrap w:val="0"/>
            <w:vAlign w:val="center"/>
          </w:tcPr>
          <w:p w14:paraId="65F0E204">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559" w:type="dxa"/>
            <w:noWrap w:val="0"/>
            <w:vAlign w:val="center"/>
          </w:tcPr>
          <w:p w14:paraId="3FCC03B8">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pacing w:val="0"/>
                <w:kern w:val="2"/>
                <w:sz w:val="21"/>
                <w:szCs w:val="21"/>
                <w:lang w:val="en-US" w:eastAsia="zh-CN"/>
              </w:rPr>
            </w:pPr>
            <w:r>
              <w:rPr>
                <w:rFonts w:hint="eastAsia" w:ascii="Calibri" w:hAnsi="Calibri" w:eastAsia="宋体" w:cs="宋体"/>
                <w:spacing w:val="0"/>
                <w:kern w:val="2"/>
                <w:sz w:val="21"/>
                <w:szCs w:val="21"/>
                <w:lang w:val="en-US" w:eastAsia="zh-CN"/>
              </w:rPr>
              <w:t>0.5m</w:t>
            </w:r>
            <w:r>
              <w:rPr>
                <w:rFonts w:hint="eastAsia" w:ascii="Calibri" w:hAnsi="Calibri" w:eastAsia="宋体" w:cs="宋体"/>
                <w:spacing w:val="0"/>
                <w:kern w:val="2"/>
                <w:sz w:val="21"/>
                <w:szCs w:val="21"/>
                <w:vertAlign w:val="superscript"/>
                <w:lang w:val="en-US" w:eastAsia="zh-CN"/>
              </w:rPr>
              <w:t>3</w:t>
            </w:r>
            <w:r>
              <w:rPr>
                <w:rFonts w:hint="eastAsia" w:ascii="Calibri" w:hAnsi="Calibri" w:eastAsia="宋体" w:cs="宋体"/>
                <w:spacing w:val="0"/>
                <w:kern w:val="2"/>
                <w:sz w:val="21"/>
                <w:szCs w:val="21"/>
                <w:lang w:val="en-US" w:eastAsia="zh-CN"/>
              </w:rPr>
              <w:t>/4a</w:t>
            </w:r>
          </w:p>
        </w:tc>
        <w:tc>
          <w:tcPr>
            <w:tcW w:w="1761" w:type="dxa"/>
            <w:noWrap w:val="0"/>
            <w:vAlign w:val="center"/>
          </w:tcPr>
          <w:p w14:paraId="294B74EF">
            <w:pPr>
              <w:pStyle w:val="43"/>
              <w:keepNext w:val="0"/>
              <w:keepLines w:val="0"/>
              <w:pageBreakBefore w:val="0"/>
              <w:widowControl w:val="0"/>
              <w:kinsoku/>
              <w:wordWrap/>
              <w:overflowPunct/>
              <w:topLinePunct w:val="0"/>
              <w:autoSpaceDE/>
              <w:autoSpaceDN/>
              <w:bidi w:val="0"/>
              <w:spacing w:beforeLines="0" w:afterLines="0" w:line="240" w:lineRule="auto"/>
              <w:ind w:left="0" w:firstLine="0" w:firstLineChars="0"/>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eastAsia="宋体" w:cs="宋体"/>
                <w:snapToGrid w:val="0"/>
                <w:color w:val="000000"/>
                <w:spacing w:val="0"/>
                <w:kern w:val="21"/>
                <w:sz w:val="21"/>
                <w:szCs w:val="21"/>
                <w:lang w:val="en-US" w:eastAsia="zh-CN"/>
              </w:rPr>
              <w:t>/</w:t>
            </w:r>
          </w:p>
        </w:tc>
        <w:tc>
          <w:tcPr>
            <w:tcW w:w="1732" w:type="dxa"/>
            <w:noWrap w:val="0"/>
            <w:vAlign w:val="center"/>
          </w:tcPr>
          <w:p w14:paraId="101450AD">
            <w:pPr>
              <w:pStyle w:val="43"/>
              <w:keepNext w:val="0"/>
              <w:keepLines w:val="0"/>
              <w:pageBreakBefore w:val="0"/>
              <w:widowControl w:val="0"/>
              <w:kinsoku/>
              <w:wordWrap/>
              <w:overflowPunct/>
              <w:topLinePunct w:val="0"/>
              <w:autoSpaceDE/>
              <w:autoSpaceDN/>
              <w:bidi w:val="0"/>
              <w:spacing w:beforeLines="0" w:afterLines="0" w:line="240" w:lineRule="auto"/>
              <w:ind w:left="0" w:leftChars="0" w:firstLine="0" w:firstLineChars="0"/>
              <w:textAlignment w:val="auto"/>
              <w:rPr>
                <w:rFonts w:hint="eastAsia" w:ascii="Calibri" w:hAnsi="Calibri" w:eastAsia="宋体" w:cs="宋体"/>
                <w:spacing w:val="0"/>
                <w:kern w:val="2"/>
                <w:sz w:val="21"/>
                <w:szCs w:val="21"/>
                <w:lang w:val="en-US" w:eastAsia="zh-CN"/>
              </w:rPr>
            </w:pPr>
            <w:r>
              <w:rPr>
                <w:rFonts w:hint="eastAsia" w:ascii="Calibri" w:hAnsi="Calibri" w:eastAsia="宋体" w:cs="宋体"/>
                <w:spacing w:val="0"/>
                <w:kern w:val="2"/>
                <w:sz w:val="21"/>
                <w:szCs w:val="21"/>
                <w:lang w:val="en-US" w:eastAsia="zh-CN"/>
              </w:rPr>
              <w:t>0.5m</w:t>
            </w:r>
            <w:r>
              <w:rPr>
                <w:rFonts w:hint="eastAsia" w:ascii="Calibri" w:hAnsi="Calibri" w:eastAsia="宋体" w:cs="宋体"/>
                <w:spacing w:val="0"/>
                <w:kern w:val="2"/>
                <w:sz w:val="21"/>
                <w:szCs w:val="21"/>
                <w:vertAlign w:val="superscript"/>
                <w:lang w:val="en-US" w:eastAsia="zh-CN"/>
              </w:rPr>
              <w:t>3</w:t>
            </w:r>
            <w:r>
              <w:rPr>
                <w:rFonts w:hint="eastAsia" w:ascii="Calibri" w:hAnsi="Calibri" w:eastAsia="宋体" w:cs="宋体"/>
                <w:spacing w:val="0"/>
                <w:kern w:val="2"/>
                <w:sz w:val="21"/>
                <w:szCs w:val="21"/>
                <w:lang w:val="en-US" w:eastAsia="zh-CN"/>
              </w:rPr>
              <w:t>/4a</w:t>
            </w:r>
          </w:p>
        </w:tc>
        <w:tc>
          <w:tcPr>
            <w:tcW w:w="1053" w:type="dxa"/>
            <w:noWrap w:val="0"/>
            <w:vAlign w:val="center"/>
          </w:tcPr>
          <w:p w14:paraId="0659862D">
            <w:pPr>
              <w:keepNext w:val="0"/>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default" w:ascii="Calibri" w:hAnsi="Calibri" w:eastAsia="宋体" w:cs="宋体"/>
                <w:snapToGrid w:val="0"/>
                <w:color w:val="000000"/>
                <w:spacing w:val="0"/>
                <w:kern w:val="21"/>
                <w:sz w:val="21"/>
                <w:szCs w:val="21"/>
                <w:lang w:val="en-US" w:eastAsia="zh-CN"/>
              </w:rPr>
            </w:pPr>
            <w:r>
              <w:rPr>
                <w:rFonts w:hint="eastAsia" w:ascii="Calibri" w:hAnsi="Calibri" w:cs="宋体"/>
                <w:snapToGrid w:val="0"/>
                <w:color w:val="000000"/>
                <w:spacing w:val="0"/>
                <w:kern w:val="21"/>
                <w:sz w:val="21"/>
                <w:szCs w:val="21"/>
                <w:lang w:val="en-US" w:eastAsia="zh-CN"/>
              </w:rPr>
              <w:t>/</w:t>
            </w:r>
          </w:p>
        </w:tc>
      </w:tr>
    </w:tbl>
    <w:p w14:paraId="0A1FBE7B">
      <w:pPr>
        <w:pStyle w:val="43"/>
        <w:spacing w:before="192" w:beforeLines="80" w:after="24"/>
        <w:jc w:val="left"/>
        <w:rPr>
          <w:rFonts w:hint="eastAsia" w:ascii="宋体" w:hAnsi="宋体" w:eastAsia="宋体" w:cs="宋体"/>
          <w:snapToGrid w:val="0"/>
          <w:color w:val="000000"/>
          <w:spacing w:val="-6"/>
          <w:kern w:val="21"/>
          <w:sz w:val="24"/>
          <w:szCs w:val="24"/>
        </w:rPr>
      </w:pPr>
      <w:r>
        <w:rPr>
          <w:rFonts w:hint="eastAsia" w:ascii="宋体" w:hAnsi="宋体" w:eastAsia="宋体" w:cs="宋体"/>
          <w:snapToGrid w:val="0"/>
          <w:color w:val="000000"/>
          <w:kern w:val="21"/>
          <w:sz w:val="24"/>
          <w:szCs w:val="24"/>
        </w:rPr>
        <w:t>注：</w:t>
      </w:r>
      <w:r>
        <w:rPr>
          <w:rFonts w:hint="eastAsia" w:ascii="宋体" w:hAnsi="宋体" w:eastAsia="宋体" w:cs="宋体"/>
          <w:snapToGrid w:val="0"/>
          <w:color w:val="000000"/>
          <w:spacing w:val="-16"/>
          <w:kern w:val="21"/>
          <w:sz w:val="24"/>
          <w:szCs w:val="24"/>
        </w:rPr>
        <w:fldChar w:fldCharType="begin"/>
      </w:r>
      <w:r>
        <w:rPr>
          <w:rFonts w:hint="eastAsia" w:ascii="宋体" w:hAnsi="宋体" w:eastAsia="宋体" w:cs="宋体"/>
          <w:snapToGrid w:val="0"/>
          <w:color w:val="000000"/>
          <w:spacing w:val="-16"/>
          <w:kern w:val="21"/>
          <w:sz w:val="24"/>
          <w:szCs w:val="24"/>
        </w:rPr>
        <w:instrText xml:space="preserve"> = 6 \* GB3 \* MERGEFORMAT </w:instrText>
      </w:r>
      <w:r>
        <w:rPr>
          <w:rFonts w:hint="eastAsia" w:ascii="宋体" w:hAnsi="宋体" w:eastAsia="宋体" w:cs="宋体"/>
          <w:snapToGrid w:val="0"/>
          <w:color w:val="000000"/>
          <w:spacing w:val="-16"/>
          <w:kern w:val="21"/>
          <w:sz w:val="24"/>
          <w:szCs w:val="24"/>
        </w:rPr>
        <w:fldChar w:fldCharType="separate"/>
      </w:r>
      <w:r>
        <w:rPr>
          <w:rFonts w:hint="eastAsia" w:ascii="宋体" w:hAnsi="宋体" w:eastAsia="宋体" w:cs="宋体"/>
          <w:sz w:val="24"/>
          <w:szCs w:val="24"/>
        </w:rPr>
        <w:t>⑥</w:t>
      </w:r>
      <w:r>
        <w:rPr>
          <w:rFonts w:hint="eastAsia" w:ascii="宋体" w:hAnsi="宋体" w:eastAsia="宋体" w:cs="宋体"/>
          <w:snapToGrid w:val="0"/>
          <w:color w:val="000000"/>
          <w:spacing w:val="-16"/>
          <w:kern w:val="21"/>
          <w:sz w:val="24"/>
          <w:szCs w:val="24"/>
        </w:rPr>
        <w:fldChar w:fldCharType="end"/>
      </w:r>
      <w:r>
        <w:rPr>
          <w:rFonts w:hint="eastAsia" w:ascii="宋体" w:hAnsi="宋体" w:eastAsia="宋体" w:cs="宋体"/>
          <w:snapToGrid w:val="0"/>
          <w:color w:val="000000"/>
          <w:spacing w:val="-16"/>
          <w:kern w:val="21"/>
          <w:sz w:val="24"/>
          <w:szCs w:val="24"/>
        </w:rPr>
        <w:t>=</w:t>
      </w:r>
      <w:r>
        <w:rPr>
          <w:rFonts w:hint="eastAsia" w:ascii="宋体" w:hAnsi="宋体" w:eastAsia="宋体" w:cs="宋体"/>
          <w:snapToGrid w:val="0"/>
          <w:color w:val="000000"/>
          <w:spacing w:val="-6"/>
          <w:kern w:val="21"/>
          <w:sz w:val="24"/>
          <w:szCs w:val="24"/>
        </w:rPr>
        <w:fldChar w:fldCharType="begin"/>
      </w:r>
      <w:r>
        <w:rPr>
          <w:rFonts w:hint="eastAsia" w:ascii="宋体" w:hAnsi="宋体" w:eastAsia="宋体" w:cs="宋体"/>
          <w:snapToGrid w:val="0"/>
          <w:color w:val="000000"/>
          <w:spacing w:val="-6"/>
          <w:kern w:val="21"/>
          <w:sz w:val="24"/>
          <w:szCs w:val="24"/>
        </w:rPr>
        <w:instrText xml:space="preserve"> = 1 \* GB3 \* MERGEFORMAT </w:instrText>
      </w:r>
      <w:r>
        <w:rPr>
          <w:rFonts w:hint="eastAsia" w:ascii="宋体" w:hAnsi="宋体" w:eastAsia="宋体" w:cs="宋体"/>
          <w:snapToGrid w:val="0"/>
          <w:color w:val="000000"/>
          <w:spacing w:val="-6"/>
          <w:kern w:val="21"/>
          <w:sz w:val="24"/>
          <w:szCs w:val="24"/>
        </w:rPr>
        <w:fldChar w:fldCharType="separate"/>
      </w:r>
      <w:r>
        <w:rPr>
          <w:rFonts w:hint="eastAsia" w:ascii="宋体" w:hAnsi="宋体" w:eastAsia="宋体" w:cs="宋体"/>
          <w:sz w:val="24"/>
          <w:szCs w:val="24"/>
        </w:rPr>
        <w:t>①</w:t>
      </w:r>
      <w:r>
        <w:rPr>
          <w:rFonts w:hint="eastAsia" w:ascii="宋体" w:hAnsi="宋体" w:eastAsia="宋体" w:cs="宋体"/>
          <w:snapToGrid w:val="0"/>
          <w:color w:val="000000"/>
          <w:spacing w:val="-6"/>
          <w:kern w:val="21"/>
          <w:sz w:val="24"/>
          <w:szCs w:val="24"/>
        </w:rPr>
        <w:fldChar w:fldCharType="end"/>
      </w:r>
      <w:r>
        <w:rPr>
          <w:rFonts w:hint="eastAsia" w:ascii="宋体" w:hAnsi="宋体" w:eastAsia="宋体" w:cs="宋体"/>
          <w:snapToGrid w:val="0"/>
          <w:color w:val="000000"/>
          <w:spacing w:val="-6"/>
          <w:kern w:val="21"/>
          <w:sz w:val="24"/>
          <w:szCs w:val="24"/>
        </w:rPr>
        <w:t>+</w:t>
      </w:r>
      <w:r>
        <w:rPr>
          <w:rFonts w:hint="eastAsia" w:ascii="宋体" w:hAnsi="宋体" w:eastAsia="宋体" w:cs="宋体"/>
          <w:snapToGrid w:val="0"/>
          <w:color w:val="000000"/>
          <w:spacing w:val="-6"/>
          <w:kern w:val="21"/>
          <w:sz w:val="24"/>
          <w:szCs w:val="24"/>
        </w:rPr>
        <w:fldChar w:fldCharType="begin"/>
      </w:r>
      <w:r>
        <w:rPr>
          <w:rFonts w:hint="eastAsia" w:ascii="宋体" w:hAnsi="宋体" w:eastAsia="宋体" w:cs="宋体"/>
          <w:snapToGrid w:val="0"/>
          <w:color w:val="000000"/>
          <w:spacing w:val="-6"/>
          <w:kern w:val="21"/>
          <w:sz w:val="24"/>
          <w:szCs w:val="24"/>
        </w:rPr>
        <w:instrText xml:space="preserve"> = 3 \* GB3 \* MERGEFORMAT </w:instrText>
      </w:r>
      <w:r>
        <w:rPr>
          <w:rFonts w:hint="eastAsia" w:ascii="宋体" w:hAnsi="宋体" w:eastAsia="宋体" w:cs="宋体"/>
          <w:snapToGrid w:val="0"/>
          <w:color w:val="000000"/>
          <w:spacing w:val="-6"/>
          <w:kern w:val="21"/>
          <w:sz w:val="24"/>
          <w:szCs w:val="24"/>
        </w:rPr>
        <w:fldChar w:fldCharType="separate"/>
      </w:r>
      <w:r>
        <w:rPr>
          <w:rFonts w:hint="eastAsia" w:ascii="宋体" w:hAnsi="宋体" w:eastAsia="宋体" w:cs="宋体"/>
          <w:sz w:val="24"/>
          <w:szCs w:val="24"/>
        </w:rPr>
        <w:t>③</w:t>
      </w:r>
      <w:r>
        <w:rPr>
          <w:rFonts w:hint="eastAsia" w:ascii="宋体" w:hAnsi="宋体" w:eastAsia="宋体" w:cs="宋体"/>
          <w:snapToGrid w:val="0"/>
          <w:color w:val="000000"/>
          <w:spacing w:val="-6"/>
          <w:kern w:val="21"/>
          <w:sz w:val="24"/>
          <w:szCs w:val="24"/>
        </w:rPr>
        <w:fldChar w:fldCharType="end"/>
      </w:r>
      <w:r>
        <w:rPr>
          <w:rFonts w:hint="eastAsia" w:ascii="宋体" w:hAnsi="宋体" w:eastAsia="宋体" w:cs="宋体"/>
          <w:snapToGrid w:val="0"/>
          <w:color w:val="000000"/>
          <w:spacing w:val="-6"/>
          <w:kern w:val="21"/>
          <w:sz w:val="24"/>
          <w:szCs w:val="24"/>
        </w:rPr>
        <w:t>+</w:t>
      </w:r>
      <w:r>
        <w:rPr>
          <w:rFonts w:hint="eastAsia" w:ascii="宋体" w:hAnsi="宋体" w:eastAsia="宋体" w:cs="宋体"/>
          <w:snapToGrid w:val="0"/>
          <w:color w:val="000000"/>
          <w:spacing w:val="-6"/>
          <w:kern w:val="21"/>
          <w:sz w:val="24"/>
          <w:szCs w:val="24"/>
        </w:rPr>
        <w:fldChar w:fldCharType="begin"/>
      </w:r>
      <w:r>
        <w:rPr>
          <w:rFonts w:hint="eastAsia" w:ascii="宋体" w:hAnsi="宋体" w:eastAsia="宋体" w:cs="宋体"/>
          <w:snapToGrid w:val="0"/>
          <w:color w:val="000000"/>
          <w:spacing w:val="-6"/>
          <w:kern w:val="21"/>
          <w:sz w:val="24"/>
          <w:szCs w:val="24"/>
        </w:rPr>
        <w:instrText xml:space="preserve"> = 4 \* GB3 \* MERGEFORMAT </w:instrText>
      </w:r>
      <w:r>
        <w:rPr>
          <w:rFonts w:hint="eastAsia" w:ascii="宋体" w:hAnsi="宋体" w:eastAsia="宋体" w:cs="宋体"/>
          <w:snapToGrid w:val="0"/>
          <w:color w:val="000000"/>
          <w:spacing w:val="-6"/>
          <w:kern w:val="21"/>
          <w:sz w:val="24"/>
          <w:szCs w:val="24"/>
        </w:rPr>
        <w:fldChar w:fldCharType="separate"/>
      </w:r>
      <w:r>
        <w:rPr>
          <w:rFonts w:hint="eastAsia" w:ascii="宋体" w:hAnsi="宋体" w:eastAsia="宋体" w:cs="宋体"/>
          <w:sz w:val="24"/>
          <w:szCs w:val="24"/>
        </w:rPr>
        <w:t>④</w:t>
      </w:r>
      <w:r>
        <w:rPr>
          <w:rFonts w:hint="eastAsia" w:ascii="宋体" w:hAnsi="宋体" w:eastAsia="宋体" w:cs="宋体"/>
          <w:snapToGrid w:val="0"/>
          <w:color w:val="000000"/>
          <w:spacing w:val="-6"/>
          <w:kern w:val="21"/>
          <w:sz w:val="24"/>
          <w:szCs w:val="24"/>
        </w:rPr>
        <w:fldChar w:fldCharType="end"/>
      </w:r>
      <w:r>
        <w:rPr>
          <w:rFonts w:hint="eastAsia" w:ascii="宋体" w:hAnsi="宋体" w:eastAsia="宋体" w:cs="宋体"/>
          <w:snapToGrid w:val="0"/>
          <w:color w:val="000000"/>
          <w:spacing w:val="-6"/>
          <w:kern w:val="21"/>
          <w:sz w:val="24"/>
          <w:szCs w:val="24"/>
        </w:rPr>
        <w:t>-</w:t>
      </w:r>
      <w:r>
        <w:rPr>
          <w:rFonts w:hint="eastAsia" w:ascii="宋体" w:hAnsi="宋体" w:eastAsia="宋体" w:cs="宋体"/>
          <w:snapToGrid w:val="0"/>
          <w:color w:val="000000"/>
          <w:spacing w:val="-16"/>
          <w:kern w:val="21"/>
          <w:sz w:val="24"/>
          <w:szCs w:val="24"/>
        </w:rPr>
        <w:fldChar w:fldCharType="begin"/>
      </w:r>
      <w:r>
        <w:rPr>
          <w:rFonts w:hint="eastAsia" w:ascii="宋体" w:hAnsi="宋体" w:eastAsia="宋体" w:cs="宋体"/>
          <w:snapToGrid w:val="0"/>
          <w:color w:val="000000"/>
          <w:spacing w:val="-16"/>
          <w:kern w:val="21"/>
          <w:sz w:val="24"/>
          <w:szCs w:val="24"/>
        </w:rPr>
        <w:instrText xml:space="preserve"> = 5 \* GB3 \* MERGEFORMAT </w:instrText>
      </w:r>
      <w:r>
        <w:rPr>
          <w:rFonts w:hint="eastAsia" w:ascii="宋体" w:hAnsi="宋体" w:eastAsia="宋体" w:cs="宋体"/>
          <w:snapToGrid w:val="0"/>
          <w:color w:val="000000"/>
          <w:spacing w:val="-16"/>
          <w:kern w:val="21"/>
          <w:sz w:val="24"/>
          <w:szCs w:val="24"/>
        </w:rPr>
        <w:fldChar w:fldCharType="separate"/>
      </w:r>
      <w:r>
        <w:rPr>
          <w:rFonts w:hint="eastAsia" w:ascii="宋体" w:hAnsi="宋体" w:eastAsia="宋体" w:cs="宋体"/>
          <w:sz w:val="24"/>
          <w:szCs w:val="24"/>
        </w:rPr>
        <w:t>⑤</w:t>
      </w:r>
      <w:r>
        <w:rPr>
          <w:rFonts w:hint="eastAsia" w:ascii="宋体" w:hAnsi="宋体" w:eastAsia="宋体" w:cs="宋体"/>
          <w:snapToGrid w:val="0"/>
          <w:color w:val="000000"/>
          <w:spacing w:val="-16"/>
          <w:kern w:val="21"/>
          <w:sz w:val="24"/>
          <w:szCs w:val="24"/>
        </w:rPr>
        <w:fldChar w:fldCharType="end"/>
      </w:r>
      <w:r>
        <w:rPr>
          <w:rFonts w:hint="eastAsia" w:ascii="宋体" w:hAnsi="宋体" w:eastAsia="宋体" w:cs="宋体"/>
          <w:snapToGrid w:val="0"/>
          <w:color w:val="000000"/>
          <w:spacing w:val="-16"/>
          <w:kern w:val="21"/>
          <w:sz w:val="24"/>
          <w:szCs w:val="24"/>
        </w:rPr>
        <w:t>；</w:t>
      </w:r>
      <w:r>
        <w:rPr>
          <w:rFonts w:hint="eastAsia" w:ascii="宋体" w:hAnsi="宋体" w:eastAsia="宋体" w:cs="宋体"/>
          <w:snapToGrid w:val="0"/>
          <w:color w:val="000000"/>
          <w:spacing w:val="-6"/>
          <w:kern w:val="21"/>
          <w:sz w:val="24"/>
          <w:szCs w:val="24"/>
        </w:rPr>
        <w:fldChar w:fldCharType="begin"/>
      </w:r>
      <w:r>
        <w:rPr>
          <w:rFonts w:hint="eastAsia" w:ascii="宋体" w:hAnsi="宋体" w:eastAsia="宋体" w:cs="宋体"/>
          <w:snapToGrid w:val="0"/>
          <w:color w:val="000000"/>
          <w:spacing w:val="-6"/>
          <w:kern w:val="21"/>
          <w:sz w:val="24"/>
          <w:szCs w:val="24"/>
        </w:rPr>
        <w:instrText xml:space="preserve"> = 7 \* GB3 \* MERGEFORMAT </w:instrText>
      </w:r>
      <w:r>
        <w:rPr>
          <w:rFonts w:hint="eastAsia" w:ascii="宋体" w:hAnsi="宋体" w:eastAsia="宋体" w:cs="宋体"/>
          <w:snapToGrid w:val="0"/>
          <w:color w:val="000000"/>
          <w:spacing w:val="-6"/>
          <w:kern w:val="21"/>
          <w:sz w:val="24"/>
          <w:szCs w:val="24"/>
        </w:rPr>
        <w:fldChar w:fldCharType="separate"/>
      </w:r>
      <w:r>
        <w:rPr>
          <w:rFonts w:hint="eastAsia" w:ascii="宋体" w:hAnsi="宋体" w:eastAsia="宋体" w:cs="宋体"/>
          <w:sz w:val="24"/>
          <w:szCs w:val="24"/>
        </w:rPr>
        <w:t>⑦</w:t>
      </w:r>
      <w:r>
        <w:rPr>
          <w:rFonts w:hint="eastAsia" w:ascii="宋体" w:hAnsi="宋体" w:eastAsia="宋体" w:cs="宋体"/>
          <w:snapToGrid w:val="0"/>
          <w:color w:val="000000"/>
          <w:spacing w:val="-6"/>
          <w:kern w:val="21"/>
          <w:sz w:val="24"/>
          <w:szCs w:val="24"/>
        </w:rPr>
        <w:fldChar w:fldCharType="end"/>
      </w:r>
      <w:r>
        <w:rPr>
          <w:rFonts w:hint="eastAsia" w:ascii="宋体" w:hAnsi="宋体" w:eastAsia="宋体" w:cs="宋体"/>
          <w:snapToGrid w:val="0"/>
          <w:color w:val="000000"/>
          <w:spacing w:val="-6"/>
          <w:kern w:val="21"/>
          <w:sz w:val="24"/>
          <w:szCs w:val="24"/>
        </w:rPr>
        <w:t>=</w:t>
      </w:r>
      <w:r>
        <w:rPr>
          <w:rFonts w:hint="eastAsia" w:ascii="宋体" w:hAnsi="宋体" w:eastAsia="宋体" w:cs="宋体"/>
          <w:snapToGrid w:val="0"/>
          <w:color w:val="000000"/>
          <w:spacing w:val="-16"/>
          <w:kern w:val="21"/>
          <w:sz w:val="24"/>
          <w:szCs w:val="24"/>
        </w:rPr>
        <w:fldChar w:fldCharType="begin"/>
      </w:r>
      <w:r>
        <w:rPr>
          <w:rFonts w:hint="eastAsia" w:ascii="宋体" w:hAnsi="宋体" w:eastAsia="宋体" w:cs="宋体"/>
          <w:snapToGrid w:val="0"/>
          <w:color w:val="000000"/>
          <w:spacing w:val="-16"/>
          <w:kern w:val="21"/>
          <w:sz w:val="24"/>
          <w:szCs w:val="24"/>
        </w:rPr>
        <w:instrText xml:space="preserve"> = 6 \* GB3 \* MERGEFORMAT </w:instrText>
      </w:r>
      <w:r>
        <w:rPr>
          <w:rFonts w:hint="eastAsia" w:ascii="宋体" w:hAnsi="宋体" w:eastAsia="宋体" w:cs="宋体"/>
          <w:snapToGrid w:val="0"/>
          <w:color w:val="000000"/>
          <w:spacing w:val="-16"/>
          <w:kern w:val="21"/>
          <w:sz w:val="24"/>
          <w:szCs w:val="24"/>
        </w:rPr>
        <w:fldChar w:fldCharType="separate"/>
      </w:r>
      <w:r>
        <w:rPr>
          <w:rFonts w:hint="eastAsia" w:ascii="宋体" w:hAnsi="宋体" w:eastAsia="宋体" w:cs="宋体"/>
          <w:sz w:val="24"/>
          <w:szCs w:val="24"/>
        </w:rPr>
        <w:t>⑥</w:t>
      </w:r>
      <w:r>
        <w:rPr>
          <w:rFonts w:hint="eastAsia" w:ascii="宋体" w:hAnsi="宋体" w:eastAsia="宋体" w:cs="宋体"/>
          <w:snapToGrid w:val="0"/>
          <w:color w:val="000000"/>
          <w:spacing w:val="-16"/>
          <w:kern w:val="21"/>
          <w:sz w:val="24"/>
          <w:szCs w:val="24"/>
        </w:rPr>
        <w:fldChar w:fldCharType="end"/>
      </w:r>
      <w:r>
        <w:rPr>
          <w:rFonts w:hint="eastAsia" w:ascii="宋体" w:hAnsi="宋体" w:eastAsia="宋体" w:cs="宋体"/>
          <w:snapToGrid w:val="0"/>
          <w:color w:val="000000"/>
          <w:spacing w:val="-16"/>
          <w:kern w:val="21"/>
          <w:sz w:val="24"/>
          <w:szCs w:val="24"/>
        </w:rPr>
        <w:t>-</w:t>
      </w:r>
      <w:r>
        <w:rPr>
          <w:rFonts w:hint="eastAsia" w:ascii="宋体" w:hAnsi="宋体" w:eastAsia="宋体" w:cs="宋体"/>
          <w:snapToGrid w:val="0"/>
          <w:color w:val="000000"/>
          <w:spacing w:val="-6"/>
          <w:kern w:val="21"/>
          <w:sz w:val="24"/>
          <w:szCs w:val="24"/>
        </w:rPr>
        <w:fldChar w:fldCharType="begin"/>
      </w:r>
      <w:r>
        <w:rPr>
          <w:rFonts w:hint="eastAsia" w:ascii="宋体" w:hAnsi="宋体" w:eastAsia="宋体" w:cs="宋体"/>
          <w:snapToGrid w:val="0"/>
          <w:color w:val="000000"/>
          <w:spacing w:val="-6"/>
          <w:kern w:val="21"/>
          <w:sz w:val="24"/>
          <w:szCs w:val="24"/>
        </w:rPr>
        <w:instrText xml:space="preserve"> = 1 \* GB3 \* MERGEFORMAT </w:instrText>
      </w:r>
      <w:r>
        <w:rPr>
          <w:rFonts w:hint="eastAsia" w:ascii="宋体" w:hAnsi="宋体" w:eastAsia="宋体" w:cs="宋体"/>
          <w:snapToGrid w:val="0"/>
          <w:color w:val="000000"/>
          <w:spacing w:val="-6"/>
          <w:kern w:val="21"/>
          <w:sz w:val="24"/>
          <w:szCs w:val="24"/>
        </w:rPr>
        <w:fldChar w:fldCharType="separate"/>
      </w:r>
      <w:r>
        <w:rPr>
          <w:rFonts w:hint="eastAsia" w:ascii="宋体" w:hAnsi="宋体" w:eastAsia="宋体" w:cs="宋体"/>
          <w:sz w:val="24"/>
          <w:szCs w:val="24"/>
        </w:rPr>
        <w:t>①</w:t>
      </w:r>
      <w:r>
        <w:rPr>
          <w:rFonts w:hint="eastAsia" w:ascii="宋体" w:hAnsi="宋体" w:eastAsia="宋体" w:cs="宋体"/>
          <w:snapToGrid w:val="0"/>
          <w:color w:val="000000"/>
          <w:spacing w:val="-6"/>
          <w:kern w:val="21"/>
          <w:sz w:val="24"/>
          <w:szCs w:val="24"/>
        </w:rPr>
        <w:fldChar w:fldCharType="end"/>
      </w:r>
    </w:p>
    <w:sectPr>
      <w:footerReference r:id="rId5" w:type="default"/>
      <w:pgSz w:w="16838" w:h="11906" w:orient="landscape"/>
      <w:pgMar w:top="1797" w:right="1440" w:bottom="1797" w:left="1440"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00000" w:csb1="00000000"/>
  </w:font>
  <w:font w:name="Wingdings 2">
    <w:altName w:val="Wingdings"/>
    <w:panose1 w:val="05020102010507070707"/>
    <w:charset w:val="02"/>
    <w:family w:val="auto"/>
    <w:pitch w:val="default"/>
    <w:sig w:usb0="00000000" w:usb1="00000000" w:usb2="00000000" w:usb3="00000000" w:csb0="80000000" w:csb1="00000000"/>
  </w:font>
  <w:font w:name="方正小标宋_GBK">
    <w:panose1 w:val="03000509000000000000"/>
    <w:charset w:val="86"/>
    <w:family w:val="script"/>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61FE">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B8597">
    <w:pPr>
      <w:pStyle w:val="16"/>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728A20">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BTDK0DLAQAAnAMAAA4AAAAAAAAAAQAgAAAAHgEAAGRycy9lMm9E&#10;b2MueG1sUEsFBgAAAAAGAAYAWQEAAFsFAAAAAA==&#10;">
              <v:fill on="f" focussize="0,0"/>
              <v:stroke on="f"/>
              <v:imagedata o:title=""/>
              <o:lock v:ext="edit" aspectratio="f"/>
              <v:textbox inset="0mm,0mm,0mm,0mm" style="mso-fit-shape-to-text:t;">
                <w:txbxContent>
                  <w:p w14:paraId="02728A20">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54847">
    <w:pPr>
      <w:pStyle w:val="16"/>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20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B2A548">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38</w:t>
                          </w:r>
                          <w:r>
                            <w:rPr>
                              <w:rFonts w:hint="eastAsia"/>
                            </w:rPr>
                            <w:fldChar w:fldCharType="end"/>
                          </w:r>
                        </w:p>
                      </w:txbxContent>
                    </wps:txbx>
                    <wps:bodyPr wrap="none" lIns="0" tIns="0" rIns="0" bIns="0" upright="0">
                      <a:spAutoFit/>
                    </wps:bodyPr>
                  </wps:wsp>
                </a:graphicData>
              </a:graphic>
            </wp:anchor>
          </w:drawing>
        </mc:Choice>
        <mc:Fallback>
          <w:pict>
            <v:shape id="文本框 205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7vjvXcoBAACdAwAADgAAAAAAAAABACAAAAAeAQAAZHJzL2Uyb0Rv&#10;Yy54bWxQSwUGAAAAAAYABgBZAQAAWgUAAAAA&#10;">
              <v:fill on="f" focussize="0,0"/>
              <v:stroke on="f"/>
              <v:imagedata o:title=""/>
              <o:lock v:ext="edit" aspectratio="f"/>
              <v:textbox inset="0mm,0mm,0mm,0mm" style="mso-fit-shape-to-text:t;">
                <w:txbxContent>
                  <w:p w14:paraId="56B2A548">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38</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273669"/>
    <w:multiLevelType w:val="multilevel"/>
    <w:tmpl w:val="48273669"/>
    <w:lvl w:ilvl="0" w:tentative="0">
      <w:start w:val="1"/>
      <w:numFmt w:val="decimal"/>
      <w:pStyle w:val="72"/>
      <w:suff w:val="nothing"/>
      <w:lvlText w:val="%1、"/>
      <w:lvlJc w:val="left"/>
      <w:pPr>
        <w:ind w:left="1271"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xMDZiYWExMzI4MTZkM2NkMjRhM2Y4M2Q5NjVlM2E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C7E26"/>
    <w:rsid w:val="000D5A44"/>
    <w:rsid w:val="000E3ED2"/>
    <w:rsid w:val="00131F42"/>
    <w:rsid w:val="001357F1"/>
    <w:rsid w:val="00140FA8"/>
    <w:rsid w:val="00142FEB"/>
    <w:rsid w:val="00143A2D"/>
    <w:rsid w:val="00145A41"/>
    <w:rsid w:val="00151675"/>
    <w:rsid w:val="00157435"/>
    <w:rsid w:val="00172E78"/>
    <w:rsid w:val="0017504D"/>
    <w:rsid w:val="0017671A"/>
    <w:rsid w:val="00177422"/>
    <w:rsid w:val="00184590"/>
    <w:rsid w:val="001870D1"/>
    <w:rsid w:val="0018781E"/>
    <w:rsid w:val="0019262D"/>
    <w:rsid w:val="00194196"/>
    <w:rsid w:val="001A0C13"/>
    <w:rsid w:val="001A1B35"/>
    <w:rsid w:val="001A48A2"/>
    <w:rsid w:val="001A6F61"/>
    <w:rsid w:val="001B72B8"/>
    <w:rsid w:val="001C69B3"/>
    <w:rsid w:val="001D5595"/>
    <w:rsid w:val="001D7874"/>
    <w:rsid w:val="001D7F22"/>
    <w:rsid w:val="001F0553"/>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C5D71"/>
    <w:rsid w:val="002D3DD0"/>
    <w:rsid w:val="002D72BB"/>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B61EC"/>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76E1B"/>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0DD3"/>
    <w:rsid w:val="00524303"/>
    <w:rsid w:val="005258A2"/>
    <w:rsid w:val="005401AE"/>
    <w:rsid w:val="00542E07"/>
    <w:rsid w:val="00545424"/>
    <w:rsid w:val="00554A7B"/>
    <w:rsid w:val="0055572C"/>
    <w:rsid w:val="0056106A"/>
    <w:rsid w:val="00567F3C"/>
    <w:rsid w:val="005720AE"/>
    <w:rsid w:val="00594D77"/>
    <w:rsid w:val="005969E4"/>
    <w:rsid w:val="005A06B7"/>
    <w:rsid w:val="005A1759"/>
    <w:rsid w:val="005A259B"/>
    <w:rsid w:val="005A68A7"/>
    <w:rsid w:val="005D36AB"/>
    <w:rsid w:val="005F4066"/>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6E6584"/>
    <w:rsid w:val="00706C5D"/>
    <w:rsid w:val="007170C9"/>
    <w:rsid w:val="00732922"/>
    <w:rsid w:val="0075162E"/>
    <w:rsid w:val="00754034"/>
    <w:rsid w:val="00756556"/>
    <w:rsid w:val="007618C4"/>
    <w:rsid w:val="00767980"/>
    <w:rsid w:val="00770B19"/>
    <w:rsid w:val="0077463F"/>
    <w:rsid w:val="007836EA"/>
    <w:rsid w:val="00784CDA"/>
    <w:rsid w:val="007906C4"/>
    <w:rsid w:val="007940EA"/>
    <w:rsid w:val="00795EF2"/>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455F5"/>
    <w:rsid w:val="008706B3"/>
    <w:rsid w:val="0087135F"/>
    <w:rsid w:val="00872D94"/>
    <w:rsid w:val="00880364"/>
    <w:rsid w:val="008819CF"/>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3E0C"/>
    <w:rsid w:val="0091736D"/>
    <w:rsid w:val="0093037A"/>
    <w:rsid w:val="0094003C"/>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1A07"/>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1277"/>
    <w:rsid w:val="00BC32DC"/>
    <w:rsid w:val="00BC35B6"/>
    <w:rsid w:val="00BD1B51"/>
    <w:rsid w:val="00BD4596"/>
    <w:rsid w:val="00BE04FD"/>
    <w:rsid w:val="00BE1405"/>
    <w:rsid w:val="00BE312D"/>
    <w:rsid w:val="00BE33A9"/>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1064"/>
    <w:rsid w:val="00CC489B"/>
    <w:rsid w:val="00CD2BCD"/>
    <w:rsid w:val="00CD3A4C"/>
    <w:rsid w:val="00CE10E9"/>
    <w:rsid w:val="00CE2910"/>
    <w:rsid w:val="00CE5393"/>
    <w:rsid w:val="00CF36BE"/>
    <w:rsid w:val="00CF6000"/>
    <w:rsid w:val="00D003F3"/>
    <w:rsid w:val="00D0364F"/>
    <w:rsid w:val="00D06834"/>
    <w:rsid w:val="00D22EAF"/>
    <w:rsid w:val="00D22EC2"/>
    <w:rsid w:val="00D308ED"/>
    <w:rsid w:val="00D36D86"/>
    <w:rsid w:val="00D428AA"/>
    <w:rsid w:val="00D50A34"/>
    <w:rsid w:val="00D53EFA"/>
    <w:rsid w:val="00D73EA8"/>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473AC"/>
    <w:rsid w:val="00E56322"/>
    <w:rsid w:val="00E60982"/>
    <w:rsid w:val="00E62704"/>
    <w:rsid w:val="00E62C62"/>
    <w:rsid w:val="00E654C1"/>
    <w:rsid w:val="00E65D97"/>
    <w:rsid w:val="00E72A5A"/>
    <w:rsid w:val="00E73354"/>
    <w:rsid w:val="00E81CDE"/>
    <w:rsid w:val="00E9242D"/>
    <w:rsid w:val="00EB5255"/>
    <w:rsid w:val="00EB5C47"/>
    <w:rsid w:val="00ED0639"/>
    <w:rsid w:val="00EF4755"/>
    <w:rsid w:val="00EF7135"/>
    <w:rsid w:val="00F027DB"/>
    <w:rsid w:val="00F064F6"/>
    <w:rsid w:val="00F14A7A"/>
    <w:rsid w:val="00F22985"/>
    <w:rsid w:val="00F3383E"/>
    <w:rsid w:val="00F465A7"/>
    <w:rsid w:val="00F50B7C"/>
    <w:rsid w:val="00F550E6"/>
    <w:rsid w:val="00F74345"/>
    <w:rsid w:val="00F80A0A"/>
    <w:rsid w:val="00F82B19"/>
    <w:rsid w:val="00F9212D"/>
    <w:rsid w:val="00F965DA"/>
    <w:rsid w:val="00FA406A"/>
    <w:rsid w:val="00FA5432"/>
    <w:rsid w:val="00FB503A"/>
    <w:rsid w:val="00FB516C"/>
    <w:rsid w:val="00FD0236"/>
    <w:rsid w:val="00FD18F4"/>
    <w:rsid w:val="00FD54DB"/>
    <w:rsid w:val="00FD619F"/>
    <w:rsid w:val="00FF6DC1"/>
    <w:rsid w:val="010F71CF"/>
    <w:rsid w:val="01290F7E"/>
    <w:rsid w:val="012E3330"/>
    <w:rsid w:val="015D1E09"/>
    <w:rsid w:val="020379F3"/>
    <w:rsid w:val="020466B0"/>
    <w:rsid w:val="020F0B02"/>
    <w:rsid w:val="02493B6C"/>
    <w:rsid w:val="02697903"/>
    <w:rsid w:val="02902FB7"/>
    <w:rsid w:val="02F96569"/>
    <w:rsid w:val="030430A7"/>
    <w:rsid w:val="03214A19"/>
    <w:rsid w:val="034B52DB"/>
    <w:rsid w:val="03A51097"/>
    <w:rsid w:val="03EA271C"/>
    <w:rsid w:val="03EA7B21"/>
    <w:rsid w:val="04DA026D"/>
    <w:rsid w:val="051D492A"/>
    <w:rsid w:val="05235885"/>
    <w:rsid w:val="052A22A7"/>
    <w:rsid w:val="05452235"/>
    <w:rsid w:val="05801E77"/>
    <w:rsid w:val="058D58F7"/>
    <w:rsid w:val="05F83EAE"/>
    <w:rsid w:val="063E7D85"/>
    <w:rsid w:val="06963563"/>
    <w:rsid w:val="06CF1BBD"/>
    <w:rsid w:val="06FE1B44"/>
    <w:rsid w:val="07293586"/>
    <w:rsid w:val="07295285"/>
    <w:rsid w:val="074D1C8E"/>
    <w:rsid w:val="07636392"/>
    <w:rsid w:val="07770C56"/>
    <w:rsid w:val="085550F1"/>
    <w:rsid w:val="087A532A"/>
    <w:rsid w:val="088E4648"/>
    <w:rsid w:val="092217DD"/>
    <w:rsid w:val="093853E0"/>
    <w:rsid w:val="093A7294"/>
    <w:rsid w:val="09600388"/>
    <w:rsid w:val="0977065A"/>
    <w:rsid w:val="099B4C93"/>
    <w:rsid w:val="09AA395B"/>
    <w:rsid w:val="0A263993"/>
    <w:rsid w:val="0A2D3AC2"/>
    <w:rsid w:val="0A401714"/>
    <w:rsid w:val="0A4D0B17"/>
    <w:rsid w:val="0A6B4337"/>
    <w:rsid w:val="0A7A6404"/>
    <w:rsid w:val="0AA755DF"/>
    <w:rsid w:val="0ACE77F8"/>
    <w:rsid w:val="0B120D44"/>
    <w:rsid w:val="0B33248F"/>
    <w:rsid w:val="0B3E3C3E"/>
    <w:rsid w:val="0B632B29"/>
    <w:rsid w:val="0BD27BF6"/>
    <w:rsid w:val="0C3B3C7D"/>
    <w:rsid w:val="0C724A61"/>
    <w:rsid w:val="0C724C20"/>
    <w:rsid w:val="0C8C245D"/>
    <w:rsid w:val="0CAB2EAE"/>
    <w:rsid w:val="0CEB10AA"/>
    <w:rsid w:val="0D3B5C31"/>
    <w:rsid w:val="0D486637"/>
    <w:rsid w:val="0D5C2708"/>
    <w:rsid w:val="0D621C7D"/>
    <w:rsid w:val="0D9B45C3"/>
    <w:rsid w:val="0DA06ED1"/>
    <w:rsid w:val="0DA40CD9"/>
    <w:rsid w:val="0DBD4117"/>
    <w:rsid w:val="0DC57083"/>
    <w:rsid w:val="0DD765B4"/>
    <w:rsid w:val="0DF714C0"/>
    <w:rsid w:val="0DFD321A"/>
    <w:rsid w:val="0E73034D"/>
    <w:rsid w:val="0ECB20BE"/>
    <w:rsid w:val="0ECC3E4D"/>
    <w:rsid w:val="0EDD7623"/>
    <w:rsid w:val="0F13775A"/>
    <w:rsid w:val="0F5F45FE"/>
    <w:rsid w:val="0F9A112B"/>
    <w:rsid w:val="0FA63686"/>
    <w:rsid w:val="0FEB3436"/>
    <w:rsid w:val="103C6460"/>
    <w:rsid w:val="106D2F64"/>
    <w:rsid w:val="10967AC4"/>
    <w:rsid w:val="109C1F0D"/>
    <w:rsid w:val="10B63710"/>
    <w:rsid w:val="10F0712E"/>
    <w:rsid w:val="10F10820"/>
    <w:rsid w:val="111C2F7A"/>
    <w:rsid w:val="113F6159"/>
    <w:rsid w:val="114114C8"/>
    <w:rsid w:val="115451DF"/>
    <w:rsid w:val="11665CA1"/>
    <w:rsid w:val="11835FE2"/>
    <w:rsid w:val="11AB0430"/>
    <w:rsid w:val="12910AB0"/>
    <w:rsid w:val="12990FE2"/>
    <w:rsid w:val="12A06CFD"/>
    <w:rsid w:val="13240700"/>
    <w:rsid w:val="13555EA1"/>
    <w:rsid w:val="136A62AE"/>
    <w:rsid w:val="13951726"/>
    <w:rsid w:val="139543DE"/>
    <w:rsid w:val="13CA0DAA"/>
    <w:rsid w:val="13D51EA4"/>
    <w:rsid w:val="14396509"/>
    <w:rsid w:val="14992C92"/>
    <w:rsid w:val="14DD2C3C"/>
    <w:rsid w:val="14DE3DC3"/>
    <w:rsid w:val="15170DCC"/>
    <w:rsid w:val="152824DA"/>
    <w:rsid w:val="154366B3"/>
    <w:rsid w:val="15845B66"/>
    <w:rsid w:val="15853C1D"/>
    <w:rsid w:val="16087E1D"/>
    <w:rsid w:val="16D407EA"/>
    <w:rsid w:val="16DA642F"/>
    <w:rsid w:val="1715624C"/>
    <w:rsid w:val="17701D14"/>
    <w:rsid w:val="17735226"/>
    <w:rsid w:val="178C4C74"/>
    <w:rsid w:val="17AC2D60"/>
    <w:rsid w:val="18797F33"/>
    <w:rsid w:val="189428AA"/>
    <w:rsid w:val="189F624C"/>
    <w:rsid w:val="18B15893"/>
    <w:rsid w:val="18D80194"/>
    <w:rsid w:val="18E21222"/>
    <w:rsid w:val="18F46C65"/>
    <w:rsid w:val="190B3589"/>
    <w:rsid w:val="1913314E"/>
    <w:rsid w:val="191712A7"/>
    <w:rsid w:val="195E099B"/>
    <w:rsid w:val="19923117"/>
    <w:rsid w:val="19E16D09"/>
    <w:rsid w:val="1A1C66C0"/>
    <w:rsid w:val="1A23526A"/>
    <w:rsid w:val="1A42393B"/>
    <w:rsid w:val="1A87423B"/>
    <w:rsid w:val="1A925567"/>
    <w:rsid w:val="1A95731F"/>
    <w:rsid w:val="1AAD45DE"/>
    <w:rsid w:val="1AC34829"/>
    <w:rsid w:val="1AC541FE"/>
    <w:rsid w:val="1B046F80"/>
    <w:rsid w:val="1B3267B5"/>
    <w:rsid w:val="1B40161D"/>
    <w:rsid w:val="1B441859"/>
    <w:rsid w:val="1B56156C"/>
    <w:rsid w:val="1B6606B1"/>
    <w:rsid w:val="1BA11301"/>
    <w:rsid w:val="1BA725F7"/>
    <w:rsid w:val="1BE57190"/>
    <w:rsid w:val="1BE7763B"/>
    <w:rsid w:val="1BEF127C"/>
    <w:rsid w:val="1C2210BC"/>
    <w:rsid w:val="1C5E7925"/>
    <w:rsid w:val="1CFD070F"/>
    <w:rsid w:val="1D3C6914"/>
    <w:rsid w:val="1D5F6196"/>
    <w:rsid w:val="1D6132A5"/>
    <w:rsid w:val="1D6F2FE4"/>
    <w:rsid w:val="1D7F4DA1"/>
    <w:rsid w:val="1D85152C"/>
    <w:rsid w:val="1D8E56D5"/>
    <w:rsid w:val="1D92188C"/>
    <w:rsid w:val="1E7A43DA"/>
    <w:rsid w:val="1E7D7984"/>
    <w:rsid w:val="1E894AFB"/>
    <w:rsid w:val="1EDF0D85"/>
    <w:rsid w:val="1EEC550B"/>
    <w:rsid w:val="1F67088B"/>
    <w:rsid w:val="1FE7539E"/>
    <w:rsid w:val="20562666"/>
    <w:rsid w:val="20671BE0"/>
    <w:rsid w:val="20963CB8"/>
    <w:rsid w:val="20A81A1B"/>
    <w:rsid w:val="20B07FB6"/>
    <w:rsid w:val="20B646FB"/>
    <w:rsid w:val="213B74B1"/>
    <w:rsid w:val="215A2310"/>
    <w:rsid w:val="217F019E"/>
    <w:rsid w:val="21C916A0"/>
    <w:rsid w:val="21DE318A"/>
    <w:rsid w:val="21E94693"/>
    <w:rsid w:val="21EF5B80"/>
    <w:rsid w:val="21FA3BB0"/>
    <w:rsid w:val="21FF478B"/>
    <w:rsid w:val="22576990"/>
    <w:rsid w:val="22F47480"/>
    <w:rsid w:val="230444DE"/>
    <w:rsid w:val="233D0C29"/>
    <w:rsid w:val="23DE1C48"/>
    <w:rsid w:val="240210CD"/>
    <w:rsid w:val="24337809"/>
    <w:rsid w:val="243831C0"/>
    <w:rsid w:val="24A964DE"/>
    <w:rsid w:val="24BF09F7"/>
    <w:rsid w:val="252C29EB"/>
    <w:rsid w:val="252D53FE"/>
    <w:rsid w:val="256E67EC"/>
    <w:rsid w:val="25846395"/>
    <w:rsid w:val="25AC57DC"/>
    <w:rsid w:val="25B763DF"/>
    <w:rsid w:val="25E456CA"/>
    <w:rsid w:val="25EC2D81"/>
    <w:rsid w:val="25EE4CFE"/>
    <w:rsid w:val="26043A09"/>
    <w:rsid w:val="26101661"/>
    <w:rsid w:val="26544264"/>
    <w:rsid w:val="2659082E"/>
    <w:rsid w:val="26DD55C6"/>
    <w:rsid w:val="272E7F82"/>
    <w:rsid w:val="27655F16"/>
    <w:rsid w:val="277057A2"/>
    <w:rsid w:val="27DC2A8A"/>
    <w:rsid w:val="280A3049"/>
    <w:rsid w:val="283B1940"/>
    <w:rsid w:val="284B708E"/>
    <w:rsid w:val="284F0216"/>
    <w:rsid w:val="28913BFB"/>
    <w:rsid w:val="291C10AD"/>
    <w:rsid w:val="29206EB8"/>
    <w:rsid w:val="29217F49"/>
    <w:rsid w:val="29595666"/>
    <w:rsid w:val="29733294"/>
    <w:rsid w:val="29874881"/>
    <w:rsid w:val="29C2301B"/>
    <w:rsid w:val="29E325E0"/>
    <w:rsid w:val="29E43ACB"/>
    <w:rsid w:val="2A452503"/>
    <w:rsid w:val="2A661624"/>
    <w:rsid w:val="2AE20819"/>
    <w:rsid w:val="2B66245A"/>
    <w:rsid w:val="2BA936A8"/>
    <w:rsid w:val="2C116350"/>
    <w:rsid w:val="2C315A5A"/>
    <w:rsid w:val="2C445CF7"/>
    <w:rsid w:val="2C4B1C25"/>
    <w:rsid w:val="2D1E018D"/>
    <w:rsid w:val="2D5633F8"/>
    <w:rsid w:val="2D9E56F5"/>
    <w:rsid w:val="2DB65AC7"/>
    <w:rsid w:val="2DC106EC"/>
    <w:rsid w:val="2DCD6F92"/>
    <w:rsid w:val="2DE75215"/>
    <w:rsid w:val="2E667F96"/>
    <w:rsid w:val="2E6B754E"/>
    <w:rsid w:val="2E8226AB"/>
    <w:rsid w:val="2F2E46CF"/>
    <w:rsid w:val="2F7D2EF8"/>
    <w:rsid w:val="2F8017EE"/>
    <w:rsid w:val="2F874AE2"/>
    <w:rsid w:val="2FCC5860"/>
    <w:rsid w:val="2FD065E6"/>
    <w:rsid w:val="2FD96870"/>
    <w:rsid w:val="30580BC9"/>
    <w:rsid w:val="306716D6"/>
    <w:rsid w:val="30C05CD1"/>
    <w:rsid w:val="30D8015A"/>
    <w:rsid w:val="311E2ED7"/>
    <w:rsid w:val="312905B0"/>
    <w:rsid w:val="315619EE"/>
    <w:rsid w:val="315C449C"/>
    <w:rsid w:val="31987D86"/>
    <w:rsid w:val="31992E3D"/>
    <w:rsid w:val="31B82709"/>
    <w:rsid w:val="31D05482"/>
    <w:rsid w:val="31DC7DF6"/>
    <w:rsid w:val="32400B34"/>
    <w:rsid w:val="329E6876"/>
    <w:rsid w:val="32D861AC"/>
    <w:rsid w:val="32EA0DD3"/>
    <w:rsid w:val="330357AD"/>
    <w:rsid w:val="333015F2"/>
    <w:rsid w:val="334B6320"/>
    <w:rsid w:val="33D934D4"/>
    <w:rsid w:val="33FE2F6A"/>
    <w:rsid w:val="340C5B48"/>
    <w:rsid w:val="340E07E5"/>
    <w:rsid w:val="34235BF7"/>
    <w:rsid w:val="349B490F"/>
    <w:rsid w:val="356F09EB"/>
    <w:rsid w:val="358C5FA8"/>
    <w:rsid w:val="358D4A67"/>
    <w:rsid w:val="35A90C1C"/>
    <w:rsid w:val="35AC2158"/>
    <w:rsid w:val="35C15DF1"/>
    <w:rsid w:val="35F406D0"/>
    <w:rsid w:val="35F65D77"/>
    <w:rsid w:val="36074A7F"/>
    <w:rsid w:val="36923549"/>
    <w:rsid w:val="36B75FBF"/>
    <w:rsid w:val="36BB6379"/>
    <w:rsid w:val="36BD0C45"/>
    <w:rsid w:val="36E855FF"/>
    <w:rsid w:val="37AE7763"/>
    <w:rsid w:val="37D0431E"/>
    <w:rsid w:val="37E00298"/>
    <w:rsid w:val="37EF533A"/>
    <w:rsid w:val="38267884"/>
    <w:rsid w:val="387C402E"/>
    <w:rsid w:val="38B302F9"/>
    <w:rsid w:val="38D12887"/>
    <w:rsid w:val="38E96A30"/>
    <w:rsid w:val="38F12CD3"/>
    <w:rsid w:val="38F94775"/>
    <w:rsid w:val="391F4D1A"/>
    <w:rsid w:val="392971ED"/>
    <w:rsid w:val="39325651"/>
    <w:rsid w:val="393E2051"/>
    <w:rsid w:val="396E3B09"/>
    <w:rsid w:val="3981637A"/>
    <w:rsid w:val="3A4D6EBA"/>
    <w:rsid w:val="3A7B6D86"/>
    <w:rsid w:val="3A872856"/>
    <w:rsid w:val="3A8920C9"/>
    <w:rsid w:val="3A935004"/>
    <w:rsid w:val="3AD01E21"/>
    <w:rsid w:val="3B354DD8"/>
    <w:rsid w:val="3B3763D1"/>
    <w:rsid w:val="3B4232AD"/>
    <w:rsid w:val="3B715C2F"/>
    <w:rsid w:val="3C095AAF"/>
    <w:rsid w:val="3C2F6E1E"/>
    <w:rsid w:val="3C4B286F"/>
    <w:rsid w:val="3C4C45AB"/>
    <w:rsid w:val="3C4F64BA"/>
    <w:rsid w:val="3C7F5147"/>
    <w:rsid w:val="3C9560EB"/>
    <w:rsid w:val="3CD613E9"/>
    <w:rsid w:val="3CDA245A"/>
    <w:rsid w:val="3D1E06B7"/>
    <w:rsid w:val="3D47772F"/>
    <w:rsid w:val="3D885D70"/>
    <w:rsid w:val="3D8F0A45"/>
    <w:rsid w:val="3DE242FD"/>
    <w:rsid w:val="3DFE4303"/>
    <w:rsid w:val="3E6F105B"/>
    <w:rsid w:val="3E837964"/>
    <w:rsid w:val="3ECC07D0"/>
    <w:rsid w:val="3EDA0523"/>
    <w:rsid w:val="3F591F3A"/>
    <w:rsid w:val="3F6224D1"/>
    <w:rsid w:val="3F78381F"/>
    <w:rsid w:val="3F900624"/>
    <w:rsid w:val="3FB46DF3"/>
    <w:rsid w:val="3FC4355D"/>
    <w:rsid w:val="40200B9E"/>
    <w:rsid w:val="407A6407"/>
    <w:rsid w:val="40F05519"/>
    <w:rsid w:val="41027A2B"/>
    <w:rsid w:val="41180544"/>
    <w:rsid w:val="41540481"/>
    <w:rsid w:val="417D4C32"/>
    <w:rsid w:val="4200449D"/>
    <w:rsid w:val="422C6E3F"/>
    <w:rsid w:val="423A3BCC"/>
    <w:rsid w:val="423D21D4"/>
    <w:rsid w:val="424E57D2"/>
    <w:rsid w:val="42773A8A"/>
    <w:rsid w:val="42874489"/>
    <w:rsid w:val="42B26C49"/>
    <w:rsid w:val="433A6FE6"/>
    <w:rsid w:val="43480868"/>
    <w:rsid w:val="4350713C"/>
    <w:rsid w:val="436653E0"/>
    <w:rsid w:val="43C4431A"/>
    <w:rsid w:val="43CE376B"/>
    <w:rsid w:val="43F77E57"/>
    <w:rsid w:val="43FB4A63"/>
    <w:rsid w:val="4405106E"/>
    <w:rsid w:val="443063DB"/>
    <w:rsid w:val="44B951CC"/>
    <w:rsid w:val="44BF2CE3"/>
    <w:rsid w:val="44CD14E0"/>
    <w:rsid w:val="44F20B0B"/>
    <w:rsid w:val="45221834"/>
    <w:rsid w:val="452E5F4C"/>
    <w:rsid w:val="454B5AB7"/>
    <w:rsid w:val="45612018"/>
    <w:rsid w:val="456D23B5"/>
    <w:rsid w:val="456F37A5"/>
    <w:rsid w:val="458946E9"/>
    <w:rsid w:val="45A47C0E"/>
    <w:rsid w:val="45CE700E"/>
    <w:rsid w:val="45D60E05"/>
    <w:rsid w:val="45FD322A"/>
    <w:rsid w:val="463D389C"/>
    <w:rsid w:val="46577FD6"/>
    <w:rsid w:val="4674788A"/>
    <w:rsid w:val="46993801"/>
    <w:rsid w:val="46A3765F"/>
    <w:rsid w:val="46D76952"/>
    <w:rsid w:val="46D955A7"/>
    <w:rsid w:val="47133957"/>
    <w:rsid w:val="472138DE"/>
    <w:rsid w:val="47A07E0C"/>
    <w:rsid w:val="47C16534"/>
    <w:rsid w:val="47D166EC"/>
    <w:rsid w:val="486B02D5"/>
    <w:rsid w:val="4870272E"/>
    <w:rsid w:val="48EC1798"/>
    <w:rsid w:val="490A60E7"/>
    <w:rsid w:val="49DC7715"/>
    <w:rsid w:val="4A023139"/>
    <w:rsid w:val="4A1A6710"/>
    <w:rsid w:val="4A2A0B24"/>
    <w:rsid w:val="4A3D484B"/>
    <w:rsid w:val="4A4743AF"/>
    <w:rsid w:val="4A5D3C14"/>
    <w:rsid w:val="4A7B576F"/>
    <w:rsid w:val="4A811ED8"/>
    <w:rsid w:val="4AF561A9"/>
    <w:rsid w:val="4AF95B6D"/>
    <w:rsid w:val="4B03168F"/>
    <w:rsid w:val="4B444AAC"/>
    <w:rsid w:val="4B531483"/>
    <w:rsid w:val="4BFB7F2B"/>
    <w:rsid w:val="4C1C5009"/>
    <w:rsid w:val="4C4A0649"/>
    <w:rsid w:val="4C7E5ECA"/>
    <w:rsid w:val="4C876AA5"/>
    <w:rsid w:val="4C9F2A05"/>
    <w:rsid w:val="4CDB1215"/>
    <w:rsid w:val="4D007DBC"/>
    <w:rsid w:val="4D0258E3"/>
    <w:rsid w:val="4D0E00FB"/>
    <w:rsid w:val="4D176606"/>
    <w:rsid w:val="4D843E33"/>
    <w:rsid w:val="4D9724CF"/>
    <w:rsid w:val="4DAA2C34"/>
    <w:rsid w:val="4DAA7156"/>
    <w:rsid w:val="4DEC4FB0"/>
    <w:rsid w:val="4E03068B"/>
    <w:rsid w:val="4E075D8A"/>
    <w:rsid w:val="4E1C1B49"/>
    <w:rsid w:val="4E400E38"/>
    <w:rsid w:val="4E906C1C"/>
    <w:rsid w:val="4EC00FAD"/>
    <w:rsid w:val="4EC40345"/>
    <w:rsid w:val="4ED23575"/>
    <w:rsid w:val="4EE43FA0"/>
    <w:rsid w:val="4EF43434"/>
    <w:rsid w:val="4EFB5558"/>
    <w:rsid w:val="4F6C622F"/>
    <w:rsid w:val="4F830B91"/>
    <w:rsid w:val="4F976C57"/>
    <w:rsid w:val="4F9843DC"/>
    <w:rsid w:val="4FA077DF"/>
    <w:rsid w:val="4FC62A8C"/>
    <w:rsid w:val="4FE20F0D"/>
    <w:rsid w:val="4FE51552"/>
    <w:rsid w:val="4FEF5662"/>
    <w:rsid w:val="502554EE"/>
    <w:rsid w:val="502600BB"/>
    <w:rsid w:val="502A1C99"/>
    <w:rsid w:val="50440A72"/>
    <w:rsid w:val="50504C4B"/>
    <w:rsid w:val="509C6E7C"/>
    <w:rsid w:val="50B67F78"/>
    <w:rsid w:val="50EB4364"/>
    <w:rsid w:val="5162104E"/>
    <w:rsid w:val="52BA31B1"/>
    <w:rsid w:val="52DE1B9F"/>
    <w:rsid w:val="532F41C8"/>
    <w:rsid w:val="53352057"/>
    <w:rsid w:val="534F3F53"/>
    <w:rsid w:val="53787783"/>
    <w:rsid w:val="537D1411"/>
    <w:rsid w:val="53A039CC"/>
    <w:rsid w:val="53A1505A"/>
    <w:rsid w:val="53AA684E"/>
    <w:rsid w:val="53AB34D1"/>
    <w:rsid w:val="54063E08"/>
    <w:rsid w:val="543437E8"/>
    <w:rsid w:val="54452748"/>
    <w:rsid w:val="549E78F7"/>
    <w:rsid w:val="54F73313"/>
    <w:rsid w:val="54F80955"/>
    <w:rsid w:val="555170A7"/>
    <w:rsid w:val="55524F2D"/>
    <w:rsid w:val="555C30F7"/>
    <w:rsid w:val="557A075A"/>
    <w:rsid w:val="5587536D"/>
    <w:rsid w:val="559B174B"/>
    <w:rsid w:val="55B30F27"/>
    <w:rsid w:val="55CE0CF4"/>
    <w:rsid w:val="55E83F07"/>
    <w:rsid w:val="565E151A"/>
    <w:rsid w:val="566D3045"/>
    <w:rsid w:val="568C40FB"/>
    <w:rsid w:val="56B22A9C"/>
    <w:rsid w:val="573C303E"/>
    <w:rsid w:val="57B72A76"/>
    <w:rsid w:val="57C3426C"/>
    <w:rsid w:val="57CE1F93"/>
    <w:rsid w:val="58227D2E"/>
    <w:rsid w:val="588743D1"/>
    <w:rsid w:val="5887701A"/>
    <w:rsid w:val="58D62A7D"/>
    <w:rsid w:val="59426F2A"/>
    <w:rsid w:val="59C0439F"/>
    <w:rsid w:val="59DF4F30"/>
    <w:rsid w:val="5A292701"/>
    <w:rsid w:val="5A5A794E"/>
    <w:rsid w:val="5AB06A57"/>
    <w:rsid w:val="5ABE2233"/>
    <w:rsid w:val="5AF17C29"/>
    <w:rsid w:val="5AF84A62"/>
    <w:rsid w:val="5B1550E8"/>
    <w:rsid w:val="5B217667"/>
    <w:rsid w:val="5B5636AE"/>
    <w:rsid w:val="5B6978DD"/>
    <w:rsid w:val="5B8B0709"/>
    <w:rsid w:val="5B9F5D99"/>
    <w:rsid w:val="5BA17384"/>
    <w:rsid w:val="5BDF5D95"/>
    <w:rsid w:val="5BE61DE8"/>
    <w:rsid w:val="5BE72873"/>
    <w:rsid w:val="5BFE7528"/>
    <w:rsid w:val="5C0A424B"/>
    <w:rsid w:val="5C576EEC"/>
    <w:rsid w:val="5D533288"/>
    <w:rsid w:val="5D9B7B56"/>
    <w:rsid w:val="5DC310BE"/>
    <w:rsid w:val="5DF24219"/>
    <w:rsid w:val="5E2467F1"/>
    <w:rsid w:val="5E2C252D"/>
    <w:rsid w:val="5E893766"/>
    <w:rsid w:val="5EDE50E1"/>
    <w:rsid w:val="5EE20EE4"/>
    <w:rsid w:val="5F1A2B43"/>
    <w:rsid w:val="5F421B82"/>
    <w:rsid w:val="5F492BBF"/>
    <w:rsid w:val="5F8872FE"/>
    <w:rsid w:val="5F8D56F1"/>
    <w:rsid w:val="5FB837BB"/>
    <w:rsid w:val="5FE03BE7"/>
    <w:rsid w:val="600B7481"/>
    <w:rsid w:val="603A4BE1"/>
    <w:rsid w:val="605227B5"/>
    <w:rsid w:val="605B4B01"/>
    <w:rsid w:val="606E3DCC"/>
    <w:rsid w:val="609317AB"/>
    <w:rsid w:val="60A54095"/>
    <w:rsid w:val="60B40208"/>
    <w:rsid w:val="60BF3FA8"/>
    <w:rsid w:val="60CC405A"/>
    <w:rsid w:val="611B0401"/>
    <w:rsid w:val="616C5CAD"/>
    <w:rsid w:val="61E215D8"/>
    <w:rsid w:val="621B3775"/>
    <w:rsid w:val="62364782"/>
    <w:rsid w:val="62377EC3"/>
    <w:rsid w:val="623E75A3"/>
    <w:rsid w:val="6268434A"/>
    <w:rsid w:val="62CD0E96"/>
    <w:rsid w:val="6394356A"/>
    <w:rsid w:val="639F1C85"/>
    <w:rsid w:val="63C61B2C"/>
    <w:rsid w:val="63D40BE9"/>
    <w:rsid w:val="64102431"/>
    <w:rsid w:val="64696552"/>
    <w:rsid w:val="64772BA6"/>
    <w:rsid w:val="64A5243A"/>
    <w:rsid w:val="64A67C0C"/>
    <w:rsid w:val="64D54889"/>
    <w:rsid w:val="64F531DE"/>
    <w:rsid w:val="64FD0634"/>
    <w:rsid w:val="65373578"/>
    <w:rsid w:val="65660CAD"/>
    <w:rsid w:val="657906FC"/>
    <w:rsid w:val="65821B3E"/>
    <w:rsid w:val="65A01D99"/>
    <w:rsid w:val="65C435F3"/>
    <w:rsid w:val="65C81F20"/>
    <w:rsid w:val="66753695"/>
    <w:rsid w:val="66D30C71"/>
    <w:rsid w:val="66D43E3A"/>
    <w:rsid w:val="66E36B14"/>
    <w:rsid w:val="66FE4F14"/>
    <w:rsid w:val="671F124A"/>
    <w:rsid w:val="67515045"/>
    <w:rsid w:val="677A33C6"/>
    <w:rsid w:val="678D5462"/>
    <w:rsid w:val="67C00332"/>
    <w:rsid w:val="681E586F"/>
    <w:rsid w:val="681F6961"/>
    <w:rsid w:val="683368C6"/>
    <w:rsid w:val="68610A2F"/>
    <w:rsid w:val="68805514"/>
    <w:rsid w:val="689C63B7"/>
    <w:rsid w:val="69316E2F"/>
    <w:rsid w:val="69482477"/>
    <w:rsid w:val="694E2071"/>
    <w:rsid w:val="69766163"/>
    <w:rsid w:val="697A3B33"/>
    <w:rsid w:val="69814FC0"/>
    <w:rsid w:val="69C205DC"/>
    <w:rsid w:val="69CF7B00"/>
    <w:rsid w:val="69D44760"/>
    <w:rsid w:val="6A070BDB"/>
    <w:rsid w:val="6A1F0BAC"/>
    <w:rsid w:val="6A3264A4"/>
    <w:rsid w:val="6A343EBC"/>
    <w:rsid w:val="6A520EC7"/>
    <w:rsid w:val="6A660E02"/>
    <w:rsid w:val="6A681402"/>
    <w:rsid w:val="6A7A518D"/>
    <w:rsid w:val="6A8A28EE"/>
    <w:rsid w:val="6AC13CC9"/>
    <w:rsid w:val="6AF87E20"/>
    <w:rsid w:val="6B322639"/>
    <w:rsid w:val="6BD85B57"/>
    <w:rsid w:val="6C095309"/>
    <w:rsid w:val="6C636C38"/>
    <w:rsid w:val="6C90051B"/>
    <w:rsid w:val="6CAE48AA"/>
    <w:rsid w:val="6CDC158B"/>
    <w:rsid w:val="6D1443C1"/>
    <w:rsid w:val="6D5451D4"/>
    <w:rsid w:val="6D5908C8"/>
    <w:rsid w:val="6D5D2D9A"/>
    <w:rsid w:val="6DB34098"/>
    <w:rsid w:val="6DB545B6"/>
    <w:rsid w:val="6DE02FB4"/>
    <w:rsid w:val="6E514CED"/>
    <w:rsid w:val="6E82545D"/>
    <w:rsid w:val="6E9D429E"/>
    <w:rsid w:val="6EB563D5"/>
    <w:rsid w:val="6ED92677"/>
    <w:rsid w:val="6F225983"/>
    <w:rsid w:val="6F4A3789"/>
    <w:rsid w:val="6F525047"/>
    <w:rsid w:val="6F53586A"/>
    <w:rsid w:val="6FAA6E13"/>
    <w:rsid w:val="6FE539C6"/>
    <w:rsid w:val="6FFC5590"/>
    <w:rsid w:val="701C3E03"/>
    <w:rsid w:val="706D1DD0"/>
    <w:rsid w:val="70856B87"/>
    <w:rsid w:val="708F28C0"/>
    <w:rsid w:val="70A413B6"/>
    <w:rsid w:val="70B406CF"/>
    <w:rsid w:val="70D527EE"/>
    <w:rsid w:val="715B5300"/>
    <w:rsid w:val="71B068DA"/>
    <w:rsid w:val="71C915A6"/>
    <w:rsid w:val="71D27F8A"/>
    <w:rsid w:val="72215ABF"/>
    <w:rsid w:val="72553024"/>
    <w:rsid w:val="7284513D"/>
    <w:rsid w:val="73075FA9"/>
    <w:rsid w:val="73122968"/>
    <w:rsid w:val="731F5D5E"/>
    <w:rsid w:val="73506023"/>
    <w:rsid w:val="73542F25"/>
    <w:rsid w:val="73C51AD5"/>
    <w:rsid w:val="740E25F9"/>
    <w:rsid w:val="741E793C"/>
    <w:rsid w:val="74310E95"/>
    <w:rsid w:val="745D61C4"/>
    <w:rsid w:val="745E3944"/>
    <w:rsid w:val="747F6AAB"/>
    <w:rsid w:val="754E23CF"/>
    <w:rsid w:val="75EF0622"/>
    <w:rsid w:val="7635099D"/>
    <w:rsid w:val="763C3F5B"/>
    <w:rsid w:val="76C36285"/>
    <w:rsid w:val="770D24C7"/>
    <w:rsid w:val="7749388D"/>
    <w:rsid w:val="77545B3E"/>
    <w:rsid w:val="77762421"/>
    <w:rsid w:val="77A64F39"/>
    <w:rsid w:val="77A85155"/>
    <w:rsid w:val="77AB763B"/>
    <w:rsid w:val="77B56B1F"/>
    <w:rsid w:val="77BE2E16"/>
    <w:rsid w:val="77F45EF7"/>
    <w:rsid w:val="780F09F4"/>
    <w:rsid w:val="78327D03"/>
    <w:rsid w:val="783A5D0F"/>
    <w:rsid w:val="78425C1F"/>
    <w:rsid w:val="785901FD"/>
    <w:rsid w:val="78A90480"/>
    <w:rsid w:val="78F51C05"/>
    <w:rsid w:val="78FF47A9"/>
    <w:rsid w:val="79392F72"/>
    <w:rsid w:val="793F7B57"/>
    <w:rsid w:val="79F90BCD"/>
    <w:rsid w:val="7A364017"/>
    <w:rsid w:val="7A8265E1"/>
    <w:rsid w:val="7AA24727"/>
    <w:rsid w:val="7AC147B1"/>
    <w:rsid w:val="7B0A0BF8"/>
    <w:rsid w:val="7B686D42"/>
    <w:rsid w:val="7B841746"/>
    <w:rsid w:val="7BB60ED5"/>
    <w:rsid w:val="7BF9316C"/>
    <w:rsid w:val="7C0B738E"/>
    <w:rsid w:val="7C4E2798"/>
    <w:rsid w:val="7C6C5AC7"/>
    <w:rsid w:val="7CC6544B"/>
    <w:rsid w:val="7CD47394"/>
    <w:rsid w:val="7D0239FF"/>
    <w:rsid w:val="7D5E40CD"/>
    <w:rsid w:val="7DCD56F2"/>
    <w:rsid w:val="7DE910DB"/>
    <w:rsid w:val="7E342E45"/>
    <w:rsid w:val="7EA43D6C"/>
    <w:rsid w:val="7EB97CF5"/>
    <w:rsid w:val="7EE96BF4"/>
    <w:rsid w:val="7F001CE7"/>
    <w:rsid w:val="7F406429"/>
    <w:rsid w:val="7F813019"/>
    <w:rsid w:val="7FE47E50"/>
    <w:rsid w:val="7FEE2344"/>
    <w:rsid w:val="7FFD232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nhideWhenUsed="0" w:uiPriority="1"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qFormat="1" w:unhideWhenUsed="0" w:uiPriority="99"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qFormat/>
    <w:locked/>
    <w:uiPriority w:val="1"/>
    <w:pPr>
      <w:ind w:left="1132"/>
      <w:outlineLvl w:val="2"/>
    </w:pPr>
    <w:rPr>
      <w:rFonts w:ascii="宋体" w:hAnsi="宋体" w:eastAsia="宋体" w:cs="宋体"/>
      <w:b/>
      <w:bCs/>
      <w:sz w:val="24"/>
      <w:szCs w:val="24"/>
      <w:lang w:val="zh-CN" w:eastAsia="zh-CN" w:bidi="zh-CN"/>
    </w:rPr>
  </w:style>
  <w:style w:type="character" w:default="1" w:styleId="26">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locked/>
    <w:uiPriority w:val="0"/>
    <w:pPr>
      <w:ind w:firstLine="420" w:firstLineChars="200"/>
    </w:pPr>
    <w:rPr>
      <w:rFonts w:eastAsia="仿宋_GB2312"/>
      <w:bCs/>
      <w:sz w:val="32"/>
      <w:szCs w:val="20"/>
    </w:rPr>
  </w:style>
  <w:style w:type="paragraph" w:customStyle="1" w:styleId="6">
    <w:name w:val="Char Char Char Char Char Char Char Char Char1 Char"/>
    <w:basedOn w:val="1"/>
    <w:qFormat/>
    <w:uiPriority w:val="0"/>
    <w:pPr>
      <w:spacing w:line="360" w:lineRule="auto"/>
      <w:ind w:firstLine="200" w:firstLineChars="200"/>
    </w:pPr>
    <w:rPr>
      <w:rFonts w:hAnsi="宋体" w:cs="宋体"/>
      <w:spacing w:val="0"/>
      <w:sz w:val="24"/>
      <w:szCs w:val="24"/>
    </w:rPr>
  </w:style>
  <w:style w:type="paragraph" w:styleId="7">
    <w:name w:val="annotation text"/>
    <w:basedOn w:val="1"/>
    <w:link w:val="31"/>
    <w:semiHidden/>
    <w:qFormat/>
    <w:uiPriority w:val="0"/>
    <w:pPr>
      <w:jc w:val="left"/>
    </w:pPr>
    <w:rPr>
      <w:kern w:val="0"/>
      <w:sz w:val="24"/>
      <w:szCs w:val="20"/>
    </w:rPr>
  </w:style>
  <w:style w:type="paragraph" w:styleId="8">
    <w:name w:val="Body Text"/>
    <w:basedOn w:val="1"/>
    <w:link w:val="32"/>
    <w:qFormat/>
    <w:uiPriority w:val="0"/>
    <w:pPr>
      <w:widowControl/>
      <w:snapToGrid w:val="0"/>
      <w:spacing w:before="60" w:after="160" w:line="259" w:lineRule="auto"/>
      <w:ind w:right="113"/>
    </w:pPr>
    <w:rPr>
      <w:kern w:val="0"/>
      <w:sz w:val="18"/>
      <w:szCs w:val="20"/>
    </w:rPr>
  </w:style>
  <w:style w:type="paragraph" w:styleId="9">
    <w:name w:val="Body Text Indent"/>
    <w:basedOn w:val="1"/>
    <w:next w:val="10"/>
    <w:link w:val="33"/>
    <w:qFormat/>
    <w:uiPriority w:val="0"/>
    <w:pPr>
      <w:spacing w:after="120"/>
      <w:ind w:left="420" w:leftChars="200"/>
    </w:pPr>
    <w:rPr>
      <w:kern w:val="0"/>
      <w:sz w:val="24"/>
      <w:szCs w:val="20"/>
    </w:rPr>
  </w:style>
  <w:style w:type="paragraph" w:styleId="10">
    <w:name w:val="Body Text First Indent 2"/>
    <w:basedOn w:val="9"/>
    <w:qFormat/>
    <w:locked/>
    <w:uiPriority w:val="0"/>
    <w:pPr>
      <w:ind w:firstLine="420"/>
    </w:pPr>
  </w:style>
  <w:style w:type="paragraph" w:styleId="11">
    <w:name w:val="Block Text"/>
    <w:basedOn w:val="1"/>
    <w:qFormat/>
    <w:locked/>
    <w:uiPriority w:val="0"/>
    <w:pPr>
      <w:spacing w:after="120" w:afterAutospacing="0"/>
      <w:ind w:left="1440" w:leftChars="700" w:rightChars="700"/>
    </w:pPr>
  </w:style>
  <w:style w:type="paragraph" w:styleId="12">
    <w:name w:val="Plain Text"/>
    <w:basedOn w:val="1"/>
    <w:qFormat/>
    <w:locked/>
    <w:uiPriority w:val="0"/>
    <w:pPr>
      <w:spacing w:line="360" w:lineRule="auto"/>
    </w:pPr>
    <w:rPr>
      <w:spacing w:val="8"/>
      <w:sz w:val="24"/>
      <w:szCs w:val="20"/>
    </w:rPr>
  </w:style>
  <w:style w:type="paragraph" w:styleId="13">
    <w:name w:val="Date"/>
    <w:basedOn w:val="1"/>
    <w:next w:val="1"/>
    <w:link w:val="34"/>
    <w:qFormat/>
    <w:uiPriority w:val="0"/>
    <w:pPr>
      <w:ind w:left="100" w:leftChars="2500"/>
    </w:pPr>
    <w:rPr>
      <w:kern w:val="0"/>
      <w:sz w:val="24"/>
      <w:szCs w:val="20"/>
    </w:rPr>
  </w:style>
  <w:style w:type="paragraph" w:styleId="14">
    <w:name w:val="Body Text Indent 2"/>
    <w:basedOn w:val="1"/>
    <w:qFormat/>
    <w:locked/>
    <w:uiPriority w:val="0"/>
    <w:pPr>
      <w:spacing w:line="500" w:lineRule="exact"/>
      <w:ind w:firstLine="556"/>
    </w:pPr>
    <w:rPr>
      <w:bCs/>
      <w:sz w:val="28"/>
    </w:rPr>
  </w:style>
  <w:style w:type="paragraph" w:styleId="15">
    <w:name w:val="Balloon Text"/>
    <w:basedOn w:val="1"/>
    <w:link w:val="35"/>
    <w:semiHidden/>
    <w:qFormat/>
    <w:uiPriority w:val="0"/>
    <w:rPr>
      <w:kern w:val="0"/>
      <w:sz w:val="18"/>
      <w:szCs w:val="20"/>
    </w:rPr>
  </w:style>
  <w:style w:type="paragraph" w:styleId="16">
    <w:name w:val="footer"/>
    <w:basedOn w:val="1"/>
    <w:link w:val="36"/>
    <w:qFormat/>
    <w:uiPriority w:val="99"/>
    <w:pPr>
      <w:tabs>
        <w:tab w:val="center" w:pos="4153"/>
        <w:tab w:val="right" w:pos="8306"/>
      </w:tabs>
      <w:snapToGrid w:val="0"/>
      <w:jc w:val="left"/>
    </w:pPr>
    <w:rPr>
      <w:kern w:val="0"/>
      <w:sz w:val="18"/>
      <w:szCs w:val="20"/>
    </w:rPr>
  </w:style>
  <w:style w:type="paragraph" w:styleId="17">
    <w:name w:val="header"/>
    <w:basedOn w:val="1"/>
    <w:next w:val="1"/>
    <w:link w:val="37"/>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List"/>
    <w:basedOn w:val="1"/>
    <w:qFormat/>
    <w:locked/>
    <w:uiPriority w:val="0"/>
    <w:pPr>
      <w:ind w:left="200" w:hanging="200" w:hangingChars="200"/>
    </w:pPr>
    <w:rPr>
      <w:rFonts w:ascii="Times New Roman" w:hAnsi="Times New Roman" w:eastAsia="宋体" w:cs="Times New Roman"/>
      <w:szCs w:val="24"/>
    </w:rPr>
  </w:style>
  <w:style w:type="paragraph" w:styleId="19">
    <w:name w:val="Body Text Indent 3"/>
    <w:basedOn w:val="1"/>
    <w:qFormat/>
    <w:locked/>
    <w:uiPriority w:val="0"/>
    <w:pPr>
      <w:spacing w:line="560" w:lineRule="exact"/>
      <w:ind w:firstLine="560" w:firstLineChars="200"/>
    </w:pPr>
    <w:rPr>
      <w:rFonts w:ascii="宋体" w:hAnsi="宋体"/>
      <w:bCs/>
      <w:sz w:val="28"/>
      <w:szCs w:val="20"/>
    </w:rPr>
  </w:style>
  <w:style w:type="paragraph" w:styleId="20">
    <w:name w:val="table of figures"/>
    <w:basedOn w:val="1"/>
    <w:next w:val="1"/>
    <w:qFormat/>
    <w:locked/>
    <w:uiPriority w:val="99"/>
    <w:pPr>
      <w:jc w:val="center"/>
    </w:pPr>
    <w:rPr>
      <w:sz w:val="24"/>
    </w:rPr>
  </w:style>
  <w:style w:type="paragraph" w:styleId="21">
    <w:name w:val="Normal (Web)"/>
    <w:basedOn w:val="1"/>
    <w:link w:val="38"/>
    <w:qFormat/>
    <w:uiPriority w:val="0"/>
    <w:pPr>
      <w:widowControl/>
      <w:spacing w:before="100" w:beforeAutospacing="1" w:after="100" w:afterAutospacing="1"/>
      <w:jc w:val="left"/>
    </w:pPr>
    <w:rPr>
      <w:rFonts w:ascii="宋体" w:hAnsi="宋体"/>
      <w:kern w:val="0"/>
      <w:sz w:val="24"/>
      <w:szCs w:val="20"/>
    </w:rPr>
  </w:style>
  <w:style w:type="paragraph" w:styleId="22">
    <w:name w:val="Title"/>
    <w:basedOn w:val="1"/>
    <w:next w:val="1"/>
    <w:qFormat/>
    <w:locked/>
    <w:uiPriority w:val="0"/>
    <w:pPr>
      <w:spacing w:before="240" w:beforeLines="0" w:beforeAutospacing="0" w:after="60" w:afterLines="0" w:afterAutospacing="0"/>
      <w:jc w:val="center"/>
      <w:outlineLvl w:val="0"/>
    </w:pPr>
    <w:rPr>
      <w:rFonts w:ascii="Arial" w:hAnsi="Arial"/>
      <w:b/>
      <w:sz w:val="32"/>
    </w:rPr>
  </w:style>
  <w:style w:type="paragraph" w:styleId="23">
    <w:name w:val="annotation subject"/>
    <w:basedOn w:val="7"/>
    <w:next w:val="7"/>
    <w:link w:val="39"/>
    <w:semiHidden/>
    <w:qFormat/>
    <w:uiPriority w:val="0"/>
    <w:rPr>
      <w:b/>
      <w:kern w:val="2"/>
    </w:rPr>
  </w:style>
  <w:style w:type="table" w:styleId="25">
    <w:name w:val="Table Grid"/>
    <w:basedOn w:val="24"/>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locked/>
    <w:uiPriority w:val="0"/>
    <w:rPr>
      <w:b/>
    </w:rPr>
  </w:style>
  <w:style w:type="character" w:styleId="28">
    <w:name w:val="page number"/>
    <w:basedOn w:val="26"/>
    <w:qFormat/>
    <w:locked/>
    <w:uiPriority w:val="0"/>
  </w:style>
  <w:style w:type="character" w:styleId="29">
    <w:name w:val="Hyperlink"/>
    <w:basedOn w:val="26"/>
    <w:qFormat/>
    <w:locked/>
    <w:uiPriority w:val="0"/>
    <w:rPr>
      <w:color w:val="0000FF"/>
      <w:u w:val="single"/>
    </w:rPr>
  </w:style>
  <w:style w:type="character" w:styleId="30">
    <w:name w:val="annotation reference"/>
    <w:basedOn w:val="26"/>
    <w:semiHidden/>
    <w:qFormat/>
    <w:uiPriority w:val="0"/>
    <w:rPr>
      <w:sz w:val="21"/>
    </w:rPr>
  </w:style>
  <w:style w:type="character" w:customStyle="1" w:styleId="31">
    <w:name w:val="批注文字 Char"/>
    <w:link w:val="7"/>
    <w:qFormat/>
    <w:locked/>
    <w:uiPriority w:val="0"/>
    <w:rPr>
      <w:rFonts w:ascii="Times New Roman" w:hAnsi="Times New Roman" w:eastAsia="宋体"/>
      <w:sz w:val="24"/>
    </w:rPr>
  </w:style>
  <w:style w:type="character" w:customStyle="1" w:styleId="32">
    <w:name w:val="正文文本 Char"/>
    <w:link w:val="8"/>
    <w:qFormat/>
    <w:locked/>
    <w:uiPriority w:val="0"/>
    <w:rPr>
      <w:sz w:val="18"/>
    </w:rPr>
  </w:style>
  <w:style w:type="character" w:customStyle="1" w:styleId="33">
    <w:name w:val="正文文本缩进 Char"/>
    <w:link w:val="9"/>
    <w:semiHidden/>
    <w:qFormat/>
    <w:locked/>
    <w:uiPriority w:val="0"/>
    <w:rPr>
      <w:rFonts w:ascii="Times New Roman" w:hAnsi="Times New Roman" w:eastAsia="宋体"/>
      <w:sz w:val="24"/>
    </w:rPr>
  </w:style>
  <w:style w:type="character" w:customStyle="1" w:styleId="34">
    <w:name w:val="日期 Char"/>
    <w:link w:val="13"/>
    <w:qFormat/>
    <w:locked/>
    <w:uiPriority w:val="0"/>
    <w:rPr>
      <w:rFonts w:ascii="Times New Roman" w:hAnsi="Times New Roman" w:eastAsia="宋体"/>
      <w:sz w:val="24"/>
    </w:rPr>
  </w:style>
  <w:style w:type="character" w:customStyle="1" w:styleId="35">
    <w:name w:val="批注框文本 Char"/>
    <w:link w:val="15"/>
    <w:semiHidden/>
    <w:qFormat/>
    <w:locked/>
    <w:uiPriority w:val="0"/>
    <w:rPr>
      <w:rFonts w:ascii="Times New Roman" w:hAnsi="Times New Roman" w:eastAsia="宋体"/>
      <w:sz w:val="18"/>
    </w:rPr>
  </w:style>
  <w:style w:type="character" w:customStyle="1" w:styleId="36">
    <w:name w:val="页脚 Char"/>
    <w:link w:val="16"/>
    <w:qFormat/>
    <w:locked/>
    <w:uiPriority w:val="99"/>
    <w:rPr>
      <w:sz w:val="18"/>
    </w:rPr>
  </w:style>
  <w:style w:type="character" w:customStyle="1" w:styleId="37">
    <w:name w:val="页眉 Char"/>
    <w:link w:val="17"/>
    <w:qFormat/>
    <w:locked/>
    <w:uiPriority w:val="0"/>
    <w:rPr>
      <w:sz w:val="18"/>
    </w:rPr>
  </w:style>
  <w:style w:type="character" w:customStyle="1" w:styleId="38">
    <w:name w:val="普通(网站) Char"/>
    <w:link w:val="21"/>
    <w:qFormat/>
    <w:locked/>
    <w:uiPriority w:val="0"/>
    <w:rPr>
      <w:rFonts w:ascii="宋体" w:hAnsi="宋体" w:eastAsia="宋体"/>
      <w:sz w:val="24"/>
    </w:rPr>
  </w:style>
  <w:style w:type="character" w:customStyle="1" w:styleId="39">
    <w:name w:val="批注主题 Char"/>
    <w:link w:val="23"/>
    <w:semiHidden/>
    <w:qFormat/>
    <w:locked/>
    <w:uiPriority w:val="0"/>
    <w:rPr>
      <w:rFonts w:ascii="Times New Roman" w:hAnsi="Times New Roman" w:eastAsia="宋体"/>
      <w:b/>
      <w:kern w:val="2"/>
      <w:sz w:val="24"/>
    </w:rPr>
  </w:style>
  <w:style w:type="character" w:customStyle="1" w:styleId="40">
    <w:name w:val="content1"/>
    <w:basedOn w:val="26"/>
    <w:qFormat/>
    <w:uiPriority w:val="0"/>
    <w:rPr>
      <w:color w:val="000000"/>
      <w:sz w:val="20"/>
      <w:szCs w:val="20"/>
    </w:rPr>
  </w:style>
  <w:style w:type="character" w:customStyle="1" w:styleId="41">
    <w:name w:val="正文文本缩进 2 Char"/>
    <w:basedOn w:val="26"/>
    <w:qFormat/>
    <w:uiPriority w:val="0"/>
    <w:rPr>
      <w:rFonts w:eastAsia="宋体"/>
      <w:kern w:val="2"/>
      <w:sz w:val="28"/>
      <w:szCs w:val="24"/>
      <w:lang w:val="en-US" w:eastAsia="zh-CN" w:bidi="ar-SA"/>
    </w:rPr>
  </w:style>
  <w:style w:type="character" w:customStyle="1" w:styleId="42">
    <w:name w:val="表格 Char"/>
    <w:link w:val="43"/>
    <w:qFormat/>
    <w:locked/>
    <w:uiPriority w:val="0"/>
    <w:rPr>
      <w:rFonts w:ascii="宋体"/>
      <w:sz w:val="21"/>
    </w:rPr>
  </w:style>
  <w:style w:type="paragraph" w:customStyle="1" w:styleId="43">
    <w:name w:val="表格"/>
    <w:basedOn w:val="5"/>
    <w:next w:val="1"/>
    <w:link w:val="42"/>
    <w:qFormat/>
    <w:uiPriority w:val="0"/>
    <w:pPr>
      <w:adjustRightInd w:val="0"/>
      <w:snapToGrid w:val="0"/>
      <w:spacing w:beforeLines="10" w:afterLines="10" w:line="259" w:lineRule="auto"/>
      <w:jc w:val="center"/>
    </w:pPr>
    <w:rPr>
      <w:rFonts w:ascii="宋体"/>
      <w:kern w:val="0"/>
      <w:szCs w:val="20"/>
    </w:rPr>
  </w:style>
  <w:style w:type="character" w:customStyle="1" w:styleId="44">
    <w:name w:val="正文文本 字符1"/>
    <w:semiHidden/>
    <w:qFormat/>
    <w:uiPriority w:val="0"/>
    <w:rPr>
      <w:rFonts w:ascii="Times New Roman" w:hAnsi="Times New Roman" w:eastAsia="宋体"/>
      <w:sz w:val="24"/>
    </w:rPr>
  </w:style>
  <w:style w:type="character" w:customStyle="1" w:styleId="45">
    <w:name w:val="页脚 字符"/>
    <w:basedOn w:val="26"/>
    <w:qFormat/>
    <w:uiPriority w:val="99"/>
  </w:style>
  <w:style w:type="character" w:customStyle="1" w:styleId="46">
    <w:name w:val="日期 字符"/>
    <w:semiHidden/>
    <w:qFormat/>
    <w:uiPriority w:val="0"/>
    <w:rPr>
      <w:rFonts w:ascii="Times New Roman" w:hAnsi="Times New Roman" w:eastAsia="宋体"/>
      <w:sz w:val="24"/>
    </w:rPr>
  </w:style>
  <w:style w:type="character" w:customStyle="1" w:styleId="47">
    <w:name w:val="书籍标题"/>
    <w:basedOn w:val="26"/>
    <w:qFormat/>
    <w:uiPriority w:val="0"/>
    <w:rPr>
      <w:b/>
      <w:smallCaps/>
      <w:spacing w:val="5"/>
    </w:rPr>
  </w:style>
  <w:style w:type="character" w:customStyle="1" w:styleId="48">
    <w:name w:val="批注文字 字符1"/>
    <w:semiHidden/>
    <w:qFormat/>
    <w:uiPriority w:val="0"/>
    <w:rPr>
      <w:rFonts w:ascii="Times New Roman" w:hAnsi="Times New Roman" w:eastAsia="宋体"/>
      <w:sz w:val="24"/>
    </w:rPr>
  </w:style>
  <w:style w:type="paragraph" w:customStyle="1" w:styleId="49">
    <w:name w:val="新表格"/>
    <w:basedOn w:val="1"/>
    <w:qFormat/>
    <w:uiPriority w:val="0"/>
    <w:pPr>
      <w:snapToGrid w:val="0"/>
      <w:spacing w:line="264" w:lineRule="auto"/>
      <w:jc w:val="center"/>
    </w:pPr>
    <w:rPr>
      <w:bCs/>
      <w:kern w:val="0"/>
      <w:szCs w:val="21"/>
    </w:rPr>
  </w:style>
  <w:style w:type="paragraph" w:customStyle="1" w:styleId="50">
    <w:name w:val="样式 样式 (中文) 楷体_GB2312 四号 行距: 固定值 26 磅 +"/>
    <w:basedOn w:val="1"/>
    <w:qFormat/>
    <w:uiPriority w:val="0"/>
    <w:pPr>
      <w:spacing w:line="360" w:lineRule="auto"/>
      <w:ind w:firstLine="480" w:firstLineChars="200"/>
    </w:pPr>
    <w:rPr>
      <w:kern w:val="0"/>
      <w:sz w:val="24"/>
    </w:rPr>
  </w:style>
  <w:style w:type="paragraph" w:customStyle="1" w:styleId="51">
    <w:name w:val="标1"/>
    <w:basedOn w:val="1"/>
    <w:qFormat/>
    <w:uiPriority w:val="0"/>
    <w:pPr>
      <w:spacing w:before="60" w:beforeLines="0" w:beforeAutospacing="0" w:line="460" w:lineRule="exact"/>
      <w:outlineLvl w:val="0"/>
    </w:pPr>
    <w:rPr>
      <w:rFonts w:ascii="Times New Roman" w:hAnsi="Times New Roman" w:eastAsia="宋体" w:cs="Times New Roman"/>
      <w:b/>
      <w:kern w:val="2"/>
      <w:sz w:val="32"/>
      <w:lang w:val="en-US" w:eastAsia="zh-CN"/>
    </w:rPr>
  </w:style>
  <w:style w:type="paragraph" w:customStyle="1" w:styleId="52">
    <w:name w:val="中文报告书样式"/>
    <w:basedOn w:val="1"/>
    <w:qFormat/>
    <w:uiPriority w:val="0"/>
    <w:pPr>
      <w:adjustRightInd w:val="0"/>
      <w:spacing w:line="480" w:lineRule="atLeast"/>
      <w:ind w:firstLine="482"/>
      <w:textAlignment w:val="baseline"/>
    </w:pPr>
    <w:rPr>
      <w:rFonts w:ascii="Times New Roman" w:hAnsi="Times New Roman" w:eastAsia="宋体" w:cs="Times New Roman"/>
      <w:kern w:val="24"/>
      <w:sz w:val="24"/>
    </w:rPr>
  </w:style>
  <w:style w:type="paragraph" w:customStyle="1" w:styleId="53">
    <w:name w:val="aa正文 Char Char"/>
    <w:basedOn w:val="1"/>
    <w:qFormat/>
    <w:uiPriority w:val="0"/>
    <w:pPr>
      <w:spacing w:line="500" w:lineRule="exact"/>
      <w:ind w:firstLine="561"/>
    </w:pPr>
    <w:rPr>
      <w:rFonts w:eastAsia="Times New Roman"/>
      <w:sz w:val="24"/>
    </w:rPr>
  </w:style>
  <w:style w:type="paragraph" w:customStyle="1" w:styleId="54">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paragraph" w:customStyle="1" w:styleId="56">
    <w:name w:val="Default"/>
    <w:basedOn w:val="57"/>
    <w:next w:val="1"/>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57">
    <w:name w:val="纯文本1"/>
    <w:basedOn w:val="1"/>
    <w:qFormat/>
    <w:uiPriority w:val="0"/>
    <w:pPr>
      <w:adjustRightInd w:val="0"/>
    </w:pPr>
    <w:rPr>
      <w:rFonts w:ascii="宋体" w:hAnsi="Courier New"/>
      <w:szCs w:val="20"/>
    </w:rPr>
  </w:style>
  <w:style w:type="paragraph" w:customStyle="1" w:styleId="58">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59">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0">
    <w:name w:val="正文文字缩进"/>
    <w:basedOn w:val="1"/>
    <w:qFormat/>
    <w:uiPriority w:val="0"/>
    <w:pPr>
      <w:spacing w:line="440" w:lineRule="exact"/>
      <w:ind w:firstLine="425" w:firstLineChars="177"/>
    </w:pPr>
    <w:rPr>
      <w:rFonts w:ascii="Calibri" w:hAnsi="Calibri"/>
      <w:bCs/>
      <w:sz w:val="24"/>
      <w:szCs w:val="22"/>
    </w:rPr>
  </w:style>
  <w:style w:type="paragraph" w:customStyle="1" w:styleId="61">
    <w:name w:val="Table Paragraph"/>
    <w:basedOn w:val="1"/>
    <w:qFormat/>
    <w:uiPriority w:val="1"/>
    <w:rPr>
      <w:rFonts w:ascii="宋体" w:hAnsi="宋体" w:eastAsia="宋体" w:cs="宋体"/>
      <w:lang w:val="zh-CN" w:eastAsia="zh-CN" w:bidi="zh-CN"/>
    </w:rPr>
  </w:style>
  <w:style w:type="paragraph" w:customStyle="1" w:styleId="62">
    <w:name w:val="表"/>
    <w:basedOn w:val="1"/>
    <w:qFormat/>
    <w:uiPriority w:val="0"/>
    <w:pPr>
      <w:snapToGrid w:val="0"/>
      <w:jc w:val="center"/>
    </w:pPr>
    <w:rPr>
      <w:rFonts w:ascii="Times New Roman" w:hAnsi="Times New Roman" w:eastAsia="宋体" w:cs="Times New Roman"/>
      <w:spacing w:val="2"/>
    </w:rPr>
  </w:style>
  <w:style w:type="paragraph" w:customStyle="1" w:styleId="63">
    <w:name w:val="表中文字"/>
    <w:basedOn w:val="64"/>
    <w:qFormat/>
    <w:uiPriority w:val="0"/>
    <w:pPr>
      <w:jc w:val="center"/>
    </w:pPr>
    <w:rPr>
      <w:spacing w:val="-1"/>
      <w:sz w:val="24"/>
    </w:rPr>
  </w:style>
  <w:style w:type="paragraph" w:customStyle="1" w:styleId="64">
    <w:name w:val="Table Text"/>
    <w:basedOn w:val="1"/>
    <w:semiHidden/>
    <w:qFormat/>
    <w:uiPriority w:val="0"/>
    <w:pPr>
      <w:widowControl/>
      <w:kinsoku w:val="0"/>
      <w:autoSpaceDE w:val="0"/>
      <w:autoSpaceDN w:val="0"/>
      <w:spacing w:line="240" w:lineRule="auto"/>
      <w:ind w:firstLine="0" w:firstLineChars="0"/>
      <w:jc w:val="left"/>
    </w:pPr>
    <w:rPr>
      <w:rFonts w:ascii="宋体" w:hAnsi="宋体" w:cs="宋体"/>
      <w:color w:val="000000"/>
      <w:kern w:val="0"/>
      <w:sz w:val="20"/>
      <w:szCs w:val="20"/>
      <w:lang w:eastAsia="en-US"/>
    </w:rPr>
  </w:style>
  <w:style w:type="paragraph" w:customStyle="1" w:styleId="65">
    <w:name w:val="正文1"/>
    <w:basedOn w:val="1"/>
    <w:next w:val="1"/>
    <w:qFormat/>
    <w:uiPriority w:val="0"/>
    <w:pPr>
      <w:adjustRightInd w:val="0"/>
      <w:snapToGrid w:val="0"/>
      <w:spacing w:line="500" w:lineRule="atLeast"/>
      <w:ind w:firstLine="567"/>
    </w:pPr>
    <w:rPr>
      <w:sz w:val="28"/>
    </w:rPr>
  </w:style>
  <w:style w:type="paragraph" w:customStyle="1" w:styleId="66">
    <w:name w:val="无间隔1"/>
    <w:qFormat/>
    <w:uiPriority w:val="99"/>
    <w:pPr>
      <w:widowControl w:val="0"/>
    </w:pPr>
    <w:rPr>
      <w:rFonts w:ascii="Times New Roman" w:hAnsi="Times New Roman" w:eastAsia="仿宋_GB2312" w:cs="Times New Roman"/>
      <w:kern w:val="2"/>
      <w:sz w:val="28"/>
      <w:szCs w:val="21"/>
      <w:lang w:val="en-US" w:eastAsia="zh-CN" w:bidi="ar-SA"/>
    </w:rPr>
  </w:style>
  <w:style w:type="paragraph" w:customStyle="1" w:styleId="67">
    <w:name w:val="表头"/>
    <w:basedOn w:val="1"/>
    <w:next w:val="1"/>
    <w:qFormat/>
    <w:uiPriority w:val="0"/>
    <w:pPr>
      <w:widowControl/>
      <w:adjustRightInd w:val="0"/>
      <w:snapToGrid w:val="0"/>
      <w:spacing w:line="240" w:lineRule="auto"/>
      <w:jc w:val="center"/>
      <w:outlineLvl w:val="0"/>
    </w:pPr>
    <w:rPr>
      <w:rFonts w:hint="default" w:ascii="Times New Roman" w:hAnsi="Times New Roman" w:eastAsia="宋体"/>
      <w:b/>
      <w:snapToGrid w:val="0"/>
      <w:kern w:val="0"/>
      <w:sz w:val="24"/>
      <w:szCs w:val="32"/>
    </w:rPr>
  </w:style>
  <w:style w:type="paragraph" w:customStyle="1" w:styleId="68">
    <w:name w:val="Char"/>
    <w:basedOn w:val="1"/>
    <w:next w:val="1"/>
    <w:qFormat/>
    <w:uiPriority w:val="0"/>
    <w:rPr>
      <w:rFonts w:ascii="Arial" w:hAnsi="Arial" w:eastAsia="黑体"/>
      <w:b/>
      <w:kern w:val="2"/>
      <w:sz w:val="28"/>
      <w:lang w:val="en-US" w:eastAsia="zh-CN"/>
    </w:rPr>
  </w:style>
  <w:style w:type="paragraph" w:customStyle="1" w:styleId="69">
    <w:name w:val="表内两端"/>
    <w:qFormat/>
    <w:uiPriority w:val="0"/>
    <w:pPr>
      <w:adjustRightInd w:val="0"/>
      <w:snapToGrid w:val="0"/>
      <w:jc w:val="both"/>
    </w:pPr>
    <w:rPr>
      <w:rFonts w:ascii="宋体" w:hAnsi="Times New Roman" w:eastAsia="宋体" w:cs="Times New Roman"/>
      <w:sz w:val="21"/>
      <w:lang w:val="en-US" w:eastAsia="zh-CN" w:bidi="ar-SA"/>
    </w:rPr>
  </w:style>
  <w:style w:type="paragraph" w:customStyle="1" w:styleId="70">
    <w:name w:val="正文d"/>
    <w:basedOn w:val="1"/>
    <w:qFormat/>
    <w:uiPriority w:val="0"/>
    <w:pPr>
      <w:autoSpaceDE w:val="0"/>
      <w:autoSpaceDN w:val="0"/>
      <w:adjustRightInd w:val="0"/>
      <w:snapToGrid w:val="0"/>
      <w:spacing w:line="360" w:lineRule="auto"/>
      <w:ind w:firstLine="200" w:firstLineChars="200"/>
    </w:pPr>
    <w:rPr>
      <w:rFonts w:cs="宋体"/>
      <w:kern w:val="0"/>
      <w:szCs w:val="21"/>
    </w:rPr>
  </w:style>
  <w:style w:type="paragraph" w:customStyle="1" w:styleId="71">
    <w:name w:val="表文"/>
    <w:basedOn w:val="70"/>
    <w:qFormat/>
    <w:uiPriority w:val="0"/>
    <w:pPr>
      <w:spacing w:line="360" w:lineRule="exact"/>
      <w:ind w:firstLine="0" w:firstLineChars="0"/>
      <w:jc w:val="center"/>
    </w:pPr>
  </w:style>
  <w:style w:type="paragraph" w:customStyle="1" w:styleId="72">
    <w:name w:val="小标题"/>
    <w:basedOn w:val="70"/>
    <w:qFormat/>
    <w:uiPriority w:val="0"/>
    <w:pPr>
      <w:numPr>
        <w:ilvl w:val="0"/>
        <w:numId w:val="1"/>
      </w:numPr>
      <w:ind w:firstLine="0" w:firstLineChars="0"/>
    </w:pPr>
    <w:rPr>
      <w:rFonts w:cs="Times New Roman"/>
      <w:b/>
    </w:rPr>
  </w:style>
  <w:style w:type="table" w:customStyle="1" w:styleId="73">
    <w:name w:val="Table Normal"/>
    <w:semiHidden/>
    <w:qFormat/>
    <w:uiPriority w:val="0"/>
    <w:pPr>
      <w:snapToGrid w:val="0"/>
    </w:pPr>
    <w:rPr>
      <w:rFonts w:ascii="Arial" w:hAnsi="Arial" w:eastAsia="Times New Roman" w:cs="Arial"/>
      <w:color w:val="000000"/>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1.pn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TM5MTYyMzc2MDc0IiwKCSJHcm91cElkIiA6ICI2Nzc4ODA5NjkiLAoJIkltYWdlIiA6ICIiLAoJIlRoZW1lIiA6ICIiLAoJIlR5cGUiIDogImZsb3ciLAoJIlVzZXJJZCIgOiAiIiwKCSJWZXJzaW9uIiA6ICIiCn0K"/>
    </extobj>
  </extobjs>
</s:customData>
</file>

<file path=customXml/item2.xml><?xml version="1.0" encoding="utf-8"?>
<contractReview xmlns="http://schemas.wps.cn/vas-ai-hub/contract-review">
  <reviewItems>
    <reviewItem>
      <errorID>4d0f1761-0897-47e3-9b86-8f0beb1cb1c9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30AEAA7B</paraID>
      <start>27</start>
      <end>28</end>
      <status>ignored</status>
      <modifiedWord/>
      <trackRevisions>false</trackRevisions>
    </reviewItem>
    <reviewItem>
      <errorID>384e1d2c-ba1f-41b9-9bd2-ed5390162c2f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7C001B1</paraID>
      <start>33</start>
      <end>34</end>
      <status>ignored</status>
      <modifiedWord/>
      <trackRevisions>false</trackRevisions>
    </reviewItem>
    <reviewItem>
      <errorID>b09d1bc5-d318-460f-bf08-2ccb86c07073</errorID>
      <errorWord>胶粘剂</errorWord>
      <group>L1_Word</group>
      <groupName>字词问题</groupName>
      <ability>L2_Typo</ability>
      <abilityName>字词错误</abilityName>
      <candidateList>
        <item>胶黏剂</item>
      </candidateList>
      <explain/>
      <paraID>24437C5E</paraID>
      <start>122</start>
      <end>125</end>
      <status>ignored</status>
      <modifiedWord/>
      <trackRevisions>false</trackRevisions>
    </reviewItem>
    <reviewItem>
      <errorID>d2bedf7b-ecdc-46c8-9c88-1c4c4a674979</errorID>
      <errorWord>程</errorWord>
      <group>L1_Word</group>
      <groupName>字词问题</groupName>
      <ability>L2_Typo</ability>
      <abilityName>字词错误</abilityName>
      <candidateList>
        <item>程中</item>
      </candidateList>
      <explain/>
      <paraID> 843DC67</paraID>
      <start>54</start>
      <end>55</end>
      <status>ignored</status>
      <modifiedWord/>
      <trackRevisions>false</trackRevisions>
    </reviewItem>
    <reviewItem>
      <errorID>5ddb9e7f-4f12-4552-ba9e-0e0b164bf378</errorID>
      <errorWord>~</errorWord>
      <group>L1_Format</group>
      <groupName>格式问题</groupName>
      <ability>L2_HalfPunc_CN</ability>
      <abilityName>全半角问题</abilityName>
      <candidateList>
        <item>～</item>
      </candidateList>
      <explain>文本全半角错误。</explain>
      <paraID>2438B425</paraID>
      <start>20</start>
      <end>21</end>
      <status>ignored</status>
      <modifiedWord/>
      <trackRevisions>false</trackRevisions>
    </reviewItem>
    <reviewItem>
      <errorID>347e3fb8-0146-4d9e-aff3-03740508e9ce</errorID>
      <errorWord>~</errorWord>
      <group>L1_Format</group>
      <groupName>格式问题</groupName>
      <ability>L2_HalfPunc_CN</ability>
      <abilityName>全半角问题</abilityName>
      <candidateList>
        <item>～</item>
      </candidateList>
      <explain>文本全半角错误。</explain>
      <paraID>47020898</paraID>
      <start>2</start>
      <end>3</end>
      <status>ignored</status>
      <modifiedWord/>
      <trackRevisions>false</trackRevisions>
    </reviewItem>
    <reviewItem>
      <errorID>d491f0d5-0154-4da0-bb7e-0316b2285dce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2655F057</paraID>
      <start>10</start>
      <end>11</end>
      <status>ignored</status>
      <modifiedWord/>
      <trackRevisions>false</trackRevisions>
    </reviewItem>
    <reviewItem>
      <errorID>ddf70d7f-a7bb-4a18-8e64-3b3b2d18f106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730B8688</paraID>
      <start>10</start>
      <end>11</end>
      <status>ignored</status>
      <modifiedWord/>
      <trackRevisions>false</trackRevisions>
    </reviewItem>
    <reviewItem>
      <errorID>52b1f626-3d9e-4571-b1d5-2404f535d33b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2C4C8FA1</paraID>
      <start>10</start>
      <end>11</end>
      <status>ignored</status>
      <modifiedWord/>
      <trackRevisions>false</trackRevisions>
    </reviewItem>
    <reviewItem>
      <errorID>9fc49c65-e815-4baf-907d-4ff68b5edbba</errorID>
      <errorWord>放控</errorWord>
      <group>L1_Word</group>
      <groupName>字词问题</groupName>
      <ability>L2_Typo</ability>
      <abilityName>字词错误</abilityName>
      <candidateList>
        <item>防控</item>
      </candidateList>
      <explain/>
      <paraID> 4C0D098</paraID>
      <start>0</start>
      <end>2</end>
      <status>ignored</status>
      <modifiedWord/>
      <trackRevisions>false</trackRevisions>
    </reviewItem>
    <reviewItem>
      <errorID>7a85e73c-a32e-44cd-9849-5f3f0f2ad557</errorID>
      <errorWord>（</errorWord>
      <group>L1_Punc</group>
      <groupName>标点问题</groupName>
      <ability>L2_Punc_CN</ability>
      <abilityName>标点符号问题</abilityName>
      <candidateList/>
      <explain>同一形式括号套用。</explain>
      <paraID>1FE96ED3</paraID>
      <start>123</start>
      <end>124</end>
      <status>ignored</status>
      <modifiedWord/>
      <trackRevisions>false</trackRevisions>
    </reviewItem>
    <reviewItem>
      <errorID>5f09aec4-98be-40a8-8ca6-350d409a8080</errorID>
      <errorWord>）</errorWord>
      <group>L1_Punc</group>
      <groupName>标点问题</groupName>
      <ability>L2_Punc_CN</ability>
      <abilityName>标点符号问题</abilityName>
      <candidateList/>
      <explain>同一形式括号套用。</explain>
      <paraID>1FE96ED3</paraID>
      <start>137</start>
      <end>138</end>
      <status>ignored</status>
      <modifiedWord/>
      <trackRevisions>false</trackRevisions>
    </reviewItem>
    <reviewItem>
      <errorID>d677b1f4-1f45-4522-8e28-46c3103bd7a3</errorID>
      <errorWord>-</errorWord>
      <group>L1_Format</group>
      <groupName>格式问题</groupName>
      <ability>L2_HalfPunc_CN</ability>
      <abilityName>全半角问题</abilityName>
      <candidateList>
        <item>－</item>
      </candidateList>
      <explain>文本全半角错误。</explain>
      <paraID> 9C9A55D</paraID>
      <start>119</start>
      <end>120</end>
      <status>unmodified</status>
      <modifiedWord/>
      <trackRevisions>false</trackRevisions>
    </reviewItem>
    <reviewItem>
      <errorID>0e5daff3-73d4-4f4c-a706-bd0a32ace77b</errorID>
      <errorWord>10-1千</errorWord>
      <group>L1_Knowledge</group>
      <groupName>知识性问题</groupName>
      <ability>L2_Knowledge</ability>
      <abilityName>其他知识</abilityName>
      <candidateList>
        <item>10—1千</item>
      </candidateList>
      <explain>1. “10-1千”中的单位“千”仅出现在后一个数字上，容易引起歧义；根据《现代汉语标点符号数字用法规范手册》，数字表示范围两边需要使用统一的格式。2. 根据标点国标 4.13 中的规则，数字、时间或地域连接符应使用（视觉上更长的）“—”或“～”。</explain>
      <paraID>63B4E5FD</paraID>
      <start>234</start>
      <end>239</end>
      <status>unmodified</status>
      <modifiedWord/>
      <trackRevisions>false</trackRevisions>
    </reviewItem>
    <reviewItem>
      <errorID>af87d19b-dd2d-4393-a61f-e46708e27908</errorID>
      <errorWord>-</errorWord>
      <group>L1_Format</group>
      <groupName>格式问题</groupName>
      <ability>L2_HalfPunc_CN</ability>
      <abilityName>全半角问题</abilityName>
      <candidateList>
        <item>－</item>
      </candidateList>
      <explain>文本全半角错误。</explain>
      <paraID>63B4E5FD</paraID>
      <start>242</start>
      <end>243</end>
      <status>unmodified</status>
      <modifiedWord/>
      <trackRevisions>false</trackRevisions>
    </reviewItem>
    <reviewItem>
      <errorID>c19bb2f4-35bb-4d6f-be28-10f2d4c480c0</errorID>
      <errorWord>~</errorWord>
      <group>L1_Format</group>
      <groupName>格式问题</groupName>
      <ability>L2_HalfPunc_CN</ability>
      <abilityName>全半角问题</abilityName>
      <candidateList>
        <item>～</item>
      </candidateList>
      <explain>文本全半角错误。</explain>
      <paraID>221482F6</paraID>
      <start>237</start>
      <end>238</end>
      <status>ignored</status>
      <modifiedWord/>
      <trackRevisions>false</trackRevisions>
    </reviewItem>
    <reviewItem>
      <errorID>b0de873c-93b7-44d4-bdad-4d8e1926b9aa</errorID>
      <errorWord>(</errorWord>
      <group>L1_Format</group>
      <groupName>格式问题</groupName>
      <ability>L2_HalfPunc_CN</ability>
      <abilityName>全半角问题</abilityName>
      <candidateList>
        <item>（</item>
      </candidateList>
      <explain>文本全半角错误。</explain>
      <paraID>22CB0FE2</paraID>
      <start>117</start>
      <end>118</end>
      <status>unmodified</status>
      <modifiedWord/>
      <trackRevisions>false</trackRevisions>
    </reviewItem>
    <reviewItem>
      <errorID>3e9591e1-9da3-4212-9903-8945aa76a178</errorID>
      <errorWord>北</errorWord>
      <group>L1_Word</group>
      <groupName>字词问题</groupName>
      <ability>L2_Typo</ability>
      <abilityName>字词错误</abilityName>
      <candidateList>
        <item>被</item>
      </candidateList>
      <explain/>
      <paraID>111AF9E1</paraID>
      <start>0</start>
      <end>1</end>
      <status>unmodified</status>
      <modifiedWord/>
      <trackRevisions>false</trackRevisions>
    </reviewItem>
    <reviewItem>
      <errorID>2a1b5f4b-9404-4b73-85e8-08648cfcca14</errorID>
      <errorWord>北</errorWord>
      <group>L1_Word</group>
      <groupName>字词问题</groupName>
      <ability>L2_Typo</ability>
      <abilityName>字词错误</abilityName>
      <candidateList>
        <item>被</item>
      </candidateList>
      <explain/>
      <paraID> BAF26AE</paraID>
      <start>0</start>
      <end>1</end>
      <status>unmodified</status>
      <modifiedWord/>
      <trackRevisions>false</trackRevisions>
    </reviewItem>
    <reviewItem>
      <errorID>710b57c3-b812-4b25-b804-f3e1220afcde</errorID>
      <errorWord>北</errorWord>
      <group>L1_Word</group>
      <groupName>字词问题</groupName>
      <ability>L2_Typo</ability>
      <abilityName>字词错误</abilityName>
      <candidateList>
        <item>被</item>
      </candidateList>
      <explain/>
      <paraID> E2E8C30</paraID>
      <start>0</start>
      <end>1</end>
      <status>unmodified</status>
      <modifiedWord/>
      <trackRevisions>false</trackRevisions>
    </reviewItem>
    <reviewItem>
      <errorID>ffd39514-1623-4a2a-bdd2-adb6add497e7</errorID>
      <errorWord>北</errorWord>
      <group>L1_Word</group>
      <groupName>字词问题</groupName>
      <ability>L2_Typo</ability>
      <abilityName>字词错误</abilityName>
      <candidateList>
        <item>被</item>
      </candidateList>
      <explain/>
      <paraID>72B8BCCC</paraID>
      <start>0</start>
      <end>1</end>
      <status>unmodified</status>
      <modifiedWord/>
      <trackRevisions>false</trackRevisions>
    </reviewItem>
    <reviewItem>
      <errorID>d13b257c-7d37-4637-a874-4a82525b23f6</errorID>
      <errorWord>)</errorWord>
      <group>L1_Format</group>
      <groupName>格式问题</groupName>
      <ability>L2_HalfPunc_CN</ability>
      <abilityName>全半角问题</abilityName>
      <candidateList>
        <item>）</item>
      </candidateList>
      <explain>文本全半角错误。</explain>
      <paraID>1555BB28</paraID>
      <start>8</start>
      <end>9</end>
      <status>unmodified</status>
      <modifiedWord/>
      <trackRevisions>false</trackRevisions>
    </reviewItem>
    <reviewItem>
      <errorID>cf72d7b3-afbd-48c8-b674-730d99fc4934</errorID>
      <errorWord>)</errorWord>
      <group>L1_Format</group>
      <groupName>格式问题</groupName>
      <ability>L2_HalfPunc_CN</ability>
      <abilityName>全半角问题</abilityName>
      <candidateList>
        <item>）</item>
      </candidateList>
      <explain>文本全半角错误。</explain>
      <paraID>20777124</paraID>
      <start>9</start>
      <end>10</end>
      <status>unmodified</status>
      <modifiedWord/>
      <trackRevisions>false</trackRevisions>
    </reviewItem>
    <reviewItem>
      <errorID>c911a655-9b3f-4227-89cb-701012ef63e8</errorID>
      <errorWord>采用按</errorWord>
      <group>L1_Word</group>
      <groupName>字词问题</groupName>
      <ability>L2_Typo</ability>
      <abilityName>字词错误</abilityName>
      <candidateList>
        <item>采用</item>
      </candidateList>
      <explain/>
      <paraID>608887FB</paraID>
      <start>48</start>
      <end>50</end>
      <status>modified</status>
      <modifiedWord>采用</modifiedWord>
      <trackRevisions>false</trackRevisions>
    </reviewItem>
    <reviewItem>
      <errorID>d26389df-3756-497c-844f-3266db9d0c56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20A8D689</paraID>
      <start>144</start>
      <end>145</end>
      <status>ignored</status>
      <modifiedWord/>
      <trackRevisions>false</trackRevisions>
    </reviewItem>
    <reviewItem>
      <errorID>10b0b8fd-0b4c-4335-a5dd-0942d9eb5f65</errorID>
      <errorWord>提高</errorWord>
      <group>L1_Grammar</group>
      <groupName>语法问题</groupName>
      <ability>L2_Grammar</ability>
      <abilityName>语法错误</abilityName>
      <candidateList>
        <item>增强</item>
      </candidateList>
      <explain>“提高～意识”搭配不当，建议修改为“增强～意识”。</explain>
      <paraID>56D25251</paraID>
      <start>12</start>
      <end>14</end>
      <status>ignored</status>
      <modifiedWord/>
      <trackRevisions>false</trackRevisions>
    </reviewItem>
    <reviewItem>
      <errorID>e271459f-f2bd-4894-9b12-ffb76d4a37fe</errorID>
      <errorWord>防止</errorWord>
      <group>L1_Word</group>
      <groupName>字词问题</groupName>
      <ability>L2_Typo</ability>
      <abilityName>字词错误</abilityName>
      <candidateList>
        <item>防治</item>
      </candidateList>
      <explain/>
      <paraID>16BC1D20</paraID>
      <start>61</start>
      <end>63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2e873f-d48a-4839-a939-d36a7cc25a58}">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66</Pages>
  <Words>24153</Words>
  <Characters>26918</Characters>
  <Lines>158</Lines>
  <Paragraphs>44</Paragraphs>
  <TotalTime>69</TotalTime>
  <ScaleCrop>false</ScaleCrop>
  <LinksUpToDate>false</LinksUpToDate>
  <CharactersWithSpaces>27066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向阳开</cp:lastModifiedBy>
  <cp:lastPrinted>2022-03-25T04:35:00Z</cp:lastPrinted>
  <dcterms:modified xsi:type="dcterms:W3CDTF">2026-09-16T10:13:44Z</dcterms:modified>
  <dc:title>附件2</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FB7DD6F08B7C480AA07B4FA470EA23A3_13</vt:lpwstr>
  </property>
  <property fmtid="{D5CDD505-2E9C-101B-9397-08002B2CF9AE}" pid="4" name="KSOTemplateDocerSaveRecord">
    <vt:lpwstr>eyJoZGlkIjoiNjY2NjFhMjFjNGNiY2ZmZGJhN2QyMmU0YWYzMGU2YzgiLCJ1c2VySWQiOiIxNjk0MDY2NzQyIn0=</vt:lpwstr>
  </property>
</Properties>
</file>