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B373F">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0"/>
        <w:rPr>
          <w:rFonts w:hint="eastAsia" w:ascii="Times New Roman" w:hAnsi="Times New Roman" w:eastAsia="方正小标宋_GBK" w:cs="Times New Roman"/>
          <w:bCs/>
          <w:color w:val="000000" w:themeColor="text1"/>
          <w:sz w:val="72"/>
          <w:szCs w:val="72"/>
          <w:lang w:eastAsia="zh-CN"/>
          <w14:textFill>
            <w14:solidFill>
              <w14:schemeClr w14:val="tx1"/>
            </w14:solidFill>
          </w14:textFill>
        </w:rPr>
      </w:pPr>
      <w:bookmarkStart w:id="0" w:name="_Toc30219"/>
    </w:p>
    <w:p w14:paraId="14213D6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0"/>
        <w:rPr>
          <w:rFonts w:hint="eastAsia" w:ascii="Times New Roman" w:hAnsi="Times New Roman" w:eastAsia="方正小标宋_GBK" w:cs="Times New Roman"/>
          <w:bCs/>
          <w:color w:val="000000" w:themeColor="text1"/>
          <w:sz w:val="72"/>
          <w:szCs w:val="72"/>
          <w:lang w:eastAsia="zh-CN"/>
          <w14:textFill>
            <w14:solidFill>
              <w14:schemeClr w14:val="tx1"/>
            </w14:solidFill>
          </w14:textFill>
        </w:rPr>
      </w:pPr>
    </w:p>
    <w:p w14:paraId="3EDD653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0"/>
        <w:rPr>
          <w:rFonts w:hint="default" w:ascii="Times New Roman" w:hAnsi="Times New Roman" w:eastAsia="方正小标宋_GBK" w:cs="Times New Roman"/>
          <w:bCs/>
          <w:color w:val="000000" w:themeColor="text1"/>
          <w:sz w:val="72"/>
          <w:szCs w:val="72"/>
          <w14:textFill>
            <w14:solidFill>
              <w14:schemeClr w14:val="tx1"/>
            </w14:solidFill>
          </w14:textFill>
        </w:rPr>
      </w:pPr>
    </w:p>
    <w:p w14:paraId="53DCB9F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0"/>
        <w:rPr>
          <w:rFonts w:hint="eastAsia" w:ascii="黑体" w:hAnsi="黑体" w:eastAsia="黑体" w:cs="黑体"/>
          <w:bCs/>
          <w:color w:val="000000" w:themeColor="text1"/>
          <w:sz w:val="52"/>
          <w:szCs w:val="52"/>
          <w14:textFill>
            <w14:solidFill>
              <w14:schemeClr w14:val="tx1"/>
            </w14:solidFill>
          </w14:textFill>
        </w:rPr>
      </w:pPr>
    </w:p>
    <w:p w14:paraId="00897176">
      <w:pPr>
        <w:spacing w:line="360" w:lineRule="auto"/>
        <w:jc w:val="center"/>
        <w:rPr>
          <w:rFonts w:hint="eastAsia" w:ascii="黑体" w:hAnsi="黑体" w:eastAsia="黑体" w:cs="黑体"/>
          <w:color w:val="000000" w:themeColor="text1"/>
          <w:sz w:val="66"/>
          <w:szCs w:val="66"/>
          <w14:textFill>
            <w14:solidFill>
              <w14:schemeClr w14:val="tx1"/>
            </w14:solidFill>
          </w14:textFill>
        </w:rPr>
      </w:pPr>
      <w:r>
        <w:rPr>
          <w:rFonts w:hint="eastAsia" w:ascii="黑体" w:hAnsi="黑体" w:eastAsia="黑体" w:cs="黑体"/>
          <w:color w:val="000000" w:themeColor="text1"/>
          <w:sz w:val="66"/>
          <w:szCs w:val="66"/>
          <w14:textFill>
            <w14:solidFill>
              <w14:schemeClr w14:val="tx1"/>
            </w14:solidFill>
          </w14:textFill>
        </w:rPr>
        <w:t>建设项目</w:t>
      </w:r>
      <w:r>
        <w:rPr>
          <w:rFonts w:hint="eastAsia" w:ascii="黑体" w:hAnsi="黑体" w:eastAsia="黑体" w:cs="黑体"/>
          <w:color w:val="000000" w:themeColor="text1"/>
          <w:sz w:val="66"/>
          <w:szCs w:val="66"/>
          <w:lang w:val="en-US" w:eastAsia="zh-CN"/>
          <w14:textFill>
            <w14:solidFill>
              <w14:schemeClr w14:val="tx1"/>
            </w14:solidFill>
          </w14:textFill>
        </w:rPr>
        <w:t>生态</w:t>
      </w:r>
      <w:r>
        <w:rPr>
          <w:rFonts w:hint="eastAsia" w:ascii="黑体" w:hAnsi="黑体" w:eastAsia="黑体" w:cs="黑体"/>
          <w:color w:val="000000" w:themeColor="text1"/>
          <w:sz w:val="66"/>
          <w:szCs w:val="66"/>
          <w14:textFill>
            <w14:solidFill>
              <w14:schemeClr w14:val="tx1"/>
            </w14:solidFill>
          </w14:textFill>
        </w:rPr>
        <w:t>环境影响报告表</w:t>
      </w:r>
      <w:bookmarkEnd w:id="0"/>
    </w:p>
    <w:p w14:paraId="69E03AB5">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themeColor="text1"/>
          <w:sz w:val="44"/>
          <w:szCs w:val="44"/>
          <w:lang w:eastAsia="zh-CN"/>
          <w14:textFill>
            <w14:solidFill>
              <w14:schemeClr w14:val="tx1"/>
            </w14:solidFill>
          </w14:textFill>
        </w:rPr>
      </w:pPr>
      <w:bookmarkStart w:id="1" w:name="_Hlk57883728"/>
      <w:r>
        <w:rPr>
          <w:rFonts w:hint="eastAsia" w:ascii="黑体" w:hAnsi="黑体" w:eastAsia="黑体" w:cs="黑体"/>
          <w:color w:val="000000" w:themeColor="text1"/>
          <w:sz w:val="44"/>
          <w:szCs w:val="44"/>
          <w:lang w:eastAsia="zh-CN"/>
          <w14:textFill>
            <w14:solidFill>
              <w14:schemeClr w14:val="tx1"/>
            </w14:solidFill>
          </w14:textFill>
        </w:rPr>
        <w:t>（</w:t>
      </w:r>
      <w:r>
        <w:rPr>
          <w:rFonts w:hint="eastAsia" w:ascii="黑体" w:hAnsi="黑体" w:eastAsia="黑体" w:cs="黑体"/>
          <w:color w:val="000000" w:themeColor="text1"/>
          <w:sz w:val="44"/>
          <w:szCs w:val="44"/>
          <w:lang w:val="en-US" w:eastAsia="zh-CN"/>
          <w14:textFill>
            <w14:solidFill>
              <w14:schemeClr w14:val="tx1"/>
            </w14:solidFill>
          </w14:textFill>
        </w:rPr>
        <w:t>公示稿</w:t>
      </w:r>
      <w:r>
        <w:rPr>
          <w:rFonts w:hint="eastAsia" w:ascii="黑体" w:hAnsi="黑体" w:eastAsia="黑体" w:cs="黑体"/>
          <w:color w:val="000000" w:themeColor="text1"/>
          <w:sz w:val="44"/>
          <w:szCs w:val="44"/>
          <w:lang w:eastAsia="zh-CN"/>
          <w14:textFill>
            <w14:solidFill>
              <w14:schemeClr w14:val="tx1"/>
            </w14:solidFill>
          </w14:textFill>
        </w:rPr>
        <w:t>）</w:t>
      </w:r>
    </w:p>
    <w:p w14:paraId="48E5E4E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color w:val="000000" w:themeColor="text1"/>
          <w:sz w:val="44"/>
          <w:szCs w:val="44"/>
          <w14:textFill>
            <w14:solidFill>
              <w14:schemeClr w14:val="tx1"/>
            </w14:solidFill>
          </w14:textFill>
        </w:rPr>
      </w:pPr>
    </w:p>
    <w:p w14:paraId="01AA000F">
      <w:pPr>
        <w:keepNext w:val="0"/>
        <w:keepLines w:val="0"/>
        <w:pageBreakBefore w:val="0"/>
        <w:widowControl w:val="0"/>
        <w:kinsoku/>
        <w:wordWrap/>
        <w:overflowPunct/>
        <w:topLinePunct w:val="0"/>
        <w:autoSpaceDE/>
        <w:autoSpaceDN/>
        <w:bidi w:val="0"/>
        <w:adjustRightInd/>
        <w:snapToGrid/>
        <w:textAlignment w:val="auto"/>
        <w:rPr>
          <w:rFonts w:hint="default"/>
          <w:color w:val="000000" w:themeColor="text1"/>
          <w14:textFill>
            <w14:solidFill>
              <w14:schemeClr w14:val="tx1"/>
            </w14:solidFill>
          </w14:textFill>
        </w:rPr>
      </w:pPr>
    </w:p>
    <w:p w14:paraId="2B2ADA24">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color w:val="000000" w:themeColor="text1"/>
          <w:sz w:val="44"/>
          <w:szCs w:val="44"/>
          <w14:textFill>
            <w14:solidFill>
              <w14:schemeClr w14:val="tx1"/>
            </w14:solidFill>
          </w14:textFill>
        </w:rPr>
      </w:pPr>
    </w:p>
    <w:p w14:paraId="23CEA691">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color w:val="000000" w:themeColor="text1"/>
          <w:sz w:val="44"/>
          <w:szCs w:val="44"/>
          <w14:textFill>
            <w14:solidFill>
              <w14:schemeClr w14:val="tx1"/>
            </w14:solidFill>
          </w14:textFill>
        </w:rPr>
      </w:pPr>
    </w:p>
    <w:bookmarkEnd w:id="1"/>
    <w:p w14:paraId="6DE8D3C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20" w:firstLineChars="100"/>
        <w:jc w:val="both"/>
        <w:textAlignment w:val="auto"/>
        <w:rPr>
          <w:rFonts w:hint="eastAsia"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项</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14:textFill>
            <w14:solidFill>
              <w14:schemeClr w14:val="tx1"/>
            </w14:solidFill>
          </w14:textFill>
        </w:rPr>
        <w:t>目</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14:textFill>
            <w14:solidFill>
              <w14:schemeClr w14:val="tx1"/>
            </w14:solidFill>
          </w14:textFill>
        </w:rPr>
        <w:t>名</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14:textFill>
            <w14:solidFill>
              <w14:schemeClr w14:val="tx1"/>
            </w14:solidFill>
          </w14:textFill>
        </w:rPr>
        <w:t>称：</w:t>
      </w:r>
      <w:r>
        <w:rPr>
          <w:rFonts w:hint="eastAsia" w:ascii="Times New Roman" w:hAnsi="Times New Roman" w:eastAsia="黑体" w:cs="Times New Roman"/>
          <w:color w:val="000000" w:themeColor="text1"/>
          <w:sz w:val="32"/>
          <w:szCs w:val="32"/>
          <w:lang w:eastAsia="zh-CN"/>
          <w14:textFill>
            <w14:solidFill>
              <w14:schemeClr w14:val="tx1"/>
            </w14:solidFill>
          </w14:textFill>
        </w:rPr>
        <w:t>新疆且末250MW/1000MWh构网型独立新型</w:t>
      </w:r>
    </w:p>
    <w:p w14:paraId="3DC64426">
      <w:pPr>
        <w:keepNext w:val="0"/>
        <w:keepLines w:val="0"/>
        <w:pageBreakBefore w:val="0"/>
        <w:widowControl w:val="0"/>
        <w:kinsoku/>
        <w:wordWrap/>
        <w:overflowPunct/>
        <w:topLinePunct w:val="0"/>
        <w:autoSpaceDE/>
        <w:autoSpaceDN/>
        <w:bidi w:val="0"/>
        <w:adjustRightInd w:val="0"/>
        <w:snapToGrid w:val="0"/>
        <w:spacing w:line="360" w:lineRule="auto"/>
        <w:ind w:firstLine="2240" w:firstLineChars="700"/>
        <w:jc w:val="both"/>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储能</w:t>
      </w:r>
      <w:r>
        <w:rPr>
          <w:rFonts w:hint="eastAsia" w:ascii="Times New Roman" w:hAnsi="Times New Roman" w:eastAsia="黑体" w:cs="Times New Roman"/>
          <w:color w:val="000000" w:themeColor="text1"/>
          <w:sz w:val="32"/>
          <w:szCs w:val="32"/>
          <w:lang w:eastAsia="zh-CN"/>
          <w14:textFill>
            <w14:solidFill>
              <w14:schemeClr w14:val="tx1"/>
            </w14:solidFill>
          </w14:textFill>
        </w:rPr>
        <w:t>项目220千伏输变电工程</w:t>
      </w:r>
    </w:p>
    <w:p w14:paraId="318E812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320" w:firstLineChars="100"/>
        <w:jc w:val="both"/>
        <w:textAlignment w:val="auto"/>
        <w:rPr>
          <w:rFonts w:hint="default" w:ascii="Times New Roman" w:hAnsi="Times New Roman" w:eastAsia="黑体" w:cs="Times New Roman"/>
          <w:color w:val="000000" w:themeColor="text1"/>
          <w:sz w:val="30"/>
          <w:szCs w:val="30"/>
          <w:u w:val="singl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建</w:t>
      </w:r>
      <w:r>
        <w:rPr>
          <w:rFonts w:hint="eastAsia" w:eastAsia="黑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14:textFill>
            <w14:solidFill>
              <w14:schemeClr w14:val="tx1"/>
            </w14:solidFill>
          </w14:textFill>
        </w:rPr>
        <w:t>设</w:t>
      </w:r>
      <w:r>
        <w:rPr>
          <w:rFonts w:hint="eastAsia" w:eastAsia="黑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14:textFill>
            <w14:solidFill>
              <w14:schemeClr w14:val="tx1"/>
            </w14:solidFill>
          </w14:textFill>
        </w:rPr>
        <w:t>单</w:t>
      </w:r>
      <w:r>
        <w:rPr>
          <w:rFonts w:hint="eastAsia" w:eastAsia="黑体"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黑体" w:cs="Times New Roman"/>
          <w:color w:val="000000" w:themeColor="text1"/>
          <w:sz w:val="32"/>
          <w:szCs w:val="32"/>
          <w14:textFill>
            <w14:solidFill>
              <w14:schemeClr w14:val="tx1"/>
            </w14:solidFill>
          </w14:textFill>
        </w:rPr>
        <w:t>位：且末融玉储能有限责任公司</w:t>
      </w:r>
    </w:p>
    <w:p w14:paraId="0A1B7578">
      <w:pPr>
        <w:bidi w:val="0"/>
        <w:rPr>
          <w:rFonts w:hint="eastAsia"/>
          <w:color w:val="000000" w:themeColor="text1"/>
          <w:lang w:eastAsia="zh-CN"/>
          <w14:textFill>
            <w14:solidFill>
              <w14:schemeClr w14:val="tx1"/>
            </w14:solidFill>
          </w14:textFill>
        </w:rPr>
      </w:pPr>
    </w:p>
    <w:p w14:paraId="7AF01AD1">
      <w:pPr>
        <w:bidi w:val="0"/>
        <w:rPr>
          <w:rFonts w:hint="eastAsia"/>
          <w:color w:val="000000" w:themeColor="text1"/>
          <w:lang w:eastAsia="zh-CN"/>
          <w14:textFill>
            <w14:solidFill>
              <w14:schemeClr w14:val="tx1"/>
            </w14:solidFill>
          </w14:textFill>
        </w:rPr>
      </w:pPr>
    </w:p>
    <w:p w14:paraId="68A7CA46">
      <w:pPr>
        <w:bidi w:val="0"/>
        <w:rPr>
          <w:rFonts w:hint="eastAsia"/>
          <w:color w:val="000000" w:themeColor="text1"/>
          <w:sz w:val="32"/>
          <w:szCs w:val="32"/>
          <w:lang w:eastAsia="zh-CN"/>
          <w14:textFill>
            <w14:solidFill>
              <w14:schemeClr w14:val="tx1"/>
            </w14:solidFill>
          </w14:textFill>
        </w:rPr>
      </w:pPr>
    </w:p>
    <w:p w14:paraId="70949A4C">
      <w:pPr>
        <w:bidi w:val="0"/>
        <w:rPr>
          <w:rFonts w:hint="eastAsia" w:eastAsia="宋体"/>
          <w:color w:val="000000" w:themeColor="text1"/>
          <w:sz w:val="32"/>
          <w:szCs w:val="32"/>
          <w:lang w:eastAsia="zh-CN"/>
          <w14:textFill>
            <w14:solidFill>
              <w14:schemeClr w14:val="tx1"/>
            </w14:solidFill>
          </w14:textFill>
        </w:rPr>
      </w:pPr>
    </w:p>
    <w:p w14:paraId="75A20169">
      <w:pPr>
        <w:pageBreakBefore w:val="0"/>
        <w:widowControl w:val="0"/>
        <w:kinsoku/>
        <w:wordWrap/>
        <w:overflowPunct/>
        <w:topLinePunct w:val="0"/>
        <w:autoSpaceDE/>
        <w:autoSpaceDN/>
        <w:bidi w:val="0"/>
        <w:adjustRightInd w:val="0"/>
        <w:snapToGrid w:val="0"/>
        <w:spacing w:line="360" w:lineRule="auto"/>
        <w:jc w:val="left"/>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p>
    <w:p w14:paraId="2A1A3DBC">
      <w:pPr>
        <w:keepNext w:val="0"/>
        <w:keepLines w:val="0"/>
        <w:pageBreakBefore w:val="0"/>
        <w:widowControl w:val="0"/>
        <w:kinsoku/>
        <w:wordWrap/>
        <w:overflowPunct/>
        <w:topLinePunct w:val="0"/>
        <w:autoSpaceDE/>
        <w:autoSpaceDN/>
        <w:bidi w:val="0"/>
        <w:adjustRightInd w:val="0"/>
        <w:snapToGrid w:val="0"/>
        <w:spacing w:line="360" w:lineRule="auto"/>
        <w:ind w:firstLine="320" w:firstLineChars="100"/>
        <w:jc w:val="left"/>
        <w:textAlignment w:val="auto"/>
        <w:rPr>
          <w:rFonts w:hint="default" w:ascii="Times New Roman" w:hAnsi="Times New Roman" w:eastAsia="黑体" w:cs="Times New Roman"/>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lang w:val="en-US" w:eastAsia="zh-CN"/>
          <w14:textFill>
            <w14:solidFill>
              <w14:schemeClr w14:val="tx1"/>
            </w14:solidFill>
          </w14:textFill>
        </w:rPr>
        <w:t>编制单位：</w:t>
      </w:r>
      <w:r>
        <w:rPr>
          <w:rFonts w:hint="eastAsia" w:ascii="Times New Roman" w:hAnsi="Times New Roman" w:eastAsia="黑体" w:cs="Times New Roman"/>
          <w:color w:val="000000" w:themeColor="text1"/>
          <w:sz w:val="32"/>
          <w:szCs w:val="32"/>
          <w:lang w:val="en-US" w:eastAsia="zh-CN"/>
          <w14:textFill>
            <w14:solidFill>
              <w14:schemeClr w14:val="tx1"/>
            </w14:solidFill>
          </w14:textFill>
        </w:rPr>
        <w:t>新疆创青晨环保科技有限公司</w:t>
      </w:r>
    </w:p>
    <w:p w14:paraId="68E910B7">
      <w:pPr>
        <w:keepNext w:val="0"/>
        <w:keepLines w:val="0"/>
        <w:pageBreakBefore w:val="0"/>
        <w:widowControl w:val="0"/>
        <w:kinsoku/>
        <w:wordWrap/>
        <w:overflowPunct/>
        <w:topLinePunct w:val="0"/>
        <w:autoSpaceDE/>
        <w:autoSpaceDN/>
        <w:bidi w:val="0"/>
        <w:adjustRightInd w:val="0"/>
        <w:snapToGrid w:val="0"/>
        <w:spacing w:line="360" w:lineRule="auto"/>
        <w:ind w:firstLine="320" w:firstLineChars="100"/>
        <w:jc w:val="left"/>
        <w:textAlignment w:val="auto"/>
        <w:rPr>
          <w:rFonts w:hint="default" w:ascii="Times New Roman" w:hAnsi="Times New Roman" w:eastAsia="黑体" w:cs="Times New Roman"/>
          <w:color w:val="000000" w:themeColor="text1"/>
          <w:sz w:val="32"/>
          <w:szCs w:val="32"/>
          <w:u w:val="single"/>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编制日期：</w:t>
      </w:r>
      <w:r>
        <w:rPr>
          <w:rFonts w:hint="eastAsia" w:ascii="Times New Roman" w:hAnsi="Times New Roman" w:eastAsia="黑体" w:cs="Times New Roman"/>
          <w:color w:val="000000" w:themeColor="text1"/>
          <w:sz w:val="32"/>
          <w:szCs w:val="32"/>
          <w:u w:val="none"/>
          <w:lang w:val="en-US" w:eastAsia="zh-CN"/>
          <w14:textFill>
            <w14:solidFill>
              <w14:schemeClr w14:val="tx1"/>
            </w14:solidFill>
          </w14:textFill>
        </w:rPr>
        <w:t>2026</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年</w:t>
      </w:r>
      <w:r>
        <w:rPr>
          <w:rFonts w:hint="eastAsia" w:eastAsia="黑体" w:cs="Times New Roman"/>
          <w:color w:val="000000" w:themeColor="text1"/>
          <w:sz w:val="32"/>
          <w:szCs w:val="32"/>
          <w:u w:val="none"/>
          <w:lang w:val="en-US" w:eastAsia="zh-CN"/>
          <w14:textFill>
            <w14:solidFill>
              <w14:schemeClr w14:val="tx1"/>
            </w14:solidFill>
          </w14:textFill>
        </w:rPr>
        <w:t>9</w:t>
      </w:r>
      <w:r>
        <w:rPr>
          <w:rFonts w:hint="default" w:ascii="Times New Roman" w:hAnsi="Times New Roman" w:eastAsia="黑体" w:cs="Times New Roman"/>
          <w:color w:val="000000" w:themeColor="text1"/>
          <w:sz w:val="32"/>
          <w:szCs w:val="32"/>
          <w:u w:val="none"/>
          <w:lang w:val="en-US" w:eastAsia="zh-CN"/>
          <w14:textFill>
            <w14:solidFill>
              <w14:schemeClr w14:val="tx1"/>
            </w14:solidFill>
          </w14:textFill>
        </w:rPr>
        <w:t>月</w:t>
      </w:r>
    </w:p>
    <w:p w14:paraId="4DE88995">
      <w:pPr>
        <w:adjustRightInd w:val="0"/>
        <w:snapToGrid w:val="0"/>
        <w:spacing w:line="288" w:lineRule="auto"/>
        <w:rPr>
          <w:rFonts w:hint="eastAsia" w:eastAsia="仿宋_GB2312"/>
          <w:color w:val="000000" w:themeColor="text1"/>
          <w:sz w:val="36"/>
          <w:szCs w:val="36"/>
          <w:lang w:eastAsia="zh-CN"/>
          <w14:textFill>
            <w14:solidFill>
              <w14:schemeClr w14:val="tx1"/>
            </w14:solidFill>
          </w14:textFill>
        </w:rPr>
      </w:pPr>
    </w:p>
    <w:p w14:paraId="33564C68">
      <w:pPr>
        <w:jc w:val="center"/>
        <w:outlineLvl w:val="2"/>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p>
    <w:p w14:paraId="5148385E">
      <w:pPr>
        <w:rPr>
          <w:b/>
          <w:color w:val="000000" w:themeColor="text1"/>
          <w:sz w:val="28"/>
          <w:szCs w:val="28"/>
          <w14:textFill>
            <w14:solidFill>
              <w14:schemeClr w14:val="tx1"/>
            </w14:solidFill>
          </w14:textFill>
        </w:rPr>
        <w:sectPr>
          <w:footerReference r:id="rId5" w:type="default"/>
          <w:pgSz w:w="11906" w:h="16838"/>
          <w:pgMar w:top="1701" w:right="1531" w:bottom="850" w:left="1531" w:header="851" w:footer="1077" w:gutter="0"/>
          <w:pgBorders>
            <w:top w:val="none" w:sz="0" w:space="0"/>
            <w:left w:val="none" w:sz="0" w:space="0"/>
            <w:bottom w:val="none" w:sz="0" w:space="0"/>
            <w:right w:val="none" w:sz="0" w:space="0"/>
          </w:pgBorders>
          <w:pgNumType w:fmt="decimal"/>
          <w:cols w:space="720" w:num="1"/>
          <w:docGrid w:linePitch="312" w:charSpace="0"/>
        </w:sectPr>
      </w:pPr>
    </w:p>
    <w:sdt>
      <w:sdtPr>
        <w:rPr>
          <w:rFonts w:hint="eastAsia" w:ascii="黑体" w:hAnsi="黑体" w:eastAsia="黑体" w:cs="黑体"/>
          <w:b w:val="0"/>
          <w:bCs w:val="0"/>
          <w:color w:val="000000" w:themeColor="text1"/>
          <w:sz w:val="21"/>
          <w14:textFill>
            <w14:solidFill>
              <w14:schemeClr w14:val="tx1"/>
            </w14:solidFill>
          </w14:textFill>
        </w:rPr>
        <w:id w:val="147463780"/>
        <w15:color w:val="DBDBDB"/>
        <w:docPartObj>
          <w:docPartGallery w:val="Table of Contents"/>
          <w:docPartUnique/>
        </w:docPartObj>
      </w:sdtPr>
      <w:sdtEndPr>
        <w:rPr>
          <w:rFonts w:hint="eastAsia" w:ascii="Times New Roman" w:hAnsi="Times New Roman" w:eastAsia="黑体" w:cs="黑体"/>
          <w:b w:val="0"/>
          <w:bCs w:val="0"/>
          <w:color w:val="000000" w:themeColor="text1"/>
          <w:sz w:val="24"/>
          <w:szCs w:val="28"/>
          <w14:textFill>
            <w14:solidFill>
              <w14:schemeClr w14:val="tx1"/>
            </w14:solidFill>
          </w14:textFill>
        </w:rPr>
      </w:sdtEndPr>
      <w:sdtContent>
        <w:p w14:paraId="5CD4C03F">
          <w:pPr>
            <w:spacing w:line="360" w:lineRule="auto"/>
            <w:jc w:val="center"/>
            <w:rPr>
              <w:rFonts w:hint="eastAsia" w:ascii="黑体" w:hAnsi="黑体" w:eastAsia="黑体" w:cs="黑体"/>
              <w:b w:val="0"/>
              <w:bCs w:val="0"/>
              <w:color w:val="000000" w:themeColor="text1"/>
              <w14:textFill>
                <w14:solidFill>
                  <w14:schemeClr w14:val="tx1"/>
                </w14:solidFill>
              </w14:textFill>
            </w:rPr>
          </w:pPr>
          <w:r>
            <w:rPr>
              <w:rFonts w:hint="eastAsia" w:ascii="黑体" w:hAnsi="黑体" w:eastAsia="黑体" w:cs="黑体"/>
              <w:b w:val="0"/>
              <w:bCs w:val="0"/>
              <w:color w:val="000000" w:themeColor="text1"/>
              <w:sz w:val="32"/>
              <w:szCs w:val="40"/>
              <w14:textFill>
                <w14:solidFill>
                  <w14:schemeClr w14:val="tx1"/>
                </w14:solidFill>
              </w14:textFill>
            </w:rPr>
            <w:t>目  录</w:t>
          </w:r>
        </w:p>
        <w:p w14:paraId="579126AD">
          <w:pPr>
            <w:pStyle w:val="17"/>
            <w:tabs>
              <w:tab w:val="right" w:leader="dot" w:pos="8844"/>
            </w:tabs>
            <w:spacing w:line="480" w:lineRule="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b/>
              <w:color w:val="000000" w:themeColor="text1"/>
              <w:sz w:val="24"/>
              <w:szCs w:val="24"/>
              <w14:textFill>
                <w14:solidFill>
                  <w14:schemeClr w14:val="tx1"/>
                </w14:solidFill>
              </w14:textFill>
            </w:rPr>
            <w:fldChar w:fldCharType="begin"/>
          </w:r>
          <w:r>
            <w:rPr>
              <w:rFonts w:hint="eastAsia" w:ascii="黑体" w:hAnsi="黑体" w:eastAsia="黑体" w:cs="黑体"/>
              <w:b/>
              <w:color w:val="000000" w:themeColor="text1"/>
              <w:sz w:val="24"/>
              <w:szCs w:val="24"/>
              <w14:textFill>
                <w14:solidFill>
                  <w14:schemeClr w14:val="tx1"/>
                </w14:solidFill>
              </w14:textFill>
            </w:rPr>
            <w:instrText xml:space="preserve">TOC \o "1-1" \h \u </w:instrText>
          </w:r>
          <w:r>
            <w:rPr>
              <w:rFonts w:hint="eastAsia" w:ascii="黑体" w:hAnsi="黑体" w:eastAsia="黑体" w:cs="黑体"/>
              <w:b/>
              <w:color w:val="000000" w:themeColor="text1"/>
              <w:sz w:val="24"/>
              <w:szCs w:val="24"/>
              <w14:textFill>
                <w14:solidFill>
                  <w14:schemeClr w14:val="tx1"/>
                </w14:solidFill>
              </w14:textFill>
            </w:rPr>
            <w:fldChar w:fldCharType="separate"/>
          </w: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HYPERLINK \l _Toc14282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bCs/>
              <w:snapToGrid w:val="0"/>
              <w:color w:val="000000" w:themeColor="text1"/>
              <w:sz w:val="24"/>
              <w:szCs w:val="24"/>
              <w14:textFill>
                <w14:solidFill>
                  <w14:schemeClr w14:val="tx1"/>
                </w14:solidFill>
              </w14:textFill>
            </w:rPr>
            <w:t>一、建设项目基本情况</w:t>
          </w:r>
          <w:r>
            <w:rPr>
              <w:rFonts w:hint="eastAsia" w:ascii="黑体" w:hAnsi="黑体" w:eastAsia="黑体" w:cs="黑体"/>
              <w:color w:val="000000" w:themeColor="text1"/>
              <w:sz w:val="24"/>
              <w:szCs w:val="24"/>
              <w14:textFill>
                <w14:solidFill>
                  <w14:schemeClr w14:val="tx1"/>
                </w14:solidFill>
              </w14:textFill>
            </w:rPr>
            <w:tab/>
          </w: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PAGEREF _Toc14282 \h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color w:val="000000" w:themeColor="text1"/>
              <w:sz w:val="24"/>
              <w:szCs w:val="24"/>
              <w14:textFill>
                <w14:solidFill>
                  <w14:schemeClr w14:val="tx1"/>
                </w14:solidFill>
              </w14:textFill>
            </w:rPr>
            <w:t>1</w:t>
          </w:r>
          <w:r>
            <w:rPr>
              <w:rFonts w:hint="eastAsia" w:ascii="黑体" w:hAnsi="黑体" w:eastAsia="黑体" w:cs="黑体"/>
              <w:color w:val="000000" w:themeColor="text1"/>
              <w:sz w:val="24"/>
              <w:szCs w:val="24"/>
              <w14:textFill>
                <w14:solidFill>
                  <w14:schemeClr w14:val="tx1"/>
                </w14:solidFill>
              </w14:textFill>
            </w:rPr>
            <w:fldChar w:fldCharType="end"/>
          </w:r>
          <w:r>
            <w:rPr>
              <w:rFonts w:hint="eastAsia" w:ascii="黑体" w:hAnsi="黑体" w:eastAsia="黑体" w:cs="黑体"/>
              <w:color w:val="000000" w:themeColor="text1"/>
              <w:sz w:val="24"/>
              <w:szCs w:val="24"/>
              <w14:textFill>
                <w14:solidFill>
                  <w14:schemeClr w14:val="tx1"/>
                </w14:solidFill>
              </w14:textFill>
            </w:rPr>
            <w:fldChar w:fldCharType="end"/>
          </w:r>
        </w:p>
        <w:p w14:paraId="4DD09364">
          <w:pPr>
            <w:pStyle w:val="17"/>
            <w:tabs>
              <w:tab w:val="right" w:leader="dot" w:pos="8844"/>
            </w:tabs>
            <w:spacing w:line="480" w:lineRule="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HYPERLINK \l _Toc12214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bCs/>
              <w:snapToGrid w:val="0"/>
              <w:color w:val="000000" w:themeColor="text1"/>
              <w:sz w:val="24"/>
              <w:szCs w:val="24"/>
              <w14:textFill>
                <w14:solidFill>
                  <w14:schemeClr w14:val="tx1"/>
                </w14:solidFill>
              </w14:textFill>
            </w:rPr>
            <w:t>二、建设内容</w:t>
          </w:r>
          <w:r>
            <w:rPr>
              <w:rFonts w:hint="eastAsia" w:ascii="黑体" w:hAnsi="黑体" w:eastAsia="黑体" w:cs="黑体"/>
              <w:color w:val="000000" w:themeColor="text1"/>
              <w:sz w:val="24"/>
              <w:szCs w:val="24"/>
              <w14:textFill>
                <w14:solidFill>
                  <w14:schemeClr w14:val="tx1"/>
                </w14:solidFill>
              </w14:textFill>
            </w:rPr>
            <w:tab/>
          </w: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PAGEREF _Toc12214 \h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color w:val="000000" w:themeColor="text1"/>
              <w:sz w:val="24"/>
              <w:szCs w:val="24"/>
              <w14:textFill>
                <w14:solidFill>
                  <w14:schemeClr w14:val="tx1"/>
                </w14:solidFill>
              </w14:textFill>
            </w:rPr>
            <w:t>14</w:t>
          </w:r>
          <w:r>
            <w:rPr>
              <w:rFonts w:hint="eastAsia" w:ascii="黑体" w:hAnsi="黑体" w:eastAsia="黑体" w:cs="黑体"/>
              <w:color w:val="000000" w:themeColor="text1"/>
              <w:sz w:val="24"/>
              <w:szCs w:val="24"/>
              <w14:textFill>
                <w14:solidFill>
                  <w14:schemeClr w14:val="tx1"/>
                </w14:solidFill>
              </w14:textFill>
            </w:rPr>
            <w:fldChar w:fldCharType="end"/>
          </w:r>
          <w:r>
            <w:rPr>
              <w:rFonts w:hint="eastAsia" w:ascii="黑体" w:hAnsi="黑体" w:eastAsia="黑体" w:cs="黑体"/>
              <w:color w:val="000000" w:themeColor="text1"/>
              <w:sz w:val="24"/>
              <w:szCs w:val="24"/>
              <w14:textFill>
                <w14:solidFill>
                  <w14:schemeClr w14:val="tx1"/>
                </w14:solidFill>
              </w14:textFill>
            </w:rPr>
            <w:fldChar w:fldCharType="end"/>
          </w:r>
        </w:p>
        <w:p w14:paraId="5D7423FB">
          <w:pPr>
            <w:pStyle w:val="17"/>
            <w:tabs>
              <w:tab w:val="right" w:leader="dot" w:pos="8844"/>
            </w:tabs>
            <w:spacing w:line="480" w:lineRule="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HYPERLINK \l _Toc17783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bCs/>
              <w:snapToGrid w:val="0"/>
              <w:color w:val="000000" w:themeColor="text1"/>
              <w:sz w:val="24"/>
              <w:szCs w:val="24"/>
              <w14:textFill>
                <w14:solidFill>
                  <w14:schemeClr w14:val="tx1"/>
                </w14:solidFill>
              </w14:textFill>
            </w:rPr>
            <w:t>三、生态环境现状、保护目标及评价标准</w:t>
          </w:r>
          <w:r>
            <w:rPr>
              <w:rFonts w:hint="eastAsia" w:ascii="黑体" w:hAnsi="黑体" w:eastAsia="黑体" w:cs="黑体"/>
              <w:color w:val="000000" w:themeColor="text1"/>
              <w:sz w:val="24"/>
              <w:szCs w:val="24"/>
              <w14:textFill>
                <w14:solidFill>
                  <w14:schemeClr w14:val="tx1"/>
                </w14:solidFill>
              </w14:textFill>
            </w:rPr>
            <w:tab/>
          </w: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PAGEREF _Toc17783 \h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color w:val="000000" w:themeColor="text1"/>
              <w:sz w:val="24"/>
              <w:szCs w:val="24"/>
              <w14:textFill>
                <w14:solidFill>
                  <w14:schemeClr w14:val="tx1"/>
                </w14:solidFill>
              </w14:textFill>
            </w:rPr>
            <w:t>28</w:t>
          </w:r>
          <w:r>
            <w:rPr>
              <w:rFonts w:hint="eastAsia" w:ascii="黑体" w:hAnsi="黑体" w:eastAsia="黑体" w:cs="黑体"/>
              <w:color w:val="000000" w:themeColor="text1"/>
              <w:sz w:val="24"/>
              <w:szCs w:val="24"/>
              <w14:textFill>
                <w14:solidFill>
                  <w14:schemeClr w14:val="tx1"/>
                </w14:solidFill>
              </w14:textFill>
            </w:rPr>
            <w:fldChar w:fldCharType="end"/>
          </w:r>
          <w:r>
            <w:rPr>
              <w:rFonts w:hint="eastAsia" w:ascii="黑体" w:hAnsi="黑体" w:eastAsia="黑体" w:cs="黑体"/>
              <w:color w:val="000000" w:themeColor="text1"/>
              <w:sz w:val="24"/>
              <w:szCs w:val="24"/>
              <w14:textFill>
                <w14:solidFill>
                  <w14:schemeClr w14:val="tx1"/>
                </w14:solidFill>
              </w14:textFill>
            </w:rPr>
            <w:fldChar w:fldCharType="end"/>
          </w:r>
        </w:p>
        <w:p w14:paraId="01F6E0CC">
          <w:pPr>
            <w:pStyle w:val="17"/>
            <w:tabs>
              <w:tab w:val="right" w:leader="dot" w:pos="8844"/>
            </w:tabs>
            <w:spacing w:line="480" w:lineRule="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HYPERLINK \l _Toc19098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bCs/>
              <w:snapToGrid w:val="0"/>
              <w:color w:val="000000" w:themeColor="text1"/>
              <w:sz w:val="24"/>
              <w:szCs w:val="24"/>
              <w14:textFill>
                <w14:solidFill>
                  <w14:schemeClr w14:val="tx1"/>
                </w14:solidFill>
              </w14:textFill>
            </w:rPr>
            <w:t>四、生态环境影响分析</w:t>
          </w:r>
          <w:r>
            <w:rPr>
              <w:rFonts w:hint="eastAsia" w:ascii="黑体" w:hAnsi="黑体" w:eastAsia="黑体" w:cs="黑体"/>
              <w:color w:val="000000" w:themeColor="text1"/>
              <w:sz w:val="24"/>
              <w:szCs w:val="24"/>
              <w14:textFill>
                <w14:solidFill>
                  <w14:schemeClr w14:val="tx1"/>
                </w14:solidFill>
              </w14:textFill>
            </w:rPr>
            <w:tab/>
          </w: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PAGEREF _Toc19098 \h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color w:val="000000" w:themeColor="text1"/>
              <w:sz w:val="24"/>
              <w:szCs w:val="24"/>
              <w14:textFill>
                <w14:solidFill>
                  <w14:schemeClr w14:val="tx1"/>
                </w14:solidFill>
              </w14:textFill>
            </w:rPr>
            <w:t>39</w:t>
          </w:r>
          <w:r>
            <w:rPr>
              <w:rFonts w:hint="eastAsia" w:ascii="黑体" w:hAnsi="黑体" w:eastAsia="黑体" w:cs="黑体"/>
              <w:color w:val="000000" w:themeColor="text1"/>
              <w:sz w:val="24"/>
              <w:szCs w:val="24"/>
              <w14:textFill>
                <w14:solidFill>
                  <w14:schemeClr w14:val="tx1"/>
                </w14:solidFill>
              </w14:textFill>
            </w:rPr>
            <w:fldChar w:fldCharType="end"/>
          </w:r>
          <w:r>
            <w:rPr>
              <w:rFonts w:hint="eastAsia" w:ascii="黑体" w:hAnsi="黑体" w:eastAsia="黑体" w:cs="黑体"/>
              <w:color w:val="000000" w:themeColor="text1"/>
              <w:sz w:val="24"/>
              <w:szCs w:val="24"/>
              <w14:textFill>
                <w14:solidFill>
                  <w14:schemeClr w14:val="tx1"/>
                </w14:solidFill>
              </w14:textFill>
            </w:rPr>
            <w:fldChar w:fldCharType="end"/>
          </w:r>
        </w:p>
        <w:p w14:paraId="665493FD">
          <w:pPr>
            <w:pStyle w:val="17"/>
            <w:tabs>
              <w:tab w:val="right" w:leader="dot" w:pos="8844"/>
            </w:tabs>
            <w:spacing w:line="480" w:lineRule="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HYPERLINK \l _Toc27437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bCs/>
              <w:snapToGrid w:val="0"/>
              <w:color w:val="000000" w:themeColor="text1"/>
              <w:sz w:val="24"/>
              <w:szCs w:val="24"/>
              <w14:textFill>
                <w14:solidFill>
                  <w14:schemeClr w14:val="tx1"/>
                </w14:solidFill>
              </w14:textFill>
            </w:rPr>
            <w:t>五、主要生态环境保护措施</w:t>
          </w:r>
          <w:r>
            <w:rPr>
              <w:rFonts w:hint="eastAsia" w:ascii="黑体" w:hAnsi="黑体" w:eastAsia="黑体" w:cs="黑体"/>
              <w:color w:val="000000" w:themeColor="text1"/>
              <w:sz w:val="24"/>
              <w:szCs w:val="24"/>
              <w14:textFill>
                <w14:solidFill>
                  <w14:schemeClr w14:val="tx1"/>
                </w14:solidFill>
              </w14:textFill>
            </w:rPr>
            <w:tab/>
          </w: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PAGEREF _Toc27437 \h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color w:val="000000" w:themeColor="text1"/>
              <w:sz w:val="24"/>
              <w:szCs w:val="24"/>
              <w14:textFill>
                <w14:solidFill>
                  <w14:schemeClr w14:val="tx1"/>
                </w14:solidFill>
              </w14:textFill>
            </w:rPr>
            <w:t>54</w:t>
          </w:r>
          <w:r>
            <w:rPr>
              <w:rFonts w:hint="eastAsia" w:ascii="黑体" w:hAnsi="黑体" w:eastAsia="黑体" w:cs="黑体"/>
              <w:color w:val="000000" w:themeColor="text1"/>
              <w:sz w:val="24"/>
              <w:szCs w:val="24"/>
              <w14:textFill>
                <w14:solidFill>
                  <w14:schemeClr w14:val="tx1"/>
                </w14:solidFill>
              </w14:textFill>
            </w:rPr>
            <w:fldChar w:fldCharType="end"/>
          </w:r>
          <w:r>
            <w:rPr>
              <w:rFonts w:hint="eastAsia" w:ascii="黑体" w:hAnsi="黑体" w:eastAsia="黑体" w:cs="黑体"/>
              <w:color w:val="000000" w:themeColor="text1"/>
              <w:sz w:val="24"/>
              <w:szCs w:val="24"/>
              <w14:textFill>
                <w14:solidFill>
                  <w14:schemeClr w14:val="tx1"/>
                </w14:solidFill>
              </w14:textFill>
            </w:rPr>
            <w:fldChar w:fldCharType="end"/>
          </w:r>
        </w:p>
        <w:p w14:paraId="5F920390">
          <w:pPr>
            <w:pStyle w:val="17"/>
            <w:tabs>
              <w:tab w:val="right" w:leader="dot" w:pos="8844"/>
            </w:tabs>
            <w:spacing w:line="480" w:lineRule="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HYPERLINK \l _Toc12275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bCs/>
              <w:snapToGrid w:val="0"/>
              <w:color w:val="000000" w:themeColor="text1"/>
              <w:sz w:val="24"/>
              <w:szCs w:val="24"/>
              <w14:textFill>
                <w14:solidFill>
                  <w14:schemeClr w14:val="tx1"/>
                </w14:solidFill>
              </w14:textFill>
            </w:rPr>
            <w:t>六、生态环境保护措施监督检查清单</w:t>
          </w:r>
          <w:r>
            <w:rPr>
              <w:rFonts w:hint="eastAsia" w:ascii="黑体" w:hAnsi="黑体" w:eastAsia="黑体" w:cs="黑体"/>
              <w:color w:val="000000" w:themeColor="text1"/>
              <w:sz w:val="24"/>
              <w:szCs w:val="24"/>
              <w14:textFill>
                <w14:solidFill>
                  <w14:schemeClr w14:val="tx1"/>
                </w14:solidFill>
              </w14:textFill>
            </w:rPr>
            <w:tab/>
          </w: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PAGEREF _Toc12275 \h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color w:val="000000" w:themeColor="text1"/>
              <w:sz w:val="24"/>
              <w:szCs w:val="24"/>
              <w14:textFill>
                <w14:solidFill>
                  <w14:schemeClr w14:val="tx1"/>
                </w14:solidFill>
              </w14:textFill>
            </w:rPr>
            <w:t>70</w:t>
          </w:r>
          <w:r>
            <w:rPr>
              <w:rFonts w:hint="eastAsia" w:ascii="黑体" w:hAnsi="黑体" w:eastAsia="黑体" w:cs="黑体"/>
              <w:color w:val="000000" w:themeColor="text1"/>
              <w:sz w:val="24"/>
              <w:szCs w:val="24"/>
              <w14:textFill>
                <w14:solidFill>
                  <w14:schemeClr w14:val="tx1"/>
                </w14:solidFill>
              </w14:textFill>
            </w:rPr>
            <w:fldChar w:fldCharType="end"/>
          </w:r>
          <w:r>
            <w:rPr>
              <w:rFonts w:hint="eastAsia" w:ascii="黑体" w:hAnsi="黑体" w:eastAsia="黑体" w:cs="黑体"/>
              <w:color w:val="000000" w:themeColor="text1"/>
              <w:sz w:val="24"/>
              <w:szCs w:val="24"/>
              <w14:textFill>
                <w14:solidFill>
                  <w14:schemeClr w14:val="tx1"/>
                </w14:solidFill>
              </w14:textFill>
            </w:rPr>
            <w:fldChar w:fldCharType="end"/>
          </w:r>
        </w:p>
        <w:p w14:paraId="2A47E29E">
          <w:pPr>
            <w:pStyle w:val="17"/>
            <w:tabs>
              <w:tab w:val="right" w:leader="dot" w:pos="8844"/>
            </w:tabs>
            <w:spacing w:line="480" w:lineRule="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HYPERLINK \l _Toc2769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bCs/>
              <w:snapToGrid w:val="0"/>
              <w:color w:val="000000" w:themeColor="text1"/>
              <w:sz w:val="24"/>
              <w:szCs w:val="24"/>
              <w14:textFill>
                <w14:solidFill>
                  <w14:schemeClr w14:val="tx1"/>
                </w14:solidFill>
              </w14:textFill>
            </w:rPr>
            <w:t>七、结论</w:t>
          </w:r>
          <w:r>
            <w:rPr>
              <w:rFonts w:hint="eastAsia" w:ascii="黑体" w:hAnsi="黑体" w:eastAsia="黑体" w:cs="黑体"/>
              <w:color w:val="000000" w:themeColor="text1"/>
              <w:sz w:val="24"/>
              <w:szCs w:val="24"/>
              <w14:textFill>
                <w14:solidFill>
                  <w14:schemeClr w14:val="tx1"/>
                </w14:solidFill>
              </w14:textFill>
            </w:rPr>
            <w:tab/>
          </w: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PAGEREF _Toc2769 \h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color w:val="000000" w:themeColor="text1"/>
              <w:sz w:val="24"/>
              <w:szCs w:val="24"/>
              <w14:textFill>
                <w14:solidFill>
                  <w14:schemeClr w14:val="tx1"/>
                </w14:solidFill>
              </w14:textFill>
            </w:rPr>
            <w:t>72</w:t>
          </w:r>
          <w:r>
            <w:rPr>
              <w:rFonts w:hint="eastAsia" w:ascii="黑体" w:hAnsi="黑体" w:eastAsia="黑体" w:cs="黑体"/>
              <w:color w:val="000000" w:themeColor="text1"/>
              <w:sz w:val="24"/>
              <w:szCs w:val="24"/>
              <w14:textFill>
                <w14:solidFill>
                  <w14:schemeClr w14:val="tx1"/>
                </w14:solidFill>
              </w14:textFill>
            </w:rPr>
            <w:fldChar w:fldCharType="end"/>
          </w:r>
          <w:r>
            <w:rPr>
              <w:rFonts w:hint="eastAsia" w:ascii="黑体" w:hAnsi="黑体" w:eastAsia="黑体" w:cs="黑体"/>
              <w:color w:val="000000" w:themeColor="text1"/>
              <w:sz w:val="24"/>
              <w:szCs w:val="24"/>
              <w14:textFill>
                <w14:solidFill>
                  <w14:schemeClr w14:val="tx1"/>
                </w14:solidFill>
              </w14:textFill>
            </w:rPr>
            <w:fldChar w:fldCharType="end"/>
          </w:r>
        </w:p>
        <w:p w14:paraId="533C86A0">
          <w:pPr>
            <w:pStyle w:val="17"/>
            <w:tabs>
              <w:tab w:val="right" w:leader="dot" w:pos="8844"/>
            </w:tabs>
            <w:spacing w:line="480" w:lineRule="auto"/>
            <w:rPr>
              <w:rFonts w:hint="eastAsia" w:ascii="黑体" w:hAnsi="黑体" w:eastAsia="黑体" w:cs="黑体"/>
              <w:color w:val="000000" w:themeColor="text1"/>
              <w:sz w:val="24"/>
              <w:szCs w:val="24"/>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HYPERLINK \l _Toc26771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bCs/>
              <w:snapToGrid w:val="0"/>
              <w:color w:val="000000" w:themeColor="text1"/>
              <w:sz w:val="24"/>
              <w:szCs w:val="24"/>
              <w14:textFill>
                <w14:solidFill>
                  <w14:schemeClr w14:val="tx1"/>
                </w14:solidFill>
              </w14:textFill>
            </w:rPr>
            <w:t>电磁环境影响专题评价</w:t>
          </w:r>
          <w:r>
            <w:rPr>
              <w:rFonts w:hint="eastAsia" w:ascii="黑体" w:hAnsi="黑体" w:eastAsia="黑体" w:cs="黑体"/>
              <w:color w:val="000000" w:themeColor="text1"/>
              <w:sz w:val="24"/>
              <w:szCs w:val="24"/>
              <w14:textFill>
                <w14:solidFill>
                  <w14:schemeClr w14:val="tx1"/>
                </w14:solidFill>
              </w14:textFill>
            </w:rPr>
            <w:tab/>
          </w:r>
          <w:r>
            <w:rPr>
              <w:rFonts w:hint="eastAsia" w:ascii="黑体" w:hAnsi="黑体" w:eastAsia="黑体" w:cs="黑体"/>
              <w:color w:val="000000" w:themeColor="text1"/>
              <w:sz w:val="24"/>
              <w:szCs w:val="24"/>
              <w14:textFill>
                <w14:solidFill>
                  <w14:schemeClr w14:val="tx1"/>
                </w14:solidFill>
              </w14:textFill>
            </w:rPr>
            <w:fldChar w:fldCharType="begin"/>
          </w:r>
          <w:r>
            <w:rPr>
              <w:rFonts w:hint="eastAsia" w:ascii="黑体" w:hAnsi="黑体" w:eastAsia="黑体" w:cs="黑体"/>
              <w:color w:val="000000" w:themeColor="text1"/>
              <w:sz w:val="24"/>
              <w:szCs w:val="24"/>
              <w14:textFill>
                <w14:solidFill>
                  <w14:schemeClr w14:val="tx1"/>
                </w14:solidFill>
              </w14:textFill>
            </w:rPr>
            <w:instrText xml:space="preserve"> PAGEREF _Toc26771 \h </w:instrText>
          </w:r>
          <w:r>
            <w:rPr>
              <w:rFonts w:hint="eastAsia" w:ascii="黑体" w:hAnsi="黑体" w:eastAsia="黑体" w:cs="黑体"/>
              <w:color w:val="000000" w:themeColor="text1"/>
              <w:sz w:val="24"/>
              <w:szCs w:val="24"/>
              <w14:textFill>
                <w14:solidFill>
                  <w14:schemeClr w14:val="tx1"/>
                </w14:solidFill>
              </w14:textFill>
            </w:rPr>
            <w:fldChar w:fldCharType="separate"/>
          </w:r>
          <w:r>
            <w:rPr>
              <w:rFonts w:hint="eastAsia" w:ascii="黑体" w:hAnsi="黑体" w:eastAsia="黑体" w:cs="黑体"/>
              <w:color w:val="000000" w:themeColor="text1"/>
              <w:sz w:val="24"/>
              <w:szCs w:val="24"/>
              <w14:textFill>
                <w14:solidFill>
                  <w14:schemeClr w14:val="tx1"/>
                </w14:solidFill>
              </w14:textFill>
            </w:rPr>
            <w:t>73</w:t>
          </w:r>
          <w:r>
            <w:rPr>
              <w:rFonts w:hint="eastAsia" w:ascii="黑体" w:hAnsi="黑体" w:eastAsia="黑体" w:cs="黑体"/>
              <w:color w:val="000000" w:themeColor="text1"/>
              <w:sz w:val="24"/>
              <w:szCs w:val="24"/>
              <w14:textFill>
                <w14:solidFill>
                  <w14:schemeClr w14:val="tx1"/>
                </w14:solidFill>
              </w14:textFill>
            </w:rPr>
            <w:fldChar w:fldCharType="end"/>
          </w:r>
          <w:r>
            <w:rPr>
              <w:rFonts w:hint="eastAsia" w:ascii="黑体" w:hAnsi="黑体" w:eastAsia="黑体" w:cs="黑体"/>
              <w:color w:val="000000" w:themeColor="text1"/>
              <w:sz w:val="24"/>
              <w:szCs w:val="24"/>
              <w14:textFill>
                <w14:solidFill>
                  <w14:schemeClr w14:val="tx1"/>
                </w14:solidFill>
              </w14:textFill>
            </w:rPr>
            <w:fldChar w:fldCharType="end"/>
          </w:r>
        </w:p>
        <w:p w14:paraId="58B28E1A">
          <w:pPr>
            <w:spacing w:line="480" w:lineRule="auto"/>
            <w:rPr>
              <w:rFonts w:ascii="Times New Roman" w:hAnsi="Times New Roman"/>
              <w:color w:val="000000" w:themeColor="text1"/>
              <w:sz w:val="24"/>
              <w:szCs w:val="28"/>
              <w14:textFill>
                <w14:solidFill>
                  <w14:schemeClr w14:val="tx1"/>
                </w14:solidFill>
              </w14:textFill>
            </w:rPr>
          </w:pPr>
          <w:r>
            <w:rPr>
              <w:rFonts w:hint="eastAsia" w:ascii="黑体" w:hAnsi="黑体" w:eastAsia="黑体" w:cs="黑体"/>
              <w:color w:val="000000" w:themeColor="text1"/>
              <w:sz w:val="24"/>
              <w:szCs w:val="24"/>
              <w14:textFill>
                <w14:solidFill>
                  <w14:schemeClr w14:val="tx1"/>
                </w14:solidFill>
              </w14:textFill>
            </w:rPr>
            <w:fldChar w:fldCharType="end"/>
          </w:r>
        </w:p>
      </w:sdtContent>
    </w:sdt>
    <w:p w14:paraId="61DE677E">
      <w:pPr>
        <w:tabs>
          <w:tab w:val="left" w:pos="1743"/>
        </w:tabs>
        <w:bidi w:val="0"/>
        <w:jc w:val="left"/>
        <w:rPr>
          <w:color w:val="000000" w:themeColor="text1"/>
          <w:lang w:val="en-US" w:eastAsia="zh-CN"/>
          <w14:textFill>
            <w14:solidFill>
              <w14:schemeClr w14:val="tx1"/>
            </w14:solidFill>
          </w14:textFill>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pPr>
      <w:bookmarkStart w:id="97" w:name="_GoBack"/>
      <w:bookmarkEnd w:id="97"/>
    </w:p>
    <w:p w14:paraId="0F59B73A">
      <w:pPr>
        <w:pStyle w:val="22"/>
        <w:adjustRightInd w:val="0"/>
        <w:snapToGrid w:val="0"/>
        <w:spacing w:before="0" w:beforeAutospacing="0" w:after="0" w:afterAutospacing="0" w:line="360" w:lineRule="auto"/>
        <w:jc w:val="center"/>
        <w:outlineLvl w:val="0"/>
        <w:rPr>
          <w:rFonts w:ascii="Times New Roman" w:hAnsi="Times New Roman"/>
          <w:b/>
          <w:bCs/>
          <w:snapToGrid w:val="0"/>
          <w:color w:val="000000" w:themeColor="text1"/>
          <w:sz w:val="30"/>
          <w:szCs w:val="30"/>
          <w14:textFill>
            <w14:solidFill>
              <w14:schemeClr w14:val="tx1"/>
            </w14:solidFill>
          </w14:textFill>
        </w:rPr>
      </w:pPr>
      <w:bookmarkStart w:id="2" w:name="_Toc14282"/>
      <w:r>
        <w:rPr>
          <w:rFonts w:ascii="Times New Roman" w:hAnsi="Times New Roman"/>
          <w:b/>
          <w:bCs/>
          <w:snapToGrid w:val="0"/>
          <w:color w:val="000000" w:themeColor="text1"/>
          <w:sz w:val="30"/>
          <w:szCs w:val="30"/>
          <w14:textFill>
            <w14:solidFill>
              <w14:schemeClr w14:val="tx1"/>
            </w14:solidFill>
          </w14:textFill>
        </w:rPr>
        <w:t>一、建设项目基本情况</w:t>
      </w:r>
      <w:bookmarkEnd w:id="2"/>
    </w:p>
    <w:tbl>
      <w:tblPr>
        <w:tblStyle w:val="27"/>
        <w:tblW w:w="498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10"/>
        <w:gridCol w:w="1291"/>
        <w:gridCol w:w="2275"/>
        <w:gridCol w:w="2007"/>
        <w:gridCol w:w="2718"/>
      </w:tblGrid>
      <w:tr w14:paraId="3E64FE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23" w:type="pct"/>
            <w:gridSpan w:val="2"/>
            <w:tcMar>
              <w:top w:w="16" w:type="dxa"/>
              <w:left w:w="16" w:type="dxa"/>
              <w:right w:w="16" w:type="dxa"/>
            </w:tcMar>
            <w:vAlign w:val="center"/>
          </w:tcPr>
          <w:p w14:paraId="34CD7F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建设项目名称</w:t>
            </w:r>
          </w:p>
        </w:tc>
        <w:tc>
          <w:tcPr>
            <w:tcW w:w="3976" w:type="pct"/>
            <w:gridSpan w:val="3"/>
            <w:vAlign w:val="center"/>
          </w:tcPr>
          <w:p w14:paraId="3C5C4A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新疆且末250MW/1000MWh构网型独立新型储能项目220千伏输变电工程</w:t>
            </w:r>
          </w:p>
        </w:tc>
      </w:tr>
      <w:tr w14:paraId="2FEFB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1023" w:type="pct"/>
            <w:gridSpan w:val="2"/>
            <w:tcMar>
              <w:top w:w="16" w:type="dxa"/>
              <w:left w:w="16" w:type="dxa"/>
              <w:right w:w="16" w:type="dxa"/>
            </w:tcMar>
            <w:vAlign w:val="center"/>
          </w:tcPr>
          <w:p w14:paraId="64E8539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项目代码</w:t>
            </w:r>
          </w:p>
        </w:tc>
        <w:tc>
          <w:tcPr>
            <w:tcW w:w="3976" w:type="pct"/>
            <w:gridSpan w:val="3"/>
            <w:vAlign w:val="center"/>
          </w:tcPr>
          <w:p w14:paraId="6493D04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r>
      <w:tr w14:paraId="5399F0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023" w:type="pct"/>
            <w:gridSpan w:val="2"/>
            <w:tcMar>
              <w:top w:w="16" w:type="dxa"/>
              <w:left w:w="16" w:type="dxa"/>
              <w:right w:w="16" w:type="dxa"/>
            </w:tcMar>
            <w:vAlign w:val="center"/>
          </w:tcPr>
          <w:p w14:paraId="67A4319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建设单位联系人</w:t>
            </w:r>
          </w:p>
        </w:tc>
        <w:tc>
          <w:tcPr>
            <w:tcW w:w="1292" w:type="pct"/>
            <w:vAlign w:val="center"/>
          </w:tcPr>
          <w:p w14:paraId="539757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c>
          <w:tcPr>
            <w:tcW w:w="1140" w:type="pct"/>
            <w:vAlign w:val="center"/>
          </w:tcPr>
          <w:p w14:paraId="178C796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联系方式</w:t>
            </w:r>
          </w:p>
        </w:tc>
        <w:tc>
          <w:tcPr>
            <w:tcW w:w="1544" w:type="pct"/>
            <w:vAlign w:val="center"/>
          </w:tcPr>
          <w:p w14:paraId="1B69AE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r>
      <w:tr w14:paraId="1E77C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023" w:type="pct"/>
            <w:gridSpan w:val="2"/>
            <w:tcMar>
              <w:top w:w="16" w:type="dxa"/>
              <w:left w:w="16" w:type="dxa"/>
              <w:right w:w="16" w:type="dxa"/>
            </w:tcMar>
            <w:vAlign w:val="center"/>
          </w:tcPr>
          <w:p w14:paraId="4BD15DD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t>建设地点</w:t>
            </w:r>
          </w:p>
        </w:tc>
        <w:tc>
          <w:tcPr>
            <w:tcW w:w="3976" w:type="pct"/>
            <w:gridSpan w:val="3"/>
            <w:vAlign w:val="center"/>
          </w:tcPr>
          <w:p w14:paraId="2F63CD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eastAsia="宋体"/>
                <w:color w:val="000000" w:themeColor="text1"/>
                <w:lang w:val="en-US" w:eastAsia="zh-CN"/>
                <w14:textFill>
                  <w14:solidFill>
                    <w14:schemeClr w14:val="tx1"/>
                  </w14:solidFill>
                </w14:textFill>
              </w:rPr>
            </w:pPr>
            <w:r>
              <w:rPr>
                <w:rFonts w:hint="eastAsia"/>
                <w:color w:val="000000" w:themeColor="text1"/>
                <w:u w:val="single"/>
                <w14:textFill>
                  <w14:solidFill>
                    <w14:schemeClr w14:val="tx1"/>
                  </w14:solidFill>
                </w14:textFill>
              </w:rPr>
              <w:t>新疆</w:t>
            </w:r>
            <w:r>
              <w:rPr>
                <w:rFonts w:hint="eastAsia"/>
                <w:color w:val="000000" w:themeColor="text1"/>
                <w:u w:val="single"/>
                <w:lang w:eastAsia="zh-CN"/>
                <w14:textFill>
                  <w14:solidFill>
                    <w14:schemeClr w14:val="tx1"/>
                  </w14:solidFill>
                </w14:textFill>
              </w:rPr>
              <w:t>维吾尔</w:t>
            </w:r>
            <w:r>
              <w:rPr>
                <w:rFonts w:hint="eastAsia"/>
                <w:color w:val="000000" w:themeColor="text1"/>
                <w:lang w:eastAsia="zh-CN"/>
                <w14:textFill>
                  <w14:solidFill>
                    <w14:schemeClr w14:val="tx1"/>
                  </w14:solidFill>
                </w14:textFill>
              </w:rPr>
              <w:t>自治区</w:t>
            </w:r>
            <w:r>
              <w:rPr>
                <w:rFonts w:hint="eastAsia"/>
                <w:color w:val="000000" w:themeColor="text1"/>
                <w:u w:val="single"/>
                <w14:textFill>
                  <w14:solidFill>
                    <w14:schemeClr w14:val="tx1"/>
                  </w14:solidFill>
                </w14:textFill>
              </w:rPr>
              <w:t>巴音郭楞蒙古</w:t>
            </w:r>
            <w:r>
              <w:rPr>
                <w:rFonts w:hint="eastAsia"/>
                <w:color w:val="000000" w:themeColor="text1"/>
                <w:u w:val="none"/>
                <w14:textFill>
                  <w14:solidFill>
                    <w14:schemeClr w14:val="tx1"/>
                  </w14:solidFill>
                </w14:textFill>
              </w:rPr>
              <w:t>自治州</w:t>
            </w:r>
            <w:r>
              <w:rPr>
                <w:rFonts w:hint="eastAsia"/>
                <w:color w:val="000000" w:themeColor="text1"/>
                <w:u w:val="single"/>
                <w14:textFill>
                  <w14:solidFill>
                    <w14:schemeClr w14:val="tx1"/>
                  </w14:solidFill>
                </w14:textFill>
              </w:rPr>
              <w:t>且末</w:t>
            </w:r>
            <w:r>
              <w:rPr>
                <w:rFonts w:hint="eastAsia"/>
                <w:color w:val="000000" w:themeColor="text1"/>
                <w:lang w:eastAsia="zh-CN"/>
                <w14:textFill>
                  <w14:solidFill>
                    <w14:schemeClr w14:val="tx1"/>
                  </w14:solidFill>
                </w14:textFill>
              </w:rPr>
              <w:t>县</w:t>
            </w:r>
          </w:p>
        </w:tc>
      </w:tr>
      <w:tr w14:paraId="06AAC5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1023" w:type="pct"/>
            <w:gridSpan w:val="2"/>
            <w:tcMar>
              <w:top w:w="16" w:type="dxa"/>
              <w:left w:w="16" w:type="dxa"/>
              <w:right w:w="16" w:type="dxa"/>
            </w:tcMar>
            <w:vAlign w:val="center"/>
          </w:tcPr>
          <w:p w14:paraId="31BC6E66">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地理坐标</w:t>
            </w:r>
          </w:p>
        </w:tc>
        <w:tc>
          <w:tcPr>
            <w:tcW w:w="3976" w:type="pct"/>
            <w:gridSpan w:val="3"/>
            <w:vAlign w:val="center"/>
          </w:tcPr>
          <w:p w14:paraId="3BE27787">
            <w:pPr>
              <w:keepNext w:val="0"/>
              <w:keepLines w:val="0"/>
              <w:pageBreakBefore w:val="0"/>
              <w:widowControl w:val="0"/>
              <w:kinsoku/>
              <w:wordWrap/>
              <w:overflowPunct/>
              <w:topLinePunct w:val="0"/>
              <w:autoSpaceDE/>
              <w:autoSpaceDN/>
              <w:bidi w:val="0"/>
              <w:adjustRightInd w:val="0"/>
              <w:snapToGrid/>
              <w:spacing w:line="288" w:lineRule="auto"/>
              <w:ind w:left="-6" w:right="-6"/>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w:t>
            </w:r>
          </w:p>
        </w:tc>
      </w:tr>
      <w:tr w14:paraId="0D2E2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65" w:hRule="atLeast"/>
          <w:jc w:val="center"/>
        </w:trPr>
        <w:tc>
          <w:tcPr>
            <w:tcW w:w="1023" w:type="pct"/>
            <w:gridSpan w:val="2"/>
            <w:tcMar>
              <w:top w:w="16" w:type="dxa"/>
              <w:left w:w="16" w:type="dxa"/>
              <w:right w:w="16" w:type="dxa"/>
            </w:tcMar>
            <w:vAlign w:val="center"/>
          </w:tcPr>
          <w:p w14:paraId="2CDA8F9F">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建设项目</w:t>
            </w:r>
          </w:p>
          <w:p w14:paraId="157BE071">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行业类别</w:t>
            </w:r>
          </w:p>
        </w:tc>
        <w:tc>
          <w:tcPr>
            <w:tcW w:w="1292" w:type="pct"/>
            <w:vAlign w:val="center"/>
          </w:tcPr>
          <w:p w14:paraId="309E6B76">
            <w:pPr>
              <w:adjustRightInd w:val="0"/>
              <w:snapToGrid w:val="0"/>
              <w:spacing w:line="288" w:lineRule="auto"/>
              <w:jc w:val="cente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五十五、核与辐射</w:t>
            </w:r>
            <w:r>
              <w:rPr>
                <w:rFonts w:hint="eastAsia"/>
                <w:color w:val="000000" w:themeColor="text1"/>
                <w:lang w:eastAsia="zh-CN"/>
                <w14:textFill>
                  <w14:solidFill>
                    <w14:schemeClr w14:val="tx1"/>
                  </w14:solidFill>
                </w14:textFill>
              </w:rPr>
              <w:t>—</w:t>
            </w:r>
            <w:r>
              <w:rPr>
                <w:rFonts w:hint="eastAsia" w:eastAsia="宋体"/>
                <w:color w:val="000000" w:themeColor="text1"/>
                <w:lang w:eastAsia="zh-CN"/>
                <w14:textFill>
                  <w14:solidFill>
                    <w14:schemeClr w14:val="tx1"/>
                  </w14:solidFill>
                </w14:textFill>
              </w:rPr>
              <w:t>161输变电工程</w:t>
            </w:r>
          </w:p>
        </w:tc>
        <w:tc>
          <w:tcPr>
            <w:tcW w:w="1140" w:type="pct"/>
            <w:vAlign w:val="center"/>
          </w:tcPr>
          <w:p w14:paraId="7541C392">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用地（用海）面积（m</w:t>
            </w:r>
            <w:r>
              <w:rPr>
                <w:color w:val="000000" w:themeColor="text1"/>
                <w:vertAlign w:val="superscript"/>
                <w14:textFill>
                  <w14:solidFill>
                    <w14:schemeClr w14:val="tx1"/>
                  </w14:solidFill>
                </w14:textFill>
              </w:rPr>
              <w:t>2</w:t>
            </w:r>
            <w:r>
              <w:rPr>
                <w:color w:val="000000" w:themeColor="text1"/>
                <w14:textFill>
                  <w14:solidFill>
                    <w14:schemeClr w14:val="tx1"/>
                  </w14:solidFill>
                </w14:textFill>
              </w:rPr>
              <w:t>）/长度（km）</w:t>
            </w:r>
          </w:p>
        </w:tc>
        <w:tc>
          <w:tcPr>
            <w:tcW w:w="1544" w:type="pct"/>
            <w:vAlign w:val="center"/>
          </w:tcPr>
          <w:p w14:paraId="279F74AB">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Times New Roman" w:hAnsi="Times New Roman" w:eastAsia="宋体" w:cs="Times New Roman"/>
                <w:color w:val="000000" w:themeColor="text1"/>
                <w:highlight w:val="none"/>
                <w:vertAlign w:val="baseline"/>
                <w:lang w:val="en-US" w:eastAsia="zh-CN"/>
                <w14:textFill>
                  <w14:solidFill>
                    <w14:schemeClr w14:val="tx1"/>
                  </w14:solidFill>
                </w14:textFill>
              </w:rPr>
            </w:pPr>
            <w:r>
              <w:rPr>
                <w:rFonts w:ascii="Times New Roman" w:hAnsi="Times New Roman" w:eastAsia="宋体" w:cs="Times New Roman"/>
                <w:color w:val="000000" w:themeColor="text1"/>
                <w:highlight w:val="none"/>
                <w:vertAlign w:val="baseline"/>
                <w14:textFill>
                  <w14:solidFill>
                    <w14:schemeClr w14:val="tx1"/>
                  </w14:solidFill>
                </w14:textFill>
              </w:rPr>
              <w:t>永久占地</w:t>
            </w:r>
            <w:r>
              <w:rPr>
                <w:rFonts w:hint="eastAsia" w:ascii="Times New Roman" w:hAnsi="Times New Roman" w:eastAsia="宋体" w:cs="Times New Roman"/>
                <w:color w:val="000000" w:themeColor="text1"/>
                <w:highlight w:val="none"/>
                <w:vertAlign w:val="baseline"/>
                <w:lang w:eastAsia="zh-CN"/>
                <w14:textFill>
                  <w14:solidFill>
                    <w14:schemeClr w14:val="tx1"/>
                  </w14:solidFill>
                </w14:textFill>
              </w:rPr>
              <w:t>：20196</w:t>
            </w:r>
            <w:r>
              <w:rPr>
                <w:rFonts w:hint="eastAsia" w:ascii="Times New Roman" w:hAnsi="Times New Roman" w:eastAsia="宋体" w:cs="Times New Roman"/>
                <w:color w:val="000000" w:themeColor="text1"/>
                <w:highlight w:val="none"/>
                <w:vertAlign w:val="baseline"/>
                <w:lang w:val="en-US" w:eastAsia="zh-CN"/>
                <w14:textFill>
                  <w14:solidFill>
                    <w14:schemeClr w14:val="tx1"/>
                  </w14:solidFill>
                </w14:textFill>
              </w:rPr>
              <w:t>m</w:t>
            </w:r>
            <w:r>
              <w:rPr>
                <w:rFonts w:hint="eastAsia" w:ascii="Times New Roman" w:hAnsi="Times New Roman" w:eastAsia="宋体" w:cs="Times New Roman"/>
                <w:color w:val="000000" w:themeColor="text1"/>
                <w:highlight w:val="none"/>
                <w:vertAlign w:val="superscript"/>
                <w:lang w:val="en-US" w:eastAsia="zh-CN"/>
                <w14:textFill>
                  <w14:solidFill>
                    <w14:schemeClr w14:val="tx1"/>
                  </w14:solidFill>
                </w14:textFill>
              </w:rPr>
              <w:t>2</w:t>
            </w:r>
          </w:p>
          <w:p w14:paraId="46C58AE1">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eastAsia" w:ascii="Times New Roman" w:hAnsi="Times New Roman" w:eastAsia="宋体" w:cs="Times New Roman"/>
                <w:color w:val="000000" w:themeColor="text1"/>
                <w:vertAlign w:val="baseli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vertAlign w:val="baseline"/>
                <w:lang w:eastAsia="zh-CN"/>
                <w14:textFill>
                  <w14:solidFill>
                    <w14:schemeClr w14:val="tx1"/>
                  </w14:solidFill>
                </w14:textFill>
              </w:rPr>
              <w:t>临时</w:t>
            </w:r>
            <w:r>
              <w:rPr>
                <w:rFonts w:hint="eastAsia" w:ascii="Times New Roman" w:hAnsi="Times New Roman" w:eastAsia="宋体" w:cs="Times New Roman"/>
                <w:color w:val="000000" w:themeColor="text1"/>
                <w:vertAlign w:val="baseline"/>
                <w:lang w:eastAsia="zh-CN"/>
                <w14:textFill>
                  <w14:solidFill>
                    <w14:schemeClr w14:val="tx1"/>
                  </w14:solidFill>
                </w14:textFill>
              </w:rPr>
              <w:t>占地：12026</w:t>
            </w:r>
            <w:r>
              <w:rPr>
                <w:rFonts w:hint="eastAsia" w:ascii="Times New Roman" w:hAnsi="Times New Roman" w:eastAsia="宋体" w:cs="Times New Roman"/>
                <w:color w:val="000000" w:themeColor="text1"/>
                <w:vertAlign w:val="baseline"/>
                <w:lang w:val="en-US" w:eastAsia="zh-CN"/>
                <w14:textFill>
                  <w14:solidFill>
                    <w14:schemeClr w14:val="tx1"/>
                  </w14:solidFill>
                </w14:textFill>
              </w:rPr>
              <w:t>m</w:t>
            </w:r>
            <w:r>
              <w:rPr>
                <w:rFonts w:hint="eastAsia" w:ascii="Times New Roman" w:hAnsi="Times New Roman" w:eastAsia="宋体" w:cs="Times New Roman"/>
                <w:color w:val="000000" w:themeColor="text1"/>
                <w:vertAlign w:val="superscript"/>
                <w:lang w:val="en-US" w:eastAsia="zh-CN"/>
                <w14:textFill>
                  <w14:solidFill>
                    <w14:schemeClr w14:val="tx1"/>
                  </w14:solidFill>
                </w14:textFill>
              </w:rPr>
              <w:t>2</w:t>
            </w:r>
          </w:p>
          <w:p w14:paraId="14967F5E">
            <w:pPr>
              <w:adjustRightInd w:val="0"/>
              <w:snapToGrid w:val="0"/>
              <w:spacing w:line="288" w:lineRule="auto"/>
              <w:jc w:val="center"/>
              <w:rPr>
                <w:rFonts w:hint="default" w:cs="Times New Roman"/>
                <w:color w:val="000000" w:themeColor="text1"/>
                <w:vertAlign w:val="superscript"/>
                <w:lang w:val="en-US" w:eastAsia="zh-CN"/>
                <w14:textFill>
                  <w14:solidFill>
                    <w14:schemeClr w14:val="tx1"/>
                  </w14:solidFill>
                </w14:textFill>
              </w:rPr>
            </w:pPr>
            <w:r>
              <w:rPr>
                <w:rFonts w:hint="eastAsia" w:cs="Times New Roman"/>
                <w:color w:val="000000" w:themeColor="text1"/>
                <w:vertAlign w:val="baseline"/>
                <w:lang w:val="en-US" w:eastAsia="zh-CN"/>
                <w14:textFill>
                  <w14:solidFill>
                    <w14:schemeClr w14:val="tx1"/>
                  </w14:solidFill>
                </w14:textFill>
              </w:rPr>
              <w:t>线路路径长度：2.88km</w:t>
            </w:r>
          </w:p>
        </w:tc>
      </w:tr>
      <w:tr w14:paraId="212621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54" w:hRule="atLeast"/>
          <w:jc w:val="center"/>
        </w:trPr>
        <w:tc>
          <w:tcPr>
            <w:tcW w:w="1023" w:type="pct"/>
            <w:gridSpan w:val="2"/>
            <w:tcMar>
              <w:top w:w="16" w:type="dxa"/>
              <w:left w:w="16" w:type="dxa"/>
              <w:right w:w="16" w:type="dxa"/>
            </w:tcMar>
            <w:vAlign w:val="center"/>
          </w:tcPr>
          <w:p w14:paraId="492A552C">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建设性质</w:t>
            </w:r>
          </w:p>
        </w:tc>
        <w:tc>
          <w:tcPr>
            <w:tcW w:w="1292" w:type="pct"/>
            <w:vAlign w:val="center"/>
          </w:tcPr>
          <w:p w14:paraId="5FB8B547">
            <w:pPr>
              <w:adjustRightInd w:val="0"/>
              <w:snapToGrid w:val="0"/>
              <w:spacing w:line="288" w:lineRule="auto"/>
              <w:jc w:val="left"/>
              <w:rPr>
                <w:color w:val="000000" w:themeColor="text1"/>
                <w14:textFill>
                  <w14:solidFill>
                    <w14:schemeClr w14:val="tx1"/>
                  </w14:solidFill>
                </w14:textFill>
              </w:rPr>
            </w:pPr>
            <w:r>
              <w:rPr>
                <w:color w:val="000000" w:themeColor="text1"/>
                <w14:textFill>
                  <w14:solidFill>
                    <w14:schemeClr w14:val="tx1"/>
                  </w14:solidFill>
                </w14:textFill>
              </w:rPr>
              <w:sym w:font="Wingdings 2" w:char="0052"/>
            </w:r>
            <w:r>
              <w:rPr>
                <w:color w:val="000000" w:themeColor="text1"/>
                <w14:textFill>
                  <w14:solidFill>
                    <w14:schemeClr w14:val="tx1"/>
                  </w14:solidFill>
                </w14:textFill>
              </w:rPr>
              <w:t>新建（迁建）</w:t>
            </w:r>
          </w:p>
          <w:p w14:paraId="0BA0BA05">
            <w:pPr>
              <w:adjustRightInd w:val="0"/>
              <w:snapToGrid w:val="0"/>
              <w:spacing w:line="288" w:lineRule="auto"/>
              <w:jc w:val="left"/>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改建</w:t>
            </w:r>
          </w:p>
          <w:p w14:paraId="7C871A1F">
            <w:pPr>
              <w:adjustRightInd w:val="0"/>
              <w:snapToGrid w:val="0"/>
              <w:spacing w:line="288" w:lineRule="auto"/>
              <w:jc w:val="left"/>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扩建</w:t>
            </w:r>
          </w:p>
          <w:p w14:paraId="15132BB7">
            <w:pPr>
              <w:adjustRightInd w:val="0"/>
              <w:snapToGrid w:val="0"/>
              <w:spacing w:line="288" w:lineRule="auto"/>
              <w:jc w:val="left"/>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技术改造</w:t>
            </w:r>
          </w:p>
        </w:tc>
        <w:tc>
          <w:tcPr>
            <w:tcW w:w="1140" w:type="pct"/>
            <w:vAlign w:val="center"/>
          </w:tcPr>
          <w:p w14:paraId="075E2505">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建设项目</w:t>
            </w:r>
          </w:p>
          <w:p w14:paraId="1921EFE6">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申报情形</w:t>
            </w:r>
          </w:p>
        </w:tc>
        <w:tc>
          <w:tcPr>
            <w:tcW w:w="1544" w:type="pct"/>
            <w:vAlign w:val="center"/>
          </w:tcPr>
          <w:p w14:paraId="2848D96A">
            <w:pPr>
              <w:adjustRightInd w:val="0"/>
              <w:snapToGrid w:val="0"/>
              <w:spacing w:line="288" w:lineRule="auto"/>
              <w:jc w:val="left"/>
              <w:rPr>
                <w:color w:val="000000" w:themeColor="text1"/>
                <w14:textFill>
                  <w14:solidFill>
                    <w14:schemeClr w14:val="tx1"/>
                  </w14:solidFill>
                </w14:textFill>
              </w:rPr>
            </w:pPr>
            <w:r>
              <w:rPr>
                <w:color w:val="000000" w:themeColor="text1"/>
                <w14:textFill>
                  <w14:solidFill>
                    <w14:schemeClr w14:val="tx1"/>
                  </w14:solidFill>
                </w14:textFill>
              </w:rPr>
              <w:sym w:font="Wingdings 2" w:char="0052"/>
            </w:r>
            <w:r>
              <w:rPr>
                <w:color w:val="000000" w:themeColor="text1"/>
                <w14:textFill>
                  <w14:solidFill>
                    <w14:schemeClr w14:val="tx1"/>
                  </w14:solidFill>
                </w14:textFill>
              </w:rPr>
              <w:t>首次申报项目</w:t>
            </w:r>
          </w:p>
          <w:p w14:paraId="59A12050">
            <w:pPr>
              <w:adjustRightInd w:val="0"/>
              <w:snapToGrid w:val="0"/>
              <w:spacing w:line="288" w:lineRule="auto"/>
              <w:jc w:val="left"/>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不予批准后再次申报项目</w:t>
            </w:r>
          </w:p>
          <w:p w14:paraId="685BCC7A">
            <w:pPr>
              <w:adjustRightInd w:val="0"/>
              <w:snapToGrid w:val="0"/>
              <w:spacing w:line="288" w:lineRule="auto"/>
              <w:jc w:val="left"/>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超五年重新审核项目</w:t>
            </w:r>
          </w:p>
          <w:p w14:paraId="2BFE3CB0">
            <w:pPr>
              <w:adjustRightInd w:val="0"/>
              <w:snapToGrid w:val="0"/>
              <w:spacing w:line="288" w:lineRule="auto"/>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重大变动重新报批项目</w:t>
            </w:r>
          </w:p>
        </w:tc>
      </w:tr>
      <w:tr w14:paraId="38826E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1023" w:type="pct"/>
            <w:gridSpan w:val="2"/>
            <w:tcMar>
              <w:top w:w="16" w:type="dxa"/>
              <w:left w:w="16" w:type="dxa"/>
              <w:right w:w="16" w:type="dxa"/>
            </w:tcMar>
            <w:vAlign w:val="center"/>
          </w:tcPr>
          <w:p w14:paraId="4A56D98A">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项目审批（核准/</w:t>
            </w:r>
          </w:p>
          <w:p w14:paraId="6B1CDC6F">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备案）部门（选填）</w:t>
            </w:r>
          </w:p>
        </w:tc>
        <w:tc>
          <w:tcPr>
            <w:tcW w:w="1292" w:type="pct"/>
            <w:vAlign w:val="center"/>
          </w:tcPr>
          <w:p w14:paraId="22A40E34">
            <w:pPr>
              <w:adjustRightInd w:val="0"/>
              <w:snapToGrid w:val="0"/>
              <w:spacing w:line="288" w:lineRule="auto"/>
              <w:jc w:val="center"/>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巴音郭楞蒙古自治州发展和改革委员会</w:t>
            </w:r>
          </w:p>
        </w:tc>
        <w:tc>
          <w:tcPr>
            <w:tcW w:w="1140" w:type="pct"/>
            <w:vAlign w:val="center"/>
          </w:tcPr>
          <w:p w14:paraId="0696ABC6">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项目审批（核准/</w:t>
            </w:r>
          </w:p>
          <w:p w14:paraId="759E3902">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备案）文号（选填）</w:t>
            </w:r>
          </w:p>
        </w:tc>
        <w:tc>
          <w:tcPr>
            <w:tcW w:w="1544" w:type="pct"/>
            <w:vAlign w:val="center"/>
          </w:tcPr>
          <w:p w14:paraId="0F0E457F">
            <w:pPr>
              <w:adjustRightInd w:val="0"/>
              <w:snapToGrid w:val="0"/>
              <w:spacing w:line="288" w:lineRule="auto"/>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巴发改项目〔2026〕50号</w:t>
            </w:r>
          </w:p>
        </w:tc>
      </w:tr>
      <w:tr w14:paraId="31BFFE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83" w:hRule="atLeast"/>
          <w:jc w:val="center"/>
        </w:trPr>
        <w:tc>
          <w:tcPr>
            <w:tcW w:w="1023" w:type="pct"/>
            <w:gridSpan w:val="2"/>
            <w:tcMar>
              <w:top w:w="16" w:type="dxa"/>
              <w:left w:w="16" w:type="dxa"/>
              <w:right w:w="16" w:type="dxa"/>
            </w:tcMar>
            <w:vAlign w:val="center"/>
          </w:tcPr>
          <w:p w14:paraId="6B07D626">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总</w:t>
            </w:r>
            <w:r>
              <w:rPr>
                <w:color w:val="000000" w:themeColor="text1"/>
                <w:highlight w:val="none"/>
                <w14:textFill>
                  <w14:solidFill>
                    <w14:schemeClr w14:val="tx1"/>
                  </w14:solidFill>
                </w14:textFill>
              </w:rPr>
              <w:t>投资</w:t>
            </w:r>
            <w:r>
              <w:rPr>
                <w:color w:val="000000" w:themeColor="text1"/>
                <w14:textFill>
                  <w14:solidFill>
                    <w14:schemeClr w14:val="tx1"/>
                  </w14:solidFill>
                </w14:textFill>
              </w:rPr>
              <w:t>（万元）</w:t>
            </w:r>
          </w:p>
        </w:tc>
        <w:tc>
          <w:tcPr>
            <w:tcW w:w="1292" w:type="pct"/>
            <w:vAlign w:val="center"/>
          </w:tcPr>
          <w:p w14:paraId="6EF0C37C">
            <w:pPr>
              <w:adjustRightInd w:val="0"/>
              <w:snapToGrid w:val="0"/>
              <w:spacing w:line="288" w:lineRule="auto"/>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12500</w:t>
            </w:r>
          </w:p>
        </w:tc>
        <w:tc>
          <w:tcPr>
            <w:tcW w:w="1140" w:type="pct"/>
            <w:tcMar>
              <w:top w:w="16" w:type="dxa"/>
              <w:left w:w="16" w:type="dxa"/>
              <w:right w:w="16" w:type="dxa"/>
            </w:tcMar>
            <w:vAlign w:val="center"/>
          </w:tcPr>
          <w:p w14:paraId="4D63D99E">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环</w:t>
            </w:r>
            <w:r>
              <w:rPr>
                <w:color w:val="000000" w:themeColor="text1"/>
                <w:highlight w:val="none"/>
                <w14:textFill>
                  <w14:solidFill>
                    <w14:schemeClr w14:val="tx1"/>
                  </w14:solidFill>
                </w14:textFill>
              </w:rPr>
              <w:t>保投</w:t>
            </w:r>
            <w:r>
              <w:rPr>
                <w:color w:val="000000" w:themeColor="text1"/>
                <w14:textFill>
                  <w14:solidFill>
                    <w14:schemeClr w14:val="tx1"/>
                  </w14:solidFill>
                </w14:textFill>
              </w:rPr>
              <w:t>资（万元）</w:t>
            </w:r>
          </w:p>
        </w:tc>
        <w:tc>
          <w:tcPr>
            <w:tcW w:w="1544" w:type="pct"/>
            <w:vAlign w:val="center"/>
          </w:tcPr>
          <w:p w14:paraId="6E3F274D">
            <w:pPr>
              <w:adjustRightInd w:val="0"/>
              <w:snapToGrid w:val="0"/>
              <w:spacing w:line="288" w:lineRule="auto"/>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446.0</w:t>
            </w:r>
          </w:p>
        </w:tc>
      </w:tr>
      <w:tr w14:paraId="13F821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1023" w:type="pct"/>
            <w:gridSpan w:val="2"/>
            <w:tcMar>
              <w:top w:w="16" w:type="dxa"/>
              <w:left w:w="16" w:type="dxa"/>
              <w:right w:w="16" w:type="dxa"/>
            </w:tcMar>
            <w:vAlign w:val="center"/>
          </w:tcPr>
          <w:p w14:paraId="4C2D3355">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环保投资占比（%）</w:t>
            </w:r>
          </w:p>
        </w:tc>
        <w:tc>
          <w:tcPr>
            <w:tcW w:w="1292" w:type="pct"/>
            <w:vAlign w:val="center"/>
          </w:tcPr>
          <w:p w14:paraId="0DB43492">
            <w:pPr>
              <w:adjustRightInd w:val="0"/>
              <w:snapToGrid w:val="0"/>
              <w:spacing w:line="288" w:lineRule="auto"/>
              <w:jc w:val="cente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3.57</w:t>
            </w:r>
          </w:p>
        </w:tc>
        <w:tc>
          <w:tcPr>
            <w:tcW w:w="1140" w:type="pct"/>
            <w:tcMar>
              <w:top w:w="16" w:type="dxa"/>
              <w:left w:w="16" w:type="dxa"/>
              <w:right w:w="16" w:type="dxa"/>
            </w:tcMar>
            <w:vAlign w:val="center"/>
          </w:tcPr>
          <w:p w14:paraId="7BD57252">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施工工期</w:t>
            </w:r>
          </w:p>
        </w:tc>
        <w:tc>
          <w:tcPr>
            <w:tcW w:w="1544" w:type="pct"/>
            <w:vAlign w:val="center"/>
          </w:tcPr>
          <w:p w14:paraId="717222FC">
            <w:pPr>
              <w:adjustRightInd w:val="0"/>
              <w:snapToGrid w:val="0"/>
              <w:spacing w:line="288" w:lineRule="auto"/>
              <w:jc w:val="cente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个月</w:t>
            </w:r>
          </w:p>
        </w:tc>
      </w:tr>
      <w:tr w14:paraId="7FE4D9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23" w:type="pct"/>
            <w:gridSpan w:val="2"/>
            <w:tcMar>
              <w:top w:w="16" w:type="dxa"/>
              <w:left w:w="16" w:type="dxa"/>
              <w:right w:w="16" w:type="dxa"/>
            </w:tcMar>
            <w:vAlign w:val="center"/>
          </w:tcPr>
          <w:p w14:paraId="377D61DC">
            <w:pPr>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是否开工建设</w:t>
            </w:r>
          </w:p>
        </w:tc>
        <w:tc>
          <w:tcPr>
            <w:tcW w:w="3976" w:type="pct"/>
            <w:gridSpan w:val="3"/>
            <w:vAlign w:val="center"/>
          </w:tcPr>
          <w:p w14:paraId="3708C0C3">
            <w:pPr>
              <w:adjustRightInd w:val="0"/>
              <w:snapToGrid w:val="0"/>
              <w:spacing w:line="288" w:lineRule="auto"/>
              <w:ind w:firstLine="105"/>
              <w:jc w:val="left"/>
              <w:rPr>
                <w:color w:val="000000" w:themeColor="text1"/>
                <w14:textFill>
                  <w14:solidFill>
                    <w14:schemeClr w14:val="tx1"/>
                  </w14:solidFill>
                </w14:textFill>
              </w:rPr>
            </w:pPr>
            <w:r>
              <w:rPr>
                <w:color w:val="000000" w:themeColor="text1"/>
                <w14:textFill>
                  <w14:solidFill>
                    <w14:schemeClr w14:val="tx1"/>
                  </w14:solidFill>
                </w14:textFill>
              </w:rPr>
              <w:sym w:font="Wingdings 2" w:char="0052"/>
            </w:r>
            <w:r>
              <w:rPr>
                <w:color w:val="000000" w:themeColor="text1"/>
                <w14:textFill>
                  <w14:solidFill>
                    <w14:schemeClr w14:val="tx1"/>
                  </w14:solidFill>
                </w14:textFill>
              </w:rPr>
              <w:t>否</w:t>
            </w:r>
          </w:p>
          <w:p w14:paraId="72184534">
            <w:pPr>
              <w:adjustRightInd w:val="0"/>
              <w:snapToGrid w:val="0"/>
              <w:spacing w:line="288" w:lineRule="auto"/>
              <w:ind w:firstLine="92"/>
              <w:jc w:val="left"/>
              <w:rPr>
                <w:color w:val="000000" w:themeColor="text1"/>
                <w14:textFill>
                  <w14:solidFill>
                    <w14:schemeClr w14:val="tx1"/>
                  </w14:solidFill>
                </w14:textFill>
              </w:rPr>
            </w:pPr>
            <w:r>
              <w:rPr>
                <w:color w:val="000000" w:themeColor="text1"/>
                <w14:textFill>
                  <w14:solidFill>
                    <w14:schemeClr w14:val="tx1"/>
                  </w14:solidFill>
                </w14:textFill>
              </w:rPr>
              <w:sym w:font="Wingdings 2" w:char="00A3"/>
            </w:r>
            <w:r>
              <w:rPr>
                <w:color w:val="000000" w:themeColor="text1"/>
                <w14:textFill>
                  <w14:solidFill>
                    <w14:schemeClr w14:val="tx1"/>
                  </w14:solidFill>
                </w14:textFill>
              </w:rPr>
              <w:t>是：</w:t>
            </w:r>
            <w:r>
              <w:rPr>
                <w:color w:val="000000" w:themeColor="text1"/>
                <w:u w:val="single"/>
                <w14:textFill>
                  <w14:solidFill>
                    <w14:schemeClr w14:val="tx1"/>
                  </w14:solidFill>
                </w14:textFill>
              </w:rPr>
              <w:t xml:space="preserve">                            </w:t>
            </w:r>
          </w:p>
        </w:tc>
      </w:tr>
      <w:tr w14:paraId="00D7F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5" w:hRule="atLeast"/>
          <w:jc w:val="center"/>
        </w:trPr>
        <w:tc>
          <w:tcPr>
            <w:tcW w:w="1023" w:type="pct"/>
            <w:gridSpan w:val="2"/>
            <w:tcMar>
              <w:top w:w="16" w:type="dxa"/>
              <w:left w:w="16" w:type="dxa"/>
              <w:right w:w="16" w:type="dxa"/>
            </w:tcMar>
            <w:vAlign w:val="center"/>
          </w:tcPr>
          <w:p w14:paraId="4FDC96AE">
            <w:pPr>
              <w:autoSpaceDE w:val="0"/>
              <w:autoSpaceDN w:val="0"/>
              <w:adjustRightInd w:val="0"/>
              <w:snapToGrid w:val="0"/>
              <w:spacing w:line="288"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专项评价设置情况</w:t>
            </w:r>
          </w:p>
        </w:tc>
        <w:tc>
          <w:tcPr>
            <w:tcW w:w="3976" w:type="pct"/>
            <w:gridSpan w:val="3"/>
            <w:tcMar>
              <w:top w:w="16" w:type="dxa"/>
              <w:left w:w="16" w:type="dxa"/>
              <w:right w:w="16" w:type="dxa"/>
            </w:tcMar>
            <w:vAlign w:val="center"/>
          </w:tcPr>
          <w:p w14:paraId="1320D754">
            <w:pPr>
              <w:autoSpaceDE w:val="0"/>
              <w:autoSpaceDN w:val="0"/>
              <w:adjustRightInd w:val="0"/>
              <w:snapToGrid w:val="0"/>
              <w:ind w:firstLine="480" w:firstLineChars="20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根据《环境影响评价技术导则</w:t>
            </w:r>
            <w:r>
              <w:rPr>
                <w:rFonts w:hint="eastAsia"/>
                <w:color w:val="000000" w:themeColor="text1"/>
                <w:kern w:val="0"/>
                <w:lang w:val="en-US" w:eastAsia="zh-CN"/>
                <w14:textFill>
                  <w14:solidFill>
                    <w14:schemeClr w14:val="tx1"/>
                  </w14:solidFill>
                </w14:textFill>
              </w:rPr>
              <w:t xml:space="preserve"> </w:t>
            </w:r>
            <w:r>
              <w:rPr>
                <w:color w:val="000000" w:themeColor="text1"/>
                <w:kern w:val="0"/>
                <w14:textFill>
                  <w14:solidFill>
                    <w14:schemeClr w14:val="tx1"/>
                  </w14:solidFill>
                </w14:textFill>
              </w:rPr>
              <w:t>输变电》（HJ24-2020）附录B</w:t>
            </w:r>
            <w:r>
              <w:rPr>
                <w:rFonts w:hint="eastAsia"/>
                <w:color w:val="000000" w:themeColor="text1"/>
                <w:kern w:val="0"/>
                <w14:textFill>
                  <w14:solidFill>
                    <w14:schemeClr w14:val="tx1"/>
                  </w14:solidFill>
                </w14:textFill>
              </w:rPr>
              <w:t>“</w:t>
            </w:r>
            <w:r>
              <w:rPr>
                <w:color w:val="000000" w:themeColor="text1"/>
                <w:kern w:val="0"/>
                <w14:textFill>
                  <w14:solidFill>
                    <w14:schemeClr w14:val="tx1"/>
                  </w14:solidFill>
                </w14:textFill>
              </w:rPr>
              <w:t>输变电建设项目</w:t>
            </w:r>
            <w:r>
              <w:rPr>
                <w:rFonts w:hint="eastAsia"/>
                <w:color w:val="000000" w:themeColor="text1"/>
                <w:kern w:val="0"/>
                <w:lang w:val="en-US" w:eastAsia="zh-CN"/>
                <w14:textFill>
                  <w14:solidFill>
                    <w14:schemeClr w14:val="tx1"/>
                  </w14:solidFill>
                </w14:textFill>
              </w:rPr>
              <w:t>生态</w:t>
            </w:r>
            <w:r>
              <w:rPr>
                <w:color w:val="000000" w:themeColor="text1"/>
                <w:kern w:val="0"/>
                <w14:textFill>
                  <w14:solidFill>
                    <w14:schemeClr w14:val="tx1"/>
                  </w14:solidFill>
                </w14:textFill>
              </w:rPr>
              <w:t>环境影响报告表的格式和要求</w:t>
            </w:r>
            <w:r>
              <w:rPr>
                <w:rFonts w:hint="eastAsia"/>
                <w:color w:val="000000" w:themeColor="text1"/>
                <w:kern w:val="0"/>
                <w14:textFill>
                  <w14:solidFill>
                    <w14:schemeClr w14:val="tx1"/>
                  </w14:solidFill>
                </w14:textFill>
              </w:rPr>
              <w:t>”</w:t>
            </w:r>
            <w:r>
              <w:rPr>
                <w:rFonts w:hint="eastAsia"/>
                <w:color w:val="000000" w:themeColor="text1"/>
                <w:kern w:val="0"/>
                <w:lang w:val="en-US" w:eastAsia="zh-CN"/>
                <w14:textFill>
                  <w14:solidFill>
                    <w14:schemeClr w14:val="tx1"/>
                  </w14:solidFill>
                </w14:textFill>
              </w:rPr>
              <w:t>，</w:t>
            </w:r>
            <w:r>
              <w:rPr>
                <w:color w:val="000000" w:themeColor="text1"/>
                <w:kern w:val="0"/>
                <w14:textFill>
                  <w14:solidFill>
                    <w14:schemeClr w14:val="tx1"/>
                  </w14:solidFill>
                </w14:textFill>
              </w:rPr>
              <w:t>B.2.1：</w:t>
            </w:r>
            <w:r>
              <w:rPr>
                <w:rFonts w:hint="eastAsia"/>
                <w:color w:val="000000" w:themeColor="text1"/>
                <w:kern w:val="0"/>
                <w14:textFill>
                  <w14:solidFill>
                    <w14:schemeClr w14:val="tx1"/>
                  </w14:solidFill>
                </w14:textFill>
              </w:rPr>
              <w:t>“</w:t>
            </w:r>
            <w:r>
              <w:rPr>
                <w:color w:val="000000" w:themeColor="text1"/>
                <w:kern w:val="0"/>
                <w14:textFill>
                  <w14:solidFill>
                    <w14:schemeClr w14:val="tx1"/>
                  </w14:solidFill>
                </w14:textFill>
              </w:rPr>
              <w:t>应设电磁环境影响专题评价，其评价等级、评价内容与格式按照本标准有关电磁环境影响评价要求进行</w:t>
            </w:r>
            <w:r>
              <w:rPr>
                <w:rFonts w:hint="eastAsia"/>
                <w:color w:val="000000" w:themeColor="text1"/>
                <w:kern w:val="0"/>
                <w14:textFill>
                  <w14:solidFill>
                    <w14:schemeClr w14:val="tx1"/>
                  </w14:solidFill>
                </w14:textFill>
              </w:rPr>
              <w:t>”</w:t>
            </w:r>
            <w:r>
              <w:rPr>
                <w:color w:val="000000" w:themeColor="text1"/>
                <w:kern w:val="0"/>
                <w14:textFill>
                  <w14:solidFill>
                    <w14:schemeClr w14:val="tx1"/>
                  </w14:solidFill>
                </w14:textFill>
              </w:rPr>
              <w:t>。</w:t>
            </w:r>
          </w:p>
          <w:p w14:paraId="16DE080D">
            <w:pPr>
              <w:autoSpaceDE w:val="0"/>
              <w:autoSpaceDN w:val="0"/>
              <w:adjustRightInd w:val="0"/>
              <w:snapToGrid w:val="0"/>
              <w:ind w:firstLine="480" w:firstLineChars="200"/>
              <w:jc w:val="left"/>
              <w:rPr>
                <w:color w:val="000000" w:themeColor="text1"/>
                <w:kern w:val="0"/>
                <w14:textFill>
                  <w14:solidFill>
                    <w14:schemeClr w14:val="tx1"/>
                  </w14:solidFill>
                </w14:textFill>
              </w:rPr>
            </w:pPr>
            <w:r>
              <w:rPr>
                <w:color w:val="000000" w:themeColor="text1"/>
                <w:kern w:val="0"/>
                <w14:textFill>
                  <w14:solidFill>
                    <w14:schemeClr w14:val="tx1"/>
                  </w14:solidFill>
                </w14:textFill>
              </w:rPr>
              <w:t>本项目建设有220</w:t>
            </w:r>
            <w:r>
              <w:rPr>
                <w:rFonts w:hint="eastAsia"/>
                <w:color w:val="000000" w:themeColor="text1"/>
                <w:kern w:val="0"/>
                <w:lang w:val="en-US" w:eastAsia="zh-CN"/>
                <w14:textFill>
                  <w14:solidFill>
                    <w14:schemeClr w14:val="tx1"/>
                  </w14:solidFill>
                </w14:textFill>
              </w:rPr>
              <w:t>kV</w:t>
            </w:r>
            <w:r>
              <w:rPr>
                <w:color w:val="000000" w:themeColor="text1"/>
                <w:kern w:val="0"/>
                <w14:textFill>
                  <w14:solidFill>
                    <w14:schemeClr w14:val="tx1"/>
                  </w14:solidFill>
                </w14:textFill>
              </w:rPr>
              <w:t>升压</w:t>
            </w:r>
            <w:r>
              <w:rPr>
                <w:rFonts w:hint="eastAsia"/>
                <w:color w:val="000000" w:themeColor="text1"/>
                <w:kern w:val="0"/>
                <w:lang w:val="en-US" w:eastAsia="zh-CN"/>
                <w14:textFill>
                  <w14:solidFill>
                    <w14:schemeClr w14:val="tx1"/>
                  </w14:solidFill>
                </w14:textFill>
              </w:rPr>
              <w:t>汇集</w:t>
            </w:r>
            <w:r>
              <w:rPr>
                <w:color w:val="000000" w:themeColor="text1"/>
                <w:kern w:val="0"/>
                <w14:textFill>
                  <w14:solidFill>
                    <w14:schemeClr w14:val="tx1"/>
                  </w14:solidFill>
                </w14:textFill>
              </w:rPr>
              <w:t>站</w:t>
            </w:r>
            <w:r>
              <w:rPr>
                <w:rFonts w:hint="eastAsia"/>
                <w:color w:val="000000" w:themeColor="text1"/>
                <w:kern w:val="0"/>
                <w:lang w:val="en-US" w:eastAsia="zh-CN"/>
                <w14:textFill>
                  <w14:solidFill>
                    <w14:schemeClr w14:val="tx1"/>
                  </w14:solidFill>
                </w14:textFill>
              </w:rPr>
              <w:t>及220kV外送线路</w:t>
            </w:r>
            <w:r>
              <w:rPr>
                <w:color w:val="000000" w:themeColor="text1"/>
                <w:kern w:val="0"/>
                <w14:textFill>
                  <w14:solidFill>
                    <w14:schemeClr w14:val="tx1"/>
                  </w14:solidFill>
                </w14:textFill>
              </w:rPr>
              <w:t>，因此，设置电磁环境影响专题评价。</w:t>
            </w:r>
          </w:p>
        </w:tc>
      </w:tr>
      <w:tr w14:paraId="7C50A8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1023" w:type="pct"/>
            <w:gridSpan w:val="2"/>
            <w:tcMar>
              <w:top w:w="16" w:type="dxa"/>
              <w:left w:w="16" w:type="dxa"/>
              <w:right w:w="16" w:type="dxa"/>
            </w:tcMar>
            <w:vAlign w:val="center"/>
          </w:tcPr>
          <w:p w14:paraId="54B04B83">
            <w:pPr>
              <w:autoSpaceDE w:val="0"/>
              <w:autoSpaceDN w:val="0"/>
              <w:adjustRightInd w:val="0"/>
              <w:snapToGrid w:val="0"/>
              <w:spacing w:line="288" w:lineRule="auto"/>
              <w:jc w:val="center"/>
              <w:rPr>
                <w:color w:val="000000" w:themeColor="text1"/>
                <w:kern w:val="0"/>
                <w14:textFill>
                  <w14:solidFill>
                    <w14:schemeClr w14:val="tx1"/>
                  </w14:solidFill>
                </w14:textFill>
              </w:rPr>
            </w:pPr>
            <w:r>
              <w:rPr>
                <w:color w:val="000000" w:themeColor="text1"/>
                <w14:textFill>
                  <w14:solidFill>
                    <w14:schemeClr w14:val="tx1"/>
                  </w14:solidFill>
                </w14:textFill>
              </w:rPr>
              <w:t>规划情况</w:t>
            </w:r>
          </w:p>
        </w:tc>
        <w:tc>
          <w:tcPr>
            <w:tcW w:w="3976" w:type="pct"/>
            <w:gridSpan w:val="3"/>
            <w:tcMar>
              <w:top w:w="16" w:type="dxa"/>
              <w:left w:w="16" w:type="dxa"/>
              <w:right w:w="16" w:type="dxa"/>
            </w:tcMar>
            <w:vAlign w:val="center"/>
          </w:tcPr>
          <w:p w14:paraId="3EF125F8">
            <w:pPr>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r>
      <w:tr w14:paraId="63BBDC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jc w:val="center"/>
        </w:trPr>
        <w:tc>
          <w:tcPr>
            <w:tcW w:w="1023" w:type="pct"/>
            <w:gridSpan w:val="2"/>
            <w:tcMar>
              <w:top w:w="16" w:type="dxa"/>
              <w:left w:w="16" w:type="dxa"/>
              <w:right w:w="16" w:type="dxa"/>
            </w:tcMar>
            <w:vAlign w:val="center"/>
          </w:tcPr>
          <w:p w14:paraId="178043EB">
            <w:pPr>
              <w:autoSpaceDE w:val="0"/>
              <w:autoSpaceDN w:val="0"/>
              <w:adjustRightInd w:val="0"/>
              <w:snapToGrid w:val="0"/>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规划环境影响</w:t>
            </w:r>
          </w:p>
          <w:p w14:paraId="2AEBBC38">
            <w:pPr>
              <w:autoSpaceDE w:val="0"/>
              <w:autoSpaceDN w:val="0"/>
              <w:adjustRightInd w:val="0"/>
              <w:snapToGrid w:val="0"/>
              <w:spacing w:line="288" w:lineRule="auto"/>
              <w:jc w:val="center"/>
              <w:rPr>
                <w:color w:val="000000" w:themeColor="text1"/>
                <w:kern w:val="0"/>
                <w14:textFill>
                  <w14:solidFill>
                    <w14:schemeClr w14:val="tx1"/>
                  </w14:solidFill>
                </w14:textFill>
              </w:rPr>
            </w:pPr>
            <w:r>
              <w:rPr>
                <w:color w:val="000000" w:themeColor="text1"/>
                <w14:textFill>
                  <w14:solidFill>
                    <w14:schemeClr w14:val="tx1"/>
                  </w14:solidFill>
                </w14:textFill>
              </w:rPr>
              <w:t>评价情况</w:t>
            </w:r>
          </w:p>
        </w:tc>
        <w:tc>
          <w:tcPr>
            <w:tcW w:w="3976" w:type="pct"/>
            <w:gridSpan w:val="3"/>
            <w:tcMar>
              <w:top w:w="16" w:type="dxa"/>
              <w:left w:w="16" w:type="dxa"/>
              <w:right w:w="16" w:type="dxa"/>
            </w:tcMar>
            <w:vAlign w:val="center"/>
          </w:tcPr>
          <w:p w14:paraId="75E614CF">
            <w:pPr>
              <w:spacing w:line="288" w:lineRule="auto"/>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r>
      <w:tr w14:paraId="25D627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76" w:hRule="atLeast"/>
          <w:jc w:val="center"/>
        </w:trPr>
        <w:tc>
          <w:tcPr>
            <w:tcW w:w="1023" w:type="pct"/>
            <w:gridSpan w:val="2"/>
            <w:tcMar>
              <w:top w:w="16" w:type="dxa"/>
              <w:left w:w="16" w:type="dxa"/>
              <w:right w:w="16" w:type="dxa"/>
            </w:tcMar>
            <w:vAlign w:val="center"/>
          </w:tcPr>
          <w:p w14:paraId="487E648A">
            <w:pPr>
              <w:autoSpaceDE w:val="0"/>
              <w:autoSpaceDN w:val="0"/>
              <w:adjustRightInd w:val="0"/>
              <w:snapToGrid w:val="0"/>
              <w:spacing w:line="288" w:lineRule="auto"/>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规划及</w:t>
            </w:r>
            <w:r>
              <w:rPr>
                <w:color w:val="000000" w:themeColor="text1"/>
                <w14:textFill>
                  <w14:solidFill>
                    <w14:schemeClr w14:val="tx1"/>
                  </w14:solidFill>
                </w14:textFill>
              </w:rPr>
              <w:t>规划环境影响评价</w:t>
            </w:r>
            <w:r>
              <w:rPr>
                <w:color w:val="000000" w:themeColor="text1"/>
                <w:kern w:val="0"/>
                <w14:textFill>
                  <w14:solidFill>
                    <w14:schemeClr w14:val="tx1"/>
                  </w14:solidFill>
                </w14:textFill>
              </w:rPr>
              <w:t>符合性分析</w:t>
            </w:r>
          </w:p>
        </w:tc>
        <w:tc>
          <w:tcPr>
            <w:tcW w:w="3976" w:type="pct"/>
            <w:gridSpan w:val="3"/>
            <w:tcMar>
              <w:top w:w="16" w:type="dxa"/>
              <w:left w:w="16" w:type="dxa"/>
              <w:right w:w="16" w:type="dxa"/>
            </w:tcMar>
            <w:vAlign w:val="center"/>
          </w:tcPr>
          <w:p w14:paraId="760D0D2B">
            <w:pPr>
              <w:spacing w:line="500" w:lineRule="exact"/>
              <w:jc w:val="center"/>
              <w:rPr>
                <w:color w:val="000000" w:themeColor="text1"/>
                <w14:textFill>
                  <w14:solidFill>
                    <w14:schemeClr w14:val="tx1"/>
                  </w14:solidFill>
                </w14:textFill>
              </w:rPr>
            </w:pPr>
            <w:r>
              <w:rPr>
                <w:color w:val="000000" w:themeColor="text1"/>
                <w14:textFill>
                  <w14:solidFill>
                    <w14:schemeClr w14:val="tx1"/>
                  </w14:solidFill>
                </w14:textFill>
              </w:rPr>
              <w:t>无</w:t>
            </w:r>
          </w:p>
        </w:tc>
      </w:tr>
      <w:tr w14:paraId="702F7D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90" w:type="pct"/>
            <w:tcMar>
              <w:top w:w="16" w:type="dxa"/>
              <w:left w:w="16" w:type="dxa"/>
              <w:right w:w="16" w:type="dxa"/>
            </w:tcMar>
            <w:vAlign w:val="center"/>
          </w:tcPr>
          <w:p w14:paraId="1347A356">
            <w:pPr>
              <w:autoSpaceDE w:val="0"/>
              <w:autoSpaceDN w:val="0"/>
              <w:adjustRightInd w:val="0"/>
              <w:snapToGrid w:val="0"/>
              <w:jc w:val="center"/>
              <w:rPr>
                <w:color w:val="000000" w:themeColor="text1"/>
                <w:kern w:val="0"/>
                <w14:textFill>
                  <w14:solidFill>
                    <w14:schemeClr w14:val="tx1"/>
                  </w14:solidFill>
                </w14:textFill>
              </w:rPr>
            </w:pPr>
            <w:bookmarkStart w:id="3" w:name="_Hlk56690880"/>
            <w:r>
              <w:rPr>
                <w:color w:val="000000" w:themeColor="text1"/>
                <w:kern w:val="0"/>
                <w14:textFill>
                  <w14:solidFill>
                    <w14:schemeClr w14:val="tx1"/>
                  </w14:solidFill>
                </w14:textFill>
              </w:rPr>
              <w:t>其他符合性分析</w:t>
            </w:r>
            <w:bookmarkEnd w:id="3"/>
          </w:p>
        </w:tc>
        <w:tc>
          <w:tcPr>
            <w:tcW w:w="4709" w:type="pct"/>
            <w:gridSpan w:val="4"/>
            <w:tcMar>
              <w:top w:w="16" w:type="dxa"/>
              <w:left w:w="16" w:type="dxa"/>
              <w:right w:w="16" w:type="dxa"/>
            </w:tcMar>
            <w:vAlign w:val="center"/>
          </w:tcPr>
          <w:p w14:paraId="20D3DF51">
            <w:pPr>
              <w:keepNext w:val="0"/>
              <w:keepLines w:val="0"/>
              <w:pageBreakBefore w:val="0"/>
              <w:widowControl w:val="0"/>
              <w:kinsoku/>
              <w:wordWrap/>
              <w:overflowPunct/>
              <w:topLinePunct w:val="0"/>
              <w:bidi w:val="0"/>
              <w:snapToGrid/>
              <w:spacing w:line="500" w:lineRule="exact"/>
              <w:ind w:firstLine="482" w:firstLineChars="200"/>
              <w:textAlignment w:val="auto"/>
              <w:rPr>
                <w:color w:val="000000" w:themeColor="text1"/>
                <w14:textFill>
                  <w14:solidFill>
                    <w14:schemeClr w14:val="tx1"/>
                  </w14:solidFill>
                </w14:textFill>
              </w:rPr>
            </w:pPr>
            <w:r>
              <w:rPr>
                <w:b/>
                <w:bCs/>
                <w:color w:val="000000" w:themeColor="text1"/>
                <w14:textFill>
                  <w14:solidFill>
                    <w14:schemeClr w14:val="tx1"/>
                  </w14:solidFill>
                </w14:textFill>
              </w:rPr>
              <w:t>1.与《产业结构调整指导目录（2024年</w:t>
            </w:r>
            <w:r>
              <w:rPr>
                <w:rFonts w:hint="eastAsia"/>
                <w:b/>
                <w:bCs/>
                <w:color w:val="000000" w:themeColor="text1"/>
                <w:lang w:val="en-US" w:eastAsia="zh-CN"/>
                <w14:textFill>
                  <w14:solidFill>
                    <w14:schemeClr w14:val="tx1"/>
                  </w14:solidFill>
                </w14:textFill>
              </w:rPr>
              <w:t>本</w:t>
            </w:r>
            <w:r>
              <w:rPr>
                <w:b/>
                <w:bCs/>
                <w:color w:val="000000" w:themeColor="text1"/>
                <w14:textFill>
                  <w14:solidFill>
                    <w14:schemeClr w14:val="tx1"/>
                  </w14:solidFill>
                </w14:textFill>
              </w:rPr>
              <w:t>）》符合性分析</w:t>
            </w:r>
          </w:p>
          <w:p w14:paraId="2D96B56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14:textFill>
                  <w14:solidFill>
                    <w14:schemeClr w14:val="tx1"/>
                  </w14:solidFill>
                </w14:textFill>
              </w:rPr>
            </w:pPr>
            <w:r>
              <w:rPr>
                <w:rFonts w:eastAsia="宋体"/>
                <w:color w:val="000000" w:themeColor="text1"/>
                <w:szCs w:val="24"/>
                <w14:textFill>
                  <w14:solidFill>
                    <w14:schemeClr w14:val="tx1"/>
                  </w14:solidFill>
                </w14:textFill>
              </w:rPr>
              <w:t>根据《产业结构调整指导目录</w:t>
            </w:r>
            <w:r>
              <w:rPr>
                <w:rFonts w:hint="eastAsia" w:eastAsia="宋体"/>
                <w:color w:val="000000" w:themeColor="text1"/>
                <w:szCs w:val="24"/>
                <w:lang w:eastAsia="zh-CN"/>
                <w14:textFill>
                  <w14:solidFill>
                    <w14:schemeClr w14:val="tx1"/>
                  </w14:solidFill>
                </w14:textFill>
              </w:rPr>
              <w:t>（</w:t>
            </w:r>
            <w:r>
              <w:rPr>
                <w:rFonts w:eastAsia="宋体"/>
                <w:color w:val="000000" w:themeColor="text1"/>
                <w:szCs w:val="24"/>
                <w14:textFill>
                  <w14:solidFill>
                    <w14:schemeClr w14:val="tx1"/>
                  </w14:solidFill>
                </w14:textFill>
              </w:rPr>
              <w:t>2024年本</w:t>
            </w:r>
            <w:r>
              <w:rPr>
                <w:rFonts w:hint="eastAsia" w:eastAsia="宋体"/>
                <w:color w:val="000000" w:themeColor="text1"/>
                <w:szCs w:val="24"/>
                <w:lang w:eastAsia="zh-CN"/>
                <w14:textFill>
                  <w14:solidFill>
                    <w14:schemeClr w14:val="tx1"/>
                  </w14:solidFill>
                </w14:textFill>
              </w:rPr>
              <w:t>）</w:t>
            </w:r>
            <w:r>
              <w:rPr>
                <w:rFonts w:eastAsia="宋体"/>
                <w:color w:val="000000" w:themeColor="text1"/>
                <w:szCs w:val="24"/>
                <w14:textFill>
                  <w14:solidFill>
                    <w14:schemeClr w14:val="tx1"/>
                  </w14:solidFill>
                </w14:textFill>
              </w:rPr>
              <w:t>》，本项目属于“第一类 鼓励类”中</w:t>
            </w:r>
            <w:r>
              <w:rPr>
                <w:rFonts w:hint="eastAsia" w:eastAsia="宋体"/>
                <w:color w:val="000000" w:themeColor="text1"/>
                <w:szCs w:val="24"/>
                <w:lang w:val="en-US" w:eastAsia="zh-CN"/>
                <w14:textFill>
                  <w14:solidFill>
                    <w14:schemeClr w14:val="tx1"/>
                  </w14:solidFill>
                </w14:textFill>
              </w:rPr>
              <w:t>四</w:t>
            </w:r>
            <w:r>
              <w:rPr>
                <w:rFonts w:hint="eastAsia"/>
                <w:color w:val="000000" w:themeColor="text1"/>
                <w:szCs w:val="24"/>
                <w:lang w:val="en-US" w:eastAsia="zh-CN"/>
                <w14:textFill>
                  <w14:solidFill>
                    <w14:schemeClr w14:val="tx1"/>
                  </w14:solidFill>
                </w14:textFill>
              </w:rPr>
              <w:t>.</w:t>
            </w:r>
            <w:r>
              <w:rPr>
                <w:rFonts w:hint="eastAsia" w:eastAsia="宋体"/>
                <w:color w:val="000000" w:themeColor="text1"/>
                <w:szCs w:val="24"/>
                <w:lang w:val="en-US" w:eastAsia="zh-CN"/>
                <w14:textFill>
                  <w14:solidFill>
                    <w14:schemeClr w14:val="tx1"/>
                  </w14:solidFill>
                </w14:textFill>
              </w:rPr>
              <w:t>电力类</w:t>
            </w:r>
            <w:r>
              <w:rPr>
                <w:rFonts w:eastAsia="宋体"/>
                <w:color w:val="000000" w:themeColor="text1"/>
                <w:szCs w:val="24"/>
                <w14:textFill>
                  <w14:solidFill>
                    <w14:schemeClr w14:val="tx1"/>
                  </w14:solidFill>
                </w14:textFill>
              </w:rPr>
              <w:t>，“</w:t>
            </w:r>
            <w:r>
              <w:rPr>
                <w:rFonts w:hint="default" w:eastAsia="宋体"/>
                <w:color w:val="000000" w:themeColor="text1"/>
                <w:szCs w:val="24"/>
                <w:lang w:val="en-US" w:eastAsia="zh-CN"/>
                <w14:textFill>
                  <w14:solidFill>
                    <w14:schemeClr w14:val="tx1"/>
                  </w14:solidFill>
                </w14:textFill>
              </w:rPr>
              <w:t>2</w:t>
            </w:r>
            <w:r>
              <w:rPr>
                <w:rFonts w:eastAsia="宋体"/>
                <w:color w:val="000000" w:themeColor="text1"/>
                <w:szCs w:val="24"/>
                <w:lang w:val="en-US" w:eastAsia="zh-CN"/>
                <w14:textFill>
                  <w14:solidFill>
                    <w14:schemeClr w14:val="tx1"/>
                  </w14:solidFill>
                </w14:textFill>
              </w:rPr>
              <w:t>．电力基础设施建设：大中型水力发电及抽水蓄能电站、大</w:t>
            </w:r>
            <w:r>
              <w:rPr>
                <w:rFonts w:hint="default" w:eastAsia="宋体"/>
                <w:color w:val="000000" w:themeColor="text1"/>
                <w:szCs w:val="24"/>
                <w:lang w:val="en-US" w:eastAsia="zh-CN"/>
                <w14:textFill>
                  <w14:solidFill>
                    <w14:schemeClr w14:val="tx1"/>
                  </w14:solidFill>
                </w14:textFill>
              </w:rPr>
              <w:t>型电站及大电网变电站集约化设计和自动化技术开发与应用，跨区电网互联工程技术开发与应用，电网改造与建设，增量配电网建设</w:t>
            </w:r>
            <w:r>
              <w:rPr>
                <w:rFonts w:hint="eastAsia" w:eastAsia="宋体"/>
                <w:color w:val="000000" w:themeColor="text1"/>
                <w:szCs w:val="24"/>
                <w:lang w:val="en-US" w:eastAsia="zh-CN"/>
                <w14:textFill>
                  <w14:solidFill>
                    <w14:schemeClr w14:val="tx1"/>
                  </w14:solidFill>
                </w14:textFill>
              </w:rPr>
              <w:t>，</w:t>
            </w:r>
            <w:r>
              <w:rPr>
                <w:rFonts w:hint="default" w:eastAsia="宋体"/>
                <w:color w:val="000000" w:themeColor="text1"/>
                <w:szCs w:val="24"/>
                <w:lang w:val="en-US" w:eastAsia="zh-CN"/>
                <w14:textFill>
                  <w14:solidFill>
                    <w14:schemeClr w14:val="tx1"/>
                  </w14:solidFill>
                </w14:textFill>
              </w:rPr>
              <w:t>边境及国家大电网未覆盖的地区可再生能源局域网建设，输变电、配电节能、降损、环保技术开发与推广应用</w:t>
            </w:r>
            <w:r>
              <w:rPr>
                <w:rFonts w:eastAsia="宋体"/>
                <w:color w:val="000000" w:themeColor="text1"/>
                <w:szCs w:val="24"/>
                <w14:textFill>
                  <w14:solidFill>
                    <w14:schemeClr w14:val="tx1"/>
                  </w14:solidFill>
                </w14:textFill>
              </w:rPr>
              <w:t>”，符合国家产业政策</w:t>
            </w:r>
            <w:r>
              <w:rPr>
                <w:rFonts w:hint="eastAsia"/>
                <w:b w:val="0"/>
                <w:bCs w:val="0"/>
                <w:color w:val="000000" w:themeColor="text1"/>
                <w14:textFill>
                  <w14:solidFill>
                    <w14:schemeClr w14:val="tx1"/>
                  </w14:solidFill>
                </w14:textFill>
              </w:rPr>
              <w:t>。</w:t>
            </w:r>
            <w:r>
              <w:rPr>
                <w:color w:val="000000" w:themeColor="text1"/>
                <w14:textFill>
                  <w14:solidFill>
                    <w14:schemeClr w14:val="tx1"/>
                  </w14:solidFill>
                </w14:textFill>
              </w:rPr>
              <w:t>因此本项目符合国家产业政策。</w:t>
            </w:r>
          </w:p>
          <w:p w14:paraId="72677C14">
            <w:pPr>
              <w:keepNext w:val="0"/>
              <w:keepLines w:val="0"/>
              <w:pageBreakBefore w:val="0"/>
              <w:widowControl w:val="0"/>
              <w:kinsoku/>
              <w:wordWrap/>
              <w:overflowPunct/>
              <w:topLinePunct w:val="0"/>
              <w:bidi w:val="0"/>
              <w:snapToGrid/>
              <w:spacing w:line="500" w:lineRule="exact"/>
              <w:ind w:firstLine="482"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2.与</w:t>
            </w:r>
            <w:r>
              <w:rPr>
                <w:rFonts w:hint="eastAsia"/>
                <w:b/>
                <w:bCs/>
                <w:color w:val="000000" w:themeColor="text1"/>
                <w:lang w:val="en-US" w:eastAsia="zh-CN"/>
                <w14:textFill>
                  <w14:solidFill>
                    <w14:schemeClr w14:val="tx1"/>
                  </w14:solidFill>
                </w14:textFill>
              </w:rPr>
              <w:t>生态环境分区管控要求</w:t>
            </w:r>
            <w:r>
              <w:rPr>
                <w:b/>
                <w:bCs/>
                <w:color w:val="000000" w:themeColor="text1"/>
                <w14:textFill>
                  <w14:solidFill>
                    <w14:schemeClr w14:val="tx1"/>
                  </w14:solidFill>
                </w14:textFill>
              </w:rPr>
              <w:t>的符合性</w:t>
            </w:r>
          </w:p>
          <w:p w14:paraId="4B37986A">
            <w:pPr>
              <w:pStyle w:val="90"/>
              <w:keepNext w:val="0"/>
              <w:keepLines w:val="0"/>
              <w:pageBreakBefore w:val="0"/>
              <w:widowControl w:val="0"/>
              <w:kinsoku/>
              <w:wordWrap/>
              <w:overflowPunct/>
              <w:topLinePunct w:val="0"/>
              <w:bidi w:val="0"/>
              <w:snapToGrid/>
              <w:spacing w:line="500" w:lineRule="exact"/>
              <w:ind w:firstLine="482" w:firstLineChars="200"/>
              <w:textAlignment w:val="auto"/>
              <w:rPr>
                <w:rFonts w:eastAsia="宋体"/>
                <w:b/>
                <w:bCs w:val="0"/>
                <w:color w:val="000000" w:themeColor="text1"/>
                <w14:textFill>
                  <w14:solidFill>
                    <w14:schemeClr w14:val="tx1"/>
                  </w14:solidFill>
                </w14:textFill>
              </w:rPr>
            </w:pPr>
            <w:r>
              <w:rPr>
                <w:rFonts w:hint="eastAsia" w:eastAsia="宋体"/>
                <w:b/>
                <w:bCs w:val="0"/>
                <w:color w:val="000000" w:themeColor="text1"/>
                <w:lang w:val="en-US" w:eastAsia="zh-CN"/>
                <w14:textFill>
                  <w14:solidFill>
                    <w14:schemeClr w14:val="tx1"/>
                  </w14:solidFill>
                </w14:textFill>
              </w:rPr>
              <w:t>2.1</w:t>
            </w:r>
            <w:r>
              <w:rPr>
                <w:rFonts w:eastAsia="宋体"/>
                <w:b/>
                <w:bCs w:val="0"/>
                <w:color w:val="000000" w:themeColor="text1"/>
                <w14:textFill>
                  <w14:solidFill>
                    <w14:schemeClr w14:val="tx1"/>
                  </w14:solidFill>
                </w14:textFill>
              </w:rPr>
              <w:t>生态保护红线</w:t>
            </w:r>
          </w:p>
          <w:p w14:paraId="45B51F0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本项目位于且末县昆仑工业园区西侧，项目</w:t>
            </w:r>
            <w:r>
              <w:rPr>
                <w:rFonts w:hint="default" w:ascii="Times New Roman" w:hAnsi="Times New Roman" w:cs="Times New Roman" w:eastAsiaTheme="minorEastAsia"/>
                <w:sz w:val="24"/>
                <w:szCs w:val="24"/>
                <w:lang w:val="en-US" w:eastAsia="zh-CN"/>
              </w:rPr>
              <w:t>站区及线路沿线</w:t>
            </w:r>
            <w:r>
              <w:rPr>
                <w:rFonts w:hint="default" w:ascii="Times New Roman" w:hAnsi="Times New Roman" w:cs="Times New Roman" w:eastAsiaTheme="minorEastAsia"/>
                <w:sz w:val="24"/>
                <w:szCs w:val="24"/>
              </w:rPr>
              <w:t>无自然保护区、风景名胜区、饮用水源保护区等生态保护目标。项目</w:t>
            </w:r>
            <w:r>
              <w:rPr>
                <w:rFonts w:hint="default" w:ascii="Times New Roman" w:hAnsi="Times New Roman" w:cs="Times New Roman" w:eastAsiaTheme="minorEastAsia"/>
                <w:sz w:val="24"/>
                <w:szCs w:val="24"/>
                <w:lang w:val="en-US" w:eastAsia="zh-CN"/>
              </w:rPr>
              <w:t>外送线路西</w:t>
            </w:r>
            <w:r>
              <w:rPr>
                <w:rFonts w:hint="default" w:ascii="Times New Roman" w:hAnsi="Times New Roman" w:cs="Times New Roman" w:eastAsiaTheme="minorEastAsia"/>
                <w:sz w:val="24"/>
                <w:szCs w:val="24"/>
              </w:rPr>
              <w:t>侧</w:t>
            </w:r>
            <w:r>
              <w:rPr>
                <w:rFonts w:hint="default" w:ascii="Times New Roman" w:hAnsi="Times New Roman" w:cs="Times New Roman" w:eastAsiaTheme="minorEastAsia"/>
                <w:sz w:val="24"/>
                <w:szCs w:val="24"/>
                <w:lang w:val="en-US" w:eastAsia="zh-CN"/>
              </w:rPr>
              <w:t>最近距离约466m</w:t>
            </w:r>
            <w:r>
              <w:rPr>
                <w:rFonts w:hint="default" w:ascii="Times New Roman" w:hAnsi="Times New Roman" w:cs="Times New Roman" w:eastAsiaTheme="minorEastAsia"/>
                <w:sz w:val="24"/>
                <w:szCs w:val="24"/>
              </w:rPr>
              <w:t>为</w:t>
            </w:r>
            <w:r>
              <w:rPr>
                <w:rFonts w:hint="default" w:ascii="Times New Roman" w:hAnsi="Times New Roman" w:cs="Times New Roman" w:eastAsiaTheme="minorEastAsia"/>
                <w:sz w:val="24"/>
                <w:szCs w:val="24"/>
                <w:lang w:val="en-US" w:eastAsia="zh-CN"/>
              </w:rPr>
              <w:t>塔里木盆地南缘土地沙化防控生态保护红线</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sz w:val="24"/>
                <w:szCs w:val="24"/>
                <w:lang w:val="en-US" w:eastAsia="zh-CN"/>
              </w:rPr>
              <w:t>升压汇集站西</w:t>
            </w:r>
            <w:r>
              <w:rPr>
                <w:rFonts w:hint="default" w:ascii="Times New Roman" w:hAnsi="Times New Roman" w:cs="Times New Roman" w:eastAsiaTheme="minorEastAsia"/>
                <w:sz w:val="24"/>
                <w:szCs w:val="24"/>
              </w:rPr>
              <w:t>侧</w:t>
            </w:r>
            <w:r>
              <w:rPr>
                <w:rFonts w:hint="default" w:ascii="Times New Roman" w:hAnsi="Times New Roman" w:cs="Times New Roman" w:eastAsiaTheme="minorEastAsia"/>
                <w:sz w:val="24"/>
                <w:szCs w:val="24"/>
                <w:lang w:val="en-US" w:eastAsia="zh-CN"/>
              </w:rPr>
              <w:t>最近距离约1200</w:t>
            </w:r>
            <w:r>
              <w:rPr>
                <w:rFonts w:hint="default" w:ascii="Times New Roman" w:hAnsi="Times New Roman" w:cs="Times New Roman" w:eastAsiaTheme="minorEastAsia"/>
                <w:sz w:val="24"/>
                <w:szCs w:val="24"/>
              </w:rPr>
              <w:t>m为</w:t>
            </w:r>
            <w:r>
              <w:rPr>
                <w:rFonts w:hint="default" w:ascii="Times New Roman" w:hAnsi="Times New Roman" w:cs="Times New Roman" w:eastAsiaTheme="minorEastAsia"/>
                <w:sz w:val="24"/>
                <w:szCs w:val="24"/>
                <w:lang w:val="en-US" w:eastAsia="zh-CN"/>
              </w:rPr>
              <w:t>塔里木盆地南缘土地沙化防控生态保护红线</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sz w:val="24"/>
                <w:szCs w:val="24"/>
                <w:lang w:val="en-US" w:eastAsia="zh-CN"/>
              </w:rPr>
              <w:t>本项目</w:t>
            </w:r>
            <w:r>
              <w:rPr>
                <w:rFonts w:hint="default" w:ascii="Times New Roman" w:hAnsi="Times New Roman" w:cs="Times New Roman" w:eastAsiaTheme="minorEastAsia"/>
                <w:sz w:val="24"/>
                <w:szCs w:val="24"/>
              </w:rPr>
              <w:t>不占用和穿越</w:t>
            </w:r>
            <w:r>
              <w:rPr>
                <w:rFonts w:hint="default" w:ascii="Times New Roman" w:hAnsi="Times New Roman" w:cs="Times New Roman" w:eastAsiaTheme="minorEastAsia"/>
                <w:sz w:val="24"/>
                <w:szCs w:val="24"/>
                <w:lang w:val="en-US" w:eastAsia="zh-CN"/>
              </w:rPr>
              <w:t>生态保护</w:t>
            </w:r>
            <w:r>
              <w:rPr>
                <w:rFonts w:hint="default" w:ascii="Times New Roman" w:hAnsi="Times New Roman" w:cs="Times New Roman" w:eastAsiaTheme="minorEastAsia"/>
                <w:sz w:val="24"/>
                <w:szCs w:val="24"/>
              </w:rPr>
              <w:t>红线区。</w:t>
            </w:r>
          </w:p>
          <w:p w14:paraId="3E4E8A4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因此，项目的选址基本符合生态保护红线的要求。</w:t>
            </w:r>
          </w:p>
          <w:p w14:paraId="699E1AC4">
            <w:pPr>
              <w:pStyle w:val="90"/>
              <w:keepNext w:val="0"/>
              <w:keepLines w:val="0"/>
              <w:pageBreakBefore w:val="0"/>
              <w:widowControl w:val="0"/>
              <w:kinsoku/>
              <w:wordWrap/>
              <w:overflowPunct/>
              <w:topLinePunct w:val="0"/>
              <w:bidi w:val="0"/>
              <w:snapToGrid/>
              <w:spacing w:line="500" w:lineRule="exact"/>
              <w:ind w:firstLine="482" w:firstLineChars="200"/>
              <w:textAlignment w:val="auto"/>
              <w:rPr>
                <w:rFonts w:eastAsia="宋体"/>
                <w:b/>
                <w:bCs/>
                <w:color w:val="000000" w:themeColor="text1"/>
                <w14:textFill>
                  <w14:solidFill>
                    <w14:schemeClr w14:val="tx1"/>
                  </w14:solidFill>
                </w14:textFill>
              </w:rPr>
            </w:pPr>
            <w:r>
              <w:rPr>
                <w:rFonts w:hint="eastAsia" w:eastAsia="宋体"/>
                <w:b/>
                <w:bCs/>
                <w:color w:val="000000" w:themeColor="text1"/>
                <w:lang w:val="en-US" w:eastAsia="zh-CN"/>
                <w14:textFill>
                  <w14:solidFill>
                    <w14:schemeClr w14:val="tx1"/>
                  </w14:solidFill>
                </w14:textFill>
              </w:rPr>
              <w:t>2.2</w:t>
            </w:r>
            <w:r>
              <w:rPr>
                <w:rFonts w:eastAsia="宋体"/>
                <w:b/>
                <w:bCs/>
                <w:color w:val="000000" w:themeColor="text1"/>
                <w14:textFill>
                  <w14:solidFill>
                    <w14:schemeClr w14:val="tx1"/>
                  </w14:solidFill>
                </w14:textFill>
              </w:rPr>
              <w:t>环境质量底线</w:t>
            </w:r>
          </w:p>
          <w:p w14:paraId="617BCD1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eastAsiaTheme="minorEastAsia"/>
                <w:lang w:val="en-US" w:eastAsia="zh-CN"/>
              </w:rPr>
            </w:pPr>
            <w:r>
              <w:rPr>
                <w:rFonts w:hint="default" w:ascii="Times New Roman" w:hAnsi="Times New Roman" w:cs="Times New Roman" w:eastAsiaTheme="minorEastAsia"/>
                <w:lang w:val="en-US" w:eastAsia="zh-CN"/>
              </w:rPr>
              <w:t>本项目施工期采取有效措施防治大气、水等污染，运营期产生的各类污染物均采取有效治理措施，固体废物得到妥善处置；本项目采取的环保措施能确保污染物对环境质量影响降到最小；声环境属于2类功能区，噪声经预测达标排放。满足环境质量底线要求。</w:t>
            </w:r>
          </w:p>
          <w:p w14:paraId="603BFDC0">
            <w:pPr>
              <w:keepNext w:val="0"/>
              <w:keepLines w:val="0"/>
              <w:pageBreakBefore w:val="0"/>
              <w:widowControl w:val="0"/>
              <w:kinsoku/>
              <w:wordWrap/>
              <w:overflowPunct/>
              <w:topLinePunct w:val="0"/>
              <w:bidi w:val="0"/>
              <w:snapToGrid/>
              <w:spacing w:line="500" w:lineRule="exact"/>
              <w:ind w:firstLine="482" w:firstLineChars="200"/>
              <w:textAlignment w:val="auto"/>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2.3资源利用上线</w:t>
            </w:r>
          </w:p>
          <w:p w14:paraId="726D079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eastAsiaTheme="minorEastAsia"/>
              </w:rPr>
            </w:pPr>
            <w:r>
              <w:rPr>
                <w:rFonts w:hint="default" w:ascii="Times New Roman" w:hAnsi="Times New Roman" w:cs="Times New Roman" w:eastAsiaTheme="minorEastAsia"/>
              </w:rPr>
              <w:t>本项目占地</w:t>
            </w:r>
            <w:r>
              <w:rPr>
                <w:rFonts w:hint="default" w:ascii="Times New Roman" w:hAnsi="Times New Roman" w:cs="Times New Roman" w:eastAsiaTheme="minorEastAsia"/>
                <w:lang w:val="en-US" w:eastAsia="zh-CN"/>
              </w:rPr>
              <w:t>面积为32222</w:t>
            </w:r>
            <w:r>
              <w:rPr>
                <w:rFonts w:hint="default" w:ascii="Times New Roman" w:hAnsi="Times New Roman" w:cs="Times New Roman" w:eastAsiaTheme="minorEastAsia"/>
              </w:rPr>
              <w:t>m</w:t>
            </w:r>
            <w:r>
              <w:rPr>
                <w:rFonts w:hint="default" w:ascii="Times New Roman" w:hAnsi="Times New Roman" w:cs="Times New Roman" w:eastAsiaTheme="minorEastAsia"/>
                <w:vertAlign w:val="superscript"/>
              </w:rPr>
              <w:t>2</w:t>
            </w:r>
            <w:r>
              <w:rPr>
                <w:rFonts w:hint="default" w:ascii="Times New Roman" w:hAnsi="Times New Roman" w:cs="Times New Roman" w:eastAsiaTheme="minorEastAsia"/>
              </w:rPr>
              <w:t>，占地类型</w:t>
            </w:r>
            <w:r>
              <w:rPr>
                <w:rFonts w:hint="default" w:ascii="Times New Roman" w:hAnsi="Times New Roman" w:cs="Times New Roman" w:eastAsiaTheme="minorEastAsia"/>
                <w:lang w:val="en-US" w:eastAsia="zh-CN"/>
              </w:rPr>
              <w:t>为沙地及后备耕地</w:t>
            </w:r>
            <w:r>
              <w:rPr>
                <w:rFonts w:hint="default" w:ascii="Times New Roman" w:hAnsi="Times New Roman" w:cs="Times New Roman" w:eastAsiaTheme="minorEastAsia"/>
              </w:rPr>
              <w:t>，</w:t>
            </w:r>
            <w:r>
              <w:rPr>
                <w:rFonts w:hint="default" w:ascii="Times New Roman" w:hAnsi="Times New Roman" w:cs="Times New Roman" w:eastAsiaTheme="minorEastAsia"/>
                <w:lang w:val="en-US" w:eastAsia="zh-CN"/>
              </w:rPr>
              <w:t>其中后备耕地现状为其他草地，</w:t>
            </w:r>
            <w:r>
              <w:rPr>
                <w:rFonts w:hint="default" w:ascii="Times New Roman" w:hAnsi="Times New Roman" w:cs="Times New Roman" w:eastAsiaTheme="minorEastAsia"/>
              </w:rPr>
              <w:t>工程不占用耕地和基本农田，</w:t>
            </w:r>
            <w:r>
              <w:rPr>
                <w:rFonts w:hint="default" w:ascii="Times New Roman" w:hAnsi="Times New Roman" w:cs="Times New Roman" w:eastAsiaTheme="minorEastAsia"/>
                <w:lang w:val="en-US" w:eastAsia="zh-CN"/>
              </w:rPr>
              <w:t>运营期消耗少量电能和水资源，</w:t>
            </w:r>
            <w:r>
              <w:rPr>
                <w:rFonts w:hint="default" w:ascii="Times New Roman" w:hAnsi="Times New Roman" w:cs="Times New Roman" w:eastAsiaTheme="minorEastAsia"/>
              </w:rPr>
              <w:t>符合资源利用上线要求。</w:t>
            </w:r>
          </w:p>
          <w:p w14:paraId="4B725D33">
            <w:pPr>
              <w:keepNext w:val="0"/>
              <w:keepLines w:val="0"/>
              <w:pageBreakBefore w:val="0"/>
              <w:widowControl w:val="0"/>
              <w:kinsoku/>
              <w:wordWrap/>
              <w:overflowPunct/>
              <w:topLinePunct w:val="0"/>
              <w:bidi w:val="0"/>
              <w:snapToGrid/>
              <w:spacing w:line="500" w:lineRule="exact"/>
              <w:ind w:firstLine="482" w:firstLineChars="200"/>
              <w:textAlignment w:val="auto"/>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2.4生态环境准入清单</w:t>
            </w:r>
          </w:p>
          <w:p w14:paraId="24EFF25E">
            <w:pPr>
              <w:pStyle w:val="90"/>
              <w:snapToGrid/>
              <w:spacing w:line="520" w:lineRule="exact"/>
              <w:ind w:firstLine="480" w:firstLineChars="200"/>
              <w:rPr>
                <w:rFonts w:hint="eastAsia" w:eastAsia="宋体"/>
                <w:color w:val="000000" w:themeColor="text1"/>
                <w:kern w:val="0"/>
                <w:szCs w:val="24"/>
                <w:lang w:val="en-US" w:eastAsia="zh-CN"/>
                <w14:textFill>
                  <w14:solidFill>
                    <w14:schemeClr w14:val="tx1"/>
                  </w14:solidFill>
                </w14:textFill>
              </w:rPr>
            </w:pPr>
            <w:r>
              <w:rPr>
                <w:rFonts w:hint="eastAsia" w:eastAsia="宋体"/>
                <w:color w:val="000000" w:themeColor="text1"/>
                <w:kern w:val="0"/>
                <w:szCs w:val="24"/>
                <w:lang w:eastAsia="zh-CN"/>
                <w14:textFill>
                  <w14:solidFill>
                    <w14:schemeClr w14:val="tx1"/>
                  </w14:solidFill>
                </w14:textFill>
              </w:rPr>
              <w:t>（</w:t>
            </w:r>
            <w:r>
              <w:rPr>
                <w:rFonts w:hint="eastAsia" w:eastAsia="宋体"/>
                <w:color w:val="000000" w:themeColor="text1"/>
                <w:kern w:val="0"/>
                <w:szCs w:val="24"/>
                <w:lang w:val="en-US" w:eastAsia="zh-CN"/>
                <w14:textFill>
                  <w14:solidFill>
                    <w14:schemeClr w14:val="tx1"/>
                  </w14:solidFill>
                </w14:textFill>
              </w:rPr>
              <w:t>1</w:t>
            </w:r>
            <w:r>
              <w:rPr>
                <w:rFonts w:hint="eastAsia" w:eastAsia="宋体"/>
                <w:color w:val="000000" w:themeColor="text1"/>
                <w:kern w:val="0"/>
                <w:szCs w:val="24"/>
                <w:lang w:eastAsia="zh-CN"/>
                <w14:textFill>
                  <w14:solidFill>
                    <w14:schemeClr w14:val="tx1"/>
                  </w14:solidFill>
                </w14:textFill>
              </w:rPr>
              <w:t>）</w:t>
            </w:r>
            <w:r>
              <w:rPr>
                <w:rFonts w:hint="eastAsia" w:eastAsia="宋体"/>
                <w:color w:val="000000" w:themeColor="text1"/>
                <w:kern w:val="0"/>
                <w:szCs w:val="24"/>
                <w:lang w:val="en-US" w:eastAsia="zh-CN"/>
                <w14:textFill>
                  <w14:solidFill>
                    <w14:schemeClr w14:val="tx1"/>
                  </w14:solidFill>
                </w14:textFill>
              </w:rPr>
              <w:t>与《新疆维吾尔自治区“三线一单”生态环境分区管控方案》及《关于印发〈新疆维吾尔自治区生态环境分区管控动态更新成果〉的通知》（新环环评发〔2024〕157号）符合性分析</w:t>
            </w:r>
          </w:p>
          <w:p w14:paraId="01795B5C">
            <w:pPr>
              <w:pStyle w:val="90"/>
              <w:snapToGrid/>
              <w:spacing w:line="520" w:lineRule="exact"/>
              <w:ind w:firstLine="480" w:firstLineChars="200"/>
              <w:rPr>
                <w:rFonts w:hint="eastAsia" w:eastAsia="宋体"/>
                <w:color w:val="000000" w:themeColor="text1"/>
                <w:kern w:val="0"/>
                <w:szCs w:val="24"/>
                <w:lang w:val="en-US" w:eastAsia="zh-CN"/>
                <w14:textFill>
                  <w14:solidFill>
                    <w14:schemeClr w14:val="tx1"/>
                  </w14:solidFill>
                </w14:textFill>
              </w:rPr>
            </w:pPr>
            <w:r>
              <w:rPr>
                <w:rFonts w:hint="eastAsia" w:eastAsia="宋体"/>
                <w:color w:val="000000" w:themeColor="text1"/>
                <w:kern w:val="0"/>
                <w:szCs w:val="24"/>
                <w:lang w:val="en-US" w:eastAsia="zh-CN"/>
                <w14:textFill>
                  <w14:solidFill>
                    <w14:schemeClr w14:val="tx1"/>
                  </w14:solidFill>
                </w14:textFill>
              </w:rPr>
              <w:t>根据《关于印发〈新疆维吾尔自治区生态环境分区管控动态更新成果〉的通知》（新环环评发〔2024〕157号），自治区共划定1777个环境管控单元，分为优先保护单元、重点管控单元和一般管控单元三类，实施分类管控。优先保护单元925个，主要包括生态保护红线区和生态保护红线区以外的饮用水水源保护区、水源涵养区、防风固沙区、土地沙化防控区、水土流失防控区等一般生态空间管控区。生态保护红线区执行生态保护红线管理办法的有关要求；一般生态空间管控区应以生态环境保护优先为原则，开发建设活动应严格执行相关法律法规要求，严守生态环境质量底线，确保生态功能不降低。重点管控单元713个，主要包括城镇建成区、工业园区和开发强度大、污染物排放强度高的工业聚集区等。重点管控单元要着力优化空间布局，不断提升资源利用效率，有针对性地加强污染物排放管控和环境风险防控，解决生态环境质量不达标、生态环境风险高等问题。一般管控单元139个，主要包括优先保护单元和重点管控单元之外的其他区域。一般管控单元主要落实生态环境保护基本要求，推动区域环境质量持续改善。</w:t>
            </w:r>
          </w:p>
          <w:p w14:paraId="50174396">
            <w:pPr>
              <w:pStyle w:val="90"/>
              <w:snapToGrid/>
              <w:spacing w:line="520" w:lineRule="exact"/>
              <w:ind w:firstLine="480" w:firstLineChars="200"/>
              <w:rPr>
                <w:rFonts w:hint="eastAsia" w:eastAsia="宋体"/>
                <w:color w:val="000000" w:themeColor="text1"/>
                <w:kern w:val="0"/>
                <w:szCs w:val="24"/>
                <w14:textFill>
                  <w14:solidFill>
                    <w14:schemeClr w14:val="tx1"/>
                  </w14:solidFill>
                </w14:textFill>
              </w:rPr>
            </w:pPr>
            <w:r>
              <w:rPr>
                <w:rFonts w:hint="eastAsia" w:eastAsia="宋体"/>
                <w:color w:val="000000" w:themeColor="text1"/>
                <w:kern w:val="0"/>
                <w:szCs w:val="24"/>
                <w14:textFill>
                  <w14:solidFill>
                    <w14:schemeClr w14:val="tx1"/>
                  </w14:solidFill>
                </w14:textFill>
              </w:rPr>
              <w:t>本项目所在区域位于一般管控单元，不涉及生态保护红线</w:t>
            </w:r>
            <w:r>
              <w:rPr>
                <w:rFonts w:hint="eastAsia" w:eastAsia="宋体"/>
                <w:color w:val="000000" w:themeColor="text1"/>
                <w:kern w:val="0"/>
                <w:szCs w:val="24"/>
                <w:lang w:val="en-US" w:eastAsia="zh-CN"/>
                <w14:textFill>
                  <w14:solidFill>
                    <w14:schemeClr w14:val="tx1"/>
                  </w14:solidFill>
                </w14:textFill>
              </w:rPr>
              <w:t>，</w:t>
            </w:r>
            <w:r>
              <w:rPr>
                <w:rFonts w:hint="eastAsia" w:eastAsia="宋体"/>
                <w:color w:val="000000" w:themeColor="text1"/>
                <w:kern w:val="0"/>
                <w:szCs w:val="24"/>
                <w14:textFill>
                  <w14:solidFill>
                    <w14:schemeClr w14:val="tx1"/>
                  </w14:solidFill>
                </w14:textFill>
              </w:rPr>
              <w:t>本项目施工期采取有效措施防治大气、水污染，运营期产生</w:t>
            </w:r>
            <w:r>
              <w:rPr>
                <w:rFonts w:hint="eastAsia" w:eastAsia="宋体"/>
                <w:color w:val="000000" w:themeColor="text1"/>
                <w:kern w:val="0"/>
                <w:szCs w:val="24"/>
                <w:lang w:eastAsia="zh-CN"/>
                <w14:textFill>
                  <w14:solidFill>
                    <w14:schemeClr w14:val="tx1"/>
                  </w14:solidFill>
                </w14:textFill>
              </w:rPr>
              <w:t>的</w:t>
            </w:r>
            <w:r>
              <w:rPr>
                <w:rFonts w:hint="eastAsia" w:eastAsia="宋体"/>
                <w:color w:val="000000" w:themeColor="text1"/>
                <w:kern w:val="0"/>
                <w:szCs w:val="24"/>
                <w14:textFill>
                  <w14:solidFill>
                    <w14:schemeClr w14:val="tx1"/>
                  </w14:solidFill>
                </w14:textFill>
              </w:rPr>
              <w:t>生活污水和固废均得到妥善处置，对区域环境空气质量、水环境无影响。也不会对工程周边区域土壤环境造成影响，满足相应的管控要求。运营期仅损耗少量电能和生活用水，不会超过划定的资源利用上线，可满足资源利用要求。</w:t>
            </w:r>
          </w:p>
          <w:p w14:paraId="0098D970">
            <w:pPr>
              <w:numPr>
                <w:ilvl w:val="0"/>
                <w:numId w:val="0"/>
              </w:numPr>
              <w:spacing w:line="500" w:lineRule="exact"/>
              <w:ind w:firstLine="480" w:firstLineChars="200"/>
              <w:rPr>
                <w:rFonts w:hint="eastAsia" w:eastAsia="宋体"/>
                <w:b w:val="0"/>
                <w:bCs w:val="0"/>
                <w:color w:val="000000" w:themeColor="text1"/>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（2）</w:t>
            </w:r>
            <w:r>
              <w:rPr>
                <w:b w:val="0"/>
                <w:bCs w:val="0"/>
                <w:color w:val="000000" w:themeColor="text1"/>
                <w14:textFill>
                  <w14:solidFill>
                    <w14:schemeClr w14:val="tx1"/>
                  </w14:solidFill>
                </w14:textFill>
              </w:rPr>
              <w:t>与</w:t>
            </w:r>
            <w:r>
              <w:rPr>
                <w:rFonts w:hint="default" w:ascii="Times New Roman" w:hAnsi="Times New Roman" w:cs="Times New Roman"/>
                <w:color w:val="000000" w:themeColor="text1"/>
                <w14:textFill>
                  <w14:solidFill>
                    <w14:schemeClr w14:val="tx1"/>
                  </w14:solidFill>
                </w14:textFill>
              </w:rPr>
              <w:t>《</w:t>
            </w:r>
            <w:r>
              <w:rPr>
                <w:rFonts w:hint="eastAsia"/>
                <w:b w:val="0"/>
                <w:bCs w:val="0"/>
                <w:color w:val="000000" w:themeColor="text1"/>
                <w14:textFill>
                  <w14:solidFill>
                    <w14:schemeClr w14:val="tx1"/>
                  </w14:solidFill>
                </w14:textFill>
              </w:rPr>
              <w:t>巴音郭楞蒙古自治州“三线一单”生态环境分区管控动态更新成果（2023年）</w:t>
            </w:r>
            <w:r>
              <w:rPr>
                <w:rFonts w:hint="default" w:ascii="Times New Roman" w:hAnsi="Times New Roman" w:cs="Times New Roman"/>
                <w:color w:val="000000" w:themeColor="text1"/>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符合性</w:t>
            </w:r>
          </w:p>
          <w:p w14:paraId="1DC55C54">
            <w:pPr>
              <w:spacing w:line="500" w:lineRule="exact"/>
              <w:ind w:firstLine="480" w:firstLineChars="200"/>
              <w:rPr>
                <w:rFonts w:hint="eastAsia"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根据</w:t>
            </w:r>
            <w:r>
              <w:rPr>
                <w:rFonts w:hint="default" w:ascii="Times New Roman" w:hAnsi="Times New Roman" w:cs="Times New Roman"/>
                <w:color w:val="000000" w:themeColor="text1"/>
                <w14:textFill>
                  <w14:solidFill>
                    <w14:schemeClr w14:val="tx1"/>
                  </w14:solidFill>
                </w14:textFill>
              </w:rPr>
              <w:t>《</w:t>
            </w:r>
            <w:r>
              <w:rPr>
                <w:rFonts w:hint="eastAsia"/>
                <w:b w:val="0"/>
                <w:bCs w:val="0"/>
                <w:color w:val="000000" w:themeColor="text1"/>
                <w14:textFill>
                  <w14:solidFill>
                    <w14:schemeClr w14:val="tx1"/>
                  </w14:solidFill>
                </w14:textFill>
              </w:rPr>
              <w:t>巴音郭楞蒙古自治州“三线一单”生态环境分区管控动态更新成果（2023年）</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本项目</w:t>
            </w:r>
            <w:r>
              <w:rPr>
                <w:rFonts w:hint="default" w:ascii="Times New Roman" w:hAnsi="Times New Roman" w:cs="Times New Roman"/>
                <w:color w:val="000000" w:themeColor="text1"/>
                <w:lang w:eastAsia="zh-CN"/>
                <w14:textFill>
                  <w14:solidFill>
                    <w14:schemeClr w14:val="tx1"/>
                  </w14:solidFill>
                </w14:textFill>
              </w:rPr>
              <w:t>属于</w:t>
            </w:r>
            <w:r>
              <w:rPr>
                <w:rFonts w:hint="default" w:ascii="Times New Roman" w:hAnsi="Times New Roman" w:cs="Times New Roman"/>
                <w:color w:val="000000" w:themeColor="text1"/>
                <w:highlight w:val="none"/>
                <w14:textFill>
                  <w14:solidFill>
                    <w14:schemeClr w14:val="tx1"/>
                  </w14:solidFill>
                </w14:textFill>
              </w:rPr>
              <w:t>一般管控单元</w:t>
            </w:r>
            <w:r>
              <w:rPr>
                <w:rFonts w:hint="default" w:ascii="Times New Roman" w:hAnsi="Times New Roman" w:cs="Times New Roman"/>
                <w:color w:val="000000" w:themeColor="text1"/>
                <w:lang w:eastAsia="zh-CN"/>
                <w14:textFill>
                  <w14:solidFill>
                    <w14:schemeClr w14:val="tx1"/>
                  </w14:solidFill>
                </w14:textFill>
              </w:rPr>
              <w:t>，项目所在区域</w:t>
            </w:r>
            <w:r>
              <w:rPr>
                <w:rFonts w:hint="default" w:ascii="Times New Roman" w:hAnsi="Times New Roman" w:cs="Times New Roman"/>
                <w:color w:val="000000" w:themeColor="text1"/>
                <w14:textFill>
                  <w14:solidFill>
                    <w14:schemeClr w14:val="tx1"/>
                  </w14:solidFill>
                </w14:textFill>
              </w:rPr>
              <w:t>环境管控单元名称</w:t>
            </w:r>
            <w:r>
              <w:rPr>
                <w:rFonts w:hint="default" w:ascii="Times New Roman" w:hAnsi="Times New Roman" w:cs="Times New Roman"/>
                <w:color w:val="000000" w:themeColor="text1"/>
                <w:lang w:eastAsia="zh-CN"/>
                <w14:textFill>
                  <w14:solidFill>
                    <w14:schemeClr w14:val="tx1"/>
                  </w14:solidFill>
                </w14:textFill>
              </w:rPr>
              <w:t>为</w:t>
            </w:r>
            <w:r>
              <w:rPr>
                <w:rFonts w:hint="default" w:ascii="Times New Roman" w:hAnsi="Times New Roman" w:cs="Times New Roman"/>
                <w:color w:val="000000" w:themeColor="text1"/>
                <w14:textFill>
                  <w14:solidFill>
                    <w14:schemeClr w14:val="tx1"/>
                  </w14:solidFill>
                </w14:textFill>
              </w:rPr>
              <w:t>：</w:t>
            </w:r>
            <w:r>
              <w:rPr>
                <w:rFonts w:hint="eastAsia" w:cs="Times New Roman"/>
                <w:color w:val="000000" w:themeColor="text1"/>
                <w:lang w:eastAsia="zh-CN"/>
                <w14:textFill>
                  <w14:solidFill>
                    <w14:schemeClr w14:val="tx1"/>
                  </w14:solidFill>
                </w14:textFill>
              </w:rPr>
              <w:t>且末县</w:t>
            </w:r>
            <w:r>
              <w:rPr>
                <w:rFonts w:hint="default" w:ascii="Times New Roman" w:hAnsi="Times New Roman" w:cs="Times New Roman"/>
                <w:color w:val="000000" w:themeColor="text1"/>
                <w14:textFill>
                  <w14:solidFill>
                    <w14:schemeClr w14:val="tx1"/>
                  </w14:solidFill>
                </w14:textFill>
              </w:rPr>
              <w:t>一般管控区，环境管控单元编码：ZH652</w:t>
            </w:r>
            <w:r>
              <w:rPr>
                <w:rFonts w:hint="eastAsia" w:cs="Times New Roman"/>
                <w:color w:val="000000" w:themeColor="text1"/>
                <w:lang w:val="en-US" w:eastAsia="zh-CN"/>
                <w14:textFill>
                  <w14:solidFill>
                    <w14:schemeClr w14:val="tx1"/>
                  </w14:solidFill>
                </w14:textFill>
              </w:rPr>
              <w:t>82530001</w:t>
            </w:r>
            <w:r>
              <w:rPr>
                <w:rFonts w:hint="default" w:ascii="Times New Roman" w:hAnsi="Times New Roman" w:cs="Times New Roman"/>
                <w:color w:val="000000" w:themeColor="text1"/>
                <w14:textFill>
                  <w14:solidFill>
                    <w14:schemeClr w14:val="tx1"/>
                  </w14:solidFill>
                </w14:textFill>
              </w:rPr>
              <w:t>。</w:t>
            </w:r>
            <w:r>
              <w:rPr>
                <w:rFonts w:hint="eastAsia" w:cs="Times New Roman"/>
                <w:color w:val="000000" w:themeColor="text1"/>
                <w:lang w:eastAsia="zh-CN"/>
                <w14:textFill>
                  <w14:solidFill>
                    <w14:schemeClr w14:val="tx1"/>
                  </w14:solidFill>
                </w14:textFill>
              </w:rPr>
              <w:t>本项目与</w:t>
            </w:r>
            <w:r>
              <w:rPr>
                <w:rFonts w:hint="eastAsia" w:cs="Times New Roman"/>
                <w:color w:val="000000" w:themeColor="text1"/>
                <w:lang w:val="en-US" w:eastAsia="zh-CN"/>
                <w14:textFill>
                  <w14:solidFill>
                    <w14:schemeClr w14:val="tx1"/>
                  </w14:solidFill>
                </w14:textFill>
              </w:rPr>
              <w:t>生态</w:t>
            </w:r>
            <w:r>
              <w:rPr>
                <w:rFonts w:hint="eastAsia" w:cs="Times New Roman"/>
                <w:color w:val="000000" w:themeColor="text1"/>
                <w:lang w:eastAsia="zh-CN"/>
                <w14:textFill>
                  <w14:solidFill>
                    <w14:schemeClr w14:val="tx1"/>
                  </w14:solidFill>
                </w14:textFill>
              </w:rPr>
              <w:t>环境管控单元准入清单符合性分析见表</w:t>
            </w:r>
            <w:r>
              <w:rPr>
                <w:rFonts w:hint="eastAsia" w:cs="Times New Roman"/>
                <w:color w:val="000000" w:themeColor="text1"/>
                <w:lang w:val="en-US" w:eastAsia="zh-CN"/>
                <w14:textFill>
                  <w14:solidFill>
                    <w14:schemeClr w14:val="tx1"/>
                  </w14:solidFill>
                </w14:textFill>
              </w:rPr>
              <w:t>1-1。</w:t>
            </w:r>
          </w:p>
          <w:p w14:paraId="167FA2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表1-</w:t>
            </w:r>
            <w:r>
              <w:rPr>
                <w:rFonts w:hint="eastAsia" w:ascii="黑体" w:hAnsi="黑体" w:eastAsia="黑体" w:cs="黑体"/>
                <w:color w:val="000000" w:themeColor="text1"/>
                <w:sz w:val="21"/>
                <w:szCs w:val="21"/>
                <w:lang w:val="en-US" w:eastAsia="zh-CN"/>
                <w14:textFill>
                  <w14:solidFill>
                    <w14:schemeClr w14:val="tx1"/>
                  </w14:solidFill>
                </w14:textFill>
              </w:rPr>
              <w:t>1</w:t>
            </w:r>
            <w:r>
              <w:rPr>
                <w:rFonts w:hint="eastAsia" w:ascii="黑体" w:hAnsi="黑体" w:eastAsia="黑体" w:cs="黑体"/>
                <w:color w:val="000000" w:themeColor="text1"/>
                <w:sz w:val="21"/>
                <w:szCs w:val="21"/>
                <w14:textFill>
                  <w14:solidFill>
                    <w14:schemeClr w14:val="tx1"/>
                  </w14:solidFill>
                </w14:textFill>
              </w:rPr>
              <w:t xml:space="preserve">   项目与环境管控单元准入清单符合性分析</w:t>
            </w:r>
          </w:p>
          <w:tbl>
            <w:tblPr>
              <w:tblStyle w:val="72"/>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627"/>
              <w:gridCol w:w="5612"/>
              <w:gridCol w:w="1361"/>
              <w:gridCol w:w="656"/>
            </w:tblGrid>
            <w:tr w14:paraId="6645CE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778" w:type="pct"/>
                  <w:gridSpan w:val="2"/>
                  <w:tcBorders>
                    <w:tl2br w:val="nil"/>
                    <w:tr2bl w:val="nil"/>
                  </w:tcBorders>
                  <w:vAlign w:val="center"/>
                </w:tcPr>
                <w:p w14:paraId="7F28B7D1">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b/>
                      <w:bCs/>
                      <w:color w:val="000000" w:themeColor="text1"/>
                      <w:sz w:val="21"/>
                      <w:szCs w:val="21"/>
                      <w14:textFill>
                        <w14:solidFill>
                          <w14:schemeClr w14:val="tx1"/>
                        </w14:solidFill>
                      </w14:textFill>
                    </w:rPr>
                  </w:pPr>
                  <w:r>
                    <w:rPr>
                      <w:b/>
                      <w:bCs/>
                      <w:color w:val="000000" w:themeColor="text1"/>
                      <w:spacing w:val="7"/>
                      <w:sz w:val="21"/>
                      <w:szCs w:val="21"/>
                      <w14:textFill>
                        <w14:solidFill>
                          <w14:schemeClr w14:val="tx1"/>
                        </w14:solidFill>
                      </w14:textFill>
                    </w:rPr>
                    <w:t>管</w:t>
                  </w:r>
                  <w:r>
                    <w:rPr>
                      <w:b/>
                      <w:bCs/>
                      <w:color w:val="000000" w:themeColor="text1"/>
                      <w:spacing w:val="6"/>
                      <w:sz w:val="21"/>
                      <w:szCs w:val="21"/>
                      <w14:textFill>
                        <w14:solidFill>
                          <w14:schemeClr w14:val="tx1"/>
                        </w14:solidFill>
                      </w14:textFill>
                    </w:rPr>
                    <w:t>控要求</w:t>
                  </w:r>
                </w:p>
              </w:tc>
              <w:tc>
                <w:tcPr>
                  <w:tcW w:w="824" w:type="pct"/>
                  <w:tcBorders>
                    <w:tl2br w:val="nil"/>
                    <w:tr2bl w:val="nil"/>
                  </w:tcBorders>
                  <w:vAlign w:val="center"/>
                </w:tcPr>
                <w:p w14:paraId="586020B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本项目</w:t>
                  </w:r>
                </w:p>
              </w:tc>
              <w:tc>
                <w:tcPr>
                  <w:tcW w:w="397" w:type="pct"/>
                  <w:tcBorders>
                    <w:tl2br w:val="nil"/>
                    <w:tr2bl w:val="nil"/>
                  </w:tcBorders>
                  <w:vAlign w:val="center"/>
                </w:tcPr>
                <w:p w14:paraId="11F56FDD">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符合性</w:t>
                  </w:r>
                </w:p>
              </w:tc>
            </w:tr>
            <w:tr w14:paraId="4EB8A0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0" w:type="pct"/>
                  <w:tcBorders>
                    <w:tl2br w:val="nil"/>
                    <w:tr2bl w:val="nil"/>
                  </w:tcBorders>
                  <w:vAlign w:val="center"/>
                </w:tcPr>
                <w:p w14:paraId="54050FE0">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空间布局约束</w:t>
                  </w:r>
                </w:p>
              </w:tc>
              <w:tc>
                <w:tcPr>
                  <w:tcW w:w="3398" w:type="pct"/>
                  <w:tcBorders>
                    <w:tl2br w:val="nil"/>
                    <w:tr2bl w:val="nil"/>
                  </w:tcBorders>
                  <w:vAlign w:val="center"/>
                </w:tcPr>
                <w:p w14:paraId="66E5C71F">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1.建设项目用地原则上不得占用基本农田，确需占用基本农田的建设项目须符合《中华人民共和国基本农田保护条例》中相关要求，占用耕地、林地或草地的建设项目须按照国家、自治区相关补偿要求进行补偿。</w:t>
                  </w:r>
                </w:p>
                <w:p w14:paraId="36E668A2">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p w14:paraId="18524E8D">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3.永久基本农田集中区域禁止规划新建可能造成土壤污染的建设项目。涉及有毒有害物质可能造成土壤污染的新</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改、扩</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建项目，提出并落实土壤和地下水污染防治要求。</w:t>
                  </w:r>
                </w:p>
                <w:p w14:paraId="62D0A2FA">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4.严格执行畜禽养殖禁养区规定，根据区域用地和消纳水平，合理确定养殖规模。</w:t>
                  </w:r>
                </w:p>
                <w:p w14:paraId="5F0DA3DD">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5.禁止向沙漠、滩涂、盐碱地、沼泽地等非法排污、倾倒有毒有害物质。</w:t>
                  </w:r>
                </w:p>
                <w:p w14:paraId="5F4E3A39">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6.禁止利用渗坑、裂隙、溶洞或者采用稀释等方法处置危险废物。</w:t>
                  </w:r>
                </w:p>
                <w:p w14:paraId="38B7F4CD">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7.金属和非金属矿山采选企业新建、改建、扩建执行《新疆维吾尔自治区重点行业环境准入条件（修订）》相关要求。</w:t>
                  </w:r>
                </w:p>
              </w:tc>
              <w:tc>
                <w:tcPr>
                  <w:tcW w:w="824" w:type="pct"/>
                  <w:tcBorders>
                    <w:tl2br w:val="nil"/>
                    <w:tr2bl w:val="nil"/>
                  </w:tcBorders>
                  <w:vAlign w:val="center"/>
                </w:tcPr>
                <w:p w14:paraId="0239913B">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w:t>
                  </w:r>
                  <w:r>
                    <w:rPr>
                      <w:rFonts w:hint="eastAsia"/>
                      <w:color w:val="000000" w:themeColor="text1"/>
                      <w:sz w:val="21"/>
                      <w:szCs w:val="21"/>
                      <w:lang w:val="en-US" w:eastAsia="zh-CN"/>
                      <w14:textFill>
                        <w14:solidFill>
                          <w14:schemeClr w14:val="tx1"/>
                        </w14:solidFill>
                      </w14:textFill>
                    </w:rPr>
                    <w:t>未占用基本农田；不涉及矿产开发及畜禽养殖；本项目建设及运行过程中废水及固废污染物均合理处理，未向</w:t>
                  </w:r>
                  <w:r>
                    <w:rPr>
                      <w:rFonts w:hint="eastAsia"/>
                      <w:color w:val="000000" w:themeColor="text1"/>
                      <w:sz w:val="21"/>
                      <w:szCs w:val="21"/>
                      <w14:textFill>
                        <w14:solidFill>
                          <w14:schemeClr w14:val="tx1"/>
                        </w14:solidFill>
                      </w14:textFill>
                    </w:rPr>
                    <w:t>沙漠、滩涂、盐碱地、沼泽地等</w:t>
                  </w:r>
                  <w:r>
                    <w:rPr>
                      <w:rFonts w:hint="eastAsia"/>
                      <w:color w:val="000000" w:themeColor="text1"/>
                      <w:sz w:val="21"/>
                      <w:szCs w:val="21"/>
                      <w:lang w:val="en-US" w:eastAsia="zh-CN"/>
                      <w14:textFill>
                        <w14:solidFill>
                          <w14:schemeClr w14:val="tx1"/>
                        </w14:solidFill>
                      </w14:textFill>
                    </w:rPr>
                    <w:t>排放；项目运行过程中产生的危险废物委托危废处置资质单位进行处置。</w:t>
                  </w:r>
                </w:p>
              </w:tc>
              <w:tc>
                <w:tcPr>
                  <w:tcW w:w="397" w:type="pct"/>
                  <w:tcBorders>
                    <w:tl2br w:val="nil"/>
                    <w:tr2bl w:val="nil"/>
                  </w:tcBorders>
                  <w:vAlign w:val="center"/>
                </w:tcPr>
                <w:p w14:paraId="65EB3879">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2A3288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0" w:type="pct"/>
                  <w:tcBorders>
                    <w:tl2br w:val="nil"/>
                    <w:tr2bl w:val="nil"/>
                  </w:tcBorders>
                  <w:vAlign w:val="center"/>
                </w:tcPr>
                <w:p w14:paraId="453BF9C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污染物排放管控</w:t>
                  </w:r>
                </w:p>
              </w:tc>
              <w:tc>
                <w:tcPr>
                  <w:tcW w:w="3398" w:type="pct"/>
                  <w:tcBorders>
                    <w:tl2br w:val="nil"/>
                    <w:tr2bl w:val="nil"/>
                  </w:tcBorders>
                  <w:vAlign w:val="center"/>
                </w:tcPr>
                <w:p w14:paraId="01E74CF5">
                  <w:pPr>
                    <w:keepNext w:val="0"/>
                    <w:keepLines w:val="0"/>
                    <w:pageBreakBefore w:val="0"/>
                    <w:widowControl/>
                    <w:numPr>
                      <w:ilvl w:val="0"/>
                      <w:numId w:val="3"/>
                    </w:numPr>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强化畜禽粪污资源化利用，改善养殖场通风环境，提高畜禽粪污综合利用率，减少氨挥发排放。鼓励和支持散养密集区实行畜禽粪污分户收集、集中处理。</w:t>
                  </w:r>
                </w:p>
                <w:p w14:paraId="2CAF195B">
                  <w:pPr>
                    <w:keepNext w:val="0"/>
                    <w:keepLines w:val="0"/>
                    <w:pageBreakBefore w:val="0"/>
                    <w:widowControl/>
                    <w:numPr>
                      <w:ilvl w:val="0"/>
                      <w:numId w:val="0"/>
                    </w:numPr>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2.严格控制林地、草地、园地农药使用量，禁止使用高毒、高残留农药。</w:t>
                  </w:r>
                </w:p>
                <w:p w14:paraId="25477E79">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w:t>
                  </w:r>
                  <w:r>
                    <w:rPr>
                      <w:rFonts w:hint="eastAsia"/>
                      <w:color w:val="000000" w:themeColor="text1"/>
                      <w:sz w:val="21"/>
                      <w:szCs w:val="21"/>
                      <w:lang w:eastAsia="zh-CN"/>
                      <w14:textFill>
                        <w14:solidFill>
                          <w14:schemeClr w14:val="tx1"/>
                        </w14:solidFill>
                      </w14:textFill>
                    </w:rPr>
                    <w:t>利用</w:t>
                  </w:r>
                  <w:r>
                    <w:rPr>
                      <w:rFonts w:hint="eastAsia"/>
                      <w:color w:val="000000" w:themeColor="text1"/>
                      <w:sz w:val="21"/>
                      <w:szCs w:val="21"/>
                      <w14:textFill>
                        <w14:solidFill>
                          <w14:schemeClr w14:val="tx1"/>
                        </w14:solidFill>
                      </w14:textFill>
                    </w:rPr>
                    <w:t>体系，形成布局合理、多元利用的秸秆综合利用格局。</w:t>
                  </w:r>
                </w:p>
                <w:p w14:paraId="254A2055">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4.对化学品生产企业、工业集聚区、尾矿库、矿山开采区、危险废物处置场、垃圾填埋场等地下水污染源及周边区域，逐步开展地下水环境状况调查评估，加强风险管控。</w:t>
                  </w:r>
                </w:p>
                <w:p w14:paraId="3D2BCC14">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5.严控土壤重金属污染，加强油（气）田开发土壤污染防治，以历史遗留工业企业污染场地为重点，开展土壤污染风险管控与修复工程。</w:t>
                  </w:r>
                </w:p>
                <w:p w14:paraId="0060EAAF">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因地制宜推进农村厕所革命，分类分区推进农村生活污水治理，全面提升农村生活垃圾治理水平，建立健全农村人居环境长效管护机制。实施化肥农药减量增效行动和农膜回收、秸秆综合利用行动。加强种养结合，整县推进畜禽粪污资源化利用。</w:t>
                  </w:r>
                </w:p>
                <w:p w14:paraId="2D21D8EF">
                  <w:pPr>
                    <w:keepNext w:val="0"/>
                    <w:keepLines w:val="0"/>
                    <w:pageBreakBefore w:val="0"/>
                    <w:widowControl/>
                    <w:wordWrap/>
                    <w:overflowPunct/>
                    <w:topLinePunct w:val="0"/>
                    <w:bidi w:val="0"/>
                    <w:adjustRightInd w:val="0"/>
                    <w:snapToGrid w:val="0"/>
                    <w:spacing w:line="240" w:lineRule="auto"/>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一般工业固体废物贮存和填埋污染控制标准》（GB18599）进行管理，属危险废物的按危险废物相关要求依法进行管理，其贮存设施须符合《危险废物贮存污染控制标准》（GB18597）。矿山生态环境保护和恢复要达到《矿山生态环境保护与恢复治理技术规范</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试行</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》（HJ651）及其他有关环保法律法规的相关要求。</w:t>
                  </w:r>
                </w:p>
              </w:tc>
              <w:tc>
                <w:tcPr>
                  <w:tcW w:w="824" w:type="pct"/>
                  <w:tcBorders>
                    <w:tl2br w:val="nil"/>
                    <w:tr2bl w:val="nil"/>
                  </w:tcBorders>
                  <w:vAlign w:val="center"/>
                </w:tcPr>
                <w:p w14:paraId="4127C49D">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本项目不涉及畜禽养殖、不使用农药及化肥；本项目为输变电工程，项目运行过程中不会引起周边土壤及地下水污染；</w:t>
                  </w:r>
                  <w:r>
                    <w:rPr>
                      <w:color w:val="000000" w:themeColor="text1"/>
                      <w:sz w:val="21"/>
                      <w:szCs w:val="21"/>
                      <w14:textFill>
                        <w14:solidFill>
                          <w14:schemeClr w14:val="tx1"/>
                        </w14:solidFill>
                      </w14:textFill>
                    </w:rPr>
                    <w:t>本项目</w:t>
                  </w:r>
                  <w:r>
                    <w:rPr>
                      <w:rFonts w:hint="eastAsia"/>
                      <w:color w:val="000000" w:themeColor="text1"/>
                      <w:sz w:val="21"/>
                      <w:szCs w:val="21"/>
                      <w:lang w:val="en-US" w:eastAsia="zh-CN"/>
                      <w14:textFill>
                        <w14:solidFill>
                          <w14:schemeClr w14:val="tx1"/>
                        </w14:solidFill>
                      </w14:textFill>
                    </w:rPr>
                    <w:t>运行过程中产生的生活污水经处理达标后冬储夏灌，</w:t>
                  </w:r>
                  <w:r>
                    <w:rPr>
                      <w:color w:val="000000" w:themeColor="text1"/>
                      <w:sz w:val="21"/>
                      <w:szCs w:val="21"/>
                      <w14:textFill>
                        <w14:solidFill>
                          <w14:schemeClr w14:val="tx1"/>
                        </w14:solidFill>
                      </w14:textFill>
                    </w:rPr>
                    <w:t>运营期油烟经处理后可达标排放；生活垃圾</w:t>
                  </w:r>
                  <w:r>
                    <w:rPr>
                      <w:rFonts w:hint="eastAsia"/>
                      <w:color w:val="000000" w:themeColor="text1"/>
                      <w:sz w:val="21"/>
                      <w:szCs w:val="21"/>
                      <w:lang w:eastAsia="zh-CN"/>
                      <w14:textFill>
                        <w14:solidFill>
                          <w14:schemeClr w14:val="tx1"/>
                        </w14:solidFill>
                      </w14:textFill>
                    </w:rPr>
                    <w:t>、干化后的污泥</w:t>
                  </w:r>
                  <w:r>
                    <w:rPr>
                      <w:color w:val="000000" w:themeColor="text1"/>
                      <w:sz w:val="21"/>
                      <w:szCs w:val="21"/>
                      <w14:textFill>
                        <w14:solidFill>
                          <w14:schemeClr w14:val="tx1"/>
                        </w14:solidFill>
                      </w14:textFill>
                    </w:rPr>
                    <w:t>集中收集并由环卫部门定期清运</w:t>
                  </w:r>
                  <w:r>
                    <w:rPr>
                      <w:rFonts w:hint="eastAsia"/>
                      <w:color w:val="000000" w:themeColor="text1"/>
                      <w:sz w:val="21"/>
                      <w:szCs w:val="21"/>
                      <w:lang w:eastAsia="zh-CN"/>
                      <w14:textFill>
                        <w14:solidFill>
                          <w14:schemeClr w14:val="tx1"/>
                        </w14:solidFill>
                      </w14:textFill>
                    </w:rPr>
                    <w:t>至且末县生活垃圾填埋场</w:t>
                  </w:r>
                  <w:r>
                    <w:rPr>
                      <w:rFonts w:hint="eastAsia" w:cs="Times New Roman"/>
                      <w:color w:val="000000" w:themeColor="text1"/>
                      <w:sz w:val="21"/>
                      <w:szCs w:val="21"/>
                      <w:lang w:val="en-US" w:eastAsia="zh-CN"/>
                      <w14:textFill>
                        <w14:solidFill>
                          <w14:schemeClr w14:val="tx1"/>
                        </w14:solidFill>
                      </w14:textFill>
                    </w:rPr>
                    <w:t>；</w:t>
                  </w:r>
                  <w:r>
                    <w:rPr>
                      <w:color w:val="000000" w:themeColor="text1"/>
                      <w:sz w:val="21"/>
                      <w:szCs w:val="21"/>
                      <w14:textFill>
                        <w14:solidFill>
                          <w14:schemeClr w14:val="tx1"/>
                        </w14:solidFill>
                      </w14:textFill>
                    </w:rPr>
                    <w:t>废变压器油暂存</w:t>
                  </w:r>
                  <w:r>
                    <w:rPr>
                      <w:rFonts w:hint="eastAsia"/>
                      <w:color w:val="000000" w:themeColor="text1"/>
                      <w:sz w:val="21"/>
                      <w:szCs w:val="21"/>
                      <w:lang w:eastAsia="zh-CN"/>
                      <w14:textFill>
                        <w14:solidFill>
                          <w14:schemeClr w14:val="tx1"/>
                        </w14:solidFill>
                      </w14:textFill>
                    </w:rPr>
                    <w:t>于</w:t>
                  </w:r>
                  <w:r>
                    <w:rPr>
                      <w:color w:val="000000" w:themeColor="text1"/>
                      <w:sz w:val="21"/>
                      <w:szCs w:val="21"/>
                      <w14:textFill>
                        <w14:solidFill>
                          <w14:schemeClr w14:val="tx1"/>
                        </w14:solidFill>
                      </w14:textFill>
                    </w:rPr>
                    <w:t>事故油池，由有危废处置资质单位清运</w:t>
                  </w:r>
                  <w:r>
                    <w:rPr>
                      <w:rFonts w:hint="eastAsia"/>
                      <w:color w:val="000000" w:themeColor="text1"/>
                      <w:sz w:val="21"/>
                      <w:szCs w:val="21"/>
                      <w:lang w:eastAsia="zh-CN"/>
                      <w14:textFill>
                        <w14:solidFill>
                          <w14:schemeClr w14:val="tx1"/>
                        </w14:solidFill>
                      </w14:textFill>
                    </w:rPr>
                    <w:t>处置</w:t>
                  </w:r>
                  <w:r>
                    <w:rPr>
                      <w:color w:val="000000" w:themeColor="text1"/>
                      <w:sz w:val="21"/>
                      <w:szCs w:val="21"/>
                      <w14:textFill>
                        <w14:solidFill>
                          <w14:schemeClr w14:val="tx1"/>
                        </w14:solidFill>
                      </w14:textFill>
                    </w:rPr>
                    <w:t>；废蓄电池</w:t>
                  </w:r>
                  <w:r>
                    <w:rPr>
                      <w:rFonts w:hint="eastAsia"/>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废润滑油</w:t>
                  </w:r>
                  <w:r>
                    <w:rPr>
                      <w:rFonts w:hint="eastAsia"/>
                      <w:color w:val="000000" w:themeColor="text1"/>
                      <w:sz w:val="21"/>
                      <w:szCs w:val="21"/>
                      <w:lang w:val="en-US" w:eastAsia="zh-CN"/>
                      <w14:textFill>
                        <w14:solidFill>
                          <w14:schemeClr w14:val="tx1"/>
                        </w14:solidFill>
                      </w14:textFill>
                    </w:rPr>
                    <w:t>及油桶</w:t>
                  </w:r>
                  <w:r>
                    <w:rPr>
                      <w:rFonts w:hint="eastAsia"/>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含油抹布</w:t>
                  </w:r>
                  <w:r>
                    <w:rPr>
                      <w:rFonts w:hint="eastAsia"/>
                      <w:color w:val="000000" w:themeColor="text1"/>
                      <w:sz w:val="21"/>
                      <w:szCs w:val="21"/>
                      <w:lang w:eastAsia="zh-CN"/>
                      <w14:textFill>
                        <w14:solidFill>
                          <w14:schemeClr w14:val="tx1"/>
                        </w14:solidFill>
                      </w14:textFill>
                    </w:rPr>
                    <w:t>及</w:t>
                  </w:r>
                  <w:r>
                    <w:rPr>
                      <w:rFonts w:hint="eastAsia"/>
                      <w:color w:val="000000" w:themeColor="text1"/>
                      <w:sz w:val="21"/>
                      <w:szCs w:val="21"/>
                      <w:lang w:val="en-US" w:eastAsia="zh-CN"/>
                      <w14:textFill>
                        <w14:solidFill>
                          <w14:schemeClr w14:val="tx1"/>
                        </w14:solidFill>
                      </w14:textFill>
                    </w:rPr>
                    <w:t>劳保用品</w:t>
                  </w:r>
                  <w:r>
                    <w:rPr>
                      <w:color w:val="000000" w:themeColor="text1"/>
                      <w:sz w:val="21"/>
                      <w:szCs w:val="21"/>
                      <w14:textFill>
                        <w14:solidFill>
                          <w14:schemeClr w14:val="tx1"/>
                        </w14:solidFill>
                      </w14:textFill>
                    </w:rPr>
                    <w:t>经</w:t>
                  </w:r>
                  <w:r>
                    <w:rPr>
                      <w:rFonts w:hint="eastAsia"/>
                      <w:color w:val="000000" w:themeColor="text1"/>
                      <w:sz w:val="21"/>
                      <w:szCs w:val="21"/>
                      <w:lang w:eastAsia="zh-CN"/>
                      <w14:textFill>
                        <w14:solidFill>
                          <w14:schemeClr w14:val="tx1"/>
                        </w14:solidFill>
                      </w14:textFill>
                    </w:rPr>
                    <w:t>危废</w:t>
                  </w:r>
                  <w:r>
                    <w:rPr>
                      <w:rFonts w:hint="eastAsia"/>
                      <w:color w:val="000000" w:themeColor="text1"/>
                      <w:sz w:val="21"/>
                      <w:szCs w:val="21"/>
                      <w:lang w:val="en-US" w:eastAsia="zh-CN"/>
                      <w14:textFill>
                        <w14:solidFill>
                          <w14:schemeClr w14:val="tx1"/>
                        </w14:solidFill>
                      </w14:textFill>
                    </w:rPr>
                    <w:t>贮存点暂存</w:t>
                  </w:r>
                  <w:r>
                    <w:rPr>
                      <w:color w:val="000000" w:themeColor="text1"/>
                      <w:sz w:val="21"/>
                      <w:szCs w:val="21"/>
                      <w14:textFill>
                        <w14:solidFill>
                          <w14:schemeClr w14:val="tx1"/>
                        </w14:solidFill>
                      </w14:textFill>
                    </w:rPr>
                    <w:t>后交</w:t>
                  </w:r>
                  <w:r>
                    <w:rPr>
                      <w:rFonts w:hint="eastAsia"/>
                      <w:color w:val="000000" w:themeColor="text1"/>
                      <w:sz w:val="21"/>
                      <w:szCs w:val="21"/>
                      <w:lang w:eastAsia="zh-CN"/>
                      <w14:textFill>
                        <w14:solidFill>
                          <w14:schemeClr w14:val="tx1"/>
                        </w14:solidFill>
                      </w14:textFill>
                    </w:rPr>
                    <w:t>有资质</w:t>
                  </w:r>
                  <w:r>
                    <w:rPr>
                      <w:color w:val="000000" w:themeColor="text1"/>
                      <w:sz w:val="21"/>
                      <w:szCs w:val="21"/>
                      <w14:textFill>
                        <w14:solidFill>
                          <w14:schemeClr w14:val="tx1"/>
                        </w14:solidFill>
                      </w14:textFill>
                    </w:rPr>
                    <w:t>单位进行处置。</w:t>
                  </w:r>
                </w:p>
              </w:tc>
              <w:tc>
                <w:tcPr>
                  <w:tcW w:w="397" w:type="pct"/>
                  <w:tcBorders>
                    <w:tl2br w:val="nil"/>
                    <w:tr2bl w:val="nil"/>
                  </w:tcBorders>
                  <w:vAlign w:val="center"/>
                </w:tcPr>
                <w:p w14:paraId="559EDD96">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79EABC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0" w:type="pct"/>
                  <w:tcBorders>
                    <w:tl2br w:val="nil"/>
                    <w:tr2bl w:val="nil"/>
                  </w:tcBorders>
                  <w:vAlign w:val="center"/>
                </w:tcPr>
                <w:p w14:paraId="24D0396F">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环境风险防控</w:t>
                  </w:r>
                </w:p>
              </w:tc>
              <w:tc>
                <w:tcPr>
                  <w:tcW w:w="3398" w:type="pct"/>
                  <w:tcBorders>
                    <w:tl2br w:val="nil"/>
                    <w:tr2bl w:val="nil"/>
                  </w:tcBorders>
                  <w:vAlign w:val="center"/>
                </w:tcPr>
                <w:p w14:paraId="5DCA5FEF">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1.加强对矿山、油田等矿产资源开采影响区域内未利用地的环境监管，发现土壤污染问题的，要坚决查处，并及时督促有关单位采取有效防治措施消除或减轻污染。</w:t>
                  </w:r>
                </w:p>
                <w:p w14:paraId="5A9B39B3">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2.对排查出的危库和病库以及风险评估有严重环境安全隐患的尾矿库，要求企业完善污染治理设施、进行治理和修复。全面整治历史遗留尾矿库，完善覆膜、压土、排洪、堤坝加固等隐患治理和闭库措施。</w:t>
                  </w:r>
                </w:p>
                <w:p w14:paraId="5F25C689">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3.依法推行农用地分类管理制度，强化受污染耕地安全利用和风险管控。因地制宜制定实施安全利用方案，鼓励采取种植结构调整等措施，确保受污染耕地全部实现安全利用。</w:t>
                  </w:r>
                </w:p>
                <w:p w14:paraId="33A91E94">
                  <w:pPr>
                    <w:keepNext w:val="0"/>
                    <w:keepLines w:val="0"/>
                    <w:pageBreakBefore w:val="0"/>
                    <w:widowControl/>
                    <w:wordWrap/>
                    <w:overflowPunct/>
                    <w:topLinePunct w:val="0"/>
                    <w:bidi w:val="0"/>
                    <w:adjustRightInd w:val="0"/>
                    <w:snapToGrid w:val="0"/>
                    <w:spacing w:line="240" w:lineRule="auto"/>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定期对企业及周边土壤进行监测；对不符合法律法规和相关标准要求的，应当根据监测结果，要求运营单位采取相应改进措施。土壤环境监管重点行业企业拆除生产设施设备、构筑物和污染治理设施，要事先制定残留污染物清理和安全处置方案，并报所在地县级生态环境、工业和信息化部门备案；要严格按照有关规定实施安全处理处置，防范拆除活动污染土壤。</w:t>
                  </w:r>
                </w:p>
              </w:tc>
              <w:tc>
                <w:tcPr>
                  <w:tcW w:w="824" w:type="pct"/>
                  <w:tcBorders>
                    <w:tl2br w:val="nil"/>
                    <w:tr2bl w:val="nil"/>
                  </w:tcBorders>
                  <w:vAlign w:val="center"/>
                </w:tcPr>
                <w:p w14:paraId="531561E4">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本项目不涉及矿山及油田开采；不涉及尾矿库；项目未占用农用地；</w:t>
                  </w:r>
                  <w:r>
                    <w:rPr>
                      <w:color w:val="000000" w:themeColor="text1"/>
                      <w:sz w:val="21"/>
                      <w:szCs w:val="21"/>
                      <w14:textFill>
                        <w14:solidFill>
                          <w14:schemeClr w14:val="tx1"/>
                        </w14:solidFill>
                      </w14:textFill>
                    </w:rPr>
                    <w:t>本项目设置的事故油池及</w:t>
                  </w:r>
                  <w:r>
                    <w:rPr>
                      <w:rFonts w:hint="eastAsia"/>
                      <w:color w:val="000000" w:themeColor="text1"/>
                      <w:sz w:val="21"/>
                      <w:szCs w:val="21"/>
                      <w:lang w:eastAsia="zh-CN"/>
                      <w14:textFill>
                        <w14:solidFill>
                          <w14:schemeClr w14:val="tx1"/>
                        </w14:solidFill>
                      </w14:textFill>
                    </w:rPr>
                    <w:t>危废</w:t>
                  </w:r>
                  <w:r>
                    <w:rPr>
                      <w:rFonts w:hint="eastAsia"/>
                      <w:color w:val="000000" w:themeColor="text1"/>
                      <w:sz w:val="21"/>
                      <w:szCs w:val="21"/>
                      <w:lang w:val="en-US" w:eastAsia="zh-CN"/>
                      <w14:textFill>
                        <w14:solidFill>
                          <w14:schemeClr w14:val="tx1"/>
                        </w14:solidFill>
                      </w14:textFill>
                    </w:rPr>
                    <w:t>贮存点均</w:t>
                  </w:r>
                  <w:r>
                    <w:rPr>
                      <w:color w:val="000000" w:themeColor="text1"/>
                      <w:sz w:val="21"/>
                      <w:szCs w:val="21"/>
                      <w14:textFill>
                        <w14:solidFill>
                          <w14:schemeClr w14:val="tx1"/>
                        </w14:solidFill>
                      </w14:textFill>
                    </w:rPr>
                    <w:t>采取了</w:t>
                  </w:r>
                  <w:r>
                    <w:rPr>
                      <w:rFonts w:hint="eastAsia"/>
                      <w:color w:val="000000" w:themeColor="text1"/>
                      <w:sz w:val="21"/>
                      <w:szCs w:val="21"/>
                      <w:lang w:val="en-US" w:eastAsia="zh-CN"/>
                      <w14:textFill>
                        <w14:solidFill>
                          <w14:schemeClr w14:val="tx1"/>
                        </w14:solidFill>
                      </w14:textFill>
                    </w:rPr>
                    <w:t>重点</w:t>
                  </w:r>
                  <w:r>
                    <w:rPr>
                      <w:color w:val="000000" w:themeColor="text1"/>
                      <w:sz w:val="21"/>
                      <w:szCs w:val="21"/>
                      <w14:textFill>
                        <w14:solidFill>
                          <w14:schemeClr w14:val="tx1"/>
                        </w14:solidFill>
                      </w14:textFill>
                    </w:rPr>
                    <w:t>防渗措施，对地下水和土壤环境影响较小。环评要求建设单位编制突发环境事件应急预案并报</w:t>
                  </w:r>
                  <w:r>
                    <w:rPr>
                      <w:rFonts w:hint="eastAsia"/>
                      <w:color w:val="000000" w:themeColor="text1"/>
                      <w:sz w:val="21"/>
                      <w:szCs w:val="21"/>
                      <w:lang w:eastAsia="zh-CN"/>
                      <w14:textFill>
                        <w14:solidFill>
                          <w14:schemeClr w14:val="tx1"/>
                        </w14:solidFill>
                      </w14:textFill>
                    </w:rPr>
                    <w:t>所在地相关主管部门</w:t>
                  </w:r>
                  <w:r>
                    <w:rPr>
                      <w:color w:val="000000" w:themeColor="text1"/>
                      <w:sz w:val="21"/>
                      <w:szCs w:val="21"/>
                      <w14:textFill>
                        <w14:solidFill>
                          <w14:schemeClr w14:val="tx1"/>
                        </w14:solidFill>
                      </w14:textFill>
                    </w:rPr>
                    <w:t>备案。</w:t>
                  </w:r>
                </w:p>
              </w:tc>
              <w:tc>
                <w:tcPr>
                  <w:tcW w:w="397" w:type="pct"/>
                  <w:tcBorders>
                    <w:tl2br w:val="nil"/>
                    <w:tr2bl w:val="nil"/>
                  </w:tcBorders>
                  <w:vAlign w:val="center"/>
                </w:tcPr>
                <w:p w14:paraId="2B35AD9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75E7EC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380" w:type="pct"/>
                  <w:tcBorders>
                    <w:tl2br w:val="nil"/>
                    <w:tr2bl w:val="nil"/>
                  </w:tcBorders>
                  <w:vAlign w:val="center"/>
                </w:tcPr>
                <w:p w14:paraId="70AF9F73">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资源利用效率</w:t>
                  </w:r>
                </w:p>
              </w:tc>
              <w:tc>
                <w:tcPr>
                  <w:tcW w:w="3398" w:type="pct"/>
                  <w:tcBorders>
                    <w:tl2br w:val="nil"/>
                    <w:tr2bl w:val="nil"/>
                  </w:tcBorders>
                  <w:vAlign w:val="center"/>
                </w:tcPr>
                <w:p w14:paraId="34270BC7">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1.全面推进秸秆综合利用，鼓励秸秆资源化、饲料化、肥料化利用，推动秸秆还田与离田收集。</w:t>
                  </w:r>
                </w:p>
                <w:p w14:paraId="1F9C15BF">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2.减少化肥农药使用量，增加有机肥使用量，实现化肥农药使用量负增长。</w:t>
                  </w:r>
                </w:p>
                <w:p w14:paraId="02C00CEC">
                  <w:pPr>
                    <w:keepNext w:val="0"/>
                    <w:keepLines w:val="0"/>
                    <w:pageBreakBefore w:val="0"/>
                    <w:widowControl/>
                    <w:wordWrap/>
                    <w:overflowPunct/>
                    <w:topLinePunct w:val="0"/>
                    <w:bidi w:val="0"/>
                    <w:adjustRightInd w:val="0"/>
                    <w:snapToGrid w:val="0"/>
                    <w:spacing w:line="240" w:lineRule="auto"/>
                    <w:jc w:val="both"/>
                    <w:rPr>
                      <w:rFonts w:hint="eastAsia"/>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3.推广渠道防渗、管道输水、喷灌、微灌等节水灌溉技术，完善灌溉用水计量设施。推进规模化高效节水灌溉，推广农作物节水抗旱技术。建立灌区墒情测报网络，提高农业用水效率，降低农业用水比重。</w:t>
                  </w:r>
                </w:p>
                <w:p w14:paraId="1959B880">
                  <w:pPr>
                    <w:keepNext w:val="0"/>
                    <w:keepLines w:val="0"/>
                    <w:pageBreakBefore w:val="0"/>
                    <w:widowControl/>
                    <w:wordWrap/>
                    <w:overflowPunct/>
                    <w:topLinePunct w:val="0"/>
                    <w:bidi w:val="0"/>
                    <w:adjustRightInd w:val="0"/>
                    <w:snapToGrid w:val="0"/>
                    <w:spacing w:line="240" w:lineRule="auto"/>
                    <w:jc w:val="both"/>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4.废石综合回用、尾矿砂利用率参考《新疆维吾尔自治区重点行业环境准入条件（修订）》等相关文件要求。</w:t>
                  </w:r>
                </w:p>
              </w:tc>
              <w:tc>
                <w:tcPr>
                  <w:tcW w:w="824" w:type="pct"/>
                  <w:tcBorders>
                    <w:tl2br w:val="nil"/>
                    <w:tr2bl w:val="nil"/>
                  </w:tcBorders>
                  <w:vAlign w:val="center"/>
                </w:tcPr>
                <w:p w14:paraId="736400FA">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color w:val="000000" w:themeColor="text1"/>
                      <w:sz w:val="21"/>
                      <w:szCs w:val="21"/>
                      <w14:textFill>
                        <w14:solidFill>
                          <w14:schemeClr w14:val="tx1"/>
                        </w14:solidFill>
                      </w14:textFill>
                    </w:rPr>
                  </w:pPr>
                  <w:r>
                    <w:rPr>
                      <w:color w:val="000000" w:themeColor="text1"/>
                      <w:spacing w:val="9"/>
                      <w:sz w:val="21"/>
                      <w:szCs w:val="21"/>
                      <w14:textFill>
                        <w14:solidFill>
                          <w14:schemeClr w14:val="tx1"/>
                        </w14:solidFill>
                      </w14:textFill>
                    </w:rPr>
                    <w:t>本项目</w:t>
                  </w:r>
                  <w:r>
                    <w:rPr>
                      <w:rFonts w:hint="eastAsia"/>
                      <w:color w:val="000000" w:themeColor="text1"/>
                      <w:spacing w:val="9"/>
                      <w:sz w:val="21"/>
                      <w:szCs w:val="21"/>
                      <w:lang w:val="en-US" w:eastAsia="zh-CN"/>
                      <w14:textFill>
                        <w14:solidFill>
                          <w14:schemeClr w14:val="tx1"/>
                        </w14:solidFill>
                      </w14:textFill>
                    </w:rPr>
                    <w:t>未涉及秸秆综合利用；项目未使用农药及化肥；项目</w:t>
                  </w:r>
                  <w:r>
                    <w:rPr>
                      <w:color w:val="000000" w:themeColor="text1"/>
                      <w:spacing w:val="9"/>
                      <w:sz w:val="21"/>
                      <w:szCs w:val="21"/>
                      <w14:textFill>
                        <w14:solidFill>
                          <w14:schemeClr w14:val="tx1"/>
                        </w14:solidFill>
                      </w14:textFill>
                    </w:rPr>
                    <w:t>用水主要为生</w:t>
                  </w:r>
                  <w:r>
                    <w:rPr>
                      <w:color w:val="000000" w:themeColor="text1"/>
                      <w:spacing w:val="7"/>
                      <w:sz w:val="21"/>
                      <w:szCs w:val="21"/>
                      <w14:textFill>
                        <w14:solidFill>
                          <w14:schemeClr w14:val="tx1"/>
                        </w14:solidFill>
                      </w14:textFill>
                    </w:rPr>
                    <w:t>活</w:t>
                  </w:r>
                  <w:r>
                    <w:rPr>
                      <w:color w:val="000000" w:themeColor="text1"/>
                      <w:spacing w:val="15"/>
                      <w:sz w:val="21"/>
                      <w:szCs w:val="21"/>
                      <w14:textFill>
                        <w14:solidFill>
                          <w14:schemeClr w14:val="tx1"/>
                        </w14:solidFill>
                      </w14:textFill>
                    </w:rPr>
                    <w:t>用</w:t>
                  </w:r>
                  <w:r>
                    <w:rPr>
                      <w:color w:val="000000" w:themeColor="text1"/>
                      <w:spacing w:val="8"/>
                      <w:sz w:val="21"/>
                      <w:szCs w:val="21"/>
                      <w14:textFill>
                        <w14:solidFill>
                          <w14:schemeClr w14:val="tx1"/>
                        </w14:solidFill>
                      </w14:textFill>
                    </w:rPr>
                    <w:t>水，用水量少</w:t>
                  </w:r>
                  <w:r>
                    <w:rPr>
                      <w:color w:val="000000" w:themeColor="text1"/>
                      <w:spacing w:val="5"/>
                      <w:sz w:val="21"/>
                      <w:szCs w:val="21"/>
                      <w14:textFill>
                        <w14:solidFill>
                          <w14:schemeClr w14:val="tx1"/>
                        </w14:solidFill>
                      </w14:textFill>
                    </w:rPr>
                    <w:t>。</w:t>
                  </w:r>
                </w:p>
              </w:tc>
              <w:tc>
                <w:tcPr>
                  <w:tcW w:w="397" w:type="pct"/>
                  <w:tcBorders>
                    <w:tl2br w:val="nil"/>
                    <w:tr2bl w:val="nil"/>
                  </w:tcBorders>
                  <w:vAlign w:val="center"/>
                </w:tcPr>
                <w:p w14:paraId="226A3EE7">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color w:val="000000" w:themeColor="text1"/>
                      <w:spacing w:val="9"/>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bl>
          <w:p w14:paraId="432D6F1D">
            <w:pPr>
              <w:spacing w:line="500" w:lineRule="exact"/>
              <w:ind w:firstLine="480" w:firstLineChars="200"/>
              <w:rPr>
                <w:rFonts w:hint="eastAsia" w:ascii="宋体" w:hAnsi="宋体" w:eastAsia="宋体"/>
                <w:color w:val="000000" w:themeColor="text1"/>
                <w:lang w:eastAsia="zh-CN"/>
                <w14:textFill>
                  <w14:solidFill>
                    <w14:schemeClr w14:val="tx1"/>
                  </w14:solidFill>
                </w14:textFill>
              </w:rPr>
            </w:pPr>
            <w:r>
              <w:rPr>
                <w:rFonts w:hint="eastAsia" w:ascii="宋体" w:hAnsi="宋体"/>
                <w:color w:val="000000" w:themeColor="text1"/>
                <w:lang w:eastAsia="zh-CN"/>
                <w14:textFill>
                  <w14:solidFill>
                    <w14:schemeClr w14:val="tx1"/>
                  </w14:solidFill>
                </w14:textFill>
              </w:rPr>
              <w:t>综上所述，本项目建设符合</w:t>
            </w:r>
            <w:r>
              <w:rPr>
                <w:rFonts w:hint="default" w:ascii="Times New Roman" w:hAnsi="Times New Roman" w:cs="Times New Roman"/>
                <w:color w:val="000000" w:themeColor="text1"/>
                <w14:textFill>
                  <w14:solidFill>
                    <w14:schemeClr w14:val="tx1"/>
                  </w14:solidFill>
                </w14:textFill>
              </w:rPr>
              <w:t>《</w:t>
            </w:r>
            <w:r>
              <w:rPr>
                <w:rFonts w:hint="eastAsia"/>
                <w:b w:val="0"/>
                <w:bCs w:val="0"/>
                <w:color w:val="000000" w:themeColor="text1"/>
                <w14:textFill>
                  <w14:solidFill>
                    <w14:schemeClr w14:val="tx1"/>
                  </w14:solidFill>
                </w14:textFill>
              </w:rPr>
              <w:t>巴音郭楞蒙古自治州“三线一单”生态环境分区管控动态更新成果（2023年）</w:t>
            </w:r>
            <w:r>
              <w:rPr>
                <w:rFonts w:hint="default" w:ascii="Times New Roman" w:hAnsi="Times New Roman" w:cs="Times New Roman"/>
                <w:color w:val="000000" w:themeColor="text1"/>
                <w14:textFill>
                  <w14:solidFill>
                    <w14:schemeClr w14:val="tx1"/>
                  </w14:solidFill>
                </w14:textFill>
              </w:rPr>
              <w:t>》</w:t>
            </w:r>
            <w:r>
              <w:rPr>
                <w:rFonts w:hint="eastAsia" w:cs="Times New Roman"/>
                <w:color w:val="000000" w:themeColor="text1"/>
                <w:lang w:eastAsia="zh-CN"/>
                <w14:textFill>
                  <w14:solidFill>
                    <w14:schemeClr w14:val="tx1"/>
                  </w14:solidFill>
                </w14:textFill>
              </w:rPr>
              <w:t>的相关要求。</w:t>
            </w:r>
          </w:p>
          <w:p w14:paraId="6C1A90D6">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default"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3.与《新疆维吾尔自治区国民经济和社会发展第十五个五年规划纲要》符合性</w:t>
            </w:r>
          </w:p>
          <w:p w14:paraId="66191695">
            <w:pPr>
              <w:keepNext w:val="0"/>
              <w:keepLines w:val="0"/>
              <w:pageBreakBefore w:val="0"/>
              <w:widowControl/>
              <w:kinsoku/>
              <w:wordWrap/>
              <w:overflowPunct w:val="0"/>
              <w:topLinePunct w:val="0"/>
              <w:autoSpaceDE w:val="0"/>
              <w:autoSpaceDN w:val="0"/>
              <w:bidi w:val="0"/>
              <w:adjustRightInd w:val="0"/>
              <w:snapToGrid/>
              <w:spacing w:line="500" w:lineRule="exact"/>
              <w:ind w:left="0" w:leftChars="0" w:firstLine="480" w:firstLineChars="200"/>
              <w:textAlignment w:val="baseline"/>
              <w:rPr>
                <w:rFonts w:hint="default"/>
                <w:color w:val="000000" w:themeColor="text1"/>
                <w:spacing w:val="0"/>
                <w:sz w:val="24"/>
                <w:highlight w:val="none"/>
                <w:lang w:val="en-US" w:eastAsia="zh-CN"/>
                <w14:textFill>
                  <w14:solidFill>
                    <w14:schemeClr w14:val="tx1"/>
                  </w14:solidFill>
                </w14:textFill>
              </w:rPr>
            </w:pPr>
            <w:r>
              <w:rPr>
                <w:rFonts w:hint="eastAsia"/>
                <w:color w:val="000000" w:themeColor="text1"/>
                <w:spacing w:val="0"/>
                <w:sz w:val="24"/>
                <w:highlight w:val="none"/>
                <w:lang w:val="en-US" w:eastAsia="zh-CN"/>
                <w14:textFill>
                  <w14:solidFill>
                    <w14:schemeClr w14:val="tx1"/>
                  </w14:solidFill>
                </w14:textFill>
              </w:rPr>
              <w:t>《纲要》提出：推动新能源成为新增电力供应的主体。坚持全疆统筹、多元利用、市场驱动原则，持续推进新能源高质量发展，不断提高新能源供给比重，稳妥推动新能源有序替代传统化石能源，推进新增用电量需求主要由新能源发电满足。统筹就地消纳和外送，系统谋划北疆大型新能源基地建设，适度扩大风电比例，有序布局建设南疆“沙戈荒”新能源基地。加快建设“疆电外送”通道配套新能源基地，稳步提高外送电量新能源占比。有序推进水电、地热等清洁能源开发利用。推动新能源产业从规模扩张向质效提升转变。</w:t>
            </w:r>
          </w:p>
          <w:p w14:paraId="1EC23002">
            <w:pPr>
              <w:keepNext w:val="0"/>
              <w:keepLines w:val="0"/>
              <w:pageBreakBefore w:val="0"/>
              <w:widowControl/>
              <w:kinsoku/>
              <w:wordWrap/>
              <w:overflowPunct w:val="0"/>
              <w:topLinePunct w:val="0"/>
              <w:autoSpaceDE w:val="0"/>
              <w:autoSpaceDN w:val="0"/>
              <w:bidi w:val="0"/>
              <w:adjustRightInd w:val="0"/>
              <w:snapToGrid/>
              <w:spacing w:line="500" w:lineRule="exact"/>
              <w:ind w:left="0" w:leftChars="0" w:firstLine="480" w:firstLineChars="200"/>
              <w:textAlignment w:val="baseline"/>
              <w:rPr>
                <w:rFonts w:hint="eastAsia"/>
                <w:color w:val="000000" w:themeColor="text1"/>
                <w:spacing w:val="0"/>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本项目</w:t>
            </w:r>
            <w:r>
              <w:rPr>
                <w:rFonts w:hint="eastAsia" w:cs="Times New Roman"/>
                <w:color w:val="000000" w:themeColor="text1"/>
                <w:sz w:val="24"/>
                <w:szCs w:val="24"/>
                <w:u w:val="none"/>
                <w:lang w:val="en-US" w:eastAsia="zh-CN"/>
                <w14:textFill>
                  <w14:solidFill>
                    <w14:schemeClr w14:val="tx1"/>
                  </w14:solidFill>
                </w14:textFill>
              </w:rPr>
              <w:t>建设220千伏升压汇集站</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及</w:t>
            </w:r>
            <w:r>
              <w:rPr>
                <w:rFonts w:hint="eastAsia" w:cs="Times New Roman"/>
                <w:color w:val="000000" w:themeColor="text1"/>
                <w:sz w:val="24"/>
                <w:szCs w:val="24"/>
                <w:u w:val="none"/>
                <w:lang w:val="en-US" w:eastAsia="zh-CN"/>
                <w14:textFill>
                  <w14:solidFill>
                    <w14:schemeClr w14:val="tx1"/>
                  </w14:solidFill>
                </w14:textFill>
              </w:rPr>
              <w:t>外送线路，项目运行方式以平滑且末750千伏变电站出力和调峰为主</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项目的</w:t>
            </w:r>
            <w:r>
              <w:rPr>
                <w:color w:val="000000" w:themeColor="text1"/>
                <w14:textFill>
                  <w14:solidFill>
                    <w14:schemeClr w14:val="tx1"/>
                  </w14:solidFill>
                </w14:textFill>
              </w:rPr>
              <w:t>建设可</w:t>
            </w:r>
            <w:r>
              <w:rPr>
                <w:rFonts w:hint="eastAsia"/>
                <w:color w:val="000000" w:themeColor="text1"/>
                <w:lang w:val="en-US" w:eastAsia="zh-CN"/>
                <w14:textFill>
                  <w14:solidFill>
                    <w14:schemeClr w14:val="tx1"/>
                  </w14:solidFill>
                </w14:textFill>
              </w:rPr>
              <w:t>有效</w:t>
            </w:r>
            <w:r>
              <w:rPr>
                <w:color w:val="000000" w:themeColor="text1"/>
                <w14:textFill>
                  <w14:solidFill>
                    <w14:schemeClr w14:val="tx1"/>
                  </w14:solidFill>
                </w14:textFill>
              </w:rPr>
              <w:t>减少化石能源的消耗，</w:t>
            </w:r>
            <w:r>
              <w:rPr>
                <w:rFonts w:hint="eastAsia"/>
                <w:color w:val="000000" w:themeColor="text1"/>
                <w:spacing w:val="0"/>
                <w:sz w:val="24"/>
                <w:highlight w:val="none"/>
                <w:lang w:val="en-US" w:eastAsia="zh-CN"/>
                <w14:textFill>
                  <w14:solidFill>
                    <w14:schemeClr w14:val="tx1"/>
                  </w14:solidFill>
                </w14:textFill>
              </w:rPr>
              <w:t>稳妥推动新能源有序替代传统化石能源，符合《新疆维吾尔自治区国民经济和社会发展第十五个五年规划纲要》的要求。</w:t>
            </w:r>
          </w:p>
          <w:p w14:paraId="32B64C94">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default" w:cs="Times New Roman"/>
                <w:b/>
                <w:bCs/>
                <w:color w:val="000000" w:themeColor="text1"/>
                <w:sz w:val="24"/>
                <w:szCs w:val="24"/>
                <w:lang w:val="en-US" w:eastAsia="zh-CN"/>
                <w14:textFill>
                  <w14:solidFill>
                    <w14:schemeClr w14:val="tx1"/>
                  </w14:solidFill>
                </w14:textFill>
              </w:rPr>
            </w:pPr>
            <w:r>
              <w:rPr>
                <w:rFonts w:hint="eastAsia" w:cs="Times New Roman" w:eastAsiaTheme="minorEastAsia"/>
                <w:b/>
                <w:bCs/>
                <w:color w:val="000000" w:themeColor="text1"/>
                <w:sz w:val="24"/>
                <w:szCs w:val="24"/>
                <w:lang w:val="en-US" w:eastAsia="zh-CN"/>
                <w14:textFill>
                  <w14:solidFill>
                    <w14:schemeClr w14:val="tx1"/>
                  </w14:solidFill>
                </w14:textFill>
              </w:rPr>
              <w:t>4.与《</w:t>
            </w:r>
            <w:r>
              <w:rPr>
                <w:rFonts w:hint="default" w:ascii="Times New Roman" w:hAnsi="Times New Roman" w:cs="Times New Roman" w:eastAsiaTheme="minorEastAsia"/>
                <w:b/>
                <w:bCs/>
                <w:color w:val="000000" w:themeColor="text1"/>
                <w:sz w:val="24"/>
                <w:szCs w:val="24"/>
                <w:lang w:val="en-US" w:eastAsia="zh-CN"/>
                <w14:textFill>
                  <w14:solidFill>
                    <w14:schemeClr w14:val="tx1"/>
                  </w14:solidFill>
                </w14:textFill>
              </w:rPr>
              <w:t>生态保护“十五五”规划</w:t>
            </w:r>
            <w:r>
              <w:rPr>
                <w:rFonts w:hint="eastAsia" w:cs="Times New Roman" w:eastAsiaTheme="minorEastAsia"/>
                <w:b/>
                <w:bCs/>
                <w:color w:val="000000" w:themeColor="text1"/>
                <w:sz w:val="24"/>
                <w:szCs w:val="24"/>
                <w:lang w:val="en-US" w:eastAsia="zh-CN"/>
                <w14:textFill>
                  <w14:solidFill>
                    <w14:schemeClr w14:val="tx1"/>
                  </w14:solidFill>
                </w14:textFill>
              </w:rPr>
              <w:t>》符合性分析</w:t>
            </w:r>
          </w:p>
          <w:p w14:paraId="150B797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生态保护“十五五”规划》主要目标是：到2030年，生态空间格局持续优化，生态质量稳步改善，生物多样性丧失趋势得到有效缓解，优质生态产品供给更加丰富，生态系统多样性稳定性持续性不断提升，生态保护与修复监管制度进一步完善，国家生态安全得到有效保障。</w:t>
            </w:r>
          </w:p>
          <w:p w14:paraId="72A4D85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cs="Times New Roman"/>
                <w:b/>
                <w:bCs/>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本项目为输变电工程，</w:t>
            </w:r>
            <w:r>
              <w:rPr>
                <w:color w:val="000000" w:themeColor="text1"/>
                <w14:textFill>
                  <w14:solidFill>
                    <w14:schemeClr w14:val="tx1"/>
                  </w14:solidFill>
                </w14:textFill>
              </w:rPr>
              <w:t>项目的建设可减少化石能源的消耗，减少二氧化碳的排</w:t>
            </w:r>
            <w:r>
              <w:rPr>
                <w:rFonts w:hint="eastAsia"/>
                <w:color w:val="000000" w:themeColor="text1"/>
                <w:lang w:val="en-US" w:eastAsia="zh-CN"/>
                <w14:textFill>
                  <w14:solidFill>
                    <w14:schemeClr w14:val="tx1"/>
                  </w14:solidFill>
                </w14:textFill>
              </w:rPr>
              <w:t>放</w:t>
            </w:r>
            <w:r>
              <w:rPr>
                <w:rFonts w:hint="eastAsia" w:cs="Times New Roman"/>
                <w:b w:val="0"/>
                <w:bCs w:val="0"/>
                <w:color w:val="000000" w:themeColor="text1"/>
                <w:sz w:val="24"/>
                <w:szCs w:val="24"/>
                <w:lang w:val="en-US" w:eastAsia="zh-CN"/>
                <w14:textFill>
                  <w14:solidFill>
                    <w14:schemeClr w14:val="tx1"/>
                  </w14:solidFill>
                </w14:textFill>
              </w:rPr>
              <w:t>，促进生态质量稳步改善，项目建设与《生态保护“十五五”规划》主要目标相符。</w:t>
            </w:r>
          </w:p>
          <w:p w14:paraId="01B26D6B">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default"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5.与《美丽中国建设“十五五”规划》符合性分析</w:t>
            </w:r>
          </w:p>
          <w:p w14:paraId="7E542B6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《美丽中国建设“十五五”规划》指出：</w:t>
            </w:r>
            <w:r>
              <w:rPr>
                <w:b w:val="0"/>
                <w:bCs w:val="0"/>
                <w:color w:val="000000" w:themeColor="text1"/>
                <w:sz w:val="24"/>
                <w:szCs w:val="24"/>
                <w14:textFill>
                  <w14:solidFill>
                    <w14:schemeClr w14:val="tx1"/>
                  </w14:solidFill>
                </w14:textFill>
              </w:rPr>
              <w:t>到2030年，生态环境质量全面改善，美丽中国建设取得新的重大进展。绿色生产生活方式基本形成，碳达峰目标如期实现，主要污染物排放总量持续减少，固体废物综合治理能力和水平显著提升，城乡人居环境显著改善，生态系统多样性稳定性持续性不断提升，核与辐射安全水平持续提高，国家生态安全得到有效保障，适应美丽中国建设要求的生态环境治理体系不断健全，建成一批美丽中国建设示范样板，人民群众生态环境获得感、幸福感、安全感不断增强。</w:t>
            </w:r>
          </w:p>
          <w:p w14:paraId="1889CA7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cs="Times New Roman"/>
                <w:b/>
                <w:bCs/>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本项目为输变电工程，</w:t>
            </w:r>
            <w:r>
              <w:rPr>
                <w:b w:val="0"/>
                <w:bCs w:val="0"/>
                <w:color w:val="000000" w:themeColor="text1"/>
                <w14:textFill>
                  <w14:solidFill>
                    <w14:schemeClr w14:val="tx1"/>
                  </w14:solidFill>
                </w14:textFill>
              </w:rPr>
              <w:t>项目的建设可减少化石能源的消耗，减少二氧化碳的排</w:t>
            </w:r>
            <w:r>
              <w:rPr>
                <w:rFonts w:hint="eastAsia"/>
                <w:color w:val="000000" w:themeColor="text1"/>
                <w:lang w:val="en-US" w:eastAsia="zh-CN"/>
                <w14:textFill>
                  <w14:solidFill>
                    <w14:schemeClr w14:val="tx1"/>
                  </w14:solidFill>
                </w14:textFill>
              </w:rPr>
              <w:t>放</w:t>
            </w:r>
            <w:r>
              <w:rPr>
                <w:rFonts w:hint="eastAsia" w:cs="Times New Roman"/>
                <w:b w:val="0"/>
                <w:bCs w:val="0"/>
                <w:color w:val="000000" w:themeColor="text1"/>
                <w:sz w:val="24"/>
                <w:szCs w:val="24"/>
                <w:lang w:val="en-US" w:eastAsia="zh-CN"/>
                <w14:textFill>
                  <w14:solidFill>
                    <w14:schemeClr w14:val="tx1"/>
                  </w14:solidFill>
                </w14:textFill>
              </w:rPr>
              <w:t>，促进</w:t>
            </w:r>
            <w:r>
              <w:rPr>
                <w:b w:val="0"/>
                <w:bCs w:val="0"/>
                <w:color w:val="000000" w:themeColor="text1"/>
                <w:sz w:val="24"/>
                <w:szCs w:val="24"/>
                <w14:textFill>
                  <w14:solidFill>
                    <w14:schemeClr w14:val="tx1"/>
                  </w14:solidFill>
                </w14:textFill>
              </w:rPr>
              <w:t>碳达峰目标如期实现</w:t>
            </w:r>
            <w:r>
              <w:rPr>
                <w:rFonts w:hint="eastAsia" w:cs="Times New Roman"/>
                <w:b w:val="0"/>
                <w:bCs w:val="0"/>
                <w:color w:val="000000" w:themeColor="text1"/>
                <w:sz w:val="24"/>
                <w:szCs w:val="24"/>
                <w:lang w:val="en-US" w:eastAsia="zh-CN"/>
                <w14:textFill>
                  <w14:solidFill>
                    <w14:schemeClr w14:val="tx1"/>
                  </w14:solidFill>
                </w14:textFill>
              </w:rPr>
              <w:t>，项目建设与《美丽中国建设“十五五”规划》主要目标相符。</w:t>
            </w:r>
          </w:p>
          <w:p w14:paraId="5B058642">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default" w:cs="Times New Roman"/>
                <w:b/>
                <w:bCs/>
                <w:color w:val="000000" w:themeColor="text1"/>
                <w:sz w:val="24"/>
                <w:szCs w:val="24"/>
                <w:lang w:val="en-US" w:eastAsia="zh-CN"/>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6.与《新型电力系统建设“十五五”规划》符合性分析</w:t>
            </w:r>
          </w:p>
          <w:p w14:paraId="519C378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《新型电力系统建设“十五五”规划》指出：布局一批可承担顶峰保供作用的电网侧独立新型储能电站。加大构网型等技术应用，充分释放新型储能调峰、调频、调压、事故备用、爬坡、黑启动等多重效能。</w:t>
            </w:r>
          </w:p>
          <w:p w14:paraId="2344D73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cs="Times New Roman"/>
                <w:b w:val="0"/>
                <w:bCs w:val="0"/>
                <w:color w:val="000000" w:themeColor="text1"/>
                <w:sz w:val="24"/>
                <w:szCs w:val="24"/>
                <w:lang w:val="en-US" w:eastAsia="zh-CN"/>
                <w14:textFill>
                  <w14:solidFill>
                    <w14:schemeClr w14:val="tx1"/>
                  </w14:solidFill>
                </w14:textFill>
              </w:rPr>
            </w:pPr>
            <w:r>
              <w:rPr>
                <w:rFonts w:hint="eastAsia" w:cs="Times New Roman"/>
                <w:b w:val="0"/>
                <w:bCs w:val="0"/>
                <w:color w:val="000000" w:themeColor="text1"/>
                <w:sz w:val="24"/>
                <w:szCs w:val="24"/>
                <w:lang w:val="en-US" w:eastAsia="zh-CN"/>
                <w14:textFill>
                  <w14:solidFill>
                    <w14:schemeClr w14:val="tx1"/>
                  </w14:solidFill>
                </w14:textFill>
              </w:rPr>
              <w:t>本项目建设的升压汇集站运行方式以平滑</w:t>
            </w:r>
            <w:r>
              <w:rPr>
                <w:rFonts w:hint="eastAsia" w:cs="Times New Roman"/>
                <w:color w:val="000000" w:themeColor="text1"/>
                <w:kern w:val="0"/>
                <w:highlight w:val="none"/>
                <w:lang w:val="en-US" w:eastAsia="zh-CN"/>
                <w14:textFill>
                  <w14:solidFill>
                    <w14:schemeClr w14:val="tx1"/>
                  </w14:solidFill>
                </w14:textFill>
              </w:rPr>
              <w:t>且末750千伏变电站</w:t>
            </w:r>
            <w:r>
              <w:rPr>
                <w:rFonts w:hint="eastAsia" w:cs="Times New Roman"/>
                <w:b w:val="0"/>
                <w:bCs w:val="0"/>
                <w:color w:val="000000" w:themeColor="text1"/>
                <w:sz w:val="24"/>
                <w:szCs w:val="24"/>
                <w:lang w:val="en-US" w:eastAsia="zh-CN"/>
                <w14:textFill>
                  <w14:solidFill>
                    <w14:schemeClr w14:val="tx1"/>
                  </w14:solidFill>
                </w14:textFill>
              </w:rPr>
              <w:t>出力和调峰为主，兼顾一定的调频调压能力，可充分释放新型储能调峰、调频、调压等多重效能，项目建设符合《新型电力系统建设“十五五”规划》要求。</w:t>
            </w:r>
          </w:p>
          <w:p w14:paraId="41021D8C">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eastAsia" w:cs="Times New Roman"/>
                <w:b/>
                <w:bCs/>
                <w:color w:val="000000" w:themeColor="text1"/>
                <w:sz w:val="24"/>
                <w:szCs w:val="24"/>
                <w:lang w:val="en-US" w:eastAsia="zh-CN"/>
                <w14:textFill>
                  <w14:solidFill>
                    <w14:schemeClr w14:val="tx1"/>
                  </w14:solidFill>
                </w14:textFill>
              </w:rPr>
              <w:t>7</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14:textFill>
                  <w14:solidFill>
                    <w14:schemeClr w14:val="tx1"/>
                  </w14:solidFill>
                </w14:textFill>
              </w:rPr>
              <w:t>与《新疆维吾尔自治区“十四五”电力发展规划》符合性分析</w:t>
            </w:r>
          </w:p>
          <w:p w14:paraId="72D348F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根据《新疆维吾尔自治区</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十四五</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电力发展规划》</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加快推动</w:t>
            </w:r>
            <w:r>
              <w:rPr>
                <w:rFonts w:hint="eastAsia" w:cs="Times New Roman"/>
                <w:color w:val="000000" w:themeColor="text1"/>
                <w:sz w:val="24"/>
                <w:szCs w:val="24"/>
                <w:lang w:eastAsia="zh-CN"/>
                <w14:textFill>
                  <w14:solidFill>
                    <w14:schemeClr w14:val="tx1"/>
                  </w14:solidFill>
                </w14:textFill>
              </w:rPr>
              <w:t>以沙漠</w:t>
            </w:r>
            <w:r>
              <w:rPr>
                <w:rFonts w:hint="default" w:ascii="Times New Roman" w:hAnsi="Times New Roman" w:eastAsia="宋体" w:cs="Times New Roman"/>
                <w:color w:val="000000" w:themeColor="text1"/>
                <w:sz w:val="24"/>
                <w:szCs w:val="24"/>
                <w14:textFill>
                  <w14:solidFill>
                    <w14:schemeClr w14:val="tx1"/>
                  </w14:solidFill>
                </w14:textFill>
              </w:rPr>
              <w:t>、戈壁、荒漠为重点的大型风电光伏基地建设，优化提升新能源发电占比，改革新能源汇集和电力分配方式，打破县市界限，统筹规划新能源建设，支撑新能源规模化、集约化开发。积极推进太阳能开发。光伏发电、光热项目优先布局在资源条件较好的地区，着力提升就地消纳和外送能力。</w:t>
            </w:r>
            <w:r>
              <w:rPr>
                <w:rFonts w:hint="eastAsia" w:ascii="Times New Roman" w:hAnsi="Times New Roman" w:eastAsia="宋体" w:cs="Times New Roman"/>
                <w:color w:val="000000" w:themeColor="text1"/>
                <w:sz w:val="24"/>
                <w:szCs w:val="24"/>
                <w:lang w:eastAsia="zh-CN"/>
                <w14:textFill>
                  <w14:solidFill>
                    <w14:schemeClr w14:val="tx1"/>
                  </w14:solidFill>
                </w14:textFill>
              </w:rPr>
              <w:t>”</w:t>
            </w:r>
          </w:p>
          <w:p w14:paraId="6CECF42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本项目为</w:t>
            </w:r>
            <w:r>
              <w:rPr>
                <w:rFonts w:hint="eastAsia" w:cs="Times New Roman"/>
                <w:color w:val="000000" w:themeColor="text1"/>
                <w:sz w:val="24"/>
                <w:szCs w:val="24"/>
                <w:u w:val="none"/>
                <w:lang w:val="en-US" w:eastAsia="zh-CN"/>
                <w14:textFill>
                  <w14:solidFill>
                    <w14:schemeClr w14:val="tx1"/>
                  </w14:solidFill>
                </w14:textFill>
              </w:rPr>
              <w:t>升压汇集站</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及</w:t>
            </w:r>
            <w:r>
              <w:rPr>
                <w:rFonts w:hint="eastAsia" w:cs="Times New Roman"/>
                <w:color w:val="000000" w:themeColor="text1"/>
                <w:sz w:val="24"/>
                <w:szCs w:val="24"/>
                <w:u w:val="none"/>
                <w:lang w:val="en-US" w:eastAsia="zh-CN"/>
                <w14:textFill>
                  <w14:solidFill>
                    <w14:schemeClr w14:val="tx1"/>
                  </w14:solidFill>
                </w14:textFill>
              </w:rPr>
              <w:t>外送线路</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工程</w:t>
            </w:r>
            <w:r>
              <w:rPr>
                <w:rFonts w:hint="eastAsia"/>
                <w:color w:val="000000" w:themeColor="text1"/>
                <w:spacing w:val="0"/>
                <w:sz w:val="24"/>
                <w:highlight w:val="none"/>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位于</w:t>
            </w:r>
            <w:r>
              <w:rPr>
                <w:rFonts w:hint="eastAsia" w:ascii="Times New Roman" w:hAnsi="Times New Roman" w:eastAsia="宋体" w:cs="Times New Roman"/>
                <w:color w:val="000000" w:themeColor="text1"/>
                <w14:textFill>
                  <w14:solidFill>
                    <w14:schemeClr w14:val="tx1"/>
                  </w14:solidFill>
                </w14:textFill>
              </w:rPr>
              <w:t>巴音郭楞</w:t>
            </w:r>
            <w:r>
              <w:rPr>
                <w:rFonts w:hint="eastAsia"/>
                <w:color w:val="000000" w:themeColor="text1"/>
                <w14:textFill>
                  <w14:solidFill>
                    <w14:schemeClr w14:val="tx1"/>
                  </w14:solidFill>
                </w14:textFill>
              </w:rPr>
              <w:t>蒙古自治州且末县</w:t>
            </w:r>
            <w:r>
              <w:rPr>
                <w:rFonts w:hint="eastAsia"/>
                <w:color w:val="000000" w:themeColor="text1"/>
                <w:lang w:val="en-US" w:eastAsia="zh-CN"/>
                <w14:textFill>
                  <w14:solidFill>
                    <w14:schemeClr w14:val="tx1"/>
                  </w14:solidFill>
                </w14:textFill>
              </w:rPr>
              <w:t>西</w:t>
            </w:r>
            <w:r>
              <w:rPr>
                <w:rFonts w:hint="default" w:ascii="Times New Roman" w:hAnsi="Times New Roman" w:eastAsia="宋体" w:cs="Times New Roman"/>
                <w:color w:val="000000" w:themeColor="text1"/>
                <w:sz w:val="24"/>
                <w:szCs w:val="24"/>
                <w14:textFill>
                  <w14:solidFill>
                    <w14:schemeClr w14:val="tx1"/>
                  </w14:solidFill>
                </w14:textFill>
              </w:rPr>
              <w:t>北约24km，</w:t>
            </w:r>
            <w:r>
              <w:rPr>
                <w:rFonts w:hint="eastAsia" w:cs="Times New Roman"/>
                <w:color w:val="000000" w:themeColor="text1"/>
                <w:sz w:val="24"/>
                <w:szCs w:val="24"/>
                <w:lang w:val="en-US" w:eastAsia="zh-CN"/>
                <w14:textFill>
                  <w14:solidFill>
                    <w14:schemeClr w14:val="tx1"/>
                  </w14:solidFill>
                </w14:textFill>
              </w:rPr>
              <w:t>本项目</w:t>
            </w:r>
            <w:r>
              <w:rPr>
                <w:rFonts w:hint="eastAsia" w:cs="Times New Roman"/>
                <w:b w:val="0"/>
                <w:bCs w:val="0"/>
                <w:color w:val="000000" w:themeColor="text1"/>
                <w:sz w:val="24"/>
                <w:szCs w:val="24"/>
                <w:lang w:val="en-US" w:eastAsia="zh-CN"/>
                <w14:textFill>
                  <w14:solidFill>
                    <w14:schemeClr w14:val="tx1"/>
                  </w14:solidFill>
                </w14:textFill>
              </w:rPr>
              <w:t>运行方式以平滑</w:t>
            </w:r>
            <w:r>
              <w:rPr>
                <w:rFonts w:hint="eastAsia" w:cs="Times New Roman"/>
                <w:color w:val="000000" w:themeColor="text1"/>
                <w:kern w:val="0"/>
                <w:highlight w:val="none"/>
                <w:lang w:val="en-US" w:eastAsia="zh-CN"/>
                <w14:textFill>
                  <w14:solidFill>
                    <w14:schemeClr w14:val="tx1"/>
                  </w14:solidFill>
                </w14:textFill>
              </w:rPr>
              <w:t>且末750千伏变电站</w:t>
            </w:r>
            <w:r>
              <w:rPr>
                <w:rFonts w:hint="eastAsia" w:cs="Times New Roman"/>
                <w:b w:val="0"/>
                <w:bCs w:val="0"/>
                <w:color w:val="000000" w:themeColor="text1"/>
                <w:sz w:val="24"/>
                <w:szCs w:val="24"/>
                <w:lang w:val="en-US" w:eastAsia="zh-CN"/>
                <w14:textFill>
                  <w14:solidFill>
                    <w14:schemeClr w14:val="tx1"/>
                  </w14:solidFill>
                </w14:textFill>
              </w:rPr>
              <w:t>出力和调峰为主，兼顾一定的调频调压能力，项目建设</w:t>
            </w:r>
            <w:r>
              <w:rPr>
                <w:rFonts w:hint="default" w:ascii="Times New Roman" w:hAnsi="Times New Roman" w:eastAsia="宋体" w:cs="Times New Roman"/>
                <w:color w:val="000000" w:themeColor="text1"/>
                <w:sz w:val="24"/>
                <w:szCs w:val="24"/>
                <w14:textFill>
                  <w14:solidFill>
                    <w14:schemeClr w14:val="tx1"/>
                  </w14:solidFill>
                </w14:textFill>
              </w:rPr>
              <w:t>符合《新疆维吾尔自治区“十四五”电力发展规划》的要求。</w:t>
            </w:r>
          </w:p>
          <w:p w14:paraId="69A356A2">
            <w:pPr>
              <w:snapToGri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8</w:t>
            </w:r>
            <w:r>
              <w:rPr>
                <w:b/>
                <w:bCs/>
                <w:color w:val="000000" w:themeColor="text1"/>
                <w14:textFill>
                  <w14:solidFill>
                    <w14:schemeClr w14:val="tx1"/>
                  </w14:solidFill>
                </w14:textFill>
              </w:rPr>
              <w:t>.与《新疆生态环境保护</w:t>
            </w:r>
            <w:r>
              <w:rPr>
                <w:rFonts w:hint="eastAsia"/>
                <w:b/>
                <w:bCs/>
                <w:color w:val="000000" w:themeColor="text1"/>
                <w:lang w:eastAsia="zh-CN"/>
                <w14:textFill>
                  <w14:solidFill>
                    <w14:schemeClr w14:val="tx1"/>
                  </w14:solidFill>
                </w14:textFill>
              </w:rPr>
              <w:t>“</w:t>
            </w:r>
            <w:r>
              <w:rPr>
                <w:b/>
                <w:bCs/>
                <w:color w:val="000000" w:themeColor="text1"/>
                <w14:textFill>
                  <w14:solidFill>
                    <w14:schemeClr w14:val="tx1"/>
                  </w14:solidFill>
                </w14:textFill>
              </w:rPr>
              <w:t>十四五</w:t>
            </w:r>
            <w:r>
              <w:rPr>
                <w:rFonts w:hint="eastAsia"/>
                <w:b/>
                <w:bCs/>
                <w:color w:val="000000" w:themeColor="text1"/>
                <w:lang w:eastAsia="zh-CN"/>
                <w14:textFill>
                  <w14:solidFill>
                    <w14:schemeClr w14:val="tx1"/>
                  </w14:solidFill>
                </w14:textFill>
              </w:rPr>
              <w:t>”</w:t>
            </w:r>
            <w:r>
              <w:rPr>
                <w:b/>
                <w:bCs/>
                <w:color w:val="000000" w:themeColor="text1"/>
                <w14:textFill>
                  <w14:solidFill>
                    <w14:schemeClr w14:val="tx1"/>
                  </w14:solidFill>
                </w14:textFill>
              </w:rPr>
              <w:t>规划》的符合性</w:t>
            </w:r>
          </w:p>
          <w:p w14:paraId="208A8B9B">
            <w:pPr>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《新疆生态环境保护</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十四五</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规划》提出：大力发展清洁能源。进一步壮大清洁能源产业，着力转变能源生产和消费模式，推动化石能源转型升级。加快非化石能源发展，推进风电和太阳能发电基地建设，积极开发分布式太阳能发电和分散式风电，支持可再生能源与工业、建筑、交通、农业、生态等产业和设施协同发展，配套发展储能产业，推进抽水蓄能电站建设，加快新型储能示范推广应用。积极发展可再生能源微电网、局域网，提高可再生能源的推广和消纳能力。</w:t>
            </w:r>
          </w:p>
          <w:p w14:paraId="3FF88908">
            <w:pPr>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本项</w:t>
            </w:r>
            <w:r>
              <w:rPr>
                <w:rFonts w:ascii="Times New Roman" w:hAnsi="Times New Roman" w:eastAsia="宋体" w:cs="Times New Roman"/>
                <w:color w:val="000000" w:themeColor="text1"/>
                <w14:textFill>
                  <w14:solidFill>
                    <w14:schemeClr w14:val="tx1"/>
                  </w14:solidFill>
                </w14:textFill>
              </w:rPr>
              <w:t>目位于</w:t>
            </w:r>
            <w:r>
              <w:rPr>
                <w:rFonts w:hint="eastAsia" w:ascii="Times New Roman" w:hAnsi="Times New Roman" w:eastAsia="宋体" w:cs="Times New Roman"/>
                <w:color w:val="000000" w:themeColor="text1"/>
                <w14:textFill>
                  <w14:solidFill>
                    <w14:schemeClr w14:val="tx1"/>
                  </w14:solidFill>
                </w14:textFill>
              </w:rPr>
              <w:t>新疆</w:t>
            </w:r>
            <w:r>
              <w:rPr>
                <w:rFonts w:hint="eastAsia" w:ascii="Times New Roman" w:hAnsi="Times New Roman" w:eastAsia="宋体" w:cs="Times New Roman"/>
                <w:color w:val="000000" w:themeColor="text1"/>
                <w:lang w:eastAsia="zh-CN"/>
                <w14:textFill>
                  <w14:solidFill>
                    <w14:schemeClr w14:val="tx1"/>
                  </w14:solidFill>
                </w14:textFill>
              </w:rPr>
              <w:t>维吾尔自治区</w:t>
            </w:r>
            <w:r>
              <w:rPr>
                <w:rFonts w:hint="eastAsia" w:ascii="Times New Roman" w:hAnsi="Times New Roman" w:eastAsia="宋体" w:cs="Times New Roman"/>
                <w:color w:val="000000" w:themeColor="text1"/>
                <w14:textFill>
                  <w14:solidFill>
                    <w14:schemeClr w14:val="tx1"/>
                  </w14:solidFill>
                </w14:textFill>
              </w:rPr>
              <w:t>巴音郭楞</w:t>
            </w:r>
            <w:r>
              <w:rPr>
                <w:rFonts w:hint="eastAsia"/>
                <w:color w:val="000000" w:themeColor="text1"/>
                <w14:textFill>
                  <w14:solidFill>
                    <w14:schemeClr w14:val="tx1"/>
                  </w14:solidFill>
                </w14:textFill>
              </w:rPr>
              <w:t>蒙古自治州且末县境内</w:t>
            </w:r>
            <w:r>
              <w:rPr>
                <w:color w:val="000000" w:themeColor="text1"/>
                <w14:textFill>
                  <w14:solidFill>
                    <w14:schemeClr w14:val="tx1"/>
                  </w14:solidFill>
                </w14:textFill>
              </w:rPr>
              <w:t>，本项目的建设可减少化石能源的消耗，减少二氧化碳的排放，因此，符合《新疆生态环境保护</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十四五</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规划》的相关要求。</w:t>
            </w:r>
          </w:p>
          <w:p w14:paraId="2C7F68D7">
            <w:pPr>
              <w:snapToGri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9</w:t>
            </w:r>
            <w:r>
              <w:rPr>
                <w:b/>
                <w:bCs/>
                <w:color w:val="000000" w:themeColor="text1"/>
                <w14:textFill>
                  <w14:solidFill>
                    <w14:schemeClr w14:val="tx1"/>
                  </w14:solidFill>
                </w14:textFill>
              </w:rPr>
              <w:t>.与《输变电建设项目环境保护技术要求》</w:t>
            </w:r>
            <w:r>
              <w:rPr>
                <w:rFonts w:hint="eastAsia"/>
                <w:b/>
                <w:bCs/>
                <w:color w:val="000000" w:themeColor="text1"/>
                <w:lang w:eastAsia="zh-CN"/>
                <w14:textFill>
                  <w14:solidFill>
                    <w14:schemeClr w14:val="tx1"/>
                  </w14:solidFill>
                </w14:textFill>
              </w:rPr>
              <w:t>（</w:t>
            </w:r>
            <w:r>
              <w:rPr>
                <w:b/>
                <w:bCs/>
                <w:color w:val="000000" w:themeColor="text1"/>
                <w14:textFill>
                  <w14:solidFill>
                    <w14:schemeClr w14:val="tx1"/>
                  </w14:solidFill>
                </w14:textFill>
              </w:rPr>
              <w:t>HJ1113-2020</w:t>
            </w:r>
            <w:r>
              <w:rPr>
                <w:rFonts w:hint="eastAsia"/>
                <w:b/>
                <w:bCs/>
                <w:color w:val="000000" w:themeColor="text1"/>
                <w:lang w:eastAsia="zh-CN"/>
                <w14:textFill>
                  <w14:solidFill>
                    <w14:schemeClr w14:val="tx1"/>
                  </w14:solidFill>
                </w14:textFill>
              </w:rPr>
              <w:t>）的</w:t>
            </w:r>
            <w:r>
              <w:rPr>
                <w:b/>
                <w:bCs/>
                <w:color w:val="000000" w:themeColor="text1"/>
                <w14:textFill>
                  <w14:solidFill>
                    <w14:schemeClr w14:val="tx1"/>
                  </w14:solidFill>
                </w14:textFill>
              </w:rPr>
              <w:t>符合性</w:t>
            </w:r>
          </w:p>
          <w:p w14:paraId="160162B1">
            <w:pPr>
              <w:autoSpaceDE w:val="0"/>
              <w:autoSpaceDN w:val="0"/>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根据《输变电建设项目环境保护技术要求》（HJ1113-2020）中工程设计等相关技术要求，对比相关符合性分析</w:t>
            </w:r>
            <w:r>
              <w:rPr>
                <w:rFonts w:hint="eastAsia"/>
                <w:color w:val="000000" w:themeColor="text1"/>
                <w:lang w:eastAsia="zh-CN"/>
                <w14:textFill>
                  <w14:solidFill>
                    <w14:schemeClr w14:val="tx1"/>
                  </w14:solidFill>
                </w14:textFill>
              </w:rPr>
              <w:t>见</w:t>
            </w:r>
            <w:r>
              <w:rPr>
                <w:color w:val="000000" w:themeColor="text1"/>
                <w14:textFill>
                  <w14:solidFill>
                    <w14:schemeClr w14:val="tx1"/>
                  </w14:solidFill>
                </w14:textFill>
              </w:rPr>
              <w:t>表</w:t>
            </w:r>
            <w:r>
              <w:rPr>
                <w:rFonts w:hint="eastAsia"/>
                <w:color w:val="000000" w:themeColor="text1"/>
                <w:lang w:val="en-US" w:eastAsia="zh-CN"/>
                <w14:textFill>
                  <w14:solidFill>
                    <w14:schemeClr w14:val="tx1"/>
                  </w14:solidFill>
                </w14:textFill>
              </w:rPr>
              <w:t>1-2</w:t>
            </w:r>
            <w:r>
              <w:rPr>
                <w:color w:val="000000" w:themeColor="text1"/>
                <w14:textFill>
                  <w14:solidFill>
                    <w14:schemeClr w14:val="tx1"/>
                  </w14:solidFill>
                </w14:textFill>
              </w:rPr>
              <w:t>。</w:t>
            </w:r>
          </w:p>
          <w:p w14:paraId="0D3B14A1">
            <w:pPr>
              <w:tabs>
                <w:tab w:val="left" w:pos="4586"/>
                <w:tab w:val="left" w:pos="5786"/>
              </w:tabs>
              <w:autoSpaceDE w:val="0"/>
              <w:autoSpaceDN w:val="0"/>
              <w:adjustRightInd w:val="0"/>
              <w:snapToGrid w:val="0"/>
              <w:jc w:val="center"/>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表1-</w:t>
            </w:r>
            <w:r>
              <w:rPr>
                <w:rFonts w:hint="eastAsia" w:ascii="黑体" w:hAnsi="黑体" w:eastAsia="黑体" w:cs="黑体"/>
                <w:color w:val="000000" w:themeColor="text1"/>
                <w:sz w:val="21"/>
                <w:szCs w:val="21"/>
                <w:lang w:val="en-US" w:eastAsia="zh-CN"/>
                <w14:textFill>
                  <w14:solidFill>
                    <w14:schemeClr w14:val="tx1"/>
                  </w14:solidFill>
                </w14:textFill>
              </w:rPr>
              <w:t>2</w:t>
            </w:r>
            <w:r>
              <w:rPr>
                <w:rFonts w:hint="eastAsia" w:ascii="黑体" w:hAnsi="黑体" w:eastAsia="黑体" w:cs="黑体"/>
                <w:color w:val="000000" w:themeColor="text1"/>
                <w:sz w:val="21"/>
                <w:szCs w:val="21"/>
                <w14:textFill>
                  <w14:solidFill>
                    <w14:schemeClr w14:val="tx1"/>
                  </w14:solidFill>
                </w14:textFill>
              </w:rPr>
              <w:t xml:space="preserve">   输变电建设项目环境保护技术要求符合性分析</w:t>
            </w:r>
          </w:p>
          <w:tbl>
            <w:tblPr>
              <w:tblStyle w:val="27"/>
              <w:tblW w:w="493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28"/>
              <w:gridCol w:w="3912"/>
              <w:gridCol w:w="2370"/>
              <w:gridCol w:w="711"/>
            </w:tblGrid>
            <w:tr w14:paraId="4FB546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109" w:type="pct"/>
                  <w:gridSpan w:val="3"/>
                  <w:tcBorders>
                    <w:tl2br w:val="nil"/>
                    <w:tr2bl w:val="nil"/>
                  </w:tcBorders>
                  <w:vAlign w:val="center"/>
                </w:tcPr>
                <w:p w14:paraId="5482F07B">
                  <w:pPr>
                    <w:wordWrap w:val="0"/>
                    <w:autoSpaceDE w:val="0"/>
                    <w:autoSpaceDN w:val="0"/>
                    <w:adjustRightInd w:val="0"/>
                    <w:snapToGrid w:val="0"/>
                    <w:spacing w:line="260" w:lineRule="exac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技术要求</w:t>
                  </w:r>
                </w:p>
              </w:tc>
              <w:tc>
                <w:tcPr>
                  <w:tcW w:w="1454" w:type="pct"/>
                  <w:tcBorders>
                    <w:tl2br w:val="nil"/>
                    <w:tr2bl w:val="nil"/>
                  </w:tcBorders>
                  <w:vAlign w:val="center"/>
                </w:tcPr>
                <w:p w14:paraId="2AECE75A">
                  <w:pPr>
                    <w:wordWrap w:val="0"/>
                    <w:autoSpaceDE w:val="0"/>
                    <w:autoSpaceDN w:val="0"/>
                    <w:adjustRightInd w:val="0"/>
                    <w:snapToGrid w:val="0"/>
                    <w:spacing w:line="260" w:lineRule="exac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项目实际情况</w:t>
                  </w:r>
                </w:p>
              </w:tc>
              <w:tc>
                <w:tcPr>
                  <w:tcW w:w="436" w:type="pct"/>
                  <w:tcBorders>
                    <w:tl2br w:val="nil"/>
                    <w:tr2bl w:val="nil"/>
                  </w:tcBorders>
                  <w:vAlign w:val="center"/>
                </w:tcPr>
                <w:p w14:paraId="19D76E50">
                  <w:pPr>
                    <w:wordWrap w:val="0"/>
                    <w:autoSpaceDE w:val="0"/>
                    <w:autoSpaceDN w:val="0"/>
                    <w:adjustRightInd w:val="0"/>
                    <w:snapToGrid w:val="0"/>
                    <w:spacing w:line="260" w:lineRule="exact"/>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符合性</w:t>
                  </w:r>
                </w:p>
              </w:tc>
            </w:tr>
            <w:tr w14:paraId="619A94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restart"/>
                  <w:tcBorders>
                    <w:tl2br w:val="nil"/>
                    <w:tr2bl w:val="nil"/>
                  </w:tcBorders>
                  <w:vAlign w:val="center"/>
                </w:tcPr>
                <w:p w14:paraId="5FB8D55F">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选址</w:t>
                  </w:r>
                </w:p>
              </w:tc>
              <w:tc>
                <w:tcPr>
                  <w:tcW w:w="2848" w:type="pct"/>
                  <w:gridSpan w:val="2"/>
                  <w:tcBorders>
                    <w:tl2br w:val="nil"/>
                    <w:tr2bl w:val="nil"/>
                  </w:tcBorders>
                  <w:vAlign w:val="center"/>
                </w:tcPr>
                <w:p w14:paraId="728EBC6B">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输变电建设项目选址选线应符合生态保护红线管控要求，避让自然保护区、饮用水水源保护区等环境敏感区。</w:t>
                  </w:r>
                </w:p>
              </w:tc>
              <w:tc>
                <w:tcPr>
                  <w:tcW w:w="1454" w:type="pct"/>
                  <w:tcBorders>
                    <w:tl2br w:val="nil"/>
                    <w:tr2bl w:val="nil"/>
                  </w:tcBorders>
                  <w:vAlign w:val="center"/>
                </w:tcPr>
                <w:p w14:paraId="0C2C3221">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本项目不涉及自然保护区、饮用水水源保护区等环境敏感区。</w:t>
                  </w:r>
                </w:p>
              </w:tc>
              <w:tc>
                <w:tcPr>
                  <w:tcW w:w="436" w:type="pct"/>
                  <w:tcBorders>
                    <w:tl2br w:val="nil"/>
                    <w:tr2bl w:val="nil"/>
                  </w:tcBorders>
                  <w:vAlign w:val="center"/>
                </w:tcPr>
                <w:p w14:paraId="0A46768E">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463ADD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7674E3DA">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2848" w:type="pct"/>
                  <w:gridSpan w:val="2"/>
                  <w:tcBorders>
                    <w:tl2br w:val="nil"/>
                    <w:tr2bl w:val="nil"/>
                  </w:tcBorders>
                  <w:vAlign w:val="center"/>
                </w:tcPr>
                <w:p w14:paraId="6F8D5BA7">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变电工程在选址时应按终期规模综合考虑进出线走廊规划，避免进出线进入自然保护区、饮用水水源保护区等环境敏感区。</w:t>
                  </w:r>
                </w:p>
              </w:tc>
              <w:tc>
                <w:tcPr>
                  <w:tcW w:w="1454" w:type="pct"/>
                  <w:tcBorders>
                    <w:tl2br w:val="nil"/>
                    <w:tr2bl w:val="nil"/>
                  </w:tcBorders>
                  <w:vAlign w:val="center"/>
                </w:tcPr>
                <w:p w14:paraId="0735864D">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本项目</w:t>
                  </w:r>
                  <w:r>
                    <w:rPr>
                      <w:rFonts w:hint="eastAsia"/>
                      <w:color w:val="000000" w:themeColor="text1"/>
                      <w:kern w:val="21"/>
                      <w:sz w:val="21"/>
                      <w:szCs w:val="21"/>
                      <w:lang w:val="en-US" w:eastAsia="zh-CN"/>
                      <w14:textFill>
                        <w14:solidFill>
                          <w14:schemeClr w14:val="tx1"/>
                        </w14:solidFill>
                      </w14:textFill>
                    </w:rPr>
                    <w:t>外送线路</w:t>
                  </w:r>
                  <w:r>
                    <w:rPr>
                      <w:color w:val="000000" w:themeColor="text1"/>
                      <w:kern w:val="21"/>
                      <w:sz w:val="21"/>
                      <w:szCs w:val="21"/>
                      <w14:textFill>
                        <w14:solidFill>
                          <w14:schemeClr w14:val="tx1"/>
                        </w14:solidFill>
                      </w14:textFill>
                    </w:rPr>
                    <w:t>评价范围内不涉及自然保护区、饮用水水源保护区等环境敏感区。</w:t>
                  </w:r>
                </w:p>
              </w:tc>
              <w:tc>
                <w:tcPr>
                  <w:tcW w:w="436" w:type="pct"/>
                  <w:tcBorders>
                    <w:tl2br w:val="nil"/>
                    <w:tr2bl w:val="nil"/>
                  </w:tcBorders>
                  <w:vAlign w:val="center"/>
                </w:tcPr>
                <w:p w14:paraId="044E47CE">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1BCFC0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2F762441">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2848" w:type="pct"/>
                  <w:gridSpan w:val="2"/>
                  <w:tcBorders>
                    <w:tl2br w:val="nil"/>
                    <w:tr2bl w:val="nil"/>
                  </w:tcBorders>
                  <w:vAlign w:val="center"/>
                </w:tcPr>
                <w:p w14:paraId="5793BA0B">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户外变电工程及规划架空进出线选址选线时，应关注以居住、医疗卫生、文化教育、科研、行政办公等为主要功能的区域，采取综合措施，减少电磁和声环境影响。</w:t>
                  </w:r>
                </w:p>
              </w:tc>
              <w:tc>
                <w:tcPr>
                  <w:tcW w:w="1454" w:type="pct"/>
                  <w:tcBorders>
                    <w:tl2br w:val="nil"/>
                    <w:tr2bl w:val="nil"/>
                  </w:tcBorders>
                  <w:vAlign w:val="center"/>
                </w:tcPr>
                <w:p w14:paraId="5E102456">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项目周围无以居住、医疗卫生、文化教育、科研、行政办公等为主要功能的区域。升压</w:t>
                  </w:r>
                  <w:r>
                    <w:rPr>
                      <w:rFonts w:hint="eastAsia"/>
                      <w:color w:val="000000" w:themeColor="text1"/>
                      <w:kern w:val="21"/>
                      <w:sz w:val="21"/>
                      <w:szCs w:val="21"/>
                      <w:lang w:val="en-US" w:eastAsia="zh-CN"/>
                      <w14:textFill>
                        <w14:solidFill>
                          <w14:schemeClr w14:val="tx1"/>
                        </w14:solidFill>
                      </w14:textFill>
                    </w:rPr>
                    <w:t>汇集</w:t>
                  </w:r>
                  <w:r>
                    <w:rPr>
                      <w:color w:val="000000" w:themeColor="text1"/>
                      <w:kern w:val="21"/>
                      <w:sz w:val="21"/>
                      <w:szCs w:val="21"/>
                      <w14:textFill>
                        <w14:solidFill>
                          <w14:schemeClr w14:val="tx1"/>
                        </w14:solidFill>
                      </w14:textFill>
                    </w:rPr>
                    <w:t>站周围无电磁、声环境敏感目标。</w:t>
                  </w:r>
                </w:p>
              </w:tc>
              <w:tc>
                <w:tcPr>
                  <w:tcW w:w="436" w:type="pct"/>
                  <w:tcBorders>
                    <w:tl2br w:val="nil"/>
                    <w:tr2bl w:val="nil"/>
                  </w:tcBorders>
                  <w:vAlign w:val="center"/>
                </w:tcPr>
                <w:p w14:paraId="16EB2CC6">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3EDC48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41C65171">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2848" w:type="pct"/>
                  <w:gridSpan w:val="2"/>
                  <w:tcBorders>
                    <w:tl2br w:val="nil"/>
                    <w:tr2bl w:val="nil"/>
                  </w:tcBorders>
                  <w:vAlign w:val="center"/>
                </w:tcPr>
                <w:p w14:paraId="08351AED">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原则上避免在0类声环境功能区建设变电工程。</w:t>
                  </w:r>
                </w:p>
              </w:tc>
              <w:tc>
                <w:tcPr>
                  <w:tcW w:w="1454" w:type="pct"/>
                  <w:tcBorders>
                    <w:tl2br w:val="nil"/>
                    <w:tr2bl w:val="nil"/>
                  </w:tcBorders>
                  <w:vAlign w:val="center"/>
                </w:tcPr>
                <w:p w14:paraId="6906B7F6">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本项目不涉及0类声环境</w:t>
                  </w:r>
                  <w:r>
                    <w:rPr>
                      <w:rFonts w:hint="eastAsia"/>
                      <w:color w:val="000000" w:themeColor="text1"/>
                      <w:kern w:val="21"/>
                      <w:sz w:val="21"/>
                      <w:szCs w:val="21"/>
                      <w:lang w:eastAsia="zh-CN"/>
                      <w14:textFill>
                        <w14:solidFill>
                          <w14:schemeClr w14:val="tx1"/>
                        </w14:solidFill>
                      </w14:textFill>
                    </w:rPr>
                    <w:t>功能区。</w:t>
                  </w:r>
                </w:p>
              </w:tc>
              <w:tc>
                <w:tcPr>
                  <w:tcW w:w="436" w:type="pct"/>
                  <w:tcBorders>
                    <w:tl2br w:val="nil"/>
                    <w:tr2bl w:val="nil"/>
                  </w:tcBorders>
                  <w:vAlign w:val="center"/>
                </w:tcPr>
                <w:p w14:paraId="7F7B625E">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36F489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1C3D3DF9">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2848" w:type="pct"/>
                  <w:gridSpan w:val="2"/>
                  <w:tcBorders>
                    <w:tl2br w:val="nil"/>
                    <w:tr2bl w:val="nil"/>
                  </w:tcBorders>
                  <w:vAlign w:val="center"/>
                </w:tcPr>
                <w:p w14:paraId="5BDD2C82">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变电工程选址时，应综合考虑减少土地占用、植被砍伐和弃土弃渣等，以减少对生态环境的不利影响。</w:t>
                  </w:r>
                </w:p>
              </w:tc>
              <w:tc>
                <w:tcPr>
                  <w:tcW w:w="1454" w:type="pct"/>
                  <w:tcBorders>
                    <w:tl2br w:val="nil"/>
                    <w:tr2bl w:val="nil"/>
                  </w:tcBorders>
                  <w:vAlign w:val="center"/>
                </w:tcPr>
                <w:p w14:paraId="42DA6DB6">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本项目占地为</w:t>
                  </w:r>
                  <w:r>
                    <w:rPr>
                      <w:rFonts w:hint="eastAsia"/>
                      <w:color w:val="000000" w:themeColor="text1"/>
                      <w:kern w:val="21"/>
                      <w:sz w:val="21"/>
                      <w:szCs w:val="21"/>
                      <w:lang w:eastAsia="zh-CN"/>
                      <w14:textFill>
                        <w14:solidFill>
                          <w14:schemeClr w14:val="tx1"/>
                        </w14:solidFill>
                      </w14:textFill>
                    </w:rPr>
                    <w:t>沙地</w:t>
                  </w:r>
                  <w:r>
                    <w:rPr>
                      <w:rFonts w:hint="eastAsia"/>
                      <w:color w:val="000000" w:themeColor="text1"/>
                      <w:kern w:val="21"/>
                      <w:sz w:val="21"/>
                      <w:szCs w:val="21"/>
                      <w:lang w:val="en-US" w:eastAsia="zh-CN"/>
                      <w14:textFill>
                        <w14:solidFill>
                          <w14:schemeClr w14:val="tx1"/>
                        </w14:solidFill>
                      </w14:textFill>
                    </w:rPr>
                    <w:t>及后备耕地（其他草地）</w:t>
                  </w:r>
                  <w:r>
                    <w:rPr>
                      <w:color w:val="000000" w:themeColor="text1"/>
                      <w:kern w:val="21"/>
                      <w:sz w:val="21"/>
                      <w:szCs w:val="21"/>
                      <w14:textFill>
                        <w14:solidFill>
                          <w14:schemeClr w14:val="tx1"/>
                        </w14:solidFill>
                      </w14:textFill>
                    </w:rPr>
                    <w:t>，厂址土方基本自平衡，减少了土地占用、植被砍伐等对环境的不利影响。</w:t>
                  </w:r>
                </w:p>
              </w:tc>
              <w:tc>
                <w:tcPr>
                  <w:tcW w:w="436" w:type="pct"/>
                  <w:tcBorders>
                    <w:tl2br w:val="nil"/>
                    <w:tr2bl w:val="nil"/>
                  </w:tcBorders>
                  <w:vAlign w:val="center"/>
                </w:tcPr>
                <w:p w14:paraId="18EBA19E">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116F5C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3202AE8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restart"/>
                  <w:tcBorders>
                    <w:tl2br w:val="nil"/>
                    <w:tr2bl w:val="nil"/>
                  </w:tcBorders>
                  <w:vAlign w:val="center"/>
                </w:tcPr>
                <w:p w14:paraId="794EBEF4">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总体要求</w:t>
                  </w:r>
                </w:p>
              </w:tc>
              <w:tc>
                <w:tcPr>
                  <w:tcW w:w="2400" w:type="pct"/>
                  <w:tcBorders>
                    <w:tl2br w:val="nil"/>
                    <w:tr2bl w:val="nil"/>
                  </w:tcBorders>
                  <w:vAlign w:val="center"/>
                </w:tcPr>
                <w:p w14:paraId="33480D3B">
                  <w:pPr>
                    <w:wordWrap w:val="0"/>
                    <w:autoSpaceDE w:val="0"/>
                    <w:autoSpaceDN w:val="0"/>
                    <w:adjustRightInd w:val="0"/>
                    <w:snapToGrid w:val="0"/>
                    <w:spacing w:line="260" w:lineRule="exact"/>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输变电建设项目的初步设计、施工图设计文件中应包含相关的环境保护内容，编制环境保护篇章、开展环境保护专项设计，落实防止环境污染和生态破坏的措施、设施及相应资金。</w:t>
                  </w:r>
                </w:p>
              </w:tc>
              <w:tc>
                <w:tcPr>
                  <w:tcW w:w="1454" w:type="pct"/>
                  <w:tcBorders>
                    <w:tl2br w:val="nil"/>
                    <w:tr2bl w:val="nil"/>
                  </w:tcBorders>
                  <w:vAlign w:val="center"/>
                </w:tcPr>
                <w:p w14:paraId="6B177277">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本项目设计文件中已包含相关内容。</w:t>
                  </w:r>
                </w:p>
              </w:tc>
              <w:tc>
                <w:tcPr>
                  <w:tcW w:w="436" w:type="pct"/>
                  <w:tcBorders>
                    <w:tl2br w:val="nil"/>
                    <w:tr2bl w:val="nil"/>
                  </w:tcBorders>
                  <w:vAlign w:val="center"/>
                </w:tcPr>
                <w:p w14:paraId="0C6F5C29">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1F72B5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03E1F50A">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continue"/>
                  <w:tcBorders>
                    <w:tl2br w:val="nil"/>
                    <w:tr2bl w:val="nil"/>
                  </w:tcBorders>
                  <w:vAlign w:val="center"/>
                </w:tcPr>
                <w:p w14:paraId="2FDBD45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2400" w:type="pct"/>
                  <w:tcBorders>
                    <w:tl2br w:val="nil"/>
                    <w:tr2bl w:val="nil"/>
                  </w:tcBorders>
                  <w:vAlign w:val="center"/>
                </w:tcPr>
                <w:p w14:paraId="560F4966">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变电工程应设置足够容量的事故油池及其配套的拦截、防雨、防渗等措施和设施。一旦发生泄漏，</w:t>
                  </w:r>
                  <w:r>
                    <w:rPr>
                      <w:rFonts w:hint="eastAsia"/>
                      <w:color w:val="000000" w:themeColor="text1"/>
                      <w:sz w:val="21"/>
                      <w:szCs w:val="21"/>
                      <w:lang w:eastAsia="zh-CN"/>
                      <w14:textFill>
                        <w14:solidFill>
                          <w14:schemeClr w14:val="tx1"/>
                        </w14:solidFill>
                      </w14:textFill>
                    </w:rPr>
                    <w:t>应</w:t>
                  </w:r>
                  <w:r>
                    <w:rPr>
                      <w:color w:val="000000" w:themeColor="text1"/>
                      <w:sz w:val="21"/>
                      <w:szCs w:val="21"/>
                      <w14:textFill>
                        <w14:solidFill>
                          <w14:schemeClr w14:val="tx1"/>
                        </w14:solidFill>
                      </w14:textFill>
                    </w:rPr>
                    <w:t>及时进行拦截和处理，确保油和油水混合物全部收集、不外排。</w:t>
                  </w:r>
                </w:p>
              </w:tc>
              <w:tc>
                <w:tcPr>
                  <w:tcW w:w="1454" w:type="pct"/>
                  <w:tcBorders>
                    <w:tl2br w:val="nil"/>
                    <w:tr2bl w:val="nil"/>
                  </w:tcBorders>
                  <w:vAlign w:val="center"/>
                </w:tcPr>
                <w:p w14:paraId="4DEDCF56">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本项目在升压</w:t>
                  </w:r>
                  <w:r>
                    <w:rPr>
                      <w:rFonts w:hint="eastAsia"/>
                      <w:color w:val="000000" w:themeColor="text1"/>
                      <w:sz w:val="21"/>
                      <w:szCs w:val="21"/>
                      <w:lang w:val="en-US" w:eastAsia="zh-CN"/>
                      <w14:textFill>
                        <w14:solidFill>
                          <w14:schemeClr w14:val="tx1"/>
                        </w14:solidFill>
                      </w14:textFill>
                    </w:rPr>
                    <w:t>汇集</w:t>
                  </w:r>
                  <w:r>
                    <w:rPr>
                      <w:color w:val="000000" w:themeColor="text1"/>
                      <w:sz w:val="21"/>
                      <w:szCs w:val="21"/>
                      <w14:textFill>
                        <w14:solidFill>
                          <w14:schemeClr w14:val="tx1"/>
                        </w14:solidFill>
                      </w14:textFill>
                    </w:rPr>
                    <w:t>站建设有</w:t>
                  </w:r>
                  <w:r>
                    <w:rPr>
                      <w:rFonts w:hint="eastAsia"/>
                      <w:color w:val="000000" w:themeColor="text1"/>
                      <w:sz w:val="21"/>
                      <w:szCs w:val="21"/>
                      <w:lang w:eastAsia="zh-CN"/>
                      <w14:textFill>
                        <w14:solidFill>
                          <w14:schemeClr w14:val="tx1"/>
                        </w14:solidFill>
                      </w14:textFill>
                    </w:rPr>
                    <w:t>足够容量的</w:t>
                  </w:r>
                  <w:r>
                    <w:rPr>
                      <w:color w:val="000000" w:themeColor="text1"/>
                      <w:sz w:val="21"/>
                      <w:szCs w:val="21"/>
                      <w14:textFill>
                        <w14:solidFill>
                          <w14:schemeClr w14:val="tx1"/>
                        </w14:solidFill>
                      </w14:textFill>
                    </w:rPr>
                    <w:t>事故油池。</w:t>
                  </w:r>
                </w:p>
              </w:tc>
              <w:tc>
                <w:tcPr>
                  <w:tcW w:w="436" w:type="pct"/>
                  <w:tcBorders>
                    <w:tl2br w:val="nil"/>
                    <w:tr2bl w:val="nil"/>
                  </w:tcBorders>
                  <w:vAlign w:val="center"/>
                </w:tcPr>
                <w:p w14:paraId="28A0B107">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02A5DD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4B052F40">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restart"/>
                  <w:tcBorders>
                    <w:tl2br w:val="nil"/>
                    <w:tr2bl w:val="nil"/>
                  </w:tcBorders>
                  <w:vAlign w:val="center"/>
                </w:tcPr>
                <w:p w14:paraId="499D57F4">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电磁环境保护</w:t>
                  </w:r>
                </w:p>
              </w:tc>
              <w:tc>
                <w:tcPr>
                  <w:tcW w:w="2400" w:type="pct"/>
                  <w:tcBorders>
                    <w:tl2br w:val="nil"/>
                    <w:tr2bl w:val="nil"/>
                  </w:tcBorders>
                  <w:vAlign w:val="center"/>
                </w:tcPr>
                <w:p w14:paraId="1FBE0624">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工程设计应对产生的工频电场、工频磁场、直流合成电场等电磁环境影响因子进行验算，采取相应防护措施，确保电磁环境影响满足国家标准要求。</w:t>
                  </w:r>
                </w:p>
              </w:tc>
              <w:tc>
                <w:tcPr>
                  <w:tcW w:w="1454" w:type="pct"/>
                  <w:tcBorders>
                    <w:tl2br w:val="nil"/>
                    <w:tr2bl w:val="nil"/>
                  </w:tcBorders>
                  <w:vAlign w:val="center"/>
                </w:tcPr>
                <w:p w14:paraId="6AEC13C9">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本项目设置电磁环境影响专题评价，且项目不涉及电磁环境敏感目标。</w:t>
                  </w:r>
                </w:p>
              </w:tc>
              <w:tc>
                <w:tcPr>
                  <w:tcW w:w="436" w:type="pct"/>
                  <w:tcBorders>
                    <w:tl2br w:val="nil"/>
                    <w:tr2bl w:val="nil"/>
                  </w:tcBorders>
                  <w:vAlign w:val="center"/>
                </w:tcPr>
                <w:p w14:paraId="4DFC2A63">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52A0B0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0E24DC31">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continue"/>
                  <w:tcBorders>
                    <w:tl2br w:val="nil"/>
                    <w:tr2bl w:val="nil"/>
                  </w:tcBorders>
                  <w:vAlign w:val="center"/>
                </w:tcPr>
                <w:p w14:paraId="6B7F9F9C">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2400" w:type="pct"/>
                  <w:tcBorders>
                    <w:tl2br w:val="nil"/>
                    <w:tr2bl w:val="nil"/>
                  </w:tcBorders>
                  <w:vAlign w:val="center"/>
                </w:tcPr>
                <w:p w14:paraId="3EF99F6F">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变电工程的布置设计应考虑进出线对周围电磁环境的影响。</w:t>
                  </w:r>
                </w:p>
              </w:tc>
              <w:tc>
                <w:tcPr>
                  <w:tcW w:w="1454" w:type="pct"/>
                  <w:tcBorders>
                    <w:tl2br w:val="nil"/>
                    <w:tr2bl w:val="nil"/>
                  </w:tcBorders>
                  <w:vAlign w:val="center"/>
                </w:tcPr>
                <w:p w14:paraId="7A07C82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本项目布置尽量减少电磁环境影响。</w:t>
                  </w:r>
                </w:p>
              </w:tc>
              <w:tc>
                <w:tcPr>
                  <w:tcW w:w="436" w:type="pct"/>
                  <w:tcBorders>
                    <w:tl2br w:val="nil"/>
                    <w:tr2bl w:val="nil"/>
                  </w:tcBorders>
                  <w:vAlign w:val="center"/>
                </w:tcPr>
                <w:p w14:paraId="12ABC781">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133493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6BF92E09">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restart"/>
                  <w:tcBorders>
                    <w:tl2br w:val="nil"/>
                    <w:tr2bl w:val="nil"/>
                  </w:tcBorders>
                  <w:vAlign w:val="center"/>
                </w:tcPr>
                <w:p w14:paraId="3A915AAF">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生态环境保护</w:t>
                  </w:r>
                </w:p>
              </w:tc>
              <w:tc>
                <w:tcPr>
                  <w:tcW w:w="2400" w:type="pct"/>
                  <w:tcBorders>
                    <w:tl2br w:val="nil"/>
                    <w:tr2bl w:val="nil"/>
                  </w:tcBorders>
                  <w:vAlign w:val="center"/>
                </w:tcPr>
                <w:p w14:paraId="15000E66">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输变电建设项目在设计过程中应按照避让、减缓、恢复的次序提出生态影响防护与恢复的措施。</w:t>
                  </w:r>
                </w:p>
              </w:tc>
              <w:tc>
                <w:tcPr>
                  <w:tcW w:w="1454" w:type="pct"/>
                  <w:tcBorders>
                    <w:tl2br w:val="nil"/>
                    <w:tr2bl w:val="nil"/>
                  </w:tcBorders>
                  <w:vAlign w:val="center"/>
                </w:tcPr>
                <w:p w14:paraId="1FDAB7A1">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本项目已按照避让、减缓、恢复的次序提出了生态影响防护与恢复的措施。</w:t>
                  </w:r>
                </w:p>
              </w:tc>
              <w:tc>
                <w:tcPr>
                  <w:tcW w:w="436" w:type="pct"/>
                  <w:tcBorders>
                    <w:tl2br w:val="nil"/>
                    <w:tr2bl w:val="nil"/>
                  </w:tcBorders>
                  <w:vAlign w:val="center"/>
                </w:tcPr>
                <w:p w14:paraId="4645D516">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52F718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53679392">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continue"/>
                  <w:tcBorders>
                    <w:tl2br w:val="nil"/>
                    <w:tr2bl w:val="nil"/>
                  </w:tcBorders>
                  <w:vAlign w:val="center"/>
                </w:tcPr>
                <w:p w14:paraId="2A44B366">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2400" w:type="pct"/>
                  <w:tcBorders>
                    <w:tl2br w:val="nil"/>
                    <w:tr2bl w:val="nil"/>
                  </w:tcBorders>
                  <w:vAlign w:val="center"/>
                </w:tcPr>
                <w:p w14:paraId="0B52FF99">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输变电建设项目临时占地，应因地制宜进行土地功能恢复设计。</w:t>
                  </w:r>
                </w:p>
              </w:tc>
              <w:tc>
                <w:tcPr>
                  <w:tcW w:w="1454" w:type="pct"/>
                  <w:tcBorders>
                    <w:tl2br w:val="nil"/>
                    <w:tr2bl w:val="nil"/>
                  </w:tcBorders>
                  <w:vAlign w:val="center"/>
                </w:tcPr>
                <w:p w14:paraId="52DF8415">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本项目提出了临时占地恢复措施，施工结束后开展生态恢复工作。</w:t>
                  </w:r>
                </w:p>
              </w:tc>
              <w:tc>
                <w:tcPr>
                  <w:tcW w:w="436" w:type="pct"/>
                  <w:tcBorders>
                    <w:tl2br w:val="nil"/>
                    <w:tr2bl w:val="nil"/>
                  </w:tcBorders>
                  <w:vAlign w:val="center"/>
                </w:tcPr>
                <w:p w14:paraId="20876857">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0CB582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11AC5AE9">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restart"/>
                  <w:tcBorders>
                    <w:tl2br w:val="nil"/>
                    <w:tr2bl w:val="nil"/>
                  </w:tcBorders>
                  <w:vAlign w:val="center"/>
                </w:tcPr>
                <w:p w14:paraId="6DE3A836">
                  <w:pPr>
                    <w:wordWrap w:val="0"/>
                    <w:autoSpaceDE w:val="0"/>
                    <w:autoSpaceDN w:val="0"/>
                    <w:adjustRightInd w:val="0"/>
                    <w:snapToGrid w:val="0"/>
                    <w:spacing w:line="260" w:lineRule="exact"/>
                    <w:ind w:left="-120" w:leftChars="-50" w:right="-120" w:rightChars="-5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声环境保护</w:t>
                  </w:r>
                </w:p>
              </w:tc>
              <w:tc>
                <w:tcPr>
                  <w:tcW w:w="2400" w:type="pct"/>
                  <w:tcBorders>
                    <w:tl2br w:val="nil"/>
                    <w:tr2bl w:val="nil"/>
                  </w:tcBorders>
                  <w:vAlign w:val="center"/>
                </w:tcPr>
                <w:p w14:paraId="7A527D2B">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变电工程噪声控制设计应首先从噪声源强上进行控制，选择低噪声设备；对于声源上无法根治的噪声，应采用隔声、吸声、消声、防震、减振等降噪措施，确保厂界排放噪声和周围声环境敏感目标分别满足GB12348和GB3096要求。</w:t>
                  </w:r>
                </w:p>
              </w:tc>
              <w:tc>
                <w:tcPr>
                  <w:tcW w:w="1454" w:type="pct"/>
                  <w:tcBorders>
                    <w:tl2br w:val="nil"/>
                    <w:tr2bl w:val="nil"/>
                  </w:tcBorders>
                  <w:vAlign w:val="center"/>
                </w:tcPr>
                <w:p w14:paraId="1341EA3B">
                  <w:pPr>
                    <w:wordWrap w:val="0"/>
                    <w:autoSpaceDE w:val="0"/>
                    <w:autoSpaceDN w:val="0"/>
                    <w:adjustRightInd w:val="0"/>
                    <w:snapToGrid w:val="0"/>
                    <w:spacing w:line="260" w:lineRule="exact"/>
                    <w:jc w:val="center"/>
                    <w:rPr>
                      <w:rFonts w:hint="eastAsia"/>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本项目选择低噪声主变，并从源头上采取隔声、</w:t>
                  </w:r>
                  <w:r>
                    <w:rPr>
                      <w:rFonts w:hint="eastAsia"/>
                      <w:color w:val="000000" w:themeColor="text1"/>
                      <w:sz w:val="21"/>
                      <w:szCs w:val="21"/>
                      <w:lang w:eastAsia="zh-CN"/>
                      <w14:textFill>
                        <w14:solidFill>
                          <w14:schemeClr w14:val="tx1"/>
                        </w14:solidFill>
                      </w14:textFill>
                    </w:rPr>
                    <w:t>减振</w:t>
                  </w:r>
                  <w:r>
                    <w:rPr>
                      <w:color w:val="000000" w:themeColor="text1"/>
                      <w:sz w:val="21"/>
                      <w:szCs w:val="21"/>
                      <w14:textFill>
                        <w14:solidFill>
                          <w14:schemeClr w14:val="tx1"/>
                        </w14:solidFill>
                      </w14:textFill>
                    </w:rPr>
                    <w:t>、防震的降噪措施，站界可满足GB12348的限值要求。</w:t>
                  </w:r>
                </w:p>
              </w:tc>
              <w:tc>
                <w:tcPr>
                  <w:tcW w:w="436" w:type="pct"/>
                  <w:tcBorders>
                    <w:tl2br w:val="nil"/>
                    <w:tr2bl w:val="nil"/>
                  </w:tcBorders>
                  <w:vAlign w:val="center"/>
                </w:tcPr>
                <w:p w14:paraId="7BB6CC84">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31FDE8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5A962AA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continue"/>
                  <w:tcBorders>
                    <w:tl2br w:val="nil"/>
                    <w:tr2bl w:val="nil"/>
                  </w:tcBorders>
                  <w:vAlign w:val="center"/>
                </w:tcPr>
                <w:p w14:paraId="09369B79">
                  <w:pPr>
                    <w:wordWrap w:val="0"/>
                    <w:autoSpaceDE w:val="0"/>
                    <w:autoSpaceDN w:val="0"/>
                    <w:adjustRightInd w:val="0"/>
                    <w:snapToGrid w:val="0"/>
                    <w:spacing w:line="260" w:lineRule="exact"/>
                    <w:ind w:left="-120" w:leftChars="-50" w:right="-120" w:rightChars="-50"/>
                    <w:jc w:val="center"/>
                    <w:rPr>
                      <w:color w:val="000000" w:themeColor="text1"/>
                      <w:sz w:val="21"/>
                      <w:szCs w:val="21"/>
                      <w14:textFill>
                        <w14:solidFill>
                          <w14:schemeClr w14:val="tx1"/>
                        </w14:solidFill>
                      </w14:textFill>
                    </w:rPr>
                  </w:pPr>
                </w:p>
              </w:tc>
              <w:tc>
                <w:tcPr>
                  <w:tcW w:w="2400" w:type="pct"/>
                  <w:tcBorders>
                    <w:tl2br w:val="nil"/>
                    <w:tr2bl w:val="nil"/>
                  </w:tcBorders>
                  <w:vAlign w:val="center"/>
                </w:tcPr>
                <w:p w14:paraId="39A3E26D">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户外变电工程总体布置应综合考虑声环境影响因素，合理规划，利用建筑物、地形等阻挡噪声传播，减少对声环境敏感目标的影响。</w:t>
                  </w:r>
                </w:p>
              </w:tc>
              <w:tc>
                <w:tcPr>
                  <w:tcW w:w="1454" w:type="pct"/>
                  <w:tcBorders>
                    <w:tl2br w:val="nil"/>
                    <w:tr2bl w:val="nil"/>
                  </w:tcBorders>
                  <w:vAlign w:val="center"/>
                </w:tcPr>
                <w:p w14:paraId="28EDCB7F">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本项目区周边200m范围内不存在声环境保护目标。</w:t>
                  </w:r>
                </w:p>
              </w:tc>
              <w:tc>
                <w:tcPr>
                  <w:tcW w:w="436" w:type="pct"/>
                  <w:tcBorders>
                    <w:tl2br w:val="nil"/>
                    <w:tr2bl w:val="nil"/>
                  </w:tcBorders>
                  <w:vAlign w:val="center"/>
                </w:tcPr>
                <w:p w14:paraId="3EEA192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3E3029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7D41AEC4">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continue"/>
                  <w:tcBorders>
                    <w:tl2br w:val="nil"/>
                    <w:tr2bl w:val="nil"/>
                  </w:tcBorders>
                  <w:vAlign w:val="center"/>
                </w:tcPr>
                <w:p w14:paraId="706F8F4B">
                  <w:pPr>
                    <w:wordWrap w:val="0"/>
                    <w:autoSpaceDE w:val="0"/>
                    <w:autoSpaceDN w:val="0"/>
                    <w:adjustRightInd w:val="0"/>
                    <w:snapToGrid w:val="0"/>
                    <w:spacing w:line="260" w:lineRule="exact"/>
                    <w:ind w:left="-120" w:leftChars="-50" w:right="-120" w:rightChars="-50"/>
                    <w:jc w:val="center"/>
                    <w:rPr>
                      <w:color w:val="000000" w:themeColor="text1"/>
                      <w:sz w:val="21"/>
                      <w:szCs w:val="21"/>
                      <w14:textFill>
                        <w14:solidFill>
                          <w14:schemeClr w14:val="tx1"/>
                        </w14:solidFill>
                      </w14:textFill>
                    </w:rPr>
                  </w:pPr>
                </w:p>
              </w:tc>
              <w:tc>
                <w:tcPr>
                  <w:tcW w:w="2400" w:type="pct"/>
                  <w:tcBorders>
                    <w:tl2br w:val="nil"/>
                    <w:tr2bl w:val="nil"/>
                  </w:tcBorders>
                  <w:vAlign w:val="center"/>
                </w:tcPr>
                <w:p w14:paraId="3DFD93A0">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户外变电工程在设计过程中应进行平面布置优化，将主变压器、换流变压器、高压电抗器等主要声源设备布置在站址中央区域或远离站外声环境敏感目标侧的区域。</w:t>
                  </w:r>
                </w:p>
              </w:tc>
              <w:tc>
                <w:tcPr>
                  <w:tcW w:w="1454" w:type="pct"/>
                  <w:tcBorders>
                    <w:tl2br w:val="nil"/>
                    <w:tr2bl w:val="nil"/>
                  </w:tcBorders>
                  <w:vAlign w:val="center"/>
                </w:tcPr>
                <w:p w14:paraId="19DA8C21">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项目区周边200m范围内不存在声环境保护目标。</w:t>
                  </w:r>
                </w:p>
              </w:tc>
              <w:tc>
                <w:tcPr>
                  <w:tcW w:w="436" w:type="pct"/>
                  <w:tcBorders>
                    <w:tl2br w:val="nil"/>
                    <w:tr2bl w:val="nil"/>
                  </w:tcBorders>
                  <w:vAlign w:val="center"/>
                </w:tcPr>
                <w:p w14:paraId="2D35274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2A4B3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6E7EB5C7">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continue"/>
                  <w:tcBorders>
                    <w:tl2br w:val="nil"/>
                    <w:tr2bl w:val="nil"/>
                  </w:tcBorders>
                  <w:vAlign w:val="center"/>
                </w:tcPr>
                <w:p w14:paraId="45502312">
                  <w:pPr>
                    <w:wordWrap w:val="0"/>
                    <w:autoSpaceDE w:val="0"/>
                    <w:autoSpaceDN w:val="0"/>
                    <w:adjustRightInd w:val="0"/>
                    <w:snapToGrid w:val="0"/>
                    <w:spacing w:line="260" w:lineRule="exact"/>
                    <w:ind w:left="-120" w:leftChars="-50" w:right="-120" w:rightChars="-50"/>
                    <w:jc w:val="center"/>
                    <w:rPr>
                      <w:color w:val="000000" w:themeColor="text1"/>
                      <w:sz w:val="21"/>
                      <w:szCs w:val="21"/>
                      <w14:textFill>
                        <w14:solidFill>
                          <w14:schemeClr w14:val="tx1"/>
                        </w14:solidFill>
                      </w14:textFill>
                    </w:rPr>
                  </w:pPr>
                </w:p>
              </w:tc>
              <w:tc>
                <w:tcPr>
                  <w:tcW w:w="2400" w:type="pct"/>
                  <w:tcBorders>
                    <w:tl2br w:val="nil"/>
                    <w:tr2bl w:val="nil"/>
                  </w:tcBorders>
                  <w:vAlign w:val="center"/>
                </w:tcPr>
                <w:p w14:paraId="4814B6C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变电工程位于1类或周围噪声敏感建筑物较多的2类声环境功能区时，建设单位应严格控制主变压器、换流变压器、高压电抗器等主要噪声源的噪声水平，并在满足GB12348的基础上保留适当裕度。</w:t>
                  </w:r>
                </w:p>
              </w:tc>
              <w:tc>
                <w:tcPr>
                  <w:tcW w:w="1454" w:type="pct"/>
                  <w:tcBorders>
                    <w:tl2br w:val="nil"/>
                    <w:tr2bl w:val="nil"/>
                  </w:tcBorders>
                  <w:vAlign w:val="center"/>
                </w:tcPr>
                <w:p w14:paraId="78CA1B6C">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本项目工程属于2类声环境功能区，选择低噪声主变压器，并在满足GB12348的基础上保留适当裕度。</w:t>
                  </w:r>
                </w:p>
              </w:tc>
              <w:tc>
                <w:tcPr>
                  <w:tcW w:w="436" w:type="pct"/>
                  <w:tcBorders>
                    <w:tl2br w:val="nil"/>
                    <w:tr2bl w:val="nil"/>
                  </w:tcBorders>
                  <w:vAlign w:val="center"/>
                </w:tcPr>
                <w:p w14:paraId="74FB9613">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321685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19D2772A">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continue"/>
                  <w:tcBorders>
                    <w:tl2br w:val="nil"/>
                    <w:tr2bl w:val="nil"/>
                  </w:tcBorders>
                  <w:vAlign w:val="center"/>
                </w:tcPr>
                <w:p w14:paraId="79DC7325">
                  <w:pPr>
                    <w:wordWrap w:val="0"/>
                    <w:autoSpaceDE w:val="0"/>
                    <w:autoSpaceDN w:val="0"/>
                    <w:adjustRightInd w:val="0"/>
                    <w:snapToGrid w:val="0"/>
                    <w:spacing w:line="260" w:lineRule="exact"/>
                    <w:ind w:left="-120" w:leftChars="-50" w:right="-120" w:rightChars="-50"/>
                    <w:jc w:val="center"/>
                    <w:rPr>
                      <w:color w:val="000000" w:themeColor="text1"/>
                      <w:sz w:val="21"/>
                      <w:szCs w:val="21"/>
                      <w14:textFill>
                        <w14:solidFill>
                          <w14:schemeClr w14:val="tx1"/>
                        </w14:solidFill>
                      </w14:textFill>
                    </w:rPr>
                  </w:pPr>
                </w:p>
              </w:tc>
              <w:tc>
                <w:tcPr>
                  <w:tcW w:w="2400" w:type="pct"/>
                  <w:tcBorders>
                    <w:tl2br w:val="nil"/>
                    <w:tr2bl w:val="nil"/>
                  </w:tcBorders>
                  <w:vAlign w:val="center"/>
                </w:tcPr>
                <w:p w14:paraId="1349E092">
                  <w:pPr>
                    <w:wordWrap w:val="0"/>
                    <w:autoSpaceDE w:val="0"/>
                    <w:autoSpaceDN w:val="0"/>
                    <w:adjustRightInd w:val="0"/>
                    <w:snapToGrid w:val="0"/>
                    <w:spacing w:line="260" w:lineRule="exact"/>
                    <w:jc w:val="center"/>
                    <w:rPr>
                      <w:color w:val="000000" w:themeColor="text1"/>
                      <w:sz w:val="21"/>
                      <w14:textFill>
                        <w14:solidFill>
                          <w14:schemeClr w14:val="tx1"/>
                        </w14:solidFill>
                      </w14:textFill>
                    </w:rPr>
                  </w:pPr>
                  <w:r>
                    <w:rPr>
                      <w:color w:val="000000" w:themeColor="text1"/>
                      <w:sz w:val="21"/>
                      <w14:textFill>
                        <w14:solidFill>
                          <w14:schemeClr w14:val="tx1"/>
                        </w14:solidFill>
                      </w14:textFill>
                    </w:rPr>
                    <w:t>变电工程应采取降低低频噪声影响的防治措施，以减少噪声扰民。</w:t>
                  </w:r>
                </w:p>
              </w:tc>
              <w:tc>
                <w:tcPr>
                  <w:tcW w:w="1454" w:type="pct"/>
                  <w:tcBorders>
                    <w:tl2br w:val="nil"/>
                    <w:tr2bl w:val="nil"/>
                  </w:tcBorders>
                  <w:vAlign w:val="center"/>
                </w:tcPr>
                <w:p w14:paraId="0073328E">
                  <w:pPr>
                    <w:wordWrap w:val="0"/>
                    <w:autoSpaceDE w:val="0"/>
                    <w:autoSpaceDN w:val="0"/>
                    <w:adjustRightInd w:val="0"/>
                    <w:snapToGrid w:val="0"/>
                    <w:spacing w:line="260" w:lineRule="exact"/>
                    <w:jc w:val="center"/>
                    <w:rPr>
                      <w:rFonts w:hint="eastAsia" w:eastAsia="宋体"/>
                      <w:color w:val="000000" w:themeColor="text1"/>
                      <w:sz w:val="21"/>
                      <w:szCs w:val="21"/>
                      <w:lang w:eastAsia="zh-CN"/>
                      <w14:textFill>
                        <w14:solidFill>
                          <w14:schemeClr w14:val="tx1"/>
                        </w14:solidFill>
                      </w14:textFill>
                    </w:rPr>
                  </w:pPr>
                  <w:r>
                    <w:rPr>
                      <w:color w:val="000000" w:themeColor="text1"/>
                      <w:sz w:val="21"/>
                      <w14:textFill>
                        <w14:solidFill>
                          <w14:schemeClr w14:val="tx1"/>
                        </w14:solidFill>
                      </w14:textFill>
                    </w:rPr>
                    <w:t>项目</w:t>
                  </w:r>
                  <w:r>
                    <w:rPr>
                      <w:rFonts w:hint="eastAsia"/>
                      <w:color w:val="000000" w:themeColor="text1"/>
                      <w:sz w:val="21"/>
                      <w:lang w:eastAsia="zh-CN"/>
                      <w14:textFill>
                        <w14:solidFill>
                          <w14:schemeClr w14:val="tx1"/>
                        </w14:solidFill>
                      </w14:textFill>
                    </w:rPr>
                    <w:t>按要求降低</w:t>
                  </w:r>
                  <w:r>
                    <w:rPr>
                      <w:color w:val="000000" w:themeColor="text1"/>
                      <w:sz w:val="21"/>
                      <w14:textFill>
                        <w14:solidFill>
                          <w14:schemeClr w14:val="tx1"/>
                        </w14:solidFill>
                      </w14:textFill>
                    </w:rPr>
                    <w:t>低频噪声设备</w:t>
                  </w:r>
                  <w:r>
                    <w:rPr>
                      <w:rFonts w:hint="eastAsia"/>
                      <w:color w:val="000000" w:themeColor="text1"/>
                      <w:sz w:val="21"/>
                      <w:lang w:eastAsia="zh-CN"/>
                      <w14:textFill>
                        <w14:solidFill>
                          <w14:schemeClr w14:val="tx1"/>
                        </w14:solidFill>
                      </w14:textFill>
                    </w:rPr>
                    <w:t>噪声</w:t>
                  </w:r>
                  <w:r>
                    <w:rPr>
                      <w:color w:val="000000" w:themeColor="text1"/>
                      <w:sz w:val="21"/>
                      <w14:textFill>
                        <w14:solidFill>
                          <w14:schemeClr w14:val="tx1"/>
                        </w14:solidFill>
                      </w14:textFill>
                    </w:rPr>
                    <w:t>，且</w:t>
                  </w:r>
                  <w:r>
                    <w:rPr>
                      <w:color w:val="000000" w:themeColor="text1"/>
                      <w:sz w:val="21"/>
                      <w:szCs w:val="21"/>
                      <w14:textFill>
                        <w14:solidFill>
                          <w14:schemeClr w14:val="tx1"/>
                        </w14:solidFill>
                      </w14:textFill>
                    </w:rPr>
                    <w:t>周边无居民居住</w:t>
                  </w:r>
                  <w:r>
                    <w:rPr>
                      <w:rFonts w:hint="eastAsia"/>
                      <w:color w:val="000000" w:themeColor="text1"/>
                      <w:sz w:val="21"/>
                      <w:szCs w:val="21"/>
                      <w:lang w:eastAsia="zh-CN"/>
                      <w14:textFill>
                        <w14:solidFill>
                          <w14:schemeClr w14:val="tx1"/>
                        </w14:solidFill>
                      </w14:textFill>
                    </w:rPr>
                    <w:t>。</w:t>
                  </w:r>
                </w:p>
              </w:tc>
              <w:tc>
                <w:tcPr>
                  <w:tcW w:w="436" w:type="pct"/>
                  <w:tcBorders>
                    <w:tl2br w:val="nil"/>
                    <w:tr2bl w:val="nil"/>
                  </w:tcBorders>
                  <w:vAlign w:val="center"/>
                </w:tcPr>
                <w:p w14:paraId="5B357DDB">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2052C0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0292815D">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restart"/>
                  <w:tcBorders>
                    <w:tl2br w:val="nil"/>
                    <w:tr2bl w:val="nil"/>
                  </w:tcBorders>
                  <w:vAlign w:val="center"/>
                </w:tcPr>
                <w:p w14:paraId="31C94089">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水环境保护</w:t>
                  </w:r>
                </w:p>
              </w:tc>
              <w:tc>
                <w:tcPr>
                  <w:tcW w:w="2400" w:type="pct"/>
                  <w:tcBorders>
                    <w:tl2br w:val="nil"/>
                    <w:tr2bl w:val="nil"/>
                  </w:tcBorders>
                  <w:vAlign w:val="center"/>
                </w:tcPr>
                <w:p w14:paraId="3C33AB61">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变电工程应采取节水措施，加强水的重复利用，减少废（污）水排放。雨水和生活污水应采取分流制。</w:t>
                  </w:r>
                </w:p>
              </w:tc>
              <w:tc>
                <w:tcPr>
                  <w:tcW w:w="1454" w:type="pct"/>
                  <w:tcBorders>
                    <w:tl2br w:val="nil"/>
                    <w:tr2bl w:val="nil"/>
                  </w:tcBorders>
                  <w:vAlign w:val="center"/>
                </w:tcPr>
                <w:p w14:paraId="77A5F3C3">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本项目生活污水经处理</w:t>
                  </w:r>
                  <w:r>
                    <w:rPr>
                      <w:rFonts w:hint="eastAsia"/>
                      <w:color w:val="000000" w:themeColor="text1"/>
                      <w:sz w:val="21"/>
                      <w:szCs w:val="21"/>
                      <w:lang w:val="en-US" w:eastAsia="zh-CN"/>
                      <w14:textFill>
                        <w14:solidFill>
                          <w14:schemeClr w14:val="tx1"/>
                        </w14:solidFill>
                      </w14:textFill>
                    </w:rPr>
                    <w:t>达标</w:t>
                  </w:r>
                  <w:r>
                    <w:rPr>
                      <w:color w:val="000000" w:themeColor="text1"/>
                      <w:sz w:val="21"/>
                      <w:szCs w:val="21"/>
                      <w14:textFill>
                        <w14:solidFill>
                          <w14:schemeClr w14:val="tx1"/>
                        </w14:solidFill>
                      </w14:textFill>
                    </w:rPr>
                    <w:t>后</w:t>
                  </w:r>
                  <w:r>
                    <w:rPr>
                      <w:rFonts w:hint="eastAsia"/>
                      <w:color w:val="000000" w:themeColor="text1"/>
                      <w:sz w:val="21"/>
                      <w:szCs w:val="21"/>
                      <w:lang w:eastAsia="zh-CN"/>
                      <w14:textFill>
                        <w14:solidFill>
                          <w14:schemeClr w14:val="tx1"/>
                        </w14:solidFill>
                      </w14:textFill>
                    </w:rPr>
                    <w:t>冬储夏灌</w:t>
                  </w:r>
                  <w:r>
                    <w:rPr>
                      <w:color w:val="000000" w:themeColor="text1"/>
                      <w:sz w:val="21"/>
                      <w:szCs w:val="21"/>
                      <w14:textFill>
                        <w14:solidFill>
                          <w14:schemeClr w14:val="tx1"/>
                        </w14:solidFill>
                      </w14:textFill>
                    </w:rPr>
                    <w:t>。</w:t>
                  </w:r>
                </w:p>
              </w:tc>
              <w:tc>
                <w:tcPr>
                  <w:tcW w:w="436" w:type="pct"/>
                  <w:tcBorders>
                    <w:tl2br w:val="nil"/>
                    <w:tr2bl w:val="nil"/>
                  </w:tcBorders>
                  <w:vAlign w:val="center"/>
                </w:tcPr>
                <w:p w14:paraId="5E8420D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023ED4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0" w:hRule="atLeast"/>
                <w:jc w:val="center"/>
              </w:trPr>
              <w:tc>
                <w:tcPr>
                  <w:tcW w:w="261" w:type="pct"/>
                  <w:vMerge w:val="continue"/>
                  <w:tcBorders>
                    <w:tl2br w:val="nil"/>
                    <w:tr2bl w:val="nil"/>
                  </w:tcBorders>
                  <w:vAlign w:val="center"/>
                </w:tcPr>
                <w:p w14:paraId="5E3E89CA">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continue"/>
                  <w:tcBorders>
                    <w:tl2br w:val="nil"/>
                    <w:tr2bl w:val="nil"/>
                  </w:tcBorders>
                  <w:vAlign w:val="center"/>
                </w:tcPr>
                <w:p w14:paraId="4E02F976">
                  <w:pPr>
                    <w:wordWrap w:val="0"/>
                    <w:autoSpaceDE w:val="0"/>
                    <w:autoSpaceDN w:val="0"/>
                    <w:adjustRightInd w:val="0"/>
                    <w:snapToGrid w:val="0"/>
                    <w:spacing w:line="260" w:lineRule="exact"/>
                    <w:ind w:left="-120" w:leftChars="-50" w:right="-120" w:rightChars="-50"/>
                    <w:jc w:val="center"/>
                    <w:rPr>
                      <w:color w:val="000000" w:themeColor="text1"/>
                      <w:sz w:val="21"/>
                      <w:szCs w:val="21"/>
                      <w14:textFill>
                        <w14:solidFill>
                          <w14:schemeClr w14:val="tx1"/>
                        </w14:solidFill>
                      </w14:textFill>
                    </w:rPr>
                  </w:pPr>
                </w:p>
              </w:tc>
              <w:tc>
                <w:tcPr>
                  <w:tcW w:w="2400" w:type="pct"/>
                  <w:tcBorders>
                    <w:tl2br w:val="nil"/>
                    <w:tr2bl w:val="nil"/>
                  </w:tcBorders>
                  <w:vAlign w:val="center"/>
                </w:tcPr>
                <w:p w14:paraId="1B43DED9">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变电工程站内产生的生活污水宜考虑处理后纳入城市污水管网；不具备纳入城市污水管网条件的变电工程，应根据站内生活污水产生情况设置生活污水处理装置（化粪池、地埋式污水处理装置、回用水池、蒸发池等），生活污水经处理后回收利用、定期清理或外排，外排时应严格执行相应的国家和地方水污染物排放标准相关要求。</w:t>
                  </w:r>
                </w:p>
              </w:tc>
              <w:tc>
                <w:tcPr>
                  <w:tcW w:w="1454" w:type="pct"/>
                  <w:tcBorders>
                    <w:tl2br w:val="nil"/>
                    <w:tr2bl w:val="nil"/>
                  </w:tcBorders>
                  <w:vAlign w:val="center"/>
                </w:tcPr>
                <w:p w14:paraId="2AAA0688">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highlight w:val="none"/>
                      <w14:textFill>
                        <w14:solidFill>
                          <w14:schemeClr w14:val="tx1"/>
                        </w14:solidFill>
                      </w14:textFill>
                    </w:rPr>
                    <w:t>施工期间设置环保厕所</w:t>
                  </w:r>
                  <w:r>
                    <w:rPr>
                      <w:rFonts w:hint="eastAsia"/>
                      <w:color w:val="000000" w:themeColor="text1"/>
                      <w:sz w:val="21"/>
                      <w:szCs w:val="21"/>
                      <w:highlight w:val="none"/>
                      <w:lang w:eastAsia="zh-CN"/>
                      <w14:textFill>
                        <w14:solidFill>
                          <w14:schemeClr w14:val="tx1"/>
                        </w14:solidFill>
                      </w14:textFill>
                    </w:rPr>
                    <w:t>及防渗废水收集池</w:t>
                  </w:r>
                  <w:r>
                    <w:rPr>
                      <w:color w:val="000000" w:themeColor="text1"/>
                      <w:sz w:val="21"/>
                      <w:szCs w:val="21"/>
                      <w:highlight w:val="none"/>
                      <w14:textFill>
                        <w14:solidFill>
                          <w14:schemeClr w14:val="tx1"/>
                        </w14:solidFill>
                      </w14:textFill>
                    </w:rPr>
                    <w:t>，施工人员生活污水</w:t>
                  </w:r>
                  <w:r>
                    <w:rPr>
                      <w:rFonts w:hint="eastAsia"/>
                      <w:color w:val="000000" w:themeColor="text1"/>
                      <w:sz w:val="21"/>
                      <w:szCs w:val="21"/>
                      <w:highlight w:val="none"/>
                      <w:lang w:eastAsia="zh-CN"/>
                      <w14:textFill>
                        <w14:solidFill>
                          <w14:schemeClr w14:val="tx1"/>
                        </w14:solidFill>
                      </w14:textFill>
                    </w:rPr>
                    <w:t>经收集后</w:t>
                  </w:r>
                  <w:r>
                    <w:rPr>
                      <w:color w:val="000000" w:themeColor="text1"/>
                      <w:sz w:val="21"/>
                      <w:szCs w:val="21"/>
                      <w:highlight w:val="none"/>
                      <w14:textFill>
                        <w14:solidFill>
                          <w14:schemeClr w14:val="tx1"/>
                        </w14:solidFill>
                      </w14:textFill>
                    </w:rPr>
                    <w:t>定期清运，</w:t>
                  </w:r>
                  <w:r>
                    <w:rPr>
                      <w:color w:val="000000" w:themeColor="text1"/>
                      <w:sz w:val="21"/>
                      <w:szCs w:val="21"/>
                      <w14:textFill>
                        <w14:solidFill>
                          <w14:schemeClr w14:val="tx1"/>
                        </w14:solidFill>
                      </w14:textFill>
                    </w:rPr>
                    <w:t>不随意排放。运营期生活污水经处理后</w:t>
                  </w:r>
                  <w:r>
                    <w:rPr>
                      <w:rFonts w:hint="eastAsia"/>
                      <w:color w:val="000000" w:themeColor="text1"/>
                      <w:sz w:val="21"/>
                      <w:szCs w:val="21"/>
                      <w:lang w:eastAsia="zh-CN"/>
                      <w14:textFill>
                        <w14:solidFill>
                          <w14:schemeClr w14:val="tx1"/>
                        </w14:solidFill>
                      </w14:textFill>
                    </w:rPr>
                    <w:t>冬储夏灌</w:t>
                  </w:r>
                  <w:r>
                    <w:rPr>
                      <w:color w:val="000000" w:themeColor="text1"/>
                      <w:sz w:val="21"/>
                      <w:szCs w:val="21"/>
                      <w14:textFill>
                        <w14:solidFill>
                          <w14:schemeClr w14:val="tx1"/>
                        </w14:solidFill>
                      </w14:textFill>
                    </w:rPr>
                    <w:t>。因此，项目建设不会对当地水环境造成影响。</w:t>
                  </w:r>
                </w:p>
              </w:tc>
              <w:tc>
                <w:tcPr>
                  <w:tcW w:w="436" w:type="pct"/>
                  <w:tcBorders>
                    <w:tl2br w:val="nil"/>
                    <w:tr2bl w:val="nil"/>
                  </w:tcBorders>
                  <w:vAlign w:val="center"/>
                </w:tcPr>
                <w:p w14:paraId="68206BE4">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1FF22D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restart"/>
                  <w:tcBorders>
                    <w:tl2br w:val="nil"/>
                    <w:tr2bl w:val="nil"/>
                  </w:tcBorders>
                  <w:vAlign w:val="center"/>
                </w:tcPr>
                <w:p w14:paraId="20BB56A8">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w:t>
                  </w:r>
                </w:p>
              </w:tc>
              <w:tc>
                <w:tcPr>
                  <w:tcW w:w="447" w:type="pct"/>
                  <w:tcBorders>
                    <w:tl2br w:val="nil"/>
                    <w:tr2bl w:val="nil"/>
                  </w:tcBorders>
                  <w:vAlign w:val="center"/>
                </w:tcPr>
                <w:p w14:paraId="04BEFA86">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声环境保护</w:t>
                  </w:r>
                </w:p>
              </w:tc>
              <w:tc>
                <w:tcPr>
                  <w:tcW w:w="2400" w:type="pct"/>
                  <w:tcBorders>
                    <w:tl2br w:val="nil"/>
                    <w:tr2bl w:val="nil"/>
                  </w:tcBorders>
                  <w:vAlign w:val="center"/>
                </w:tcPr>
                <w:p w14:paraId="045A5A97">
                  <w:pPr>
                    <w:widowControl/>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变电工程施工过程中场界环境噪声排放应满足GB12523中的要求。</w:t>
                  </w:r>
                </w:p>
              </w:tc>
              <w:tc>
                <w:tcPr>
                  <w:tcW w:w="1454" w:type="pct"/>
                  <w:tcBorders>
                    <w:tl2br w:val="nil"/>
                    <w:tr2bl w:val="nil"/>
                  </w:tcBorders>
                  <w:vAlign w:val="center"/>
                </w:tcPr>
                <w:p w14:paraId="4B4605A2">
                  <w:pPr>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在采取降噪措施后，施工期噪声满足《</w:t>
                  </w:r>
                  <w:r>
                    <w:rPr>
                      <w:rFonts w:hint="eastAsia"/>
                      <w:color w:val="000000" w:themeColor="text1"/>
                      <w:sz w:val="21"/>
                      <w:szCs w:val="21"/>
                      <w14:textFill>
                        <w14:solidFill>
                          <w14:schemeClr w14:val="tx1"/>
                        </w14:solidFill>
                      </w14:textFill>
                    </w:rPr>
                    <w:t>建筑施工噪声排放标准</w:t>
                  </w:r>
                  <w:r>
                    <w:rPr>
                      <w:color w:val="000000" w:themeColor="text1"/>
                      <w:sz w:val="21"/>
                      <w:szCs w:val="21"/>
                      <w14:textFill>
                        <w14:solidFill>
                          <w14:schemeClr w14:val="tx1"/>
                        </w14:solidFill>
                      </w14:textFill>
                    </w:rPr>
                    <w:t>》（GB12523-20</w:t>
                  </w:r>
                  <w:r>
                    <w:rPr>
                      <w:rFonts w:hint="eastAsia"/>
                      <w:color w:val="000000" w:themeColor="text1"/>
                      <w:sz w:val="21"/>
                      <w:szCs w:val="21"/>
                      <w:lang w:val="en-US" w:eastAsia="zh-CN"/>
                      <w14:textFill>
                        <w14:solidFill>
                          <w14:schemeClr w14:val="tx1"/>
                        </w14:solidFill>
                      </w14:textFill>
                    </w:rPr>
                    <w:t>25</w:t>
                  </w:r>
                  <w:r>
                    <w:rPr>
                      <w:color w:val="000000" w:themeColor="text1"/>
                      <w:sz w:val="21"/>
                      <w:szCs w:val="21"/>
                      <w14:textFill>
                        <w14:solidFill>
                          <w14:schemeClr w14:val="tx1"/>
                        </w14:solidFill>
                      </w14:textFill>
                    </w:rPr>
                    <w:t>）相关要求。</w:t>
                  </w:r>
                </w:p>
              </w:tc>
              <w:tc>
                <w:tcPr>
                  <w:tcW w:w="436" w:type="pct"/>
                  <w:tcBorders>
                    <w:tl2br w:val="nil"/>
                    <w:tr2bl w:val="nil"/>
                  </w:tcBorders>
                  <w:vAlign w:val="center"/>
                </w:tcPr>
                <w:p w14:paraId="1E7CA1D8">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157008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1C75B14C">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tcBorders>
                    <w:tl2br w:val="nil"/>
                    <w:tr2bl w:val="nil"/>
                  </w:tcBorders>
                  <w:vAlign w:val="center"/>
                </w:tcPr>
                <w:p w14:paraId="4715C2D4">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生态环境保护</w:t>
                  </w:r>
                </w:p>
              </w:tc>
              <w:tc>
                <w:tcPr>
                  <w:tcW w:w="2400" w:type="pct"/>
                  <w:tcBorders>
                    <w:tl2br w:val="nil"/>
                    <w:tr2bl w:val="nil"/>
                  </w:tcBorders>
                  <w:vAlign w:val="center"/>
                </w:tcPr>
                <w:p w14:paraId="0E1B3FC2">
                  <w:pPr>
                    <w:widowControl/>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1）输变电建设项目施工期临时用地应永临结合，优先利用荒地、劣地。（2）输变电建设项目施工占用耕地、园地、林地和草地，应做好表土剥离、分类存放和回填利用。（3）施工临时道路应尽可能利用机耕路、林区小路等现有道路，新建道路应严格控制道路宽度，以减少临时工程对生态环境的影响。（4）施工现场使用带油料的机械器具，应采取措施防止油料跑、冒、滴、漏，防止对土壤和水体造成污染。（5）施工结束后，应及时清理施工现场，因地制宜进行土地功能恢复。</w:t>
                  </w:r>
                </w:p>
              </w:tc>
              <w:tc>
                <w:tcPr>
                  <w:tcW w:w="1454" w:type="pct"/>
                  <w:tcBorders>
                    <w:tl2br w:val="nil"/>
                    <w:tr2bl w:val="nil"/>
                  </w:tcBorders>
                  <w:vAlign w:val="center"/>
                </w:tcPr>
                <w:p w14:paraId="07D72A28">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本项目施工期临时用地采用永临结合的方案，减少临时工程对环境的影响。减少地表开挖裸露时间</w:t>
                  </w:r>
                  <w:r>
                    <w:rPr>
                      <w:rFonts w:hint="eastAsia"/>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避开雨天及大风天气施工</w:t>
                  </w:r>
                  <w:r>
                    <w:rPr>
                      <w:rFonts w:hint="eastAsia"/>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及时进行迹地恢复等。施工现场施工机械及时检修，可有效防止油料对土壤和地下水的污染；环评要求本项目施工结束后，及时清理施工现场，因地制宜进行土地功能恢复。</w:t>
                  </w:r>
                </w:p>
              </w:tc>
              <w:tc>
                <w:tcPr>
                  <w:tcW w:w="436" w:type="pct"/>
                  <w:tcBorders>
                    <w:tl2br w:val="nil"/>
                    <w:tr2bl w:val="nil"/>
                  </w:tcBorders>
                  <w:vAlign w:val="center"/>
                </w:tcPr>
                <w:p w14:paraId="6CC7498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63DB85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4A5EFA4D">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tcBorders>
                    <w:tl2br w:val="nil"/>
                    <w:tr2bl w:val="nil"/>
                  </w:tcBorders>
                  <w:vAlign w:val="center"/>
                </w:tcPr>
                <w:p w14:paraId="75CF211A">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水环境保护</w:t>
                  </w:r>
                </w:p>
              </w:tc>
              <w:tc>
                <w:tcPr>
                  <w:tcW w:w="2400" w:type="pct"/>
                  <w:tcBorders>
                    <w:tl2br w:val="nil"/>
                    <w:tr2bl w:val="nil"/>
                  </w:tcBorders>
                  <w:vAlign w:val="center"/>
                </w:tcPr>
                <w:p w14:paraId="1E671082">
                  <w:pPr>
                    <w:widowControl/>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（1）在饮用水水源保护区和其他水体保护区内或附近施工时，应加强管理，做好污水防治措施，确保水环境不受影响。</w:t>
                  </w:r>
                </w:p>
                <w:p w14:paraId="0D13E0C7">
                  <w:pPr>
                    <w:widowControl/>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（2）施工期间禁止向水体排放、倾倒垃圾、弃土、弃渣，禁止排放未经处理的钻浆等废弃物。</w:t>
                  </w:r>
                </w:p>
                <w:p w14:paraId="1BB382B8">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（3）变电工程施工现场临时厕所的化粪池应进行防渗处理。</w:t>
                  </w:r>
                </w:p>
              </w:tc>
              <w:tc>
                <w:tcPr>
                  <w:tcW w:w="1454" w:type="pct"/>
                  <w:tcBorders>
                    <w:tl2br w:val="nil"/>
                    <w:tr2bl w:val="nil"/>
                  </w:tcBorders>
                  <w:vAlign w:val="center"/>
                </w:tcPr>
                <w:p w14:paraId="2924D045">
                  <w:pPr>
                    <w:widowControl/>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本项目评价范围内无自然保护区、饮用水源保护区等生态保护目标。本项目施工时加强管理，做好污水防治措施后，可确保水环境不受影响。</w:t>
                  </w:r>
                  <w:r>
                    <w:rPr>
                      <w:rFonts w:hint="eastAsia"/>
                      <w:color w:val="000000" w:themeColor="text1"/>
                      <w:kern w:val="0"/>
                      <w:sz w:val="21"/>
                      <w:szCs w:val="21"/>
                      <w:lang w:eastAsia="zh-CN" w:bidi="ar"/>
                      <w14:textFill>
                        <w14:solidFill>
                          <w14:schemeClr w14:val="tx1"/>
                        </w14:solidFill>
                      </w14:textFill>
                    </w:rPr>
                    <w:t>本项目周边无地表水体，</w:t>
                  </w:r>
                  <w:r>
                    <w:rPr>
                      <w:color w:val="000000" w:themeColor="text1"/>
                      <w:kern w:val="0"/>
                      <w:sz w:val="21"/>
                      <w:szCs w:val="21"/>
                      <w:lang w:bidi="ar"/>
                      <w14:textFill>
                        <w14:solidFill>
                          <w14:schemeClr w14:val="tx1"/>
                        </w14:solidFill>
                      </w14:textFill>
                    </w:rPr>
                    <w:t>环评要求施工期间禁止</w:t>
                  </w:r>
                  <w:r>
                    <w:rPr>
                      <w:rFonts w:hint="eastAsia"/>
                      <w:color w:val="000000" w:themeColor="text1"/>
                      <w:kern w:val="0"/>
                      <w:sz w:val="21"/>
                      <w:szCs w:val="21"/>
                      <w:lang w:eastAsia="zh-CN" w:bidi="ar"/>
                      <w14:textFill>
                        <w14:solidFill>
                          <w14:schemeClr w14:val="tx1"/>
                        </w14:solidFill>
                      </w14:textFill>
                    </w:rPr>
                    <w:t>向外环境</w:t>
                  </w:r>
                  <w:r>
                    <w:rPr>
                      <w:color w:val="000000" w:themeColor="text1"/>
                      <w:kern w:val="0"/>
                      <w:sz w:val="21"/>
                      <w:szCs w:val="21"/>
                      <w:lang w:bidi="ar"/>
                      <w14:textFill>
                        <w14:solidFill>
                          <w14:schemeClr w14:val="tx1"/>
                        </w14:solidFill>
                      </w14:textFill>
                    </w:rPr>
                    <w:t>排放、倾倒垃圾、弃土、弃渣，禁止排放未经处理的废弃物</w:t>
                  </w:r>
                  <w:r>
                    <w:rPr>
                      <w:color w:val="000000" w:themeColor="text1"/>
                      <w:kern w:val="0"/>
                      <w:sz w:val="21"/>
                      <w:szCs w:val="21"/>
                      <w:highlight w:val="none"/>
                      <w:lang w:bidi="ar"/>
                      <w14:textFill>
                        <w14:solidFill>
                          <w14:schemeClr w14:val="tx1"/>
                        </w14:solidFill>
                      </w14:textFill>
                    </w:rPr>
                    <w:t>。施工期间设置环保厕所</w:t>
                  </w:r>
                  <w:r>
                    <w:rPr>
                      <w:rFonts w:hint="eastAsia"/>
                      <w:color w:val="000000" w:themeColor="text1"/>
                      <w:kern w:val="0"/>
                      <w:sz w:val="21"/>
                      <w:szCs w:val="21"/>
                      <w:highlight w:val="none"/>
                      <w:lang w:eastAsia="zh-CN" w:bidi="ar"/>
                      <w14:textFill>
                        <w14:solidFill>
                          <w14:schemeClr w14:val="tx1"/>
                        </w14:solidFill>
                      </w14:textFill>
                    </w:rPr>
                    <w:t>及防渗废水收集池</w:t>
                  </w:r>
                  <w:r>
                    <w:rPr>
                      <w:color w:val="000000" w:themeColor="text1"/>
                      <w:kern w:val="0"/>
                      <w:sz w:val="21"/>
                      <w:szCs w:val="21"/>
                      <w:highlight w:val="none"/>
                      <w:lang w:bidi="ar"/>
                      <w14:textFill>
                        <w14:solidFill>
                          <w14:schemeClr w14:val="tx1"/>
                        </w14:solidFill>
                      </w14:textFill>
                    </w:rPr>
                    <w:t>，</w:t>
                  </w:r>
                  <w:r>
                    <w:rPr>
                      <w:rFonts w:hint="eastAsia"/>
                      <w:color w:val="000000" w:themeColor="text1"/>
                      <w:kern w:val="0"/>
                      <w:sz w:val="21"/>
                      <w:szCs w:val="21"/>
                      <w:highlight w:val="none"/>
                      <w:lang w:eastAsia="zh-CN" w:bidi="ar"/>
                      <w14:textFill>
                        <w14:solidFill>
                          <w14:schemeClr w14:val="tx1"/>
                        </w14:solidFill>
                      </w14:textFill>
                    </w:rPr>
                    <w:t>生活污水经收集后</w:t>
                  </w:r>
                  <w:r>
                    <w:rPr>
                      <w:color w:val="000000" w:themeColor="text1"/>
                      <w:kern w:val="0"/>
                      <w:sz w:val="21"/>
                      <w:szCs w:val="21"/>
                      <w:highlight w:val="none"/>
                      <w:lang w:bidi="ar"/>
                      <w14:textFill>
                        <w14:solidFill>
                          <w14:schemeClr w14:val="tx1"/>
                        </w14:solidFill>
                      </w14:textFill>
                    </w:rPr>
                    <w:t>定期清运至</w:t>
                  </w:r>
                  <w:r>
                    <w:rPr>
                      <w:rFonts w:hint="eastAsia"/>
                      <w:color w:val="000000" w:themeColor="text1"/>
                      <w:kern w:val="0"/>
                      <w:sz w:val="21"/>
                      <w:szCs w:val="21"/>
                      <w:highlight w:val="none"/>
                      <w:lang w:eastAsia="zh-CN" w:bidi="ar"/>
                      <w14:textFill>
                        <w14:solidFill>
                          <w14:schemeClr w14:val="tx1"/>
                        </w14:solidFill>
                      </w14:textFill>
                    </w:rPr>
                    <w:t>巴州且末县</w:t>
                  </w:r>
                  <w:r>
                    <w:rPr>
                      <w:color w:val="000000" w:themeColor="text1"/>
                      <w:kern w:val="0"/>
                      <w:sz w:val="21"/>
                      <w:szCs w:val="21"/>
                      <w:highlight w:val="none"/>
                      <w:lang w:bidi="ar"/>
                      <w14:textFill>
                        <w14:solidFill>
                          <w14:schemeClr w14:val="tx1"/>
                        </w14:solidFill>
                      </w14:textFill>
                    </w:rPr>
                    <w:t>污水处理厂，施工结束后</w:t>
                  </w:r>
                  <w:r>
                    <w:rPr>
                      <w:rFonts w:hint="eastAsia"/>
                      <w:color w:val="000000" w:themeColor="text1"/>
                      <w:kern w:val="0"/>
                      <w:sz w:val="21"/>
                      <w:szCs w:val="21"/>
                      <w:highlight w:val="none"/>
                      <w:lang w:eastAsia="zh-CN" w:bidi="ar"/>
                      <w14:textFill>
                        <w14:solidFill>
                          <w14:schemeClr w14:val="tx1"/>
                        </w14:solidFill>
                      </w14:textFill>
                    </w:rPr>
                    <w:t>对环保厕所及废水收集池进行</w:t>
                  </w:r>
                  <w:r>
                    <w:rPr>
                      <w:color w:val="000000" w:themeColor="text1"/>
                      <w:kern w:val="0"/>
                      <w:sz w:val="21"/>
                      <w:szCs w:val="21"/>
                      <w:highlight w:val="none"/>
                      <w:lang w:bidi="ar"/>
                      <w14:textFill>
                        <w14:solidFill>
                          <w14:schemeClr w14:val="tx1"/>
                        </w14:solidFill>
                      </w14:textFill>
                    </w:rPr>
                    <w:t>拆除。</w:t>
                  </w:r>
                </w:p>
              </w:tc>
              <w:tc>
                <w:tcPr>
                  <w:tcW w:w="436" w:type="pct"/>
                  <w:tcBorders>
                    <w:tl2br w:val="nil"/>
                    <w:tr2bl w:val="nil"/>
                  </w:tcBorders>
                  <w:vAlign w:val="center"/>
                </w:tcPr>
                <w:p w14:paraId="23FD75FC">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499106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71EA9264">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tcBorders>
                    <w:tl2br w:val="nil"/>
                    <w:tr2bl w:val="nil"/>
                  </w:tcBorders>
                  <w:vAlign w:val="center"/>
                </w:tcPr>
                <w:p w14:paraId="2EA35E8D">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大气环境保护</w:t>
                  </w:r>
                </w:p>
              </w:tc>
              <w:tc>
                <w:tcPr>
                  <w:tcW w:w="2400" w:type="pct"/>
                  <w:tcBorders>
                    <w:tl2br w:val="nil"/>
                    <w:tr2bl w:val="nil"/>
                  </w:tcBorders>
                  <w:vAlign w:val="center"/>
                </w:tcPr>
                <w:p w14:paraId="2BAA6295">
                  <w:pPr>
                    <w:widowControl/>
                    <w:wordWrap w:val="0"/>
                    <w:autoSpaceDE w:val="0"/>
                    <w:autoSpaceDN w:val="0"/>
                    <w:adjustRightInd w:val="0"/>
                    <w:snapToGrid w:val="0"/>
                    <w:spacing w:line="260" w:lineRule="exact"/>
                    <w:jc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1）施工过程中，应当加强对施工现场和物料运输的管理，在施工工地设置硬质围挡，保持道路清洁，管控料堆和渣土堆放，防治扬尘污染。（2）施工过程中，对易起尘的临时堆土、运输过程中的土石方等应采用密闭式防尘布（网）进行苫盖，施工面集中且有条件的地方宜采取洒水降尘等有效措施，减少易造成大气污染的施工作业。（3）施工过程中，建设单位应当对裸露地面进行覆盖；暂时不能开工的建设用地超过三个月的，应当进行绿化、铺装或者遮盖。（4）施工现场禁止将包装物、可燃垃圾等固体废弃物就地焚烧。</w:t>
                  </w:r>
                </w:p>
              </w:tc>
              <w:tc>
                <w:tcPr>
                  <w:tcW w:w="1454" w:type="pct"/>
                  <w:tcBorders>
                    <w:tl2br w:val="nil"/>
                    <w:tr2bl w:val="nil"/>
                  </w:tcBorders>
                  <w:vAlign w:val="center"/>
                </w:tcPr>
                <w:p w14:paraId="2BF17B1E">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本项目施工期间，要求对升压</w:t>
                  </w:r>
                  <w:r>
                    <w:rPr>
                      <w:rFonts w:hint="eastAsia"/>
                      <w:color w:val="000000" w:themeColor="text1"/>
                      <w:sz w:val="21"/>
                      <w:szCs w:val="21"/>
                      <w:lang w:val="en-US" w:eastAsia="zh-CN"/>
                      <w14:textFill>
                        <w14:solidFill>
                          <w14:schemeClr w14:val="tx1"/>
                        </w14:solidFill>
                      </w14:textFill>
                    </w:rPr>
                    <w:t>汇集</w:t>
                  </w:r>
                  <w:r>
                    <w:rPr>
                      <w:color w:val="000000" w:themeColor="text1"/>
                      <w:sz w:val="21"/>
                      <w:szCs w:val="21"/>
                      <w14:textFill>
                        <w14:solidFill>
                          <w14:schemeClr w14:val="tx1"/>
                        </w14:solidFill>
                      </w14:textFill>
                    </w:rPr>
                    <w:t>站施工场地设置围挡，对易起尘的临时堆土、运输车辆采用密闭式防风抑尘网苫盖，施工面采用洒水降尘措施；施工现场建筑垃圾和生活垃圾分类收集后合理处置，不在场地焚烧。</w:t>
                  </w:r>
                </w:p>
              </w:tc>
              <w:tc>
                <w:tcPr>
                  <w:tcW w:w="436" w:type="pct"/>
                  <w:tcBorders>
                    <w:tl2br w:val="nil"/>
                    <w:tr2bl w:val="nil"/>
                  </w:tcBorders>
                  <w:vAlign w:val="center"/>
                </w:tcPr>
                <w:p w14:paraId="6658EBA5">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2B3AC3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6B1F1918">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restart"/>
                  <w:tcBorders>
                    <w:tl2br w:val="nil"/>
                    <w:tr2bl w:val="nil"/>
                  </w:tcBorders>
                  <w:vAlign w:val="center"/>
                </w:tcPr>
                <w:p w14:paraId="0617E0AB">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固体废物处置</w:t>
                  </w:r>
                </w:p>
              </w:tc>
              <w:tc>
                <w:tcPr>
                  <w:tcW w:w="2400" w:type="pct"/>
                  <w:tcBorders>
                    <w:tl2br w:val="nil"/>
                    <w:tr2bl w:val="nil"/>
                  </w:tcBorders>
                  <w:vAlign w:val="center"/>
                </w:tcPr>
                <w:p w14:paraId="113BA0B7">
                  <w:pPr>
                    <w:widowControl/>
                    <w:wordWrap w:val="0"/>
                    <w:autoSpaceDE w:val="0"/>
                    <w:autoSpaceDN w:val="0"/>
                    <w:adjustRightInd w:val="0"/>
                    <w:snapToGrid w:val="0"/>
                    <w:spacing w:line="260" w:lineRule="exact"/>
                    <w:jc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施工过程中产生的土石方、建筑垃圾、生活垃圾应分类集中收集，并按国家和地方有关规定定期进行清运处置，施工完成后及时做好迹地清理工作。</w:t>
                  </w:r>
                </w:p>
              </w:tc>
              <w:tc>
                <w:tcPr>
                  <w:tcW w:w="1454" w:type="pct"/>
                  <w:tcBorders>
                    <w:tl2br w:val="nil"/>
                    <w:tr2bl w:val="nil"/>
                  </w:tcBorders>
                  <w:vAlign w:val="center"/>
                </w:tcPr>
                <w:p w14:paraId="4D56C73C">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施工现场建筑垃圾和生活垃圾分类收集后均合理处置。剩余土石方就地平整，施工完成后及时做好迹地清理工作。</w:t>
                  </w:r>
                </w:p>
              </w:tc>
              <w:tc>
                <w:tcPr>
                  <w:tcW w:w="436" w:type="pct"/>
                  <w:tcBorders>
                    <w:tl2br w:val="nil"/>
                    <w:tr2bl w:val="nil"/>
                  </w:tcBorders>
                  <w:vAlign w:val="center"/>
                </w:tcPr>
                <w:p w14:paraId="0AF577B0">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r w14:paraId="5667BA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vMerge w:val="continue"/>
                  <w:tcBorders>
                    <w:tl2br w:val="nil"/>
                    <w:tr2bl w:val="nil"/>
                  </w:tcBorders>
                  <w:vAlign w:val="center"/>
                </w:tcPr>
                <w:p w14:paraId="10AC72D8">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447" w:type="pct"/>
                  <w:vMerge w:val="continue"/>
                  <w:tcBorders>
                    <w:tl2br w:val="nil"/>
                    <w:tr2bl w:val="nil"/>
                  </w:tcBorders>
                  <w:vAlign w:val="center"/>
                </w:tcPr>
                <w:p w14:paraId="5F1312FA">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p>
              </w:tc>
              <w:tc>
                <w:tcPr>
                  <w:tcW w:w="2400" w:type="pct"/>
                  <w:tcBorders>
                    <w:tl2br w:val="nil"/>
                    <w:tr2bl w:val="nil"/>
                  </w:tcBorders>
                  <w:vAlign w:val="center"/>
                </w:tcPr>
                <w:p w14:paraId="6D38B78D">
                  <w:pPr>
                    <w:widowControl/>
                    <w:wordWrap w:val="0"/>
                    <w:autoSpaceDE w:val="0"/>
                    <w:autoSpaceDN w:val="0"/>
                    <w:adjustRightInd w:val="0"/>
                    <w:snapToGrid w:val="0"/>
                    <w:spacing w:line="260" w:lineRule="exact"/>
                    <w:jc w:val="center"/>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在农田和经济作物区施工时，施工临时占地宜采取隔离保护措施，施工结束后应将混凝土余料和残渣及时清除，以免影响后期土地功能的恢复。</w:t>
                  </w:r>
                </w:p>
              </w:tc>
              <w:tc>
                <w:tcPr>
                  <w:tcW w:w="1454" w:type="pct"/>
                  <w:tcBorders>
                    <w:tl2br w:val="nil"/>
                    <w:tr2bl w:val="nil"/>
                  </w:tcBorders>
                  <w:vAlign w:val="center"/>
                </w:tcPr>
                <w:p w14:paraId="2F7A4056">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本项目地表类型为</w:t>
                  </w:r>
                  <w:r>
                    <w:rPr>
                      <w:rFonts w:hint="eastAsia"/>
                      <w:color w:val="000000" w:themeColor="text1"/>
                      <w:sz w:val="21"/>
                      <w:szCs w:val="21"/>
                      <w:lang w:eastAsia="zh-CN"/>
                      <w14:textFill>
                        <w14:solidFill>
                          <w14:schemeClr w14:val="tx1"/>
                        </w14:solidFill>
                      </w14:textFill>
                    </w:rPr>
                    <w:t>沙地</w:t>
                  </w:r>
                  <w:r>
                    <w:rPr>
                      <w:rFonts w:hint="eastAsia"/>
                      <w:color w:val="000000" w:themeColor="text1"/>
                      <w:sz w:val="21"/>
                      <w:szCs w:val="21"/>
                      <w:lang w:val="en-US" w:eastAsia="zh-CN"/>
                      <w14:textFill>
                        <w14:solidFill>
                          <w14:schemeClr w14:val="tx1"/>
                        </w14:solidFill>
                      </w14:textFill>
                    </w:rPr>
                    <w:t>及后备耕地</w:t>
                  </w:r>
                  <w:r>
                    <w:rPr>
                      <w:color w:val="000000" w:themeColor="text1"/>
                      <w:sz w:val="21"/>
                      <w:szCs w:val="21"/>
                      <w14:textFill>
                        <w14:solidFill>
                          <w14:schemeClr w14:val="tx1"/>
                        </w14:solidFill>
                      </w14:textFill>
                    </w:rPr>
                    <w:t>，并没有在农田和经济作物区施工。</w:t>
                  </w:r>
                </w:p>
              </w:tc>
              <w:tc>
                <w:tcPr>
                  <w:tcW w:w="436" w:type="pct"/>
                  <w:tcBorders>
                    <w:tl2br w:val="nil"/>
                    <w:tr2bl w:val="nil"/>
                  </w:tcBorders>
                  <w:vAlign w:val="center"/>
                </w:tcPr>
                <w:p w14:paraId="40CB6A23">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kern w:val="21"/>
                      <w:sz w:val="21"/>
                      <w:szCs w:val="21"/>
                      <w14:textFill>
                        <w14:solidFill>
                          <w14:schemeClr w14:val="tx1"/>
                        </w14:solidFill>
                      </w14:textFill>
                    </w:rPr>
                    <w:t>符合</w:t>
                  </w:r>
                </w:p>
              </w:tc>
            </w:tr>
            <w:tr w14:paraId="1161CE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1" w:type="pct"/>
                  <w:tcBorders>
                    <w:tl2br w:val="nil"/>
                    <w:tr2bl w:val="nil"/>
                  </w:tcBorders>
                  <w:vAlign w:val="center"/>
                </w:tcPr>
                <w:p w14:paraId="5128F8A2">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运行</w:t>
                  </w:r>
                </w:p>
              </w:tc>
              <w:tc>
                <w:tcPr>
                  <w:tcW w:w="447" w:type="pct"/>
                  <w:tcBorders>
                    <w:tl2br w:val="nil"/>
                    <w:tr2bl w:val="nil"/>
                  </w:tcBorders>
                  <w:vAlign w:val="center"/>
                </w:tcPr>
                <w:p w14:paraId="27F5341A">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2400" w:type="pct"/>
                  <w:tcBorders>
                    <w:tl2br w:val="nil"/>
                    <w:tr2bl w:val="nil"/>
                  </w:tcBorders>
                  <w:vAlign w:val="center"/>
                </w:tcPr>
                <w:p w14:paraId="5AC82B1D">
                  <w:pPr>
                    <w:widowControl/>
                    <w:wordWrap w:val="0"/>
                    <w:autoSpaceDE w:val="0"/>
                    <w:autoSpaceDN w:val="0"/>
                    <w:adjustRightInd w:val="0"/>
                    <w:snapToGrid w:val="0"/>
                    <w:spacing w:line="260" w:lineRule="exact"/>
                    <w:jc w:val="center"/>
                    <w:rPr>
                      <w:color w:val="000000" w:themeColor="text1"/>
                      <w:kern w:val="0"/>
                      <w:sz w:val="21"/>
                      <w:szCs w:val="21"/>
                      <w:lang w:bidi="ar"/>
                      <w14:textFill>
                        <w14:solidFill>
                          <w14:schemeClr w14:val="tx1"/>
                        </w14:solidFill>
                      </w14:textFill>
                    </w:rPr>
                  </w:pPr>
                  <w:r>
                    <w:rPr>
                      <w:color w:val="000000" w:themeColor="text1"/>
                      <w:sz w:val="21"/>
                      <w:szCs w:val="21"/>
                      <w14:textFill>
                        <w14:solidFill>
                          <w14:schemeClr w14:val="tx1"/>
                        </w14:solidFill>
                      </w14:textFill>
                    </w:rPr>
                    <w:t>（1）运行期做好环境保护设施的维护和运行管理，加强巡查和检查，保障发挥环境保护作用。定期开展环境监测，确保电磁、噪声、废水排放符合GB8702、GB12348、GB8978等国家标准要求，并及时解决公众合理的环境保护诉求。（2）主要声源设备大修前后，应对变电工程厂界排放噪声和周围声环境敏感目标环境噪声进行监测，监测结果向社会公开。（3）运行</w:t>
                  </w:r>
                  <w:r>
                    <w:rPr>
                      <w:rFonts w:hint="eastAsia"/>
                      <w:color w:val="000000" w:themeColor="text1"/>
                      <w:sz w:val="21"/>
                      <w:szCs w:val="21"/>
                      <w:lang w:eastAsia="zh-CN"/>
                      <w14:textFill>
                        <w14:solidFill>
                          <w14:schemeClr w14:val="tx1"/>
                        </w14:solidFill>
                      </w14:textFill>
                    </w:rPr>
                    <w:t>期间</w:t>
                  </w:r>
                  <w:r>
                    <w:rPr>
                      <w:color w:val="000000" w:themeColor="text1"/>
                      <w:sz w:val="21"/>
                      <w:szCs w:val="21"/>
                      <w14:textFill>
                        <w14:solidFill>
                          <w14:schemeClr w14:val="tx1"/>
                        </w14:solidFill>
                      </w14:textFill>
                    </w:rPr>
                    <w:t>应对事故油池的完好情况进行检查，确保无渗漏、无溢流。（4）变电工程运行过程中产生的变压器油、高抗油等矿物油应进行回收处理。废矿物油作为危险废物应交由有资质的单位回收处理，严禁随意丢弃。不能立即回收处理的应暂存在危险废物暂存间或暂存区。（5）针对变电工程站内可能发生的突发环境事件，应按照HJ169等国家有关规定制定突发环境事件应急预案，并定期演练。</w:t>
                  </w:r>
                </w:p>
              </w:tc>
              <w:tc>
                <w:tcPr>
                  <w:tcW w:w="1454" w:type="pct"/>
                  <w:tcBorders>
                    <w:tl2br w:val="nil"/>
                    <w:tr2bl w:val="nil"/>
                  </w:tcBorders>
                  <w:vAlign w:val="center"/>
                </w:tcPr>
                <w:p w14:paraId="7182A919">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环评要求项目运营期开展环境监测，确保电磁、噪声排放满足相关标准要求</w:t>
                  </w:r>
                  <w:r>
                    <w:rPr>
                      <w:rFonts w:hint="eastAsia"/>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环评要求主要声源设备大修前后，对厂界噪声进行监测并公开</w:t>
                  </w:r>
                  <w:r>
                    <w:rPr>
                      <w:rFonts w:hint="eastAsia"/>
                      <w:color w:val="000000" w:themeColor="text1"/>
                      <w:sz w:val="21"/>
                      <w:szCs w:val="21"/>
                      <w:lang w:eastAsia="zh-CN"/>
                      <w14:textFill>
                        <w14:solidFill>
                          <w14:schemeClr w14:val="tx1"/>
                        </w14:solidFill>
                      </w14:textFill>
                    </w:rPr>
                    <w:t>；运行期间定期对事故油池进行检查；运行过程中产生的</w:t>
                  </w:r>
                  <w:r>
                    <w:rPr>
                      <w:rFonts w:hint="eastAsia"/>
                      <w:color w:val="000000" w:themeColor="text1"/>
                      <w:sz w:val="21"/>
                      <w:szCs w:val="21"/>
                      <w:lang w:val="en-US" w:eastAsia="zh-CN"/>
                      <w14:textFill>
                        <w14:solidFill>
                          <w14:schemeClr w14:val="tx1"/>
                        </w14:solidFill>
                      </w14:textFill>
                    </w:rPr>
                    <w:t>危险废物</w:t>
                  </w:r>
                  <w:r>
                    <w:rPr>
                      <w:rFonts w:hint="eastAsia"/>
                      <w:color w:val="000000" w:themeColor="text1"/>
                      <w:sz w:val="21"/>
                      <w:szCs w:val="21"/>
                      <w:lang w:eastAsia="zh-CN"/>
                      <w14:textFill>
                        <w14:solidFill>
                          <w14:schemeClr w14:val="tx1"/>
                        </w14:solidFill>
                      </w14:textFill>
                    </w:rPr>
                    <w:t>交危废处置资质单位进行处置；</w:t>
                  </w:r>
                  <w:r>
                    <w:rPr>
                      <w:color w:val="000000" w:themeColor="text1"/>
                      <w:sz w:val="21"/>
                      <w:szCs w:val="21"/>
                      <w14:textFill>
                        <w14:solidFill>
                          <w14:schemeClr w14:val="tx1"/>
                        </w14:solidFill>
                      </w14:textFill>
                    </w:rPr>
                    <w:t>本项目环评要求编制</w:t>
                  </w:r>
                  <w:r>
                    <w:rPr>
                      <w:rFonts w:hint="eastAsia"/>
                      <w:color w:val="000000" w:themeColor="text1"/>
                      <w:sz w:val="21"/>
                      <w:szCs w:val="21"/>
                      <w:lang w:eastAsia="zh-CN"/>
                      <w14:textFill>
                        <w14:solidFill>
                          <w14:schemeClr w14:val="tx1"/>
                        </w14:solidFill>
                      </w14:textFill>
                    </w:rPr>
                    <w:t>突发环境事件</w:t>
                  </w:r>
                  <w:r>
                    <w:rPr>
                      <w:color w:val="000000" w:themeColor="text1"/>
                      <w:sz w:val="21"/>
                      <w:szCs w:val="21"/>
                      <w14:textFill>
                        <w14:solidFill>
                          <w14:schemeClr w14:val="tx1"/>
                        </w14:solidFill>
                      </w14:textFill>
                    </w:rPr>
                    <w:t>应急预案，并定期演练。</w:t>
                  </w:r>
                </w:p>
              </w:tc>
              <w:tc>
                <w:tcPr>
                  <w:tcW w:w="436" w:type="pct"/>
                  <w:tcBorders>
                    <w:tl2br w:val="nil"/>
                    <w:tr2bl w:val="nil"/>
                  </w:tcBorders>
                  <w:vAlign w:val="center"/>
                </w:tcPr>
                <w:p w14:paraId="5C8CCFB6">
                  <w:pPr>
                    <w:wordWrap w:val="0"/>
                    <w:autoSpaceDE w:val="0"/>
                    <w:autoSpaceDN w:val="0"/>
                    <w:adjustRightInd w:val="0"/>
                    <w:snapToGrid w:val="0"/>
                    <w:spacing w:line="260" w:lineRule="exact"/>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符合</w:t>
                  </w:r>
                </w:p>
              </w:tc>
            </w:tr>
          </w:tbl>
          <w:p w14:paraId="482EDB8A">
            <w:pPr>
              <w:snapToGrid w:val="0"/>
              <w:spacing w:line="500" w:lineRule="exact"/>
              <w:ind w:firstLine="482" w:firstLineChars="200"/>
              <w:rPr>
                <w:rFonts w:hint="default" w:cs="Times New Roman" w:eastAsiaTheme="minorEastAsia"/>
                <w:b/>
                <w:bCs/>
                <w:color w:val="000000" w:themeColor="text1"/>
                <w:kern w:val="0"/>
                <w:sz w:val="24"/>
                <w:szCs w:val="24"/>
                <w:lang w:val="en-US" w:eastAsia="zh-CN" w:bidi="ar"/>
                <w14:textFill>
                  <w14:solidFill>
                    <w14:schemeClr w14:val="tx1"/>
                  </w14:solidFill>
                </w14:textFill>
              </w:rPr>
            </w:pPr>
            <w:r>
              <w:rPr>
                <w:rFonts w:hint="eastAsia" w:cs="Times New Roman" w:eastAsiaTheme="minorEastAsia"/>
                <w:b/>
                <w:bCs/>
                <w:color w:val="000000" w:themeColor="text1"/>
                <w:kern w:val="0"/>
                <w:sz w:val="24"/>
                <w:szCs w:val="24"/>
                <w:lang w:val="en-US" w:eastAsia="zh-CN" w:bidi="ar"/>
                <w14:textFill>
                  <w14:solidFill>
                    <w14:schemeClr w14:val="tx1"/>
                  </w14:solidFill>
                </w14:textFill>
              </w:rPr>
              <w:t>10.项目与《新疆维吾尔自治区辐射污染防治办法》符合性分析</w:t>
            </w:r>
          </w:p>
          <w:p w14:paraId="6E76AC3B">
            <w:pPr>
              <w:snapToGrid w:val="0"/>
              <w:spacing w:line="500" w:lineRule="exact"/>
              <w:ind w:firstLine="480" w:firstLineChars="200"/>
              <w:rPr>
                <w:rFonts w:hint="eastAsia" w:cs="Times New Roman" w:eastAsiaTheme="minorEastAsia"/>
                <w:b/>
                <w:bCs/>
                <w:color w:val="000000" w:themeColor="text1"/>
                <w:kern w:val="0"/>
                <w:sz w:val="24"/>
                <w:szCs w:val="24"/>
                <w:lang w:val="en-US" w:eastAsia="zh-CN" w:bidi="ar"/>
                <w14:textFill>
                  <w14:solidFill>
                    <w14:schemeClr w14:val="tx1"/>
                  </w14:solidFill>
                </w14:textFill>
              </w:rPr>
            </w:pPr>
            <w:r>
              <w:rPr>
                <w:color w:val="000000" w:themeColor="text1"/>
                <w:highlight w:val="none"/>
                <w14:textFill>
                  <w14:solidFill>
                    <w14:schemeClr w14:val="tx1"/>
                  </w14:solidFill>
                </w14:textFill>
              </w:rPr>
              <w:t>建设项目与</w:t>
            </w:r>
            <w:r>
              <w:rPr>
                <w:rFonts w:hint="eastAsia"/>
                <w:color w:val="000000" w:themeColor="text1"/>
                <w:highlight w:val="none"/>
                <w:lang w:eastAsia="zh-CN"/>
                <w14:textFill>
                  <w14:solidFill>
                    <w14:schemeClr w14:val="tx1"/>
                  </w14:solidFill>
                </w14:textFill>
              </w:rPr>
              <w:t>《新疆维吾尔自治区辐射污染防治办法》</w:t>
            </w:r>
            <w:r>
              <w:rPr>
                <w:rFonts w:hint="eastAsia"/>
                <w:color w:val="000000" w:themeColor="text1"/>
                <w:highlight w:val="none"/>
                <w:lang w:val="en-US" w:eastAsia="zh-CN"/>
                <w14:textFill>
                  <w14:solidFill>
                    <w14:schemeClr w14:val="tx1"/>
                  </w14:solidFill>
                </w14:textFill>
              </w:rPr>
              <w:t>的</w:t>
            </w:r>
            <w:r>
              <w:rPr>
                <w:color w:val="000000" w:themeColor="text1"/>
                <w:highlight w:val="none"/>
                <w14:textFill>
                  <w14:solidFill>
                    <w14:schemeClr w14:val="tx1"/>
                  </w14:solidFill>
                </w14:textFill>
              </w:rPr>
              <w:t>符合性分析见</w:t>
            </w:r>
            <w:r>
              <w:rPr>
                <w:rFonts w:hint="eastAsia"/>
                <w:color w:val="000000" w:themeColor="text1"/>
                <w:highlight w:val="none"/>
                <w:lang w:val="en-US" w:eastAsia="zh-CN"/>
                <w14:textFill>
                  <w14:solidFill>
                    <w14:schemeClr w14:val="tx1"/>
                  </w14:solidFill>
                </w14:textFill>
              </w:rPr>
              <w:t>下表</w:t>
            </w:r>
            <w:r>
              <w:rPr>
                <w:color w:val="000000" w:themeColor="text1"/>
                <w:highlight w:val="none"/>
                <w14:textFill>
                  <w14:solidFill>
                    <w14:schemeClr w14:val="tx1"/>
                  </w14:solidFill>
                </w14:textFill>
              </w:rPr>
              <w:t>。</w:t>
            </w:r>
          </w:p>
          <w:p w14:paraId="5AF88C4E">
            <w:pPr>
              <w:tabs>
                <w:tab w:val="left" w:pos="4586"/>
                <w:tab w:val="left" w:pos="5786"/>
              </w:tabs>
              <w:autoSpaceDE w:val="0"/>
              <w:autoSpaceDN w:val="0"/>
              <w:adjustRightInd w:val="0"/>
              <w:snapToGrid w:val="0"/>
              <w:jc w:val="center"/>
              <w:rPr>
                <w:rFonts w:hint="eastAsia" w:ascii="黑体" w:hAnsi="黑体" w:eastAsia="黑体" w:cs="黑体"/>
                <w:color w:val="000000" w:themeColor="text1"/>
                <w:kern w:val="0"/>
                <w:sz w:val="21"/>
                <w:szCs w:val="21"/>
                <w14:textFill>
                  <w14:solidFill>
                    <w14:schemeClr w14:val="tx1"/>
                  </w14:solidFill>
                </w14:textFill>
              </w:rPr>
            </w:pPr>
            <w:r>
              <w:rPr>
                <w:rFonts w:hint="eastAsia" w:ascii="黑体" w:hAnsi="黑体" w:eastAsia="黑体" w:cs="黑体"/>
                <w:color w:val="000000" w:themeColor="text1"/>
                <w:kern w:val="0"/>
                <w:sz w:val="21"/>
                <w:szCs w:val="21"/>
                <w:lang w:val="en-US" w:eastAsia="zh-CN"/>
                <w14:textFill>
                  <w14:solidFill>
                    <w14:schemeClr w14:val="tx1"/>
                  </w14:solidFill>
                </w14:textFill>
              </w:rPr>
              <w:t xml:space="preserve">表1-3    </w:t>
            </w:r>
            <w:r>
              <w:rPr>
                <w:rFonts w:hint="eastAsia" w:ascii="黑体" w:hAnsi="黑体" w:eastAsia="黑体" w:cs="黑体"/>
                <w:color w:val="000000" w:themeColor="text1"/>
                <w:kern w:val="0"/>
                <w:sz w:val="21"/>
                <w:szCs w:val="21"/>
                <w14:textFill>
                  <w14:solidFill>
                    <w14:schemeClr w14:val="tx1"/>
                  </w14:solidFill>
                </w14:textFill>
              </w:rPr>
              <w:t>与</w:t>
            </w:r>
            <w:r>
              <w:rPr>
                <w:rFonts w:hint="eastAsia" w:ascii="黑体" w:hAnsi="黑体" w:eastAsia="黑体" w:cs="黑体"/>
                <w:color w:val="000000" w:themeColor="text1"/>
                <w:kern w:val="0"/>
                <w:sz w:val="21"/>
                <w:szCs w:val="21"/>
                <w:lang w:eastAsia="zh-CN"/>
                <w14:textFill>
                  <w14:solidFill>
                    <w14:schemeClr w14:val="tx1"/>
                  </w14:solidFill>
                </w14:textFill>
              </w:rPr>
              <w:t>《新疆维吾尔自治区辐射污染防治办法》</w:t>
            </w:r>
            <w:r>
              <w:rPr>
                <w:rFonts w:hint="eastAsia" w:ascii="黑体" w:hAnsi="黑体" w:eastAsia="黑体" w:cs="黑体"/>
                <w:color w:val="000000" w:themeColor="text1"/>
                <w:kern w:val="0"/>
                <w:sz w:val="21"/>
                <w:szCs w:val="21"/>
                <w14:textFill>
                  <w14:solidFill>
                    <w14:schemeClr w14:val="tx1"/>
                  </w14:solidFill>
                </w14:textFill>
              </w:rPr>
              <w:t>符合性分析</w:t>
            </w:r>
          </w:p>
          <w:tbl>
            <w:tblPr>
              <w:tblStyle w:val="27"/>
              <w:tblW w:w="493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451"/>
              <w:gridCol w:w="2952"/>
              <w:gridCol w:w="750"/>
            </w:tblGrid>
            <w:tr w14:paraId="1FEA1E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9" w:type="pct"/>
                  <w:tcBorders>
                    <w:tl2br w:val="nil"/>
                    <w:tr2bl w:val="nil"/>
                  </w:tcBorders>
                  <w:noWrap w:val="0"/>
                  <w:vAlign w:val="center"/>
                </w:tcPr>
                <w:p w14:paraId="7839F466">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相关要求</w:t>
                  </w:r>
                </w:p>
              </w:tc>
              <w:tc>
                <w:tcPr>
                  <w:tcW w:w="1810" w:type="pct"/>
                  <w:tcBorders>
                    <w:tl2br w:val="nil"/>
                    <w:tr2bl w:val="nil"/>
                  </w:tcBorders>
                  <w:noWrap w:val="0"/>
                  <w:vAlign w:val="center"/>
                </w:tcPr>
                <w:p w14:paraId="6BD9F19F">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rFonts w:hint="eastAsia" w:eastAsia="宋体"/>
                      <w:color w:val="000000" w:themeColor="text1"/>
                      <w:highlight w:val="none"/>
                      <w:lang w:val="en-US" w:eastAsia="zh-CN"/>
                      <w14:textFill>
                        <w14:solidFill>
                          <w14:schemeClr w14:val="tx1"/>
                        </w14:solidFill>
                      </w14:textFill>
                    </w:rPr>
                  </w:pPr>
                  <w:r>
                    <w:rPr>
                      <w:color w:val="000000" w:themeColor="text1"/>
                      <w:highlight w:val="none"/>
                      <w:lang w:val="zh-CN"/>
                      <w14:textFill>
                        <w14:solidFill>
                          <w14:schemeClr w14:val="tx1"/>
                        </w14:solidFill>
                      </w14:textFill>
                    </w:rPr>
                    <w:t>项目</w:t>
                  </w:r>
                  <w:r>
                    <w:rPr>
                      <w:rFonts w:hint="eastAsia"/>
                      <w:color w:val="000000" w:themeColor="text1"/>
                      <w:highlight w:val="none"/>
                      <w:lang w:val="en-US" w:eastAsia="zh-CN"/>
                      <w14:textFill>
                        <w14:solidFill>
                          <w14:schemeClr w14:val="tx1"/>
                        </w14:solidFill>
                      </w14:textFill>
                    </w:rPr>
                    <w:t>情况</w:t>
                  </w:r>
                </w:p>
              </w:tc>
              <w:tc>
                <w:tcPr>
                  <w:tcW w:w="460" w:type="pct"/>
                  <w:tcBorders>
                    <w:tl2br w:val="nil"/>
                    <w:tr2bl w:val="nil"/>
                  </w:tcBorders>
                  <w:noWrap w:val="0"/>
                  <w:vAlign w:val="center"/>
                </w:tcPr>
                <w:p w14:paraId="291798F7">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color w:val="000000" w:themeColor="text1"/>
                      <w:highlight w:val="none"/>
                      <w:lang w:val="zh-CN"/>
                      <w14:textFill>
                        <w14:solidFill>
                          <w14:schemeClr w14:val="tx1"/>
                        </w14:solidFill>
                      </w14:textFill>
                    </w:rPr>
                  </w:pPr>
                  <w:r>
                    <w:rPr>
                      <w:color w:val="000000" w:themeColor="text1"/>
                      <w:highlight w:val="none"/>
                      <w:lang w:val="zh-CN"/>
                      <w14:textFill>
                        <w14:solidFill>
                          <w14:schemeClr w14:val="tx1"/>
                        </w14:solidFill>
                      </w14:textFill>
                    </w:rPr>
                    <w:t>相符性</w:t>
                  </w:r>
                </w:p>
              </w:tc>
            </w:tr>
            <w:tr w14:paraId="03BD4D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9" w:type="pct"/>
                  <w:tcBorders>
                    <w:tl2br w:val="nil"/>
                    <w:tr2bl w:val="nil"/>
                  </w:tcBorders>
                  <w:noWrap w:val="0"/>
                  <w:vAlign w:val="center"/>
                </w:tcPr>
                <w:p w14:paraId="763BD577">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color w:val="000000" w:themeColor="text1"/>
                      <w:highlight w:val="none"/>
                      <w14:textFill>
                        <w14:solidFill>
                          <w14:schemeClr w14:val="tx1"/>
                        </w14:solidFill>
                      </w14:textFill>
                    </w:rPr>
                  </w:pPr>
                  <w:r>
                    <w:rPr>
                      <w:rFonts w:hint="default"/>
                      <w:color w:val="000000" w:themeColor="text1"/>
                      <w:highlight w:val="none"/>
                      <w:lang w:val="en-US" w:eastAsia="zh-CN"/>
                      <w14:textFill>
                        <w14:solidFill>
                          <w14:schemeClr w14:val="tx1"/>
                        </w14:solidFill>
                      </w14:textFill>
                    </w:rPr>
                    <w:t>第三十条 电磁辐射建设项目或者电磁辐射设备与周围建筑物之间的防护距离，应当符合经批准的环境影响评价文件的要求。</w:t>
                  </w:r>
                </w:p>
              </w:tc>
              <w:tc>
                <w:tcPr>
                  <w:tcW w:w="1810" w:type="pct"/>
                  <w:tcBorders>
                    <w:tl2br w:val="nil"/>
                    <w:tr2bl w:val="nil"/>
                  </w:tcBorders>
                  <w:noWrap w:val="0"/>
                  <w:vAlign w:val="center"/>
                </w:tcPr>
                <w:p w14:paraId="3B89A83F">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项目升压汇集站、外送线路</w:t>
                  </w:r>
                  <w:r>
                    <w:rPr>
                      <w:color w:val="000000" w:themeColor="text1"/>
                      <w14:textFill>
                        <w14:solidFill>
                          <w14:schemeClr w14:val="tx1"/>
                        </w14:solidFill>
                      </w14:textFill>
                    </w:rPr>
                    <w:t>电磁环境影响评价范围</w:t>
                  </w:r>
                  <w:r>
                    <w:rPr>
                      <w:rFonts w:hint="eastAsia"/>
                      <w:color w:val="000000" w:themeColor="text1"/>
                      <w:lang w:val="en-US" w:eastAsia="zh-CN"/>
                      <w14:textFill>
                        <w14:solidFill>
                          <w14:schemeClr w14:val="tx1"/>
                        </w14:solidFill>
                      </w14:textFill>
                    </w:rPr>
                    <w:t>无电磁环境保护目标</w:t>
                  </w:r>
                  <w:r>
                    <w:rPr>
                      <w:rFonts w:hint="eastAsia"/>
                      <w:color w:val="000000" w:themeColor="text1"/>
                      <w:highlight w:val="none"/>
                      <w:lang w:val="en-US" w:eastAsia="zh-CN"/>
                      <w14:textFill>
                        <w14:solidFill>
                          <w14:schemeClr w14:val="tx1"/>
                        </w14:solidFill>
                      </w14:textFill>
                    </w:rPr>
                    <w:t>，根据预测结果，本工程运行产生的工频电场、工频磁感应强度小于《电磁环境控制限值》（GB 8702-2014）中公众曝露控制限值的要求，项目对周边的电磁环境影响较小。</w:t>
                  </w:r>
                </w:p>
              </w:tc>
              <w:tc>
                <w:tcPr>
                  <w:tcW w:w="460" w:type="pct"/>
                  <w:tcBorders>
                    <w:tl2br w:val="nil"/>
                    <w:tr2bl w:val="nil"/>
                  </w:tcBorders>
                  <w:noWrap w:val="0"/>
                  <w:vAlign w:val="center"/>
                </w:tcPr>
                <w:p w14:paraId="23096657">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216DB6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9" w:type="pct"/>
                  <w:tcBorders>
                    <w:tl2br w:val="nil"/>
                    <w:tr2bl w:val="nil"/>
                  </w:tcBorders>
                  <w:noWrap w:val="0"/>
                  <w:vAlign w:val="center"/>
                </w:tcPr>
                <w:p w14:paraId="13407C26">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第三十一条 与电磁辐射建设项目配套建设的电磁辐射防护设施，应当与主体工程同时设计、同时施工、同时使用。</w:t>
                  </w:r>
                </w:p>
              </w:tc>
              <w:tc>
                <w:tcPr>
                  <w:tcW w:w="1810" w:type="pct"/>
                  <w:tcBorders>
                    <w:tl2br w:val="nil"/>
                    <w:tr2bl w:val="nil"/>
                  </w:tcBorders>
                  <w:noWrap w:val="0"/>
                  <w:vAlign w:val="center"/>
                </w:tcPr>
                <w:p w14:paraId="0512CC04">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本工程严格按照“三同时”要求建设运行。</w:t>
                  </w:r>
                </w:p>
              </w:tc>
              <w:tc>
                <w:tcPr>
                  <w:tcW w:w="460" w:type="pct"/>
                  <w:tcBorders>
                    <w:tl2br w:val="nil"/>
                    <w:tr2bl w:val="nil"/>
                  </w:tcBorders>
                  <w:noWrap w:val="0"/>
                  <w:vAlign w:val="center"/>
                </w:tcPr>
                <w:p w14:paraId="3C959C00">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r w14:paraId="779A46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729" w:type="pct"/>
                  <w:tcBorders>
                    <w:tl2br w:val="nil"/>
                    <w:tr2bl w:val="nil"/>
                  </w:tcBorders>
                  <w:noWrap w:val="0"/>
                  <w:vAlign w:val="center"/>
                </w:tcPr>
                <w:p w14:paraId="7B4611CB">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第三十二条 电磁辐射建设项目竣工后，建设单位应当向审批该建设项目环境影响评价文件的环境保护主管部门提出电磁辐射防护设施竣工验收申请；经验收合格后，方可投入运行。</w:t>
                  </w:r>
                </w:p>
              </w:tc>
              <w:tc>
                <w:tcPr>
                  <w:tcW w:w="1810" w:type="pct"/>
                  <w:tcBorders>
                    <w:tl2br w:val="nil"/>
                    <w:tr2bl w:val="nil"/>
                  </w:tcBorders>
                  <w:noWrap w:val="0"/>
                  <w:vAlign w:val="center"/>
                </w:tcPr>
                <w:p w14:paraId="004FC553">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本次评价已提出项目自主验收标准及要求，待项目竣工后，</w:t>
                  </w:r>
                  <w:r>
                    <w:rPr>
                      <w:rFonts w:hint="default"/>
                      <w:color w:val="000000" w:themeColor="text1"/>
                      <w:highlight w:val="none"/>
                      <w:lang w:val="en-US" w:eastAsia="zh-CN"/>
                      <w14:textFill>
                        <w14:solidFill>
                          <w14:schemeClr w14:val="tx1"/>
                        </w14:solidFill>
                      </w14:textFill>
                    </w:rPr>
                    <w:t>经验收合格</w:t>
                  </w:r>
                  <w:r>
                    <w:rPr>
                      <w:rFonts w:hint="eastAsia"/>
                      <w:color w:val="000000" w:themeColor="text1"/>
                      <w:highlight w:val="none"/>
                      <w:lang w:val="en-US" w:eastAsia="zh-CN"/>
                      <w14:textFill>
                        <w14:solidFill>
                          <w14:schemeClr w14:val="tx1"/>
                        </w14:solidFill>
                      </w14:textFill>
                    </w:rPr>
                    <w:t>，投入运行。</w:t>
                  </w:r>
                </w:p>
              </w:tc>
              <w:tc>
                <w:tcPr>
                  <w:tcW w:w="460" w:type="pct"/>
                  <w:tcBorders>
                    <w:tl2br w:val="nil"/>
                    <w:tr2bl w:val="nil"/>
                  </w:tcBorders>
                  <w:noWrap w:val="0"/>
                  <w:vAlign w:val="center"/>
                </w:tcPr>
                <w:p w14:paraId="217391AF">
                  <w:pPr>
                    <w:pStyle w:val="7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firstLine="0" w:firstLineChars="0"/>
                    <w:textAlignment w:val="baseline"/>
                    <w:rPr>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符合</w:t>
                  </w:r>
                </w:p>
              </w:tc>
            </w:tr>
          </w:tbl>
          <w:p w14:paraId="5D4A9049">
            <w:pPr>
              <w:snapToGrid w:val="0"/>
              <w:spacing w:line="500" w:lineRule="exact"/>
              <w:ind w:firstLine="480" w:firstLineChars="200"/>
              <w:rPr>
                <w:rFonts w:hint="eastAsia" w:cs="Times New Roman" w:eastAsiaTheme="minorEastAsia"/>
                <w:b/>
                <w:bCs/>
                <w:color w:val="000000" w:themeColor="text1"/>
                <w:kern w:val="0"/>
                <w:sz w:val="24"/>
                <w:szCs w:val="24"/>
                <w:lang w:val="en-US" w:eastAsia="zh-CN" w:bidi="ar"/>
                <w14:textFill>
                  <w14:solidFill>
                    <w14:schemeClr w14:val="tx1"/>
                  </w14:solidFill>
                </w14:textFill>
              </w:rPr>
            </w:pPr>
            <w:r>
              <w:rPr>
                <w:rFonts w:hint="eastAsia"/>
                <w:b w:val="0"/>
                <w:bCs w:val="0"/>
                <w:color w:val="000000" w:themeColor="text1"/>
                <w:highlight w:val="none"/>
                <w:lang w:val="en-US" w:eastAsia="zh-CN"/>
                <w14:textFill>
                  <w14:solidFill>
                    <w14:schemeClr w14:val="tx1"/>
                  </w14:solidFill>
                </w14:textFill>
              </w:rPr>
              <w:t>综上所述，本项目符合</w:t>
            </w:r>
            <w:r>
              <w:rPr>
                <w:rFonts w:hint="eastAsia"/>
                <w:color w:val="000000" w:themeColor="text1"/>
                <w:highlight w:val="none"/>
                <w:lang w:val="en-US" w:eastAsia="zh-CN"/>
                <w14:textFill>
                  <w14:solidFill>
                    <w14:schemeClr w14:val="tx1"/>
                  </w14:solidFill>
                </w14:textFill>
              </w:rPr>
              <w:t>《新疆维吾尔自治区辐射污染防治办法》的相关要求。</w:t>
            </w:r>
          </w:p>
          <w:p w14:paraId="71AF63ED">
            <w:pPr>
              <w:snapToGrid w:val="0"/>
              <w:spacing w:line="500" w:lineRule="exact"/>
              <w:ind w:firstLine="482" w:firstLineChars="200"/>
              <w:rPr>
                <w:rFonts w:hint="default" w:ascii="Times New Roman" w:hAnsi="Times New Roman" w:cs="Times New Roman" w:eastAsiaTheme="minorEastAsia"/>
                <w:b/>
                <w:bCs/>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eastAsiaTheme="minorEastAsia"/>
                <w:b/>
                <w:bCs/>
                <w:color w:val="000000" w:themeColor="text1"/>
                <w:kern w:val="0"/>
                <w:sz w:val="24"/>
                <w:szCs w:val="24"/>
                <w:lang w:val="en-US" w:eastAsia="zh-CN" w:bidi="ar"/>
                <w14:textFill>
                  <w14:solidFill>
                    <w14:schemeClr w14:val="tx1"/>
                  </w14:solidFill>
                </w14:textFill>
              </w:rPr>
              <w:t>11.与《新疆维吾尔自治区实施</w:t>
            </w:r>
            <w:r>
              <w:rPr>
                <w:rFonts w:hint="eastAsia" w:eastAsia="宋体"/>
                <w:b/>
                <w:bCs/>
                <w:color w:val="000000" w:themeColor="text1"/>
                <w:kern w:val="0"/>
                <w:szCs w:val="24"/>
                <w:lang w:val="en-US" w:eastAsia="zh-CN"/>
                <w14:textFill>
                  <w14:solidFill>
                    <w14:schemeClr w14:val="tx1"/>
                  </w14:solidFill>
                </w14:textFill>
              </w:rPr>
              <w:t>〈</w:t>
            </w:r>
            <w:r>
              <w:rPr>
                <w:rFonts w:hint="default" w:ascii="Times New Roman" w:hAnsi="Times New Roman" w:cs="Times New Roman" w:eastAsiaTheme="minorEastAsia"/>
                <w:b/>
                <w:bCs/>
                <w:color w:val="000000" w:themeColor="text1"/>
                <w:kern w:val="0"/>
                <w:sz w:val="24"/>
                <w:szCs w:val="24"/>
                <w:lang w:val="en-US" w:eastAsia="zh-CN" w:bidi="ar"/>
                <w14:textFill>
                  <w14:solidFill>
                    <w14:schemeClr w14:val="tx1"/>
                  </w14:solidFill>
                </w14:textFill>
              </w:rPr>
              <w:t>中华人民共和国防沙治沙法</w:t>
            </w:r>
            <w:r>
              <w:rPr>
                <w:rFonts w:hint="eastAsia" w:eastAsia="宋体"/>
                <w:b/>
                <w:bCs/>
                <w:color w:val="000000" w:themeColor="text1"/>
                <w:kern w:val="0"/>
                <w:szCs w:val="24"/>
                <w:lang w:val="en-US" w:eastAsia="zh-CN"/>
                <w14:textFill>
                  <w14:solidFill>
                    <w14:schemeClr w14:val="tx1"/>
                  </w14:solidFill>
                </w14:textFill>
              </w:rPr>
              <w:t>〉</w:t>
            </w:r>
            <w:r>
              <w:rPr>
                <w:rFonts w:hint="default" w:ascii="Times New Roman" w:hAnsi="Times New Roman" w:cs="Times New Roman" w:eastAsiaTheme="minorEastAsia"/>
                <w:b/>
                <w:bCs/>
                <w:color w:val="000000" w:themeColor="text1"/>
                <w:kern w:val="0"/>
                <w:sz w:val="24"/>
                <w:szCs w:val="24"/>
                <w:lang w:val="en-US" w:eastAsia="zh-CN" w:bidi="ar"/>
                <w14:textFill>
                  <w14:solidFill>
                    <w14:schemeClr w14:val="tx1"/>
                  </w14:solidFill>
                </w14:textFill>
              </w:rPr>
              <w:t>办法》符合性分析</w:t>
            </w:r>
          </w:p>
          <w:p w14:paraId="7A8381C3">
            <w:pPr>
              <w:snapToGrid w:val="0"/>
              <w:spacing w:line="500" w:lineRule="exact"/>
              <w:ind w:firstLine="480" w:firstLineChars="200"/>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t>《新疆维吾尔自治区实施</w:t>
            </w:r>
            <w:r>
              <w:rPr>
                <w:rFonts w:hint="eastAsia" w:eastAsia="宋体"/>
                <w:color w:val="000000" w:themeColor="text1"/>
                <w:kern w:val="0"/>
                <w:szCs w:val="24"/>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t>中华人民共和国防沙治沙法</w:t>
            </w:r>
            <w:r>
              <w:rPr>
                <w:rFonts w:hint="eastAsia" w:eastAsia="宋体"/>
                <w:color w:val="000000" w:themeColor="text1"/>
                <w:kern w:val="0"/>
                <w:szCs w:val="24"/>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t>办法》相关要求如下：</w:t>
            </w:r>
          </w:p>
          <w:p w14:paraId="317BBD30">
            <w:pPr>
              <w:snapToGrid w:val="0"/>
              <w:spacing w:line="500" w:lineRule="exact"/>
              <w:ind w:firstLine="480" w:firstLineChars="200"/>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t>第五条 使用土地的单位和个人，有防止该土地沙化的义务。使用已经沙化的土地的单位和个人，有治理该沙化土地的义务。防沙治沙者的合法权益受法律保障。</w:t>
            </w:r>
          </w:p>
          <w:p w14:paraId="7CDAA7BB">
            <w:pPr>
              <w:snapToGrid w:val="0"/>
              <w:spacing w:line="500" w:lineRule="exact"/>
              <w:ind w:firstLine="480" w:firstLineChars="200"/>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t>第十六条 禁止在沙化土地上砍挖灌木、药材等防风固沙植物和从事其他破坏植被的活动。在封禁保护区内进行铁路、公路、石油、天然气开发、电力、通讯等工程建设的，应当经自治区人民政府审核，报国务院或者国务院指定的部门同意。</w:t>
            </w:r>
          </w:p>
          <w:p w14:paraId="049359F8">
            <w:pPr>
              <w:snapToGrid w:val="0"/>
              <w:spacing w:line="500" w:lineRule="exact"/>
              <w:ind w:firstLine="480" w:firstLineChars="200"/>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t>本项目为输变电项目，</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项目所在区域属于具有明显沙化趋势的土地</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t>不涉及沙化土地封禁保护区，报告中已提出防沙治沙相关措施以及植被保护相关措施，不会加剧项目区土地沙化情况。项目建设与《新疆维吾尔自治区实施</w:t>
            </w:r>
            <w:r>
              <w:rPr>
                <w:rFonts w:hint="eastAsia" w:eastAsia="宋体"/>
                <w:color w:val="000000" w:themeColor="text1"/>
                <w:kern w:val="0"/>
                <w:szCs w:val="24"/>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t>中华人民共和国防沙治沙法</w:t>
            </w:r>
            <w:r>
              <w:rPr>
                <w:rFonts w:hint="eastAsia" w:eastAsia="宋体"/>
                <w:color w:val="000000" w:themeColor="text1"/>
                <w:kern w:val="0"/>
                <w:szCs w:val="24"/>
                <w:lang w:val="en-US" w:eastAsia="zh-CN"/>
                <w14:textFill>
                  <w14:solidFill>
                    <w14:schemeClr w14:val="tx1"/>
                  </w14:solidFill>
                </w14:textFill>
              </w:rPr>
              <w:t>〉</w:t>
            </w:r>
            <w:r>
              <w:rPr>
                <w:rFonts w:hint="default" w:ascii="Times New Roman" w:hAnsi="Times New Roman" w:cs="Times New Roman" w:eastAsiaTheme="minorEastAsia"/>
                <w:b w:val="0"/>
                <w:bCs w:val="0"/>
                <w:color w:val="000000" w:themeColor="text1"/>
                <w:kern w:val="0"/>
                <w:sz w:val="24"/>
                <w:szCs w:val="24"/>
                <w:lang w:val="en-US" w:eastAsia="zh-CN" w:bidi="ar"/>
                <w14:textFill>
                  <w14:solidFill>
                    <w14:schemeClr w14:val="tx1"/>
                  </w14:solidFill>
                </w14:textFill>
              </w:rPr>
              <w:t>办法》要求相符。</w:t>
            </w:r>
          </w:p>
          <w:p w14:paraId="5C84E34D">
            <w:pPr>
              <w:snapToGrid w:val="0"/>
              <w:spacing w:line="500" w:lineRule="exact"/>
              <w:ind w:firstLine="482" w:firstLineChars="200"/>
              <w:rPr>
                <w:rFonts w:hint="default" w:ascii="Times New Roman" w:hAnsi="Times New Roman" w:cs="Times New Roman" w:eastAsiaTheme="minorEastAsia"/>
                <w:b/>
                <w:bCs/>
                <w:color w:val="000000" w:themeColor="text1"/>
                <w:kern w:val="0"/>
                <w:sz w:val="24"/>
                <w:szCs w:val="24"/>
                <w:lang w:val="en-US" w:eastAsia="zh-CN" w:bidi="ar"/>
                <w14:textFill>
                  <w14:solidFill>
                    <w14:schemeClr w14:val="tx1"/>
                  </w14:solidFill>
                </w14:textFill>
              </w:rPr>
            </w:pPr>
            <w:r>
              <w:rPr>
                <w:rFonts w:hint="eastAsia" w:cs="Times New Roman" w:eastAsiaTheme="minorEastAsia"/>
                <w:b/>
                <w:bCs/>
                <w:color w:val="000000" w:themeColor="text1"/>
                <w:kern w:val="0"/>
                <w:sz w:val="24"/>
                <w:szCs w:val="24"/>
                <w:lang w:val="en-US" w:eastAsia="zh-CN" w:bidi="ar"/>
                <w14:textFill>
                  <w14:solidFill>
                    <w14:schemeClr w14:val="tx1"/>
                  </w14:solidFill>
                </w14:textFill>
              </w:rPr>
              <w:t>12</w:t>
            </w:r>
            <w:r>
              <w:rPr>
                <w:rFonts w:hint="eastAsia" w:ascii="Times New Roman" w:hAnsi="Times New Roman" w:cs="Times New Roman" w:eastAsiaTheme="minorEastAsia"/>
                <w:b/>
                <w:bCs/>
                <w:color w:val="000000" w:themeColor="text1"/>
                <w:kern w:val="0"/>
                <w:sz w:val="24"/>
                <w:szCs w:val="24"/>
                <w:lang w:val="en-US" w:eastAsia="zh-CN" w:bidi="ar"/>
                <w14:textFill>
                  <w14:solidFill>
                    <w14:schemeClr w14:val="tx1"/>
                  </w14:solidFill>
                </w14:textFill>
              </w:rPr>
              <w:t>.与《巴音郭楞蒙古自治州国土空间总体规划（2021</w:t>
            </w:r>
            <w:r>
              <w:rPr>
                <w:rFonts w:hint="eastAsia" w:cs="Times New Roman" w:eastAsiaTheme="minorEastAsia"/>
                <w:b/>
                <w:bCs/>
                <w:color w:val="000000" w:themeColor="text1"/>
                <w:kern w:val="0"/>
                <w:sz w:val="24"/>
                <w:szCs w:val="24"/>
                <w:lang w:val="en-US" w:eastAsia="zh-CN" w:bidi="ar"/>
                <w14:textFill>
                  <w14:solidFill>
                    <w14:schemeClr w14:val="tx1"/>
                  </w14:solidFill>
                </w14:textFill>
              </w:rPr>
              <w:t>—</w:t>
            </w:r>
            <w:r>
              <w:rPr>
                <w:rFonts w:hint="eastAsia" w:ascii="Times New Roman" w:hAnsi="Times New Roman" w:cs="Times New Roman" w:eastAsiaTheme="minorEastAsia"/>
                <w:b/>
                <w:bCs/>
                <w:color w:val="000000" w:themeColor="text1"/>
                <w:kern w:val="0"/>
                <w:sz w:val="24"/>
                <w:szCs w:val="24"/>
                <w:lang w:val="en-US" w:eastAsia="zh-CN" w:bidi="ar"/>
                <w14:textFill>
                  <w14:solidFill>
                    <w14:schemeClr w14:val="tx1"/>
                  </w14:solidFill>
                </w14:textFill>
              </w:rPr>
              <w:t>2035年）》符合性</w:t>
            </w:r>
            <w:r>
              <w:rPr>
                <w:rFonts w:hint="eastAsia" w:cs="Times New Roman" w:eastAsiaTheme="minorEastAsia"/>
                <w:b/>
                <w:bCs/>
                <w:color w:val="000000" w:themeColor="text1"/>
                <w:kern w:val="0"/>
                <w:sz w:val="24"/>
                <w:szCs w:val="24"/>
                <w:lang w:val="en-US" w:eastAsia="zh-CN" w:bidi="ar"/>
                <w14:textFill>
                  <w14:solidFill>
                    <w14:schemeClr w14:val="tx1"/>
                  </w14:solidFill>
                </w14:textFill>
              </w:rPr>
              <w:t>分析</w:t>
            </w:r>
          </w:p>
          <w:p w14:paraId="3ABC390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规划》提出：构建“一主三副三圈三区”国土空间开发格局，“三区”指：北部经济区即绿洲农牧业生产加工、绿色矿业和生态旅游业发展区，中部经济区即油气化工、纺织服装、装备制造和综合服务发展区，南部经济区即新材料、新能源、绿色矿业、特种旅游发展区。统筹划定三条控制线，立足巴州资源禀赋和资源环境承载能力，落实国家和自治区发展重大战略，统筹划定永久基本农田、生态保护红线和城镇开发边界。确保永久基本农田总量不减少，质量有提高。生态保护红线内的自然保护地核心保护区原则上禁止人为活动。城镇开发边界内建设，实行“详细规划许可”的管制方式。</w:t>
            </w:r>
          </w:p>
          <w:p w14:paraId="11B046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本项目位于</w:t>
            </w:r>
            <w:r>
              <w:rPr>
                <w:rFonts w:hint="eastAsia"/>
                <w:color w:val="000000" w:themeColor="text1"/>
                <w14:textFill>
                  <w14:solidFill>
                    <w14:schemeClr w14:val="tx1"/>
                  </w14:solidFill>
                </w14:textFill>
              </w:rPr>
              <w:t>新疆</w:t>
            </w:r>
            <w:r>
              <w:rPr>
                <w:rFonts w:hint="eastAsia"/>
                <w:color w:val="000000" w:themeColor="text1"/>
                <w:lang w:eastAsia="zh-CN"/>
                <w14:textFill>
                  <w14:solidFill>
                    <w14:schemeClr w14:val="tx1"/>
                  </w14:solidFill>
                </w14:textFill>
              </w:rPr>
              <w:t>维吾尔自治区</w:t>
            </w:r>
            <w:r>
              <w:rPr>
                <w:rFonts w:hint="eastAsia"/>
                <w:color w:val="000000" w:themeColor="text1"/>
                <w14:textFill>
                  <w14:solidFill>
                    <w14:schemeClr w14:val="tx1"/>
                  </w14:solidFill>
                </w14:textFill>
              </w:rPr>
              <w:t>巴音郭楞蒙古自治州且末</w:t>
            </w:r>
            <w:r>
              <w:rPr>
                <w:rFonts w:hint="eastAsia"/>
                <w:color w:val="000000" w:themeColor="text1"/>
                <w:lang w:eastAsia="zh-CN"/>
                <w14:textFill>
                  <w14:solidFill>
                    <w14:schemeClr w14:val="tx1"/>
                  </w14:solidFill>
                </w14:textFill>
              </w:rPr>
              <w:t>县境内，项目选址区域位于</w:t>
            </w:r>
            <w:r>
              <w:rPr>
                <w:rFonts w:hint="eastAsia"/>
                <w:color w:val="000000" w:themeColor="text1"/>
                <w:lang w:val="en-US" w:eastAsia="zh-CN"/>
                <w14:textFill>
                  <w14:solidFill>
                    <w14:schemeClr w14:val="tx1"/>
                  </w14:solidFill>
                </w14:textFill>
              </w:rPr>
              <w:t>沙地区域</w:t>
            </w:r>
            <w:r>
              <w:rPr>
                <w:rFonts w:hint="eastAsia"/>
                <w:color w:val="000000" w:themeColor="text1"/>
                <w:lang w:eastAsia="zh-CN"/>
                <w14:textFill>
                  <w14:solidFill>
                    <w14:schemeClr w14:val="tx1"/>
                  </w14:solidFill>
                </w14:textFill>
              </w:rPr>
              <w:t>，不占用永久基本农田，且</w:t>
            </w:r>
            <w:r>
              <w:rPr>
                <w:color w:val="000000" w:themeColor="text1"/>
                <w14:textFill>
                  <w14:solidFill>
                    <w14:schemeClr w14:val="tx1"/>
                  </w14:solidFill>
                </w14:textFill>
              </w:rPr>
              <w:t>不涉及生态保护红线</w:t>
            </w:r>
            <w:r>
              <w:rPr>
                <w:rFonts w:hint="eastAsia"/>
                <w:color w:val="000000" w:themeColor="text1"/>
                <w:lang w:eastAsia="zh-CN"/>
                <w14:textFill>
                  <w14:solidFill>
                    <w14:schemeClr w14:val="tx1"/>
                  </w14:solidFill>
                </w14:textFill>
              </w:rPr>
              <w:t>，项目区域位于塔克拉玛干沙漠</w:t>
            </w:r>
            <w:r>
              <w:rPr>
                <w:rFonts w:hint="eastAsia"/>
                <w:color w:val="000000" w:themeColor="text1"/>
                <w:lang w:val="en-US" w:eastAsia="zh-CN"/>
                <w14:textFill>
                  <w14:solidFill>
                    <w14:schemeClr w14:val="tx1"/>
                  </w14:solidFill>
                </w14:textFill>
              </w:rPr>
              <w:t>边缘</w:t>
            </w:r>
            <w:r>
              <w:rPr>
                <w:rFonts w:hint="eastAsia"/>
                <w:color w:val="000000" w:themeColor="text1"/>
                <w:lang w:eastAsia="zh-CN"/>
                <w14:textFill>
                  <w14:solidFill>
                    <w14:schemeClr w14:val="tx1"/>
                  </w14:solidFill>
                </w14:textFill>
              </w:rPr>
              <w:t>，远离城镇开发边界。该项目为</w:t>
            </w:r>
            <w:r>
              <w:rPr>
                <w:rFonts w:hint="eastAsia"/>
                <w:color w:val="000000" w:themeColor="text1"/>
                <w:lang w:val="en-US" w:eastAsia="zh-CN"/>
                <w14:textFill>
                  <w14:solidFill>
                    <w14:schemeClr w14:val="tx1"/>
                  </w14:solidFill>
                </w14:textFill>
              </w:rPr>
              <w:t>新能源项目</w:t>
            </w:r>
            <w:r>
              <w:rPr>
                <w:rFonts w:hint="eastAsia"/>
                <w:color w:val="000000" w:themeColor="text1"/>
                <w:lang w:eastAsia="zh-CN"/>
                <w14:textFill>
                  <w14:solidFill>
                    <w14:schemeClr w14:val="tx1"/>
                  </w14:solidFill>
                </w14:textFill>
              </w:rPr>
              <w:t>，符合巴州南部经济区的发展规划</w:t>
            </w:r>
            <w:r>
              <w:rPr>
                <w:rFonts w:hint="eastAsia"/>
                <w:color w:val="000000" w:themeColor="text1"/>
                <w:lang w:val="en-US" w:eastAsia="zh-CN"/>
                <w14:textFill>
                  <w14:solidFill>
                    <w14:schemeClr w14:val="tx1"/>
                  </w14:solidFill>
                </w14:textFill>
              </w:rPr>
              <w:t>要求</w:t>
            </w:r>
            <w:r>
              <w:rPr>
                <w:rFonts w:hint="eastAsia"/>
                <w:color w:val="000000" w:themeColor="text1"/>
                <w:lang w:eastAsia="zh-CN"/>
                <w14:textFill>
                  <w14:solidFill>
                    <w14:schemeClr w14:val="tx1"/>
                  </w14:solidFill>
                </w14:textFill>
              </w:rPr>
              <w:t>。因此，本项目符合</w:t>
            </w:r>
            <w:r>
              <w:rPr>
                <w:rFonts w:hint="eastAsia"/>
                <w:color w:val="000000" w:themeColor="text1"/>
                <w:lang w:val="en-US" w:eastAsia="zh-CN"/>
                <w14:textFill>
                  <w14:solidFill>
                    <w14:schemeClr w14:val="tx1"/>
                  </w14:solidFill>
                </w14:textFill>
              </w:rPr>
              <w:t>《巴音郭楞蒙古自治州国土空间总体规划（2021—2035年）》中相关要求。</w:t>
            </w:r>
          </w:p>
          <w:p w14:paraId="38498C50">
            <w:pPr>
              <w:keepNext w:val="0"/>
              <w:keepLines w:val="0"/>
              <w:pageBreakBefore w:val="0"/>
              <w:widowControl w:val="0"/>
              <w:kinsoku/>
              <w:wordWrap/>
              <w:overflowPunct/>
              <w:topLinePunct w:val="0"/>
              <w:autoSpaceDE/>
              <w:autoSpaceDN/>
              <w:bidi w:val="0"/>
              <w:adjustRightInd/>
              <w:snapToGrid/>
              <w:ind w:firstLine="482" w:firstLineChars="200"/>
              <w:textAlignment w:val="auto"/>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13.与《且末县国土空间总体规划（2021—2035年）》符合性分析</w:t>
            </w:r>
          </w:p>
          <w:p w14:paraId="355C1C6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规划》提出：国土空间开发保护格局全面优化。底线管控不断强化，生态格局不断优化，自然保护地体系不断完善。耕地基础设施配套逐步完善，永久基本农田耕地质量等级全面提升，现代化农业格局基本形成，村庄布局全面优化，乡村宜居水平持续提升。城乡区域发展差距和居民生活水平差距显著缩小，城镇空间品质不断优化。以铁路、公路、航空为主体的综合交通网络全面建成，公共服务设施、基础服务设施配置实现均等化，防灾减灾能力显著增强。</w:t>
            </w:r>
          </w:p>
          <w:p w14:paraId="28A0112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color w:val="000000" w:themeColor="text1"/>
                <w:lang w:val="en-US" w:eastAsia="zh-CN"/>
                <w14:textFill>
                  <w14:solidFill>
                    <w14:schemeClr w14:val="tx1"/>
                  </w14:solidFill>
                </w14:textFill>
              </w:rPr>
            </w:pPr>
            <w:r>
              <w:rPr>
                <w:rFonts w:hint="eastAsia" w:cs="Times New Roman"/>
                <w:color w:val="000000" w:themeColor="text1"/>
                <w:sz w:val="24"/>
                <w:szCs w:val="24"/>
                <w:u w:val="none"/>
                <w:lang w:val="en-US" w:eastAsia="zh-CN"/>
                <w14:textFill>
                  <w14:solidFill>
                    <w14:schemeClr w14:val="tx1"/>
                  </w14:solidFill>
                </w14:textFill>
              </w:rPr>
              <w:t>本</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项目</w:t>
            </w:r>
            <w:r>
              <w:rPr>
                <w:rFonts w:hint="eastAsia" w:cs="Times New Roman"/>
                <w:color w:val="000000" w:themeColor="text1"/>
                <w:sz w:val="24"/>
                <w:szCs w:val="24"/>
                <w:u w:val="none"/>
                <w:lang w:val="en-US" w:eastAsia="zh-CN"/>
                <w14:textFill>
                  <w14:solidFill>
                    <w14:schemeClr w14:val="tx1"/>
                  </w14:solidFill>
                </w14:textFill>
              </w:rPr>
              <w:t>建设220千伏升压汇集站</w:t>
            </w:r>
            <w:r>
              <w:rPr>
                <w:rFonts w:hint="eastAsia" w:ascii="Times New Roman" w:hAnsi="Times New Roman" w:eastAsia="宋体" w:cs="Times New Roman"/>
                <w:color w:val="000000" w:themeColor="text1"/>
                <w:sz w:val="24"/>
                <w:szCs w:val="24"/>
                <w:u w:val="none"/>
                <w:lang w:val="en-US" w:eastAsia="zh-CN"/>
                <w14:textFill>
                  <w14:solidFill>
                    <w14:schemeClr w14:val="tx1"/>
                  </w14:solidFill>
                </w14:textFill>
              </w:rPr>
              <w:t>及</w:t>
            </w:r>
            <w:r>
              <w:rPr>
                <w:rFonts w:hint="eastAsia" w:cs="Times New Roman"/>
                <w:color w:val="000000" w:themeColor="text1"/>
                <w:sz w:val="24"/>
                <w:szCs w:val="24"/>
                <w:u w:val="none"/>
                <w:lang w:val="en-US" w:eastAsia="zh-CN"/>
                <w14:textFill>
                  <w14:solidFill>
                    <w14:schemeClr w14:val="tx1"/>
                  </w14:solidFill>
                </w14:textFill>
              </w:rPr>
              <w:t>外送线路，</w:t>
            </w:r>
            <w:r>
              <w:rPr>
                <w:rFonts w:hint="eastAsia"/>
                <w:color w:val="000000" w:themeColor="text1"/>
                <w:lang w:val="en-US" w:eastAsia="zh-CN"/>
                <w14:textFill>
                  <w14:solidFill>
                    <w14:schemeClr w14:val="tx1"/>
                  </w14:solidFill>
                </w14:textFill>
              </w:rPr>
              <w:t>属于电力基础设施建设，项目的建设可实现且末县基础服务设施配置均等化，项目建设与《且末县国土空间总体规划（2021—2035年）》相符。</w:t>
            </w:r>
          </w:p>
          <w:p w14:paraId="25B4864D">
            <w:pPr>
              <w:bidi w:val="0"/>
              <w:rPr>
                <w:rFonts w:hint="eastAsia"/>
                <w:color w:val="000000" w:themeColor="text1"/>
                <w:lang w:eastAsia="zh-CN"/>
                <w14:textFill>
                  <w14:solidFill>
                    <w14:schemeClr w14:val="tx1"/>
                  </w14:solidFill>
                </w14:textFill>
              </w:rPr>
            </w:pPr>
          </w:p>
          <w:p w14:paraId="48E17B74">
            <w:pPr>
              <w:bidi w:val="0"/>
              <w:rPr>
                <w:rFonts w:hint="eastAsia"/>
                <w:color w:val="000000" w:themeColor="text1"/>
                <w:lang w:eastAsia="zh-CN"/>
                <w14:textFill>
                  <w14:solidFill>
                    <w14:schemeClr w14:val="tx1"/>
                  </w14:solidFill>
                </w14:textFill>
              </w:rPr>
            </w:pPr>
          </w:p>
          <w:p w14:paraId="1F2FDFC2">
            <w:pPr>
              <w:bidi w:val="0"/>
              <w:rPr>
                <w:rFonts w:hint="eastAsia"/>
                <w:color w:val="000000" w:themeColor="text1"/>
                <w:lang w:eastAsia="zh-CN"/>
                <w14:textFill>
                  <w14:solidFill>
                    <w14:schemeClr w14:val="tx1"/>
                  </w14:solidFill>
                </w14:textFill>
              </w:rPr>
            </w:pPr>
          </w:p>
          <w:p w14:paraId="21A2CCA8">
            <w:pPr>
              <w:bidi w:val="0"/>
              <w:rPr>
                <w:rFonts w:hint="eastAsia"/>
                <w:color w:val="000000" w:themeColor="text1"/>
                <w:lang w:eastAsia="zh-CN"/>
                <w14:textFill>
                  <w14:solidFill>
                    <w14:schemeClr w14:val="tx1"/>
                  </w14:solidFill>
                </w14:textFill>
              </w:rPr>
            </w:pPr>
          </w:p>
          <w:p w14:paraId="2D4F2A37">
            <w:pPr>
              <w:bidi w:val="0"/>
              <w:rPr>
                <w:rFonts w:hint="eastAsia"/>
                <w:color w:val="000000" w:themeColor="text1"/>
                <w:lang w:eastAsia="zh-CN"/>
                <w14:textFill>
                  <w14:solidFill>
                    <w14:schemeClr w14:val="tx1"/>
                  </w14:solidFill>
                </w14:textFill>
              </w:rPr>
            </w:pPr>
          </w:p>
          <w:p w14:paraId="0D0E2AA8">
            <w:pPr>
              <w:bidi w:val="0"/>
              <w:rPr>
                <w:rFonts w:hint="eastAsia" w:eastAsia="宋体"/>
                <w:color w:val="000000" w:themeColor="text1"/>
                <w:lang w:eastAsia="zh-CN"/>
                <w14:textFill>
                  <w14:solidFill>
                    <w14:schemeClr w14:val="tx1"/>
                  </w14:solidFill>
                </w14:textFill>
              </w:rPr>
            </w:pPr>
          </w:p>
        </w:tc>
      </w:tr>
    </w:tbl>
    <w:p w14:paraId="647FC48D">
      <w:pPr>
        <w:adjustRightInd w:val="0"/>
        <w:snapToGrid w:val="0"/>
        <w:spacing w:line="288" w:lineRule="auto"/>
        <w:ind w:firstLine="1040"/>
        <w:rPr>
          <w:color w:val="000000" w:themeColor="text1"/>
          <w:sz w:val="36"/>
          <w:szCs w:val="36"/>
          <w14:textFill>
            <w14:solidFill>
              <w14:schemeClr w14:val="tx1"/>
            </w14:solidFill>
          </w14:textFill>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58105228">
      <w:pPr>
        <w:pStyle w:val="22"/>
        <w:adjustRightInd w:val="0"/>
        <w:snapToGrid w:val="0"/>
        <w:spacing w:before="0" w:beforeAutospacing="0" w:after="0" w:afterAutospacing="0" w:line="360" w:lineRule="auto"/>
        <w:jc w:val="center"/>
        <w:outlineLvl w:val="0"/>
        <w:rPr>
          <w:rFonts w:ascii="Times New Roman" w:hAnsi="Times New Roman"/>
          <w:b/>
          <w:bCs/>
          <w:snapToGrid w:val="0"/>
          <w:color w:val="000000" w:themeColor="text1"/>
          <w:sz w:val="30"/>
          <w:szCs w:val="30"/>
          <w14:textFill>
            <w14:solidFill>
              <w14:schemeClr w14:val="tx1"/>
            </w14:solidFill>
          </w14:textFill>
        </w:rPr>
      </w:pPr>
      <w:bookmarkStart w:id="4" w:name="_Toc19568"/>
      <w:bookmarkStart w:id="5" w:name="_Toc12214"/>
      <w:bookmarkStart w:id="6" w:name="_Toc18351"/>
      <w:bookmarkStart w:id="7" w:name="_Toc17911"/>
      <w:r>
        <w:rPr>
          <w:rFonts w:ascii="Times New Roman" w:hAnsi="Times New Roman"/>
          <w:b/>
          <w:bCs/>
          <w:snapToGrid w:val="0"/>
          <w:color w:val="000000" w:themeColor="text1"/>
          <w:sz w:val="30"/>
          <w:szCs w:val="30"/>
          <w14:textFill>
            <w14:solidFill>
              <w14:schemeClr w14:val="tx1"/>
            </w14:solidFill>
          </w14:textFill>
        </w:rPr>
        <w:t>二、建设内容</w:t>
      </w:r>
      <w:bookmarkEnd w:id="4"/>
      <w:bookmarkEnd w:id="5"/>
      <w:bookmarkEnd w:id="6"/>
      <w:bookmarkEnd w:id="7"/>
    </w:p>
    <w:tbl>
      <w:tblPr>
        <w:tblStyle w:val="27"/>
        <w:tblW w:w="90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8454"/>
      </w:tblGrid>
      <w:tr w14:paraId="165B4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25" w:hRule="atLeast"/>
          <w:jc w:val="center"/>
        </w:trPr>
        <w:tc>
          <w:tcPr>
            <w:tcW w:w="320" w:type="pct"/>
            <w:vAlign w:val="center"/>
          </w:tcPr>
          <w:p w14:paraId="03E4BEEC">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地理位置</w:t>
            </w:r>
          </w:p>
        </w:tc>
        <w:tc>
          <w:tcPr>
            <w:tcW w:w="4679" w:type="pct"/>
            <w:vAlign w:val="center"/>
          </w:tcPr>
          <w:p w14:paraId="78D393C6">
            <w:pPr>
              <w:adjustRightInd w:val="0"/>
              <w:spacing w:line="500" w:lineRule="exact"/>
              <w:ind w:firstLine="480" w:firstLineChars="200"/>
              <w:rPr>
                <w:color w:val="000000" w:themeColor="text1"/>
                <w:kern w:val="0"/>
                <w14:textFill>
                  <w14:solidFill>
                    <w14:schemeClr w14:val="tx1"/>
                  </w14:solidFill>
                </w14:textFill>
              </w:rPr>
            </w:pPr>
            <w:r>
              <w:rPr>
                <w:rFonts w:hint="eastAsia"/>
                <w:color w:val="000000" w:themeColor="text1"/>
                <w14:textFill>
                  <w14:solidFill>
                    <w14:schemeClr w14:val="tx1"/>
                  </w14:solidFill>
                </w14:textFill>
              </w:rPr>
              <w:t>本项目位于新疆维吾尔自治区巴音郭楞蒙古自治州且末县昆仑工业园区西侧</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东南距且末县县城约24km</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根据现场勘查，升压汇集站</w:t>
            </w:r>
            <w:r>
              <w:rPr>
                <w:rFonts w:hint="eastAsia"/>
                <w:color w:val="000000" w:themeColor="text1"/>
                <w:lang w:val="en-US" w:eastAsia="zh-CN"/>
                <w14:textFill>
                  <w14:solidFill>
                    <w14:schemeClr w14:val="tx1"/>
                  </w14:solidFill>
                </w14:textFill>
              </w:rPr>
              <w:t>周边主要为沙地、外送线路沿线主要分布有沙地、后备耕地（现状为其他草地）、土渠等，</w:t>
            </w:r>
            <w:r>
              <w:rPr>
                <w:rFonts w:hint="eastAsia"/>
                <w:color w:val="000000" w:themeColor="text1"/>
                <w:lang w:eastAsia="zh-CN"/>
                <w14:textFill>
                  <w14:solidFill>
                    <w14:schemeClr w14:val="tx1"/>
                  </w14:solidFill>
                </w14:textFill>
              </w:rPr>
              <w:t>升压汇集站与</w:t>
            </w:r>
            <w:r>
              <w:rPr>
                <w:rFonts w:hint="eastAsia"/>
                <w:color w:val="000000" w:themeColor="text1"/>
                <w:lang w:val="en-US" w:eastAsia="zh-CN"/>
                <w14:textFill>
                  <w14:solidFill>
                    <w14:schemeClr w14:val="tx1"/>
                  </w14:solidFill>
                </w14:textFill>
              </w:rPr>
              <w:t>北侧预留储能电站用地相邻，共用围墙。</w:t>
            </w:r>
          </w:p>
        </w:tc>
      </w:tr>
      <w:tr w14:paraId="4C25F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0" w:type="pct"/>
            <w:vAlign w:val="center"/>
          </w:tcPr>
          <w:p w14:paraId="350AE4D9">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项目组成及规模</w:t>
            </w:r>
          </w:p>
        </w:tc>
        <w:tc>
          <w:tcPr>
            <w:tcW w:w="4679" w:type="pct"/>
            <w:vAlign w:val="center"/>
          </w:tcPr>
          <w:p w14:paraId="61A7C699">
            <w:pPr>
              <w:autoSpaceDE w:val="0"/>
              <w:autoSpaceDN w:val="0"/>
              <w:adjustRightInd w:val="0"/>
              <w:snapToGrid w:val="0"/>
              <w:spacing w:line="500" w:lineRule="exact"/>
              <w:ind w:firstLine="482" w:firstLineChars="200"/>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1.项目基本情况</w:t>
            </w:r>
          </w:p>
          <w:p w14:paraId="773283FB">
            <w:pPr>
              <w:autoSpaceDE w:val="0"/>
              <w:autoSpaceDN w:val="0"/>
              <w:adjustRightInd w:val="0"/>
              <w:snapToGrid w:val="0"/>
              <w:spacing w:line="500" w:lineRule="exact"/>
              <w:ind w:firstLine="480" w:firstLineChars="200"/>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项目名称：新疆且末250MW/1000MWh构网型独立新型储能项目220千伏输变电工程；</w:t>
            </w:r>
          </w:p>
          <w:p w14:paraId="7635EF3B">
            <w:pPr>
              <w:autoSpaceDE w:val="0"/>
              <w:autoSpaceDN w:val="0"/>
              <w:adjustRightInd w:val="0"/>
              <w:snapToGrid w:val="0"/>
              <w:spacing w:line="500" w:lineRule="exact"/>
              <w:ind w:firstLine="480" w:firstLineChars="200"/>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建设单位：且末融玉储能有限责任公司；</w:t>
            </w:r>
          </w:p>
          <w:p w14:paraId="2FB41757">
            <w:pPr>
              <w:autoSpaceDE w:val="0"/>
              <w:autoSpaceDN w:val="0"/>
              <w:adjustRightInd w:val="0"/>
              <w:snapToGrid w:val="0"/>
              <w:spacing w:line="500" w:lineRule="exact"/>
              <w:ind w:firstLine="480" w:firstLineChars="200"/>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项目地点：新疆维吾尔自治区巴音郭楞蒙古自治州且末县昆仑工业园区西侧；</w:t>
            </w:r>
          </w:p>
          <w:p w14:paraId="3B26044D">
            <w:pPr>
              <w:autoSpaceDE w:val="0"/>
              <w:autoSpaceDN w:val="0"/>
              <w:adjustRightInd w:val="0"/>
              <w:snapToGrid w:val="0"/>
              <w:spacing w:line="500" w:lineRule="exact"/>
              <w:ind w:firstLine="480" w:firstLineChars="200"/>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项目总投资：12500万元；</w:t>
            </w:r>
          </w:p>
          <w:p w14:paraId="2B8F3CA7">
            <w:pPr>
              <w:autoSpaceDE w:val="0"/>
              <w:autoSpaceDN w:val="0"/>
              <w:adjustRightInd w:val="0"/>
              <w:snapToGrid w:val="0"/>
              <w:spacing w:line="500" w:lineRule="exact"/>
              <w:ind w:firstLine="480" w:firstLineChars="200"/>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建设性质：新建。</w:t>
            </w:r>
          </w:p>
          <w:p w14:paraId="02CBD399">
            <w:pPr>
              <w:autoSpaceDE w:val="0"/>
              <w:autoSpaceDN w:val="0"/>
              <w:adjustRightInd w:val="0"/>
              <w:snapToGri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2</w:t>
            </w:r>
            <w:r>
              <w:rPr>
                <w:b/>
                <w:bCs/>
                <w:color w:val="000000" w:themeColor="text1"/>
                <w14:textFill>
                  <w14:solidFill>
                    <w14:schemeClr w14:val="tx1"/>
                  </w14:solidFill>
                </w14:textFill>
              </w:rPr>
              <w:t>.项目建设内容及规模</w:t>
            </w:r>
          </w:p>
          <w:p w14:paraId="34299F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color w:val="000000" w:themeColor="text1"/>
                <w:sz w:val="24"/>
                <w14:textFill>
                  <w14:solidFill>
                    <w14:schemeClr w14:val="tx1"/>
                  </w14:solidFill>
                </w14:textFill>
              </w:rPr>
            </w:pPr>
            <w:r>
              <w:rPr>
                <w:rFonts w:hint="eastAsia" w:ascii="Times New Roman" w:hAnsi="Times New Roman" w:eastAsia="宋体" w:cs="Times New Roman"/>
                <w:color w:val="000000" w:themeColor="text1"/>
                <w:kern w:val="2"/>
                <w:sz w:val="24"/>
                <w:szCs w:val="24"/>
                <w:lang w:val="zh-CN" w:eastAsia="zh-CN" w:bidi="ar-SA"/>
                <w14:textFill>
                  <w14:solidFill>
                    <w14:schemeClr w14:val="tx1"/>
                  </w14:solidFill>
                </w14:textFill>
              </w:rPr>
              <w:t>本项目总用地面积为</w:t>
            </w:r>
            <w:r>
              <w:rPr>
                <w:rFonts w:hint="eastAsia" w:cs="Times New Roman"/>
                <w:color w:val="000000" w:themeColor="text1"/>
                <w:kern w:val="2"/>
                <w:sz w:val="24"/>
                <w:szCs w:val="24"/>
                <w:lang w:val="en-US" w:eastAsia="zh-CN" w:bidi="ar-SA"/>
                <w14:textFill>
                  <w14:solidFill>
                    <w14:schemeClr w14:val="tx1"/>
                  </w14:solidFill>
                </w14:textFill>
              </w:rPr>
              <w:t>32222</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m</w:t>
            </w:r>
            <w:r>
              <w:rPr>
                <w:rFonts w:hint="eastAsia"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2</w:t>
            </w:r>
            <w:r>
              <w:rPr>
                <w:rFonts w:hint="eastAsia" w:ascii="Times New Roman" w:hAnsi="Times New Roman" w:eastAsia="宋体" w:cs="Times New Roman"/>
                <w:color w:val="000000" w:themeColor="text1"/>
                <w:kern w:val="2"/>
                <w:sz w:val="24"/>
                <w:szCs w:val="24"/>
                <w:lang w:val="zh-CN" w:eastAsia="zh-CN" w:bidi="ar-SA"/>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主要建设内容为</w:t>
            </w:r>
            <w:r>
              <w:rPr>
                <w:rFonts w:hint="eastAsia" w:ascii="Times New Roman" w:hAnsi="Times New Roman" w:eastAsia="宋体" w:cs="Times New Roman"/>
                <w:color w:val="000000" w:themeColor="text1"/>
                <w:sz w:val="24"/>
                <w:lang w:val="en-US" w:eastAsia="zh-CN"/>
                <w14:textFill>
                  <w14:solidFill>
                    <w14:schemeClr w14:val="tx1"/>
                  </w14:solidFill>
                </w14:textFill>
              </w:rPr>
              <w:t>新建1座</w:t>
            </w:r>
            <w:r>
              <w:rPr>
                <w:rFonts w:hint="eastAsia" w:ascii="Times New Roman" w:hAnsi="Times New Roman" w:cs="Times New Roman"/>
                <w:color w:val="000000" w:themeColor="text1"/>
                <w:sz w:val="24"/>
                <w:lang w:val="en-US" w:eastAsia="zh-CN"/>
                <w14:textFill>
                  <w14:solidFill>
                    <w14:schemeClr w14:val="tx1"/>
                  </w14:solidFill>
                </w14:textFill>
              </w:rPr>
              <w:t>220</w:t>
            </w:r>
            <w:r>
              <w:rPr>
                <w:rFonts w:hint="eastAsia" w:ascii="Times New Roman" w:hAnsi="Times New Roman" w:eastAsia="宋体" w:cs="Times New Roman"/>
                <w:color w:val="000000" w:themeColor="text1"/>
                <w:sz w:val="24"/>
                <w:lang w:val="en-US" w:eastAsia="zh-CN"/>
                <w14:textFill>
                  <w14:solidFill>
                    <w14:schemeClr w14:val="tx1"/>
                  </w14:solidFill>
                </w14:textFill>
              </w:rPr>
              <w:t>kV升压</w:t>
            </w:r>
            <w:r>
              <w:rPr>
                <w:rFonts w:hint="eastAsia" w:ascii="Times New Roman" w:hAnsi="Times New Roman" w:cs="Times New Roman"/>
                <w:color w:val="000000" w:themeColor="text1"/>
                <w:sz w:val="24"/>
                <w:lang w:val="en-US" w:eastAsia="zh-CN"/>
                <w14:textFill>
                  <w14:solidFill>
                    <w14:schemeClr w14:val="tx1"/>
                  </w14:solidFill>
                </w14:textFill>
              </w:rPr>
              <w:t>汇集</w:t>
            </w:r>
            <w:r>
              <w:rPr>
                <w:rFonts w:hint="eastAsia" w:ascii="Times New Roman" w:hAnsi="Times New Roman" w:eastAsia="宋体" w:cs="Times New Roman"/>
                <w:color w:val="000000" w:themeColor="text1"/>
                <w:sz w:val="24"/>
                <w:lang w:val="en-US" w:eastAsia="zh-CN"/>
                <w14:textFill>
                  <w14:solidFill>
                    <w14:schemeClr w14:val="tx1"/>
                  </w14:solidFill>
                </w14:textFill>
              </w:rPr>
              <w:t>站，</w:t>
            </w:r>
            <w:r>
              <w:rPr>
                <w:rFonts w:hint="eastAsia" w:ascii="Times New Roman" w:hAnsi="Times New Roman" w:cs="Times New Roman"/>
                <w:color w:val="000000" w:themeColor="text1"/>
                <w:sz w:val="24"/>
                <w:lang w:val="en-US" w:eastAsia="zh-CN"/>
                <w14:textFill>
                  <w14:solidFill>
                    <w14:schemeClr w14:val="tx1"/>
                  </w14:solidFill>
                </w14:textFill>
              </w:rPr>
              <w:t>站内</w:t>
            </w:r>
            <w:r>
              <w:rPr>
                <w:rFonts w:hint="eastAsia" w:ascii="Times New Roman" w:hAnsi="Times New Roman" w:eastAsia="宋体" w:cs="Times New Roman"/>
                <w:color w:val="000000" w:themeColor="text1"/>
                <w:sz w:val="24"/>
                <w:lang w:val="en-US" w:eastAsia="zh-CN"/>
                <w14:textFill>
                  <w14:solidFill>
                    <w14:schemeClr w14:val="tx1"/>
                  </w14:solidFill>
                </w14:textFill>
              </w:rPr>
              <w:t>新建1台220/35kV主变，容量250MVA，远期预留2台250MVA主变压器</w:t>
            </w:r>
            <w:r>
              <w:rPr>
                <w:rFonts w:hint="eastAsia" w:ascii="Times New Roman" w:hAnsi="Times New Roman" w:cs="Times New Roman"/>
                <w:color w:val="000000" w:themeColor="text1"/>
                <w:sz w:val="24"/>
                <w:lang w:val="en-US" w:eastAsia="zh-CN"/>
                <w14:textFill>
                  <w14:solidFill>
                    <w14:schemeClr w14:val="tx1"/>
                  </w14:solidFill>
                </w14:textFill>
              </w:rPr>
              <w:t>；同步新建2.8</w:t>
            </w:r>
            <w:r>
              <w:rPr>
                <w:rFonts w:hint="eastAsia" w:cs="Times New Roman"/>
                <w:color w:val="000000" w:themeColor="text1"/>
                <w:sz w:val="24"/>
                <w:lang w:val="en-US" w:eastAsia="zh-CN"/>
                <w14:textFill>
                  <w14:solidFill>
                    <w14:schemeClr w14:val="tx1"/>
                  </w14:solidFill>
                </w14:textFill>
              </w:rPr>
              <w:t>8</w:t>
            </w:r>
            <w:r>
              <w:rPr>
                <w:rFonts w:hint="eastAsia" w:ascii="Times New Roman" w:hAnsi="Times New Roman" w:cs="Times New Roman"/>
                <w:color w:val="000000" w:themeColor="text1"/>
                <w:sz w:val="24"/>
                <w:lang w:val="en-US" w:eastAsia="zh-CN"/>
                <w14:textFill>
                  <w14:solidFill>
                    <w14:schemeClr w14:val="tx1"/>
                  </w14:solidFill>
                </w14:textFill>
              </w:rPr>
              <w:t>km的22</w:t>
            </w:r>
            <w:r>
              <w:rPr>
                <w:rFonts w:hint="eastAsia" w:ascii="Times New Roman" w:hAnsi="Times New Roman" w:eastAsia="宋体" w:cs="Times New Roman"/>
                <w:color w:val="000000" w:themeColor="text1"/>
                <w:sz w:val="24"/>
                <w:lang w:val="en-US" w:eastAsia="zh-CN"/>
                <w14:textFill>
                  <w14:solidFill>
                    <w14:schemeClr w14:val="tx1"/>
                  </w14:solidFill>
                </w14:textFill>
              </w:rPr>
              <w:t>0kV</w:t>
            </w:r>
            <w:r>
              <w:rPr>
                <w:rFonts w:hint="eastAsia" w:cs="Times New Roman"/>
                <w:color w:val="000000" w:themeColor="text1"/>
                <w:sz w:val="24"/>
                <w:lang w:val="en-US" w:eastAsia="zh-CN"/>
                <w14:textFill>
                  <w14:solidFill>
                    <w14:schemeClr w14:val="tx1"/>
                  </w14:solidFill>
                </w14:textFill>
              </w:rPr>
              <w:t>外送线路</w:t>
            </w:r>
            <w:r>
              <w:rPr>
                <w:rFonts w:hint="eastAsia" w:ascii="Times New Roman" w:hAnsi="Times New Roman" w:eastAsia="宋体" w:cs="Times New Roman"/>
                <w:color w:val="000000" w:themeColor="text1"/>
                <w:sz w:val="24"/>
                <w:lang w:val="en-US" w:eastAsia="zh-CN"/>
                <w14:textFill>
                  <w14:solidFill>
                    <w14:schemeClr w14:val="tx1"/>
                  </w14:solidFill>
                </w14:textFill>
              </w:rPr>
              <w:t>接入</w:t>
            </w:r>
            <w:r>
              <w:rPr>
                <w:rFonts w:hint="eastAsia" w:ascii="Times New Roman" w:hAnsi="Times New Roman" w:cs="Times New Roman"/>
                <w:color w:val="000000" w:themeColor="text1"/>
                <w:sz w:val="24"/>
                <w:lang w:val="en-US" w:eastAsia="zh-CN"/>
                <w14:textFill>
                  <w14:solidFill>
                    <w14:schemeClr w14:val="tx1"/>
                  </w14:solidFill>
                </w14:textFill>
              </w:rPr>
              <w:t>且末750</w:t>
            </w:r>
            <w:r>
              <w:rPr>
                <w:rFonts w:hint="eastAsia" w:ascii="Times New Roman" w:hAnsi="Times New Roman" w:eastAsia="宋体" w:cs="Times New Roman"/>
                <w:color w:val="000000" w:themeColor="text1"/>
                <w:sz w:val="24"/>
                <w:lang w:val="en-US" w:eastAsia="zh-CN"/>
                <w14:textFill>
                  <w14:solidFill>
                    <w14:schemeClr w14:val="tx1"/>
                  </w14:solidFill>
                </w14:textFill>
              </w:rPr>
              <w:t>kV</w:t>
            </w:r>
            <w:r>
              <w:rPr>
                <w:rFonts w:hint="eastAsia" w:ascii="Times New Roman" w:hAnsi="Times New Roman" w:cs="Times New Roman"/>
                <w:color w:val="000000" w:themeColor="text1"/>
                <w:sz w:val="24"/>
                <w:lang w:val="en-US" w:eastAsia="zh-CN"/>
                <w14:textFill>
                  <w14:solidFill>
                    <w14:schemeClr w14:val="tx1"/>
                  </w14:solidFill>
                </w14:textFill>
              </w:rPr>
              <w:t>变电站。远期预留主变压器和储能</w:t>
            </w:r>
            <w:r>
              <w:rPr>
                <w:rFonts w:hint="eastAsia" w:cs="Times New Roman"/>
                <w:color w:val="000000" w:themeColor="text1"/>
                <w:sz w:val="24"/>
                <w:lang w:val="en-US" w:eastAsia="zh-CN"/>
                <w14:textFill>
                  <w14:solidFill>
                    <w14:schemeClr w14:val="tx1"/>
                  </w14:solidFill>
                </w14:textFill>
              </w:rPr>
              <w:t>电站</w:t>
            </w:r>
            <w:r>
              <w:rPr>
                <w:rFonts w:hint="eastAsia" w:ascii="Times New Roman" w:hAnsi="Times New Roman" w:cs="Times New Roman"/>
                <w:color w:val="000000" w:themeColor="text1"/>
                <w:sz w:val="24"/>
                <w:lang w:val="en-US" w:eastAsia="zh-CN"/>
                <w14:textFill>
                  <w14:solidFill>
                    <w14:schemeClr w14:val="tx1"/>
                  </w14:solidFill>
                </w14:textFill>
              </w:rPr>
              <w:t>均不在本次评价范围内</w:t>
            </w:r>
            <w:r>
              <w:rPr>
                <w:rFonts w:hint="eastAsia" w:ascii="Times New Roman" w:hAnsi="Times New Roman" w:eastAsia="宋体" w:cs="Times New Roman"/>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本项目组成内容见表2-</w:t>
            </w:r>
            <w:r>
              <w:rPr>
                <w:rFonts w:hint="eastAsia"/>
                <w:color w:val="000000" w:themeColor="text1"/>
                <w:sz w:val="24"/>
                <w:lang w:val="en-US" w:eastAsia="zh-CN"/>
                <w14:textFill>
                  <w14:solidFill>
                    <w14:schemeClr w14:val="tx1"/>
                  </w14:solidFill>
                </w14:textFill>
              </w:rPr>
              <w:t>1</w:t>
            </w:r>
            <w:r>
              <w:rPr>
                <w:rFonts w:hint="eastAsia"/>
                <w:color w:val="000000" w:themeColor="text1"/>
                <w:sz w:val="24"/>
                <w14:textFill>
                  <w14:solidFill>
                    <w14:schemeClr w14:val="tx1"/>
                  </w14:solidFill>
                </w14:textFill>
              </w:rPr>
              <w:t>。</w:t>
            </w:r>
          </w:p>
          <w:p w14:paraId="7E57ABE6">
            <w:pPr>
              <w:keepNext w:val="0"/>
              <w:keepLines w:val="0"/>
              <w:pageBreakBefore w:val="0"/>
              <w:widowControl w:val="0"/>
              <w:tabs>
                <w:tab w:val="left" w:pos="4586"/>
                <w:tab w:val="left" w:pos="5786"/>
              </w:tabs>
              <w:kinsoku/>
              <w:wordWrap/>
              <w:overflowPunct/>
              <w:topLinePunct w:val="0"/>
              <w:autoSpaceDE w:val="0"/>
              <w:autoSpaceDN w:val="0"/>
              <w:bidi w:val="0"/>
              <w:adjustRightInd w:val="0"/>
              <w:snapToGrid/>
              <w:jc w:val="center"/>
              <w:textAlignment w:val="auto"/>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表2-</w:t>
            </w:r>
            <w:r>
              <w:rPr>
                <w:rFonts w:hint="eastAsia" w:ascii="黑体" w:hAnsi="黑体" w:eastAsia="黑体" w:cs="黑体"/>
                <w:color w:val="000000" w:themeColor="text1"/>
                <w:sz w:val="21"/>
                <w:szCs w:val="21"/>
                <w:lang w:val="en-US" w:eastAsia="zh-CN"/>
                <w14:textFill>
                  <w14:solidFill>
                    <w14:schemeClr w14:val="tx1"/>
                  </w14:solidFill>
                </w14:textFill>
              </w:rPr>
              <w:t>1</w:t>
            </w:r>
            <w:r>
              <w:rPr>
                <w:rFonts w:hint="eastAsia" w:ascii="黑体" w:hAnsi="黑体" w:eastAsia="黑体" w:cs="黑体"/>
                <w:color w:val="000000" w:themeColor="text1"/>
                <w:sz w:val="21"/>
                <w:szCs w:val="21"/>
                <w14:textFill>
                  <w14:solidFill>
                    <w14:schemeClr w14:val="tx1"/>
                  </w14:solidFill>
                </w14:textFill>
              </w:rPr>
              <w:t xml:space="preserve">   本项目组成内容一览表</w:t>
            </w:r>
          </w:p>
          <w:tbl>
            <w:tblPr>
              <w:tblStyle w:val="27"/>
              <w:tblW w:w="4995"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24"/>
              <w:gridCol w:w="1162"/>
              <w:gridCol w:w="6344"/>
            </w:tblGrid>
            <w:tr w14:paraId="5AA804C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4" w:hRule="atLeast"/>
                <w:jc w:val="center"/>
              </w:trPr>
              <w:tc>
                <w:tcPr>
                  <w:tcW w:w="440" w:type="pct"/>
                  <w:noWrap w:val="0"/>
                  <w:vAlign w:val="center"/>
                </w:tcPr>
                <w:p w14:paraId="69B02EAA">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序号</w:t>
                  </w:r>
                </w:p>
              </w:tc>
              <w:tc>
                <w:tcPr>
                  <w:tcW w:w="706" w:type="pct"/>
                  <w:noWrap w:val="0"/>
                  <w:vAlign w:val="center"/>
                </w:tcPr>
                <w:p w14:paraId="007CD12A">
                  <w:pPr>
                    <w:pStyle w:val="92"/>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名称</w:t>
                  </w:r>
                </w:p>
              </w:tc>
              <w:tc>
                <w:tcPr>
                  <w:tcW w:w="3853" w:type="pct"/>
                  <w:noWrap w:val="0"/>
                  <w:vAlign w:val="center"/>
                </w:tcPr>
                <w:p w14:paraId="05372EC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工程内容</w:t>
                  </w:r>
                </w:p>
              </w:tc>
            </w:tr>
            <w:tr w14:paraId="19AE863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restart"/>
                  <w:noWrap w:val="0"/>
                  <w:vAlign w:val="center"/>
                </w:tcPr>
                <w:p w14:paraId="2315C26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主体工程</w:t>
                  </w:r>
                </w:p>
              </w:tc>
              <w:tc>
                <w:tcPr>
                  <w:tcW w:w="706" w:type="pct"/>
                  <w:noWrap w:val="0"/>
                  <w:vAlign w:val="center"/>
                </w:tcPr>
                <w:p w14:paraId="7537A672">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220</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kV</w:t>
                  </w:r>
                  <w:r>
                    <w:rPr>
                      <w:rFonts w:hint="default" w:ascii="Times New Roman" w:hAnsi="Times New Roman" w:cs="Times New Roman" w:eastAsiaTheme="minorEastAsia"/>
                      <w:color w:val="000000" w:themeColor="text1"/>
                      <w:sz w:val="21"/>
                      <w:szCs w:val="21"/>
                      <w14:textFill>
                        <w14:solidFill>
                          <w14:schemeClr w14:val="tx1"/>
                        </w14:solidFill>
                      </w14:textFill>
                    </w:rPr>
                    <w:t>升压</w:t>
                  </w:r>
                  <w:r>
                    <w:rPr>
                      <w:rFonts w:hint="eastAsia" w:cs="Times New Roman" w:eastAsiaTheme="minorEastAsia"/>
                      <w:color w:val="000000" w:themeColor="text1"/>
                      <w:sz w:val="21"/>
                      <w:szCs w:val="21"/>
                      <w:lang w:val="en-US" w:eastAsia="zh-CN"/>
                      <w14:textFill>
                        <w14:solidFill>
                          <w14:schemeClr w14:val="tx1"/>
                        </w14:solidFill>
                      </w14:textFill>
                    </w:rPr>
                    <w:t>汇集</w:t>
                  </w:r>
                  <w:r>
                    <w:rPr>
                      <w:rFonts w:hint="default" w:ascii="Times New Roman" w:hAnsi="Times New Roman" w:cs="Times New Roman" w:eastAsiaTheme="minorEastAsia"/>
                      <w:color w:val="000000" w:themeColor="text1"/>
                      <w:sz w:val="21"/>
                      <w:szCs w:val="21"/>
                      <w14:textFill>
                        <w14:solidFill>
                          <w14:schemeClr w14:val="tx1"/>
                        </w14:solidFill>
                      </w14:textFill>
                    </w:rPr>
                    <w:t>站</w:t>
                  </w:r>
                </w:p>
              </w:tc>
              <w:tc>
                <w:tcPr>
                  <w:tcW w:w="3853" w:type="pct"/>
                  <w:noWrap w:val="0"/>
                  <w:vAlign w:val="center"/>
                </w:tcPr>
                <w:p w14:paraId="6E98239E">
                  <w:pPr>
                    <w:pStyle w:val="51"/>
                    <w:keepNext w:val="0"/>
                    <w:keepLines w:val="0"/>
                    <w:pageBreakBefore w:val="0"/>
                    <w:widowControl w:val="0"/>
                    <w:kinsoku/>
                    <w:wordWrap/>
                    <w:overflowPunct/>
                    <w:topLinePunct w:val="0"/>
                    <w:autoSpaceDE/>
                    <w:autoSpaceDN/>
                    <w:bidi w:val="0"/>
                    <w:adjustRightInd w:val="0"/>
                    <w:snapToGrid/>
                    <w:spacing w:after="0" w:line="240" w:lineRule="auto"/>
                    <w:jc w:val="both"/>
                    <w:textAlignment w:val="auto"/>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规划新建1台220/35kV主变，容量250MVA，远期预留2台250MVA主变压器</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采用三相双绕组油浸风冷有载调压变压器，电压组合：242±8×1.25%/36.5kV；联接组标号：YN，d11</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；本工程220kV配电装置推荐采用HGIS户外布置方案。本期建设1回主变进线间隔、1回出线间隔、2回母线设备间隔及母联设备间隔。</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升压</w:t>
                  </w:r>
                  <w:r>
                    <w:rPr>
                      <w:rFonts w:hint="eastAsia" w:cs="Times New Roman" w:eastAsiaTheme="minorEastAsia"/>
                      <w:color w:val="000000" w:themeColor="text1"/>
                      <w:sz w:val="21"/>
                      <w:szCs w:val="21"/>
                      <w:lang w:val="en-US" w:eastAsia="zh-CN"/>
                      <w14:textFill>
                        <w14:solidFill>
                          <w14:schemeClr w14:val="tx1"/>
                        </w14:solidFill>
                      </w14:textFill>
                    </w:rPr>
                    <w:t>汇集</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站35kV侧采用双受电断路器单母线接线</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，设2段35kV母线，设I、II、III、IV、V、VI</w:t>
                  </w:r>
                  <w:r>
                    <w:rPr>
                      <w:rFonts w:hint="eastAsia" w:cs="Times New Roman" w:eastAsiaTheme="minorEastAsia"/>
                      <w:color w:val="000000" w:themeColor="text1"/>
                      <w:sz w:val="21"/>
                      <w:szCs w:val="21"/>
                      <w:lang w:val="en-US" w:eastAsia="zh-CN"/>
                      <w14:textFill>
                        <w14:solidFill>
                          <w14:schemeClr w14:val="tx1"/>
                        </w14:solidFill>
                      </w14:textFill>
                    </w:rPr>
                    <w:t>共六</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段母线</w:t>
                  </w:r>
                  <w:r>
                    <w:rPr>
                      <w:rFonts w:hint="eastAsia" w:cs="Times New Roman" w:eastAsiaTheme="minorEastAsia"/>
                      <w:color w:val="000000" w:themeColor="text1"/>
                      <w:sz w:val="21"/>
                      <w:szCs w:val="21"/>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共规划出线34回。本期建成I、Ⅱ母线，每段母线各出5回（至储能）；每段35kV母线上均配置一套容量为±38MVar的动态无功补偿装置，采用直挂式SVG装置。</w:t>
                  </w:r>
                </w:p>
                <w:p w14:paraId="03F22102">
                  <w:pPr>
                    <w:pStyle w:val="51"/>
                    <w:keepNext w:val="0"/>
                    <w:keepLines w:val="0"/>
                    <w:pageBreakBefore w:val="0"/>
                    <w:widowControl w:val="0"/>
                    <w:kinsoku/>
                    <w:wordWrap/>
                    <w:overflowPunct/>
                    <w:topLinePunct w:val="0"/>
                    <w:autoSpaceDE/>
                    <w:autoSpaceDN/>
                    <w:bidi w:val="0"/>
                    <w:adjustRightInd w:val="0"/>
                    <w:snapToGrid/>
                    <w:spacing w:after="0" w:line="240" w:lineRule="auto"/>
                    <w:jc w:val="both"/>
                    <w:textAlignment w:val="auto"/>
                    <w:rPr>
                      <w:rFonts w:hint="default" w:ascii="Times New Roman" w:hAnsi="Times New Roman" w:cs="Times New Roman" w:eastAsiaTheme="minorEastAsia"/>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35kV站用变及10kV站用变采用干式变压器</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w:t>
                  </w:r>
                </w:p>
              </w:tc>
            </w:tr>
            <w:tr w14:paraId="1EB406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4966D7BF">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p>
              </w:tc>
              <w:tc>
                <w:tcPr>
                  <w:tcW w:w="706" w:type="pct"/>
                  <w:noWrap w:val="0"/>
                  <w:vAlign w:val="center"/>
                </w:tcPr>
                <w:p w14:paraId="11780BCD">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外送线路</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工程</w:t>
                  </w:r>
                </w:p>
              </w:tc>
              <w:tc>
                <w:tcPr>
                  <w:tcW w:w="3853" w:type="pct"/>
                  <w:noWrap w:val="0"/>
                  <w:vAlign w:val="center"/>
                </w:tcPr>
                <w:p w14:paraId="1375689A">
                  <w:pPr>
                    <w:pStyle w:val="51"/>
                    <w:keepNext w:val="0"/>
                    <w:keepLines w:val="0"/>
                    <w:pageBreakBefore w:val="0"/>
                    <w:widowControl w:val="0"/>
                    <w:kinsoku/>
                    <w:wordWrap/>
                    <w:overflowPunct/>
                    <w:topLinePunct w:val="0"/>
                    <w:autoSpaceDE/>
                    <w:autoSpaceDN/>
                    <w:bidi w:val="0"/>
                    <w:snapToGrid/>
                    <w:spacing w:after="0"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新建</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单回</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220</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kV线路</w:t>
                  </w:r>
                  <w:r>
                    <w:rPr>
                      <w:rFonts w:hint="eastAsia" w:cs="Times New Roman" w:eastAsiaTheme="minorEastAsia"/>
                      <w:color w:val="000000" w:themeColor="text1"/>
                      <w:sz w:val="21"/>
                      <w:szCs w:val="21"/>
                      <w:lang w:val="en-US" w:eastAsia="zh-CN"/>
                      <w14:textFill>
                        <w14:solidFill>
                          <w14:schemeClr w14:val="tx1"/>
                        </w14:solidFill>
                      </w14:textFill>
                    </w:rPr>
                    <w:t>通过</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金塔一线001号塔接入且末750kV变电站由西往东第四个间隔</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，架空线路路径长约2.8</w:t>
                  </w:r>
                  <w:r>
                    <w:rPr>
                      <w:rFonts w:hint="eastAsia" w:cs="Times New Roman" w:eastAsiaTheme="minorEastAsia"/>
                      <w:color w:val="000000" w:themeColor="text1"/>
                      <w:sz w:val="21"/>
                      <w:szCs w:val="21"/>
                      <w:lang w:val="en-US" w:eastAsia="zh-CN"/>
                      <w14:textFill>
                        <w14:solidFill>
                          <w14:schemeClr w14:val="tx1"/>
                        </w14:solidFill>
                      </w14:textFill>
                    </w:rPr>
                    <w:t>8</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km，设置杆塔9基，全线采用单回路架设；导线采用4×JL3/G1A-400/35型钢芯高导电率铝绞线。地线采用两根72芯OPGW-15-120-2型光缆。</w:t>
                  </w:r>
                </w:p>
              </w:tc>
            </w:tr>
            <w:tr w14:paraId="73A4AE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restart"/>
                  <w:noWrap w:val="0"/>
                  <w:vAlign w:val="center"/>
                </w:tcPr>
                <w:p w14:paraId="2349910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辅助工程</w:t>
                  </w:r>
                </w:p>
              </w:tc>
              <w:tc>
                <w:tcPr>
                  <w:tcW w:w="706" w:type="pct"/>
                  <w:noWrap w:val="0"/>
                  <w:vAlign w:val="center"/>
                </w:tcPr>
                <w:p w14:paraId="62A943EC">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综合楼</w:t>
                  </w:r>
                </w:p>
              </w:tc>
              <w:tc>
                <w:tcPr>
                  <w:tcW w:w="3853" w:type="pct"/>
                  <w:noWrap w:val="0"/>
                  <w:vAlign w:val="center"/>
                </w:tcPr>
                <w:p w14:paraId="39F7B3BB">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综合楼</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占地面积488.72m</w:t>
                  </w:r>
                  <w:r>
                    <w:rPr>
                      <w:rFonts w:hint="default"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，总建筑面积为1006.03m</w:t>
                  </w:r>
                  <w:r>
                    <w:rPr>
                      <w:rFonts w:hint="default"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，布置有门厅、展厅、会议室、办公室、消防控制室、中控室、餐厅、值班室、卫生间、活动室、阅览室、资料室等</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w:t>
                  </w:r>
                </w:p>
              </w:tc>
            </w:tr>
            <w:tr w14:paraId="56DC98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2882CE5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62F0901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配电装置室</w:t>
                  </w:r>
                </w:p>
              </w:tc>
              <w:tc>
                <w:tcPr>
                  <w:tcW w:w="3853" w:type="pct"/>
                  <w:noWrap w:val="0"/>
                  <w:vAlign w:val="center"/>
                </w:tcPr>
                <w:p w14:paraId="0D14B4F2">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本工程220kV配电装置采用HGIS户外布置方案</w:t>
                  </w:r>
                  <w:r>
                    <w:rPr>
                      <w:rFonts w:hint="eastAsia" w:cs="Times New Roman" w:eastAsiaTheme="minorEastAsia"/>
                      <w:color w:val="000000" w:themeColor="text1"/>
                      <w:sz w:val="21"/>
                      <w:szCs w:val="21"/>
                      <w:lang w:val="en-US" w:eastAsia="zh-CN"/>
                      <w14:textFill>
                        <w14:solidFill>
                          <w14:schemeClr w14:val="tx1"/>
                        </w14:solidFill>
                      </w14:textFill>
                    </w:rPr>
                    <w:t>；35kV配电装置选用三相交流50Hz的户内成套装置。</w:t>
                  </w:r>
                </w:p>
              </w:tc>
            </w:tr>
            <w:tr w14:paraId="1F79C5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0EEC2E30">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1F53464C">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综合水泵房</w:t>
                  </w:r>
                </w:p>
              </w:tc>
              <w:tc>
                <w:tcPr>
                  <w:tcW w:w="3853" w:type="pct"/>
                  <w:noWrap w:val="0"/>
                  <w:vAlign w:val="center"/>
                </w:tcPr>
                <w:p w14:paraId="4B046AA9">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占地面积217.8m</w:t>
                  </w:r>
                  <w:r>
                    <w:rPr>
                      <w:rFonts w:hint="eastAsia"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，总建筑面积为345.84m</w:t>
                  </w:r>
                  <w:r>
                    <w:rPr>
                      <w:rFonts w:hint="eastAsia"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，地下消防水池有效容积为323.64m</w:t>
                  </w:r>
                  <w:r>
                    <w:rPr>
                      <w:rFonts w:hint="eastAsia"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，布置有水泵房和备品备件间及工器具库。</w:t>
                  </w:r>
                </w:p>
              </w:tc>
            </w:tr>
            <w:tr w14:paraId="1E0D0C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47DE6D7F">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05F3CE98">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门卫室</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及车库</w:t>
                  </w:r>
                </w:p>
              </w:tc>
              <w:tc>
                <w:tcPr>
                  <w:tcW w:w="3853" w:type="pct"/>
                  <w:noWrap w:val="0"/>
                  <w:vAlign w:val="center"/>
                </w:tcPr>
                <w:p w14:paraId="74641EC6">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门卫室</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建筑面积55</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m</w:t>
                  </w:r>
                  <w:r>
                    <w:rPr>
                      <w:rFonts w:hint="eastAsia"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，布置有警卫室、休息室、卫生间、备餐间。</w:t>
                  </w:r>
                </w:p>
                <w:p w14:paraId="2DA7B384">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车库建筑面积为70m</w:t>
                  </w:r>
                  <w:r>
                    <w:rPr>
                      <w:rFonts w:hint="eastAsia"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w:t>
                  </w:r>
                </w:p>
              </w:tc>
            </w:tr>
            <w:tr w14:paraId="769EE3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32AC3220">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p>
              </w:tc>
              <w:tc>
                <w:tcPr>
                  <w:tcW w:w="706" w:type="pct"/>
                  <w:noWrap w:val="0"/>
                  <w:vAlign w:val="center"/>
                </w:tcPr>
                <w:p w14:paraId="5126781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道路</w:t>
                  </w:r>
                </w:p>
              </w:tc>
              <w:tc>
                <w:tcPr>
                  <w:tcW w:w="3853" w:type="pct"/>
                  <w:noWrap w:val="0"/>
                  <w:vAlign w:val="center"/>
                </w:tcPr>
                <w:p w14:paraId="3372249E">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1.进站</w:t>
                  </w:r>
                  <w:r>
                    <w:rPr>
                      <w:rFonts w:hint="eastAsia" w:cs="Times New Roman" w:eastAsiaTheme="minorEastAsia"/>
                      <w:color w:val="000000" w:themeColor="text1"/>
                      <w:sz w:val="21"/>
                      <w:szCs w:val="21"/>
                      <w:lang w:val="en-US" w:eastAsia="zh-CN"/>
                      <w14:textFill>
                        <w14:solidFill>
                          <w14:schemeClr w14:val="tx1"/>
                        </w14:solidFill>
                      </w14:textFill>
                    </w:rPr>
                    <w:t>道路</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从东侧规划的市政道路引接，</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道路</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长度约200m，</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宽度为</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6</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.0m。</w:t>
                  </w:r>
                </w:p>
                <w:p w14:paraId="35B69972">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站内道路宽度为4.0m；汇集站区域通往主变的路面宽为4.5m，HGIS横向区域间路面宽3.0m，其余路面宽为4.0m，转弯半径为9.0m。</w:t>
                  </w:r>
                </w:p>
                <w:p w14:paraId="498B2EA5">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3.</w:t>
                  </w:r>
                  <w:r>
                    <w:rPr>
                      <w:rFonts w:hint="eastAsia" w:cs="Times New Roman" w:eastAsiaTheme="minorEastAsia"/>
                      <w:color w:val="000000" w:themeColor="text1"/>
                      <w:sz w:val="21"/>
                      <w:szCs w:val="21"/>
                      <w:lang w:val="en-US" w:eastAsia="zh-CN"/>
                      <w14:textFill>
                        <w14:solidFill>
                          <w14:schemeClr w14:val="tx1"/>
                        </w14:solidFill>
                      </w14:textFill>
                    </w:rPr>
                    <w:t>外送线路</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临时施工道路主要沿线路设置，靠近既有土路的部分杆塔设置临时道路就近连接。</w:t>
                  </w:r>
                </w:p>
              </w:tc>
            </w:tr>
            <w:tr w14:paraId="5CAF34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restart"/>
                  <w:noWrap w:val="0"/>
                  <w:vAlign w:val="center"/>
                </w:tcPr>
                <w:p w14:paraId="5E09A6F9">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临时工程</w:t>
                  </w:r>
                </w:p>
              </w:tc>
              <w:tc>
                <w:tcPr>
                  <w:tcW w:w="706" w:type="pct"/>
                  <w:noWrap w:val="0"/>
                  <w:vAlign w:val="center"/>
                </w:tcPr>
                <w:p w14:paraId="07077FDC">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施工营地</w:t>
                  </w:r>
                </w:p>
              </w:tc>
              <w:tc>
                <w:tcPr>
                  <w:tcW w:w="3853" w:type="pct"/>
                  <w:noWrap w:val="0"/>
                  <w:vAlign w:val="center"/>
                </w:tcPr>
                <w:p w14:paraId="5C7CEEAE">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本项目施工营地位于</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升压汇集站</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旁，</w:t>
                  </w:r>
                  <w:r>
                    <w:rPr>
                      <w:rFonts w:hint="eastAsia" w:cs="Times New Roman" w:eastAsiaTheme="minorEastAsia"/>
                      <w:color w:val="000000" w:themeColor="text1"/>
                      <w:sz w:val="21"/>
                      <w:szCs w:val="21"/>
                      <w:lang w:val="en-US" w:eastAsia="zh-CN"/>
                      <w14:textFill>
                        <w14:solidFill>
                          <w14:schemeClr w14:val="tx1"/>
                        </w14:solidFill>
                      </w14:textFill>
                    </w:rPr>
                    <w:t>占地面积5617</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m</w:t>
                  </w:r>
                  <w:r>
                    <w:rPr>
                      <w:rFonts w:hint="default" w:ascii="Times New Roman" w:hAnsi="Times New Roman" w:cs="Times New Roman" w:eastAsiaTheme="minorEastAsia"/>
                      <w:color w:val="000000" w:themeColor="text1"/>
                      <w:sz w:val="21"/>
                      <w:szCs w:val="21"/>
                      <w:vertAlign w:val="superscript"/>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，占地性质为</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沙地</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。包括办公生活区，综合加工厂（含钢筋加工厂、木材加工厂），仓库区</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等</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w:t>
                  </w:r>
                </w:p>
              </w:tc>
            </w:tr>
            <w:tr w14:paraId="66B8EA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1B2B03AF">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p>
              </w:tc>
              <w:tc>
                <w:tcPr>
                  <w:tcW w:w="706" w:type="pct"/>
                  <w:noWrap w:val="0"/>
                  <w:vAlign w:val="center"/>
                </w:tcPr>
                <w:p w14:paraId="3CC29D5A">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牵张场及跨越施工场</w:t>
                  </w:r>
                </w:p>
              </w:tc>
              <w:tc>
                <w:tcPr>
                  <w:tcW w:w="3853" w:type="pct"/>
                  <w:noWrap w:val="0"/>
                  <w:vAlign w:val="center"/>
                </w:tcPr>
                <w:p w14:paraId="5758BB79">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本项目共设置两处牵张场，分别位于JT1、JT9杆塔旁，设置两处跨越施工场，分别位于JT4、JT5杆塔旁。</w:t>
                  </w:r>
                </w:p>
              </w:tc>
            </w:tr>
            <w:tr w14:paraId="795C66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restart"/>
                  <w:noWrap w:val="0"/>
                  <w:vAlign w:val="center"/>
                </w:tcPr>
                <w:p w14:paraId="367CD5B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公用工程</w:t>
                  </w:r>
                </w:p>
              </w:tc>
              <w:tc>
                <w:tcPr>
                  <w:tcW w:w="706" w:type="pct"/>
                  <w:noWrap w:val="0"/>
                  <w:vAlign w:val="center"/>
                </w:tcPr>
                <w:p w14:paraId="2C5997AB">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供水</w:t>
                  </w:r>
                </w:p>
              </w:tc>
              <w:tc>
                <w:tcPr>
                  <w:tcW w:w="3853" w:type="pct"/>
                  <w:noWrap w:val="0"/>
                  <w:vAlign w:val="center"/>
                </w:tcPr>
                <w:p w14:paraId="7C6E506F">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升压汇集站用水</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由附近供水点拉水。站内设置一座综合水泵房。</w:t>
                  </w:r>
                </w:p>
              </w:tc>
            </w:tr>
            <w:tr w14:paraId="15207A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091D1F35">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34E114B5">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排水</w:t>
                  </w:r>
                </w:p>
              </w:tc>
              <w:tc>
                <w:tcPr>
                  <w:tcW w:w="3853" w:type="pct"/>
                  <w:noWrap w:val="0"/>
                  <w:vAlign w:val="center"/>
                </w:tcPr>
                <w:p w14:paraId="6B9D2244">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highlight w:val="none"/>
                      <w:lang w:eastAsia="zh-CN"/>
                      <w14:textFill>
                        <w14:solidFill>
                          <w14:schemeClr w14:val="tx1"/>
                        </w14:solidFill>
                      </w14:textFill>
                    </w:rPr>
                    <w:t>运营期生活污水中的餐饮废水经隔油池处理后与其他生活污水一起排入新建的地埋式一体化污水处理设施处理，经处理后冬储夏灌</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w:t>
                  </w:r>
                </w:p>
              </w:tc>
            </w:tr>
            <w:tr w14:paraId="647E48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5432ED9F">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7F94E229">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采暖</w:t>
                  </w:r>
                </w:p>
              </w:tc>
              <w:tc>
                <w:tcPr>
                  <w:tcW w:w="3853" w:type="pct"/>
                  <w:noWrap w:val="0"/>
                  <w:vAlign w:val="center"/>
                </w:tcPr>
                <w:p w14:paraId="4DA58C8D">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冬季人员采用</w:t>
                  </w:r>
                  <w:r>
                    <w:rPr>
                      <w:rFonts w:hint="eastAsia" w:cs="Times New Roman" w:eastAsiaTheme="minorEastAsia"/>
                      <w:color w:val="000000" w:themeColor="text1"/>
                      <w:sz w:val="21"/>
                      <w:szCs w:val="21"/>
                      <w:lang w:val="en-US" w:eastAsia="zh-CN"/>
                      <w14:textFill>
                        <w14:solidFill>
                          <w14:schemeClr w14:val="tx1"/>
                        </w14:solidFill>
                      </w14:textFill>
                    </w:rPr>
                    <w:t>电暖器</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采暖。</w:t>
                  </w:r>
                </w:p>
              </w:tc>
            </w:tr>
            <w:tr w14:paraId="680EEA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restart"/>
                  <w:noWrap w:val="0"/>
                  <w:vAlign w:val="center"/>
                </w:tcPr>
                <w:p w14:paraId="2FFBFBC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环保工程</w:t>
                  </w:r>
                </w:p>
              </w:tc>
              <w:tc>
                <w:tcPr>
                  <w:tcW w:w="706" w:type="pct"/>
                  <w:noWrap w:val="0"/>
                  <w:vAlign w:val="center"/>
                </w:tcPr>
                <w:p w14:paraId="564D77A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废水处理</w:t>
                  </w:r>
                </w:p>
              </w:tc>
              <w:tc>
                <w:tcPr>
                  <w:tcW w:w="3853" w:type="pct"/>
                  <w:noWrap w:val="0"/>
                  <w:vAlign w:val="center"/>
                </w:tcPr>
                <w:p w14:paraId="7B1B9CEC">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（1）施工期：</w:t>
                  </w: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施工期生活污水</w:t>
                  </w:r>
                  <w:r>
                    <w:rPr>
                      <w:rFonts w:hint="eastAsia" w:cs="Times New Roman" w:eastAsiaTheme="minorEastAsia"/>
                      <w:color w:val="000000" w:themeColor="text1"/>
                      <w:kern w:val="2"/>
                      <w:sz w:val="21"/>
                      <w:szCs w:val="21"/>
                      <w:lang w:val="en-US" w:eastAsia="zh-CN" w:bidi="ar-SA"/>
                      <w14:textFill>
                        <w14:solidFill>
                          <w14:schemeClr w14:val="tx1"/>
                        </w14:solidFill>
                      </w14:textFill>
                    </w:rPr>
                    <w:t>经</w:t>
                  </w: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环保厕所及防渗收集池</w:t>
                  </w:r>
                  <w:r>
                    <w:rPr>
                      <w:rFonts w:hint="eastAsia" w:cs="Times New Roman" w:eastAsiaTheme="minorEastAsia"/>
                      <w:color w:val="000000" w:themeColor="text1"/>
                      <w:kern w:val="2"/>
                      <w:sz w:val="21"/>
                      <w:szCs w:val="21"/>
                      <w:lang w:val="en-US" w:eastAsia="zh-CN" w:bidi="ar-SA"/>
                      <w14:textFill>
                        <w14:solidFill>
                          <w14:schemeClr w14:val="tx1"/>
                        </w14:solidFill>
                      </w14:textFill>
                    </w:rPr>
                    <w:t>收集</w:t>
                  </w:r>
                  <w:r>
                    <w:rPr>
                      <w:rFonts w:hint="default" w:ascii="Times New Roman" w:hAnsi="Times New Roman" w:cs="Times New Roman" w:eastAsiaTheme="minorEastAsia"/>
                      <w:color w:val="000000" w:themeColor="text1"/>
                      <w:kern w:val="2"/>
                      <w:sz w:val="21"/>
                      <w:szCs w:val="21"/>
                      <w:lang w:val="en-US" w:eastAsia="zh-CN" w:bidi="ar-SA"/>
                      <w14:textFill>
                        <w14:solidFill>
                          <w14:schemeClr w14:val="tx1"/>
                        </w14:solidFill>
                      </w14:textFill>
                    </w:rPr>
                    <w:t>后清运至巴州且末县污水处理厂</w:t>
                  </w:r>
                  <w:r>
                    <w:rPr>
                      <w:rFonts w:hint="eastAsia" w:cs="Times New Roman" w:eastAsiaTheme="minorEastAsia"/>
                      <w:color w:val="000000" w:themeColor="text1"/>
                      <w:sz w:val="21"/>
                      <w:szCs w:val="21"/>
                      <w:lang w:val="en-US" w:eastAsia="zh-CN"/>
                      <w14:textFill>
                        <w14:solidFill>
                          <w14:schemeClr w14:val="tx1"/>
                        </w14:solidFill>
                      </w14:textFill>
                    </w:rPr>
                    <w:t>；</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施工</w:t>
                  </w:r>
                  <w:r>
                    <w:rPr>
                      <w:rFonts w:hint="eastAsia" w:cs="Times New Roman" w:eastAsiaTheme="minorEastAsia"/>
                      <w:color w:val="000000" w:themeColor="text1"/>
                      <w:sz w:val="21"/>
                      <w:szCs w:val="21"/>
                      <w:lang w:val="en-US" w:eastAsia="zh-CN"/>
                      <w14:textFill>
                        <w14:solidFill>
                          <w14:schemeClr w14:val="tx1"/>
                        </w14:solidFill>
                      </w14:textFill>
                    </w:rPr>
                    <w:t>期混凝土养护废水自然蒸发，车辆冲洗</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废水经沉淀后回用于施工场地洒水降尘。</w:t>
                  </w:r>
                </w:p>
                <w:p w14:paraId="66A7AB9A">
                  <w:pPr>
                    <w:keepNext w:val="0"/>
                    <w:keepLines w:val="0"/>
                    <w:pageBreakBefore w:val="0"/>
                    <w:widowControl w:val="0"/>
                    <w:kinsoku/>
                    <w:wordWrap/>
                    <w:overflowPunct/>
                    <w:topLinePunct w:val="0"/>
                    <w:autoSpaceDE/>
                    <w:autoSpaceDN/>
                    <w:bidi w:val="0"/>
                    <w:adjustRightInd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（2）运营期：本项目运营期不产生生产废水，生活污水经一体化污水处理设施处理达标后</w:t>
                  </w:r>
                  <w:r>
                    <w:rPr>
                      <w:rFonts w:hint="eastAsia" w:cs="Times New Roman" w:eastAsiaTheme="minorEastAsia"/>
                      <w:color w:val="000000" w:themeColor="text1"/>
                      <w:sz w:val="21"/>
                      <w:szCs w:val="21"/>
                      <w:lang w:val="en-US" w:eastAsia="zh-CN"/>
                      <w14:textFill>
                        <w14:solidFill>
                          <w14:schemeClr w14:val="tx1"/>
                        </w14:solidFill>
                      </w14:textFill>
                    </w:rPr>
                    <w:t>冬储夏灌</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w:t>
                  </w:r>
                </w:p>
              </w:tc>
            </w:tr>
            <w:tr w14:paraId="610738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2BEAD6C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405EB330">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废气处理</w:t>
                  </w:r>
                </w:p>
              </w:tc>
              <w:tc>
                <w:tcPr>
                  <w:tcW w:w="3853" w:type="pct"/>
                  <w:noWrap w:val="0"/>
                  <w:vAlign w:val="center"/>
                </w:tcPr>
                <w:p w14:paraId="658A1D59">
                  <w:pPr>
                    <w:pStyle w:val="21"/>
                    <w:keepNext w:val="0"/>
                    <w:keepLines w:val="0"/>
                    <w:pageBreakBefore w:val="0"/>
                    <w:widowControl w:val="0"/>
                    <w:kinsoku/>
                    <w:wordWrap/>
                    <w:overflowPunct/>
                    <w:topLinePunct w:val="0"/>
                    <w:autoSpaceDE/>
                    <w:autoSpaceDN/>
                    <w:bidi w:val="0"/>
                    <w:snapToGrid/>
                    <w:spacing w:after="0"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14:textFill>
                        <w14:solidFill>
                          <w14:schemeClr w14:val="tx1"/>
                        </w14:solidFill>
                      </w14:textFill>
                    </w:rPr>
                    <w:t>施工期：施工道路洒水降尘，对各类粉状物料堆场采用加盖篷布、设置围挡等措施。</w:t>
                  </w:r>
                </w:p>
                <w:p w14:paraId="4A1858A4">
                  <w:pPr>
                    <w:pStyle w:val="21"/>
                    <w:keepNext w:val="0"/>
                    <w:keepLines w:val="0"/>
                    <w:pageBreakBefore w:val="0"/>
                    <w:widowControl w:val="0"/>
                    <w:kinsoku/>
                    <w:wordWrap/>
                    <w:overflowPunct/>
                    <w:topLinePunct w:val="0"/>
                    <w:autoSpaceDE/>
                    <w:autoSpaceDN/>
                    <w:bidi w:val="0"/>
                    <w:snapToGrid/>
                    <w:spacing w:after="0" w:line="240" w:lineRule="auto"/>
                    <w:jc w:val="both"/>
                    <w:textAlignment w:val="auto"/>
                    <w:rPr>
                      <w:rFonts w:hint="default" w:ascii="Times New Roman" w:hAnsi="Times New Roman" w:cs="Times New Roman" w:eastAsiaTheme="minorEastAsia"/>
                      <w:color w:val="000000" w:themeColor="text1"/>
                      <w:sz w:val="21"/>
                      <w:szCs w:val="21"/>
                      <w:lang w:val="en-US"/>
                      <w14:textFill>
                        <w14:solidFill>
                          <w14:schemeClr w14:val="tx1"/>
                        </w14:solidFill>
                      </w14:textFill>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14:textFill>
                        <w14:solidFill>
                          <w14:schemeClr w14:val="tx1"/>
                        </w14:solidFill>
                      </w14:textFill>
                    </w:rPr>
                    <w:t>运营期：本项目运营期</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无</w:t>
                  </w:r>
                  <w:r>
                    <w:rPr>
                      <w:rFonts w:hint="eastAsia" w:cs="Times New Roman" w:eastAsiaTheme="minorEastAsia"/>
                      <w:color w:val="000000" w:themeColor="text1"/>
                      <w:sz w:val="21"/>
                      <w:szCs w:val="21"/>
                      <w:lang w:val="en-US" w:eastAsia="zh-CN"/>
                      <w14:textFill>
                        <w14:solidFill>
                          <w14:schemeClr w14:val="tx1"/>
                        </w14:solidFill>
                      </w14:textFill>
                    </w:rPr>
                    <w:t>生产</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废气产生</w:t>
                  </w:r>
                  <w:r>
                    <w:rPr>
                      <w:rFonts w:hint="eastAsia" w:cs="Times New Roman" w:eastAsiaTheme="minorEastAsia"/>
                      <w:color w:val="000000" w:themeColor="text1"/>
                      <w:sz w:val="21"/>
                      <w:szCs w:val="21"/>
                      <w:lang w:val="en-US" w:eastAsia="zh-CN"/>
                      <w14:textFill>
                        <w14:solidFill>
                          <w14:schemeClr w14:val="tx1"/>
                        </w14:solidFill>
                      </w14:textFill>
                    </w:rPr>
                    <w:t>；员工餐厅产生的油烟经油烟净化器处理后达标排放。</w:t>
                  </w:r>
                </w:p>
              </w:tc>
            </w:tr>
            <w:tr w14:paraId="6B2ED2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0E0E7E7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07E5F93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噪声处理</w:t>
                  </w:r>
                </w:p>
              </w:tc>
              <w:tc>
                <w:tcPr>
                  <w:tcW w:w="3853" w:type="pct"/>
                  <w:noWrap w:val="0"/>
                  <w:vAlign w:val="center"/>
                </w:tcPr>
                <w:p w14:paraId="6A684412">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1</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14:textFill>
                        <w14:solidFill>
                          <w14:schemeClr w14:val="tx1"/>
                        </w14:solidFill>
                      </w14:textFill>
                    </w:rPr>
                    <w:t>施工机械基础减振、合理布置施工机械、避免高噪声设备同时施工等。</w:t>
                  </w:r>
                </w:p>
                <w:p w14:paraId="4CBD549B">
                  <w:pPr>
                    <w:pStyle w:val="51"/>
                    <w:keepNext w:val="0"/>
                    <w:keepLines w:val="0"/>
                    <w:pageBreakBefore w:val="0"/>
                    <w:widowControl w:val="0"/>
                    <w:kinsoku/>
                    <w:wordWrap/>
                    <w:overflowPunct/>
                    <w:topLinePunct w:val="0"/>
                    <w:autoSpaceDE/>
                    <w:autoSpaceDN/>
                    <w:bidi w:val="0"/>
                    <w:snapToGrid/>
                    <w:spacing w:after="0"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14:textFill>
                        <w14:solidFill>
                          <w14:schemeClr w14:val="tx1"/>
                        </w14:solidFill>
                      </w14:textFill>
                    </w:rPr>
                    <w:t>运营期优选低噪声设备，优化升压</w:t>
                  </w:r>
                  <w:r>
                    <w:rPr>
                      <w:rFonts w:hint="eastAsia" w:cs="Times New Roman" w:eastAsiaTheme="minorEastAsia"/>
                      <w:color w:val="000000" w:themeColor="text1"/>
                      <w:sz w:val="21"/>
                      <w:szCs w:val="21"/>
                      <w:lang w:val="en-US" w:eastAsia="zh-CN"/>
                      <w14:textFill>
                        <w14:solidFill>
                          <w14:schemeClr w14:val="tx1"/>
                        </w14:solidFill>
                      </w14:textFill>
                    </w:rPr>
                    <w:t>汇集</w:t>
                  </w:r>
                  <w:r>
                    <w:rPr>
                      <w:rFonts w:hint="default" w:ascii="Times New Roman" w:hAnsi="Times New Roman" w:cs="Times New Roman" w:eastAsiaTheme="minorEastAsia"/>
                      <w:color w:val="000000" w:themeColor="text1"/>
                      <w:sz w:val="21"/>
                      <w:szCs w:val="21"/>
                      <w14:textFill>
                        <w14:solidFill>
                          <w14:schemeClr w14:val="tx1"/>
                        </w14:solidFill>
                      </w14:textFill>
                    </w:rPr>
                    <w:t>站布局。</w:t>
                  </w:r>
                </w:p>
              </w:tc>
            </w:tr>
            <w:tr w14:paraId="7F1BAA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00CB5ACA">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496C46A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固废治理</w:t>
                  </w:r>
                </w:p>
              </w:tc>
              <w:tc>
                <w:tcPr>
                  <w:tcW w:w="3853" w:type="pct"/>
                  <w:noWrap w:val="0"/>
                  <w:vAlign w:val="center"/>
                </w:tcPr>
                <w:p w14:paraId="0B732E8A">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（1）施工期：做好临时堆土遮挡措施，用于土地平整</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施工区设置</w:t>
                  </w:r>
                  <w:r>
                    <w:rPr>
                      <w:rFonts w:hint="default" w:ascii="Times New Roman" w:hAnsi="Times New Roman" w:cs="Times New Roman" w:eastAsiaTheme="minorEastAsia"/>
                      <w:color w:val="000000" w:themeColor="text1"/>
                      <w:sz w:val="21"/>
                      <w:szCs w:val="21"/>
                      <w14:textFill>
                        <w14:solidFill>
                          <w14:schemeClr w14:val="tx1"/>
                        </w14:solidFill>
                      </w14:textFill>
                    </w:rPr>
                    <w:t>垃圾桶，用于生活垃圾</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收集</w:t>
                  </w:r>
                  <w:r>
                    <w:rPr>
                      <w:rFonts w:hint="default" w:ascii="Times New Roman" w:hAnsi="Times New Roman" w:cs="Times New Roman" w:eastAsiaTheme="minorEastAsia"/>
                      <w:color w:val="000000" w:themeColor="text1"/>
                      <w:sz w:val="21"/>
                      <w:szCs w:val="21"/>
                      <w14:textFill>
                        <w14:solidFill>
                          <w14:schemeClr w14:val="tx1"/>
                        </w14:solidFill>
                      </w14:textFill>
                    </w:rPr>
                    <w:t>，委托当地环卫部门统一处理</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11"/>
                      <w:sz w:val="21"/>
                      <w:szCs w:val="21"/>
                      <w14:textFill>
                        <w14:solidFill>
                          <w14:schemeClr w14:val="tx1"/>
                        </w14:solidFill>
                      </w14:textFill>
                    </w:rPr>
                    <w:t>对可回收的建筑垃圾进行回收利用，</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不可利用部分</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统一收集至住建部门指定场所进行处理</w:t>
                  </w:r>
                  <w:r>
                    <w:rPr>
                      <w:rFonts w:hint="default" w:ascii="Times New Roman" w:hAnsi="Times New Roman" w:cs="Times New Roman" w:eastAsiaTheme="minorEastAsia"/>
                      <w:color w:val="000000" w:themeColor="text1"/>
                      <w:sz w:val="21"/>
                      <w:szCs w:val="21"/>
                      <w14:textFill>
                        <w14:solidFill>
                          <w14:schemeClr w14:val="tx1"/>
                        </w14:solidFill>
                      </w14:textFill>
                    </w:rPr>
                    <w:t>。</w:t>
                  </w:r>
                </w:p>
                <w:p w14:paraId="586159F4">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（2）运营期：生活垃圾</w:t>
                  </w:r>
                  <w:r>
                    <w:rPr>
                      <w:rFonts w:hint="eastAsia" w:cs="Times New Roman" w:eastAsiaTheme="minorEastAsia"/>
                      <w:color w:val="000000" w:themeColor="text1"/>
                      <w:sz w:val="21"/>
                      <w:szCs w:val="21"/>
                      <w:lang w:val="en-US" w:eastAsia="zh-CN"/>
                      <w14:textFill>
                        <w14:solidFill>
                          <w14:schemeClr w14:val="tx1"/>
                        </w14:solidFill>
                      </w14:textFill>
                    </w:rPr>
                    <w:t>及污水处理污泥</w:t>
                  </w:r>
                  <w:r>
                    <w:rPr>
                      <w:rFonts w:hint="default" w:ascii="Times New Roman" w:hAnsi="Times New Roman" w:cs="Times New Roman" w:eastAsiaTheme="minorEastAsia"/>
                      <w:color w:val="000000" w:themeColor="text1"/>
                      <w:sz w:val="21"/>
                      <w:szCs w:val="21"/>
                      <w14:textFill>
                        <w14:solidFill>
                          <w14:schemeClr w14:val="tx1"/>
                        </w14:solidFill>
                      </w14:textFill>
                    </w:rPr>
                    <w:t>收集后</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委托</w:t>
                  </w:r>
                  <w:r>
                    <w:rPr>
                      <w:rFonts w:hint="default" w:ascii="Times New Roman" w:hAnsi="Times New Roman" w:cs="Times New Roman" w:eastAsiaTheme="minorEastAsia"/>
                      <w:color w:val="000000" w:themeColor="text1"/>
                      <w:sz w:val="21"/>
                      <w:szCs w:val="21"/>
                      <w14:textFill>
                        <w14:solidFill>
                          <w14:schemeClr w14:val="tx1"/>
                        </w14:solidFill>
                      </w14:textFill>
                    </w:rPr>
                    <w:t>当地环卫部门</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清运</w:t>
                  </w:r>
                  <w:r>
                    <w:rPr>
                      <w:rFonts w:hint="default" w:ascii="Times New Roman" w:hAnsi="Times New Roman" w:cs="Times New Roman" w:eastAsiaTheme="minorEastAsia"/>
                      <w:color w:val="000000" w:themeColor="text1"/>
                      <w:sz w:val="21"/>
                      <w:szCs w:val="21"/>
                      <w14:textFill>
                        <w14:solidFill>
                          <w14:schemeClr w14:val="tx1"/>
                        </w14:solidFill>
                      </w14:textFill>
                    </w:rPr>
                    <w:t>处理；变压器</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事故</w:t>
                  </w:r>
                  <w:r>
                    <w:rPr>
                      <w:rFonts w:hint="default" w:ascii="Times New Roman" w:hAnsi="Times New Roman" w:cs="Times New Roman" w:eastAsiaTheme="minorEastAsia"/>
                      <w:color w:val="000000" w:themeColor="text1"/>
                      <w:sz w:val="21"/>
                      <w:szCs w:val="21"/>
                      <w14:textFill>
                        <w14:solidFill>
                          <w14:schemeClr w14:val="tx1"/>
                        </w14:solidFill>
                      </w14:textFill>
                    </w:rPr>
                    <w:t>废油</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进入</w:t>
                  </w:r>
                  <w:r>
                    <w:rPr>
                      <w:rFonts w:hint="default" w:ascii="Times New Roman" w:hAnsi="Times New Roman" w:cs="Times New Roman" w:eastAsiaTheme="minorEastAsia"/>
                      <w:color w:val="000000" w:themeColor="text1"/>
                      <w:sz w:val="21"/>
                      <w:szCs w:val="21"/>
                      <w14:textFill>
                        <w14:solidFill>
                          <w14:schemeClr w14:val="tx1"/>
                        </w14:solidFill>
                      </w14:textFill>
                    </w:rPr>
                    <w:t>事故油池</w:t>
                  </w:r>
                  <w:r>
                    <w:rPr>
                      <w:rFonts w:hint="eastAsia"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委托具有相应危废资质单位清运；</w:t>
                  </w:r>
                  <w:r>
                    <w:rPr>
                      <w:rFonts w:hint="default" w:ascii="Times New Roman" w:hAnsi="Times New Roman" w:cs="Times New Roman" w:eastAsiaTheme="minorEastAsia"/>
                      <w:color w:val="000000" w:themeColor="text1"/>
                      <w:sz w:val="21"/>
                      <w:szCs w:val="21"/>
                      <w14:textFill>
                        <w14:solidFill>
                          <w14:schemeClr w14:val="tx1"/>
                        </w14:solidFill>
                      </w14:textFill>
                    </w:rPr>
                    <w:t>废</w:t>
                  </w:r>
                  <w:r>
                    <w:rPr>
                      <w:rFonts w:hint="eastAsia" w:cs="Times New Roman" w:eastAsiaTheme="minorEastAsia"/>
                      <w:color w:val="000000" w:themeColor="text1"/>
                      <w:sz w:val="21"/>
                      <w:szCs w:val="21"/>
                      <w:lang w:val="en-US" w:eastAsia="zh-CN"/>
                      <w14:textFill>
                        <w14:solidFill>
                          <w14:schemeClr w14:val="tx1"/>
                        </w14:solidFill>
                      </w14:textFill>
                    </w:rPr>
                    <w:t>润滑油及油桶</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废铅酸蓄电池、废弃的含油抹布和劳保用品经分类</w:t>
                  </w:r>
                  <w:r>
                    <w:rPr>
                      <w:rFonts w:hint="default" w:ascii="Times New Roman" w:hAnsi="Times New Roman" w:cs="Times New Roman" w:eastAsiaTheme="minorEastAsia"/>
                      <w:color w:val="000000" w:themeColor="text1"/>
                      <w:sz w:val="21"/>
                      <w:szCs w:val="21"/>
                      <w14:textFill>
                        <w14:solidFill>
                          <w14:schemeClr w14:val="tx1"/>
                        </w14:solidFill>
                      </w14:textFill>
                    </w:rPr>
                    <w:t>收集后贮存在</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升压</w:t>
                  </w:r>
                  <w:r>
                    <w:rPr>
                      <w:rFonts w:hint="eastAsia" w:cs="Times New Roman" w:eastAsiaTheme="minorEastAsia"/>
                      <w:color w:val="000000" w:themeColor="text1"/>
                      <w:sz w:val="21"/>
                      <w:szCs w:val="21"/>
                      <w:lang w:val="en-US" w:eastAsia="zh-CN"/>
                      <w14:textFill>
                        <w14:solidFill>
                          <w14:schemeClr w14:val="tx1"/>
                        </w14:solidFill>
                      </w14:textFill>
                    </w:rPr>
                    <w:t>汇集</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站</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危废贮存点</w:t>
                  </w:r>
                  <w:r>
                    <w:rPr>
                      <w:rFonts w:hint="default" w:ascii="Times New Roman" w:hAnsi="Times New Roman" w:cs="Times New Roman" w:eastAsiaTheme="minorEastAsia"/>
                      <w:color w:val="000000" w:themeColor="text1"/>
                      <w:sz w:val="21"/>
                      <w:szCs w:val="21"/>
                      <w14:textFill>
                        <w14:solidFill>
                          <w14:schemeClr w14:val="tx1"/>
                        </w14:solidFill>
                      </w14:textFill>
                    </w:rPr>
                    <w:t>内，</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委托</w:t>
                  </w:r>
                  <w:r>
                    <w:rPr>
                      <w:rFonts w:hint="default" w:ascii="Times New Roman" w:hAnsi="Times New Roman" w:cs="Times New Roman" w:eastAsiaTheme="minorEastAsia"/>
                      <w:color w:val="000000" w:themeColor="text1"/>
                      <w:sz w:val="21"/>
                      <w:szCs w:val="21"/>
                      <w14:textFill>
                        <w14:solidFill>
                          <w14:schemeClr w14:val="tx1"/>
                        </w14:solidFill>
                      </w14:textFill>
                    </w:rPr>
                    <w:t>具有</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相应</w:t>
                  </w:r>
                  <w:r>
                    <w:rPr>
                      <w:rFonts w:hint="default" w:ascii="Times New Roman" w:hAnsi="Times New Roman" w:cs="Times New Roman" w:eastAsiaTheme="minorEastAsia"/>
                      <w:color w:val="000000" w:themeColor="text1"/>
                      <w:sz w:val="21"/>
                      <w:szCs w:val="21"/>
                      <w14:textFill>
                        <w14:solidFill>
                          <w14:schemeClr w14:val="tx1"/>
                        </w14:solidFill>
                      </w14:textFill>
                    </w:rPr>
                    <w:t>危险废物</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处理</w:t>
                  </w:r>
                  <w:r>
                    <w:rPr>
                      <w:rFonts w:hint="default" w:ascii="Times New Roman" w:hAnsi="Times New Roman" w:cs="Times New Roman" w:eastAsiaTheme="minorEastAsia"/>
                      <w:color w:val="000000" w:themeColor="text1"/>
                      <w:sz w:val="21"/>
                      <w:szCs w:val="21"/>
                      <w14:textFill>
                        <w14:solidFill>
                          <w14:schemeClr w14:val="tx1"/>
                        </w14:solidFill>
                      </w14:textFill>
                    </w:rPr>
                    <w:t>资质的单位处置。</w:t>
                  </w:r>
                </w:p>
              </w:tc>
            </w:tr>
            <w:tr w14:paraId="586E39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5C006B5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37CD13D3">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电磁环境</w:t>
                  </w:r>
                </w:p>
              </w:tc>
              <w:tc>
                <w:tcPr>
                  <w:tcW w:w="3853" w:type="pct"/>
                  <w:noWrap w:val="0"/>
                  <w:vAlign w:val="center"/>
                </w:tcPr>
                <w:p w14:paraId="4F168485">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悬挂警示标识，定期巡检等。升压</w:t>
                  </w:r>
                  <w:r>
                    <w:rPr>
                      <w:rFonts w:hint="eastAsia" w:cs="Times New Roman" w:eastAsiaTheme="minorEastAsia"/>
                      <w:color w:val="000000" w:themeColor="text1"/>
                      <w:sz w:val="21"/>
                      <w:szCs w:val="21"/>
                      <w:lang w:val="en-US" w:eastAsia="zh-CN"/>
                      <w14:textFill>
                        <w14:solidFill>
                          <w14:schemeClr w14:val="tx1"/>
                        </w14:solidFill>
                      </w14:textFill>
                    </w:rPr>
                    <w:t>汇集站及外送线路产生的工频电场强度、工频磁感应强度</w:t>
                  </w:r>
                  <w:r>
                    <w:rPr>
                      <w:rFonts w:hint="default" w:ascii="Times New Roman" w:hAnsi="Times New Roman" w:cs="Times New Roman" w:eastAsiaTheme="minorEastAsia"/>
                      <w:color w:val="000000" w:themeColor="text1"/>
                      <w:sz w:val="21"/>
                      <w:szCs w:val="21"/>
                      <w14:textFill>
                        <w14:solidFill>
                          <w14:schemeClr w14:val="tx1"/>
                        </w14:solidFill>
                      </w14:textFill>
                    </w:rPr>
                    <w:t>满足《电磁环境控制限值》</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14:textFill>
                        <w14:solidFill>
                          <w14:schemeClr w14:val="tx1"/>
                        </w14:solidFill>
                      </w14:textFill>
                    </w:rPr>
                    <w:t>GB</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z w:val="21"/>
                      <w:szCs w:val="21"/>
                      <w14:textFill>
                        <w14:solidFill>
                          <w14:schemeClr w14:val="tx1"/>
                        </w14:solidFill>
                      </w14:textFill>
                    </w:rPr>
                    <w:t>8702-2014</w:t>
                  </w: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14:textFill>
                        <w14:solidFill>
                          <w14:schemeClr w14:val="tx1"/>
                        </w14:solidFill>
                      </w14:textFill>
                    </w:rPr>
                    <w:t>。</w:t>
                  </w:r>
                </w:p>
              </w:tc>
            </w:tr>
            <w:tr w14:paraId="647F31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4F1F8B2E">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2D96589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生态治理</w:t>
                  </w:r>
                </w:p>
              </w:tc>
              <w:tc>
                <w:tcPr>
                  <w:tcW w:w="3853" w:type="pct"/>
                  <w:noWrap w:val="0"/>
                  <w:vAlign w:val="center"/>
                </w:tcPr>
                <w:p w14:paraId="04CB3CB3">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建设前取得用地手续；在建设中尽量减少地表植被破坏，减少土方开挖和临时用地，临时堆土采用苫盖和洒水降尘措施。本项目施工结束后对各类临时用地进行恢复。</w:t>
                  </w:r>
                </w:p>
              </w:tc>
            </w:tr>
            <w:tr w14:paraId="2779B2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restart"/>
                  <w:noWrap w:val="0"/>
                  <w:vAlign w:val="center"/>
                </w:tcPr>
                <w:p w14:paraId="0E8E9B66">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风险措施</w:t>
                  </w:r>
                </w:p>
              </w:tc>
              <w:tc>
                <w:tcPr>
                  <w:tcW w:w="706" w:type="pct"/>
                  <w:noWrap w:val="0"/>
                  <w:vAlign w:val="center"/>
                </w:tcPr>
                <w:p w14:paraId="184C0A3A">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lang w:eastAsia="zh-CN"/>
                      <w14:textFill>
                        <w14:solidFill>
                          <w14:schemeClr w14:val="tx1"/>
                        </w14:solidFill>
                      </w14:textFill>
                    </w:rPr>
                    <w:t>危废贮存点</w:t>
                  </w:r>
                </w:p>
              </w:tc>
              <w:tc>
                <w:tcPr>
                  <w:tcW w:w="3853" w:type="pct"/>
                  <w:noWrap w:val="0"/>
                  <w:vAlign w:val="center"/>
                </w:tcPr>
                <w:p w14:paraId="64E489BA">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站内</w:t>
                  </w:r>
                  <w:r>
                    <w:rPr>
                      <w:rFonts w:hint="default" w:ascii="Times New Roman" w:hAnsi="Times New Roman" w:cs="Times New Roman" w:eastAsiaTheme="minorEastAsia"/>
                      <w:color w:val="000000" w:themeColor="text1"/>
                      <w:sz w:val="21"/>
                      <w:szCs w:val="21"/>
                      <w:shd w:val="clear" w:color="auto" w:fill="auto"/>
                      <w:lang w:val="en-US" w:eastAsia="zh-CN"/>
                      <w14:textFill>
                        <w14:solidFill>
                          <w14:schemeClr w14:val="tx1"/>
                        </w14:solidFill>
                      </w14:textFill>
                    </w:rPr>
                    <w:t>建设一座危废贮存点，总建筑面积</w:t>
                  </w:r>
                  <w:r>
                    <w:rPr>
                      <w:rFonts w:hint="eastAsia" w:ascii="Times New Roman" w:hAnsi="Times New Roman" w:cs="Times New Roman" w:eastAsiaTheme="minorEastAsia"/>
                      <w:color w:val="000000" w:themeColor="text1"/>
                      <w:sz w:val="21"/>
                      <w:szCs w:val="21"/>
                      <w:shd w:val="clear" w:color="auto" w:fill="auto"/>
                      <w:lang w:val="en-US" w:eastAsia="zh-CN"/>
                      <w14:textFill>
                        <w14:solidFill>
                          <w14:schemeClr w14:val="tx1"/>
                        </w14:solidFill>
                      </w14:textFill>
                    </w:rPr>
                    <w:t>55</w:t>
                  </w:r>
                  <w:r>
                    <w:rPr>
                      <w:rFonts w:hint="default" w:ascii="Times New Roman" w:hAnsi="Times New Roman" w:cs="Times New Roman" w:eastAsiaTheme="minorEastAsia"/>
                      <w:color w:val="000000" w:themeColor="text1"/>
                      <w:sz w:val="21"/>
                      <w:szCs w:val="21"/>
                      <w:shd w:val="clear" w:color="auto" w:fill="auto"/>
                      <w:lang w:val="en-US" w:eastAsia="zh-CN"/>
                      <w14:textFill>
                        <w14:solidFill>
                          <w14:schemeClr w14:val="tx1"/>
                        </w14:solidFill>
                      </w14:textFill>
                    </w:rPr>
                    <w:t>m</w:t>
                  </w:r>
                  <w:r>
                    <w:rPr>
                      <w:rFonts w:hint="default" w:ascii="Times New Roman" w:hAnsi="Times New Roman" w:cs="Times New Roman" w:eastAsiaTheme="minorEastAsia"/>
                      <w:color w:val="000000" w:themeColor="text1"/>
                      <w:sz w:val="21"/>
                      <w:szCs w:val="21"/>
                      <w:shd w:val="clear" w:color="auto" w:fill="auto"/>
                      <w:vertAlign w:val="superscript"/>
                      <w:lang w:val="en-US" w:eastAsia="zh-CN"/>
                      <w14:textFill>
                        <w14:solidFill>
                          <w14:schemeClr w14:val="tx1"/>
                        </w14:solidFill>
                      </w14:textFill>
                    </w:rPr>
                    <w:t>2</w:t>
                  </w:r>
                  <w:r>
                    <w:rPr>
                      <w:rFonts w:hint="default" w:ascii="Times New Roman" w:hAnsi="Times New Roman" w:cs="Times New Roman" w:eastAsiaTheme="minorEastAsia"/>
                      <w:color w:val="000000" w:themeColor="text1"/>
                      <w:sz w:val="21"/>
                      <w:szCs w:val="21"/>
                      <w:shd w:val="clear" w:color="auto" w:fill="auto"/>
                      <w:lang w:val="en-US" w:eastAsia="zh-CN"/>
                      <w14:textFill>
                        <w14:solidFill>
                          <w14:schemeClr w14:val="tx1"/>
                        </w14:solidFill>
                      </w14:textFill>
                    </w:rPr>
                    <w:t>，贮存点</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采取必要的防风、防晒、防雨、防漏、防渗、防腐等措施</w:t>
                  </w:r>
                  <w:r>
                    <w:rPr>
                      <w:rFonts w:hint="default" w:ascii="Times New Roman" w:hAnsi="Times New Roman" w:cs="Times New Roman" w:eastAsiaTheme="minorEastAsia"/>
                      <w:color w:val="000000" w:themeColor="text1"/>
                      <w:sz w:val="21"/>
                      <w:szCs w:val="21"/>
                      <w14:textFill>
                        <w14:solidFill>
                          <w14:schemeClr w14:val="tx1"/>
                        </w14:solidFill>
                      </w14:textFill>
                    </w:rPr>
                    <w:t>，</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渗透</w:t>
                  </w:r>
                  <w:r>
                    <w:rPr>
                      <w:rFonts w:hint="default" w:ascii="Times New Roman" w:hAnsi="Times New Roman" w:cs="Times New Roman" w:eastAsiaTheme="minorEastAsia"/>
                      <w:color w:val="000000" w:themeColor="text1"/>
                      <w:sz w:val="21"/>
                      <w:szCs w:val="21"/>
                      <w14:textFill>
                        <w14:solidFill>
                          <w14:schemeClr w14:val="tx1"/>
                        </w14:solidFill>
                      </w14:textFill>
                    </w:rPr>
                    <w:t>系数≤10</w:t>
                  </w:r>
                  <w:r>
                    <w:rPr>
                      <w:rFonts w:hint="eastAsia" w:cs="Times New Roman" w:eastAsiaTheme="minorEastAsia"/>
                      <w:color w:val="000000" w:themeColor="text1"/>
                      <w:sz w:val="21"/>
                      <w:szCs w:val="21"/>
                      <w:vertAlign w:val="superscript"/>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vertAlign w:val="superscript"/>
                      <w14:textFill>
                        <w14:solidFill>
                          <w14:schemeClr w14:val="tx1"/>
                        </w14:solidFill>
                      </w14:textFill>
                    </w:rPr>
                    <w:t>10</w:t>
                  </w:r>
                  <w:r>
                    <w:rPr>
                      <w:rFonts w:hint="default" w:ascii="Times New Roman" w:hAnsi="Times New Roman" w:cs="Times New Roman" w:eastAsiaTheme="minorEastAsia"/>
                      <w:color w:val="000000" w:themeColor="text1"/>
                      <w:sz w:val="21"/>
                      <w:szCs w:val="21"/>
                      <w14:textFill>
                        <w14:solidFill>
                          <w14:schemeClr w14:val="tx1"/>
                        </w14:solidFill>
                      </w14:textFill>
                    </w:rPr>
                    <w:t>cm/s。</w:t>
                  </w:r>
                </w:p>
              </w:tc>
            </w:tr>
            <w:tr w14:paraId="59D470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2E7C2F9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1CEA5951">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事故池</w:t>
                  </w:r>
                </w:p>
              </w:tc>
              <w:tc>
                <w:tcPr>
                  <w:tcW w:w="3853" w:type="pct"/>
                  <w:noWrap w:val="0"/>
                  <w:vAlign w:val="center"/>
                </w:tcPr>
                <w:p w14:paraId="04536D71">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主变压器旁</w:t>
                  </w:r>
                  <w:r>
                    <w:rPr>
                      <w:rFonts w:hint="default" w:ascii="Times New Roman" w:hAnsi="Times New Roman" w:cs="Times New Roman" w:eastAsiaTheme="minorEastAsia"/>
                      <w:color w:val="000000" w:themeColor="text1"/>
                      <w:sz w:val="21"/>
                      <w:szCs w:val="21"/>
                      <w14:textFill>
                        <w14:solidFill>
                          <w14:schemeClr w14:val="tx1"/>
                        </w14:solidFill>
                      </w14:textFill>
                    </w:rPr>
                    <w:t>设置</w:t>
                  </w:r>
                  <w:r>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t>50</w:t>
                  </w:r>
                  <w:r>
                    <w:rPr>
                      <w:rFonts w:hint="default" w:ascii="Times New Roman" w:hAnsi="Times New Roman" w:cs="Times New Roman" w:eastAsiaTheme="minorEastAsia"/>
                      <w:color w:val="000000" w:themeColor="text1"/>
                      <w:sz w:val="21"/>
                      <w:szCs w:val="21"/>
                      <w14:textFill>
                        <w14:solidFill>
                          <w14:schemeClr w14:val="tx1"/>
                        </w14:solidFill>
                      </w14:textFill>
                    </w:rPr>
                    <w:t>m</w:t>
                  </w:r>
                  <w:r>
                    <w:rPr>
                      <w:rFonts w:hint="default" w:ascii="Times New Roman" w:hAnsi="Times New Roman" w:cs="Times New Roman" w:eastAsiaTheme="minorEastAsia"/>
                      <w:color w:val="000000" w:themeColor="text1"/>
                      <w:sz w:val="21"/>
                      <w:szCs w:val="21"/>
                      <w:vertAlign w:val="superscript"/>
                      <w14:textFill>
                        <w14:solidFill>
                          <w14:schemeClr w14:val="tx1"/>
                        </w14:solidFill>
                      </w14:textFill>
                    </w:rPr>
                    <w:t>3</w:t>
                  </w:r>
                  <w:r>
                    <w:rPr>
                      <w:rFonts w:hint="default" w:ascii="Times New Roman" w:hAnsi="Times New Roman" w:cs="Times New Roman" w:eastAsiaTheme="minorEastAsia"/>
                      <w:color w:val="000000" w:themeColor="text1"/>
                      <w:sz w:val="21"/>
                      <w:szCs w:val="21"/>
                      <w14:textFill>
                        <w14:solidFill>
                          <w14:schemeClr w14:val="tx1"/>
                        </w14:solidFill>
                      </w14:textFill>
                    </w:rPr>
                    <w:t>事故油池，采用混凝土结构，防渗层采用2mm厚高密度聚乙烯，</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渗透</w:t>
                  </w:r>
                  <w:r>
                    <w:rPr>
                      <w:rFonts w:hint="default" w:ascii="Times New Roman" w:hAnsi="Times New Roman" w:cs="Times New Roman" w:eastAsiaTheme="minorEastAsia"/>
                      <w:color w:val="000000" w:themeColor="text1"/>
                      <w:sz w:val="21"/>
                      <w:szCs w:val="21"/>
                      <w14:textFill>
                        <w14:solidFill>
                          <w14:schemeClr w14:val="tx1"/>
                        </w14:solidFill>
                      </w14:textFill>
                    </w:rPr>
                    <w:t>系数≤10</w:t>
                  </w:r>
                  <w:r>
                    <w:rPr>
                      <w:rFonts w:hint="eastAsia" w:cs="Times New Roman" w:eastAsiaTheme="minorEastAsia"/>
                      <w:color w:val="000000" w:themeColor="text1"/>
                      <w:sz w:val="21"/>
                      <w:szCs w:val="21"/>
                      <w:vertAlign w:val="superscript"/>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vertAlign w:val="superscript"/>
                      <w14:textFill>
                        <w14:solidFill>
                          <w14:schemeClr w14:val="tx1"/>
                        </w14:solidFill>
                      </w14:textFill>
                    </w:rPr>
                    <w:t>10</w:t>
                  </w:r>
                  <w:r>
                    <w:rPr>
                      <w:rFonts w:hint="default" w:ascii="Times New Roman" w:hAnsi="Times New Roman" w:cs="Times New Roman" w:eastAsiaTheme="minorEastAsia"/>
                      <w:color w:val="000000" w:themeColor="text1"/>
                      <w:sz w:val="21"/>
                      <w:szCs w:val="21"/>
                      <w14:textFill>
                        <w14:solidFill>
                          <w14:schemeClr w14:val="tx1"/>
                        </w14:solidFill>
                      </w14:textFill>
                    </w:rPr>
                    <w:t>cm/s。</w:t>
                  </w:r>
                </w:p>
              </w:tc>
            </w:tr>
            <w:tr w14:paraId="05F294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101D6170">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6AD669F9">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消防设施</w:t>
                  </w:r>
                </w:p>
              </w:tc>
              <w:tc>
                <w:tcPr>
                  <w:tcW w:w="3853" w:type="pct"/>
                  <w:noWrap w:val="0"/>
                  <w:vAlign w:val="center"/>
                </w:tcPr>
                <w:p w14:paraId="658B6DC1">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本项目主要建筑物室内设施</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配置手提式磷酸铵盐</w:t>
                  </w:r>
                  <w:r>
                    <w:rPr>
                      <w:rFonts w:hint="default" w:ascii="Times New Roman" w:hAnsi="Times New Roman" w:cs="Times New Roman" w:eastAsiaTheme="minorEastAsia"/>
                      <w:color w:val="000000" w:themeColor="text1"/>
                      <w:sz w:val="21"/>
                      <w:szCs w:val="21"/>
                      <w14:textFill>
                        <w14:solidFill>
                          <w14:schemeClr w14:val="tx1"/>
                        </w14:solidFill>
                      </w14:textFill>
                    </w:rPr>
                    <w:t>干粉灭火器、火灾报警系统。</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站内设置消防砂箱和火灾自动报警系统。</w:t>
                  </w:r>
                </w:p>
              </w:tc>
            </w:tr>
            <w:tr w14:paraId="2C0C01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49416E36">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p>
              </w:tc>
              <w:tc>
                <w:tcPr>
                  <w:tcW w:w="706" w:type="pct"/>
                  <w:noWrap w:val="0"/>
                  <w:vAlign w:val="center"/>
                </w:tcPr>
                <w:p w14:paraId="6AA091C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防范措施</w:t>
                  </w:r>
                </w:p>
              </w:tc>
              <w:tc>
                <w:tcPr>
                  <w:tcW w:w="3853" w:type="pct"/>
                  <w:noWrap w:val="0"/>
                  <w:vAlign w:val="center"/>
                </w:tcPr>
                <w:p w14:paraId="77772B96">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编制环境风险应急预案并向当地</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生态环境主管部门</w:t>
                  </w:r>
                  <w:r>
                    <w:rPr>
                      <w:rFonts w:hint="default" w:ascii="Times New Roman" w:hAnsi="Times New Roman" w:cs="Times New Roman" w:eastAsiaTheme="minorEastAsia"/>
                      <w:color w:val="000000" w:themeColor="text1"/>
                      <w:sz w:val="21"/>
                      <w:szCs w:val="21"/>
                      <w14:textFill>
                        <w14:solidFill>
                          <w14:schemeClr w14:val="tx1"/>
                        </w14:solidFill>
                      </w14:textFill>
                    </w:rPr>
                    <w:t>备案，定期演练，防范</w:t>
                  </w:r>
                  <w: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t>环境</w:t>
                  </w:r>
                  <w:r>
                    <w:rPr>
                      <w:rFonts w:hint="default" w:ascii="Times New Roman" w:hAnsi="Times New Roman" w:cs="Times New Roman" w:eastAsiaTheme="minorEastAsia"/>
                      <w:color w:val="000000" w:themeColor="text1"/>
                      <w:sz w:val="21"/>
                      <w:szCs w:val="21"/>
                      <w14:textFill>
                        <w14:solidFill>
                          <w14:schemeClr w14:val="tx1"/>
                        </w14:solidFill>
                      </w14:textFill>
                    </w:rPr>
                    <w:t>风险事故发生。</w:t>
                  </w:r>
                </w:p>
              </w:tc>
            </w:tr>
            <w:tr w14:paraId="6106B7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restart"/>
                  <w:noWrap w:val="0"/>
                  <w:vAlign w:val="center"/>
                </w:tcPr>
                <w:p w14:paraId="3E49B617">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依托工程</w:t>
                  </w:r>
                </w:p>
              </w:tc>
              <w:tc>
                <w:tcPr>
                  <w:tcW w:w="706" w:type="pct"/>
                  <w:noWrap w:val="0"/>
                  <w:vAlign w:val="center"/>
                </w:tcPr>
                <w:p w14:paraId="0B089204">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生活污水</w:t>
                  </w:r>
                </w:p>
              </w:tc>
              <w:tc>
                <w:tcPr>
                  <w:tcW w:w="3853" w:type="pct"/>
                  <w:noWrap w:val="0"/>
                  <w:vAlign w:val="center"/>
                </w:tcPr>
                <w:p w14:paraId="2BB8FB2A">
                  <w:pPr>
                    <w:keepNext w:val="0"/>
                    <w:keepLines w:val="0"/>
                    <w:pageBreakBefore w:val="0"/>
                    <w:widowControl w:val="0"/>
                    <w:kinsoku/>
                    <w:wordWrap/>
                    <w:overflowPunct/>
                    <w:topLinePunct w:val="0"/>
                    <w:autoSpaceDE/>
                    <w:autoSpaceDN/>
                    <w:bidi w:val="0"/>
                    <w:snapToGrid/>
                    <w:spacing w:line="240" w:lineRule="auto"/>
                    <w:jc w:val="both"/>
                    <w:textAlignment w:val="auto"/>
                    <w:rPr>
                      <w:rFonts w:hint="eastAsia"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施工期</w:t>
                  </w:r>
                  <w:r>
                    <w:rPr>
                      <w:rFonts w:hint="default" w:ascii="Times New Roman" w:hAnsi="Times New Roman" w:cs="Times New Roman" w:eastAsiaTheme="minorEastAsia"/>
                      <w:color w:val="000000" w:themeColor="text1"/>
                      <w:sz w:val="21"/>
                      <w:szCs w:val="21"/>
                      <w14:textFill>
                        <w14:solidFill>
                          <w14:schemeClr w14:val="tx1"/>
                        </w14:solidFill>
                      </w14:textFill>
                    </w:rPr>
                    <w:t>生活污水</w:t>
                  </w:r>
                  <w:r>
                    <w:rPr>
                      <w:rFonts w:hint="eastAsia" w:cs="Times New Roman" w:eastAsiaTheme="minorEastAsia"/>
                      <w:color w:val="000000" w:themeColor="text1"/>
                      <w:sz w:val="21"/>
                      <w:szCs w:val="21"/>
                      <w:lang w:val="en-US" w:eastAsia="zh-CN"/>
                      <w14:textFill>
                        <w14:solidFill>
                          <w14:schemeClr w14:val="tx1"/>
                        </w14:solidFill>
                      </w14:textFill>
                    </w:rPr>
                    <w:t>依托</w:t>
                  </w:r>
                  <w:r>
                    <w:rPr>
                      <w:rFonts w:hint="default" w:ascii="Times New Roman" w:hAnsi="Times New Roman" w:cs="Times New Roman" w:eastAsiaTheme="minorEastAsia"/>
                      <w:color w:val="000000" w:themeColor="text1"/>
                      <w:sz w:val="21"/>
                      <w:szCs w:val="21"/>
                      <w14:textFill>
                        <w14:solidFill>
                          <w14:schemeClr w14:val="tx1"/>
                        </w14:solidFill>
                      </w14:textFill>
                    </w:rPr>
                    <w:t>巴州且末县污水处理厂</w:t>
                  </w:r>
                  <w:r>
                    <w:rPr>
                      <w:rFonts w:hint="eastAsia" w:cs="Times New Roman" w:eastAsiaTheme="minorEastAsia"/>
                      <w:color w:val="000000" w:themeColor="text1"/>
                      <w:sz w:val="21"/>
                      <w:szCs w:val="21"/>
                      <w:lang w:val="en-US" w:eastAsia="zh-CN"/>
                      <w14:textFill>
                        <w14:solidFill>
                          <w14:schemeClr w14:val="tx1"/>
                        </w14:solidFill>
                      </w14:textFill>
                    </w:rPr>
                    <w:t>处理。</w:t>
                  </w:r>
                </w:p>
              </w:tc>
            </w:tr>
            <w:tr w14:paraId="0935F3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49A1B7E5">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cs="Times New Roman" w:eastAsiaTheme="minorEastAsia"/>
                      <w:color w:val="000000" w:themeColor="text1"/>
                      <w:sz w:val="21"/>
                      <w:szCs w:val="21"/>
                      <w:lang w:val="en-US" w:eastAsia="zh-CN"/>
                      <w14:textFill>
                        <w14:solidFill>
                          <w14:schemeClr w14:val="tx1"/>
                        </w14:solidFill>
                      </w14:textFill>
                    </w:rPr>
                  </w:pPr>
                </w:p>
              </w:tc>
              <w:tc>
                <w:tcPr>
                  <w:tcW w:w="706" w:type="pct"/>
                  <w:noWrap w:val="0"/>
                  <w:vAlign w:val="center"/>
                </w:tcPr>
                <w:p w14:paraId="765C7DCC">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生活垃圾</w:t>
                  </w:r>
                </w:p>
              </w:tc>
              <w:tc>
                <w:tcPr>
                  <w:tcW w:w="3853" w:type="pct"/>
                  <w:noWrap w:val="0"/>
                  <w:vAlign w:val="center"/>
                </w:tcPr>
                <w:p w14:paraId="0B24A030">
                  <w:pPr>
                    <w:keepNext w:val="0"/>
                    <w:keepLines w:val="0"/>
                    <w:pageBreakBefore w:val="0"/>
                    <w:widowControl w:val="0"/>
                    <w:kinsoku/>
                    <w:wordWrap/>
                    <w:overflowPunct/>
                    <w:topLinePunct w:val="0"/>
                    <w:autoSpaceDE/>
                    <w:autoSpaceDN/>
                    <w:bidi w:val="0"/>
                    <w:snapToGrid/>
                    <w:spacing w:line="240" w:lineRule="auto"/>
                    <w:jc w:val="both"/>
                    <w:textAlignment w:val="auto"/>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施工期生活垃圾、运营期生活垃圾及污水处理污泥依托且末县生活垃圾填埋场。</w:t>
                  </w:r>
                </w:p>
              </w:tc>
            </w:tr>
            <w:tr w14:paraId="0181E6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440" w:type="pct"/>
                  <w:vMerge w:val="continue"/>
                  <w:noWrap w:val="0"/>
                  <w:vAlign w:val="center"/>
                </w:tcPr>
                <w:p w14:paraId="02ABDD64">
                  <w:pPr>
                    <w:keepNext w:val="0"/>
                    <w:keepLines w:val="0"/>
                    <w:pageBreakBefore w:val="0"/>
                    <w:widowControl w:val="0"/>
                    <w:kinsoku/>
                    <w:wordWrap/>
                    <w:overflowPunct/>
                    <w:topLinePunct w:val="0"/>
                    <w:autoSpaceDE/>
                    <w:autoSpaceDN/>
                    <w:bidi w:val="0"/>
                    <w:snapToGrid/>
                    <w:spacing w:line="240" w:lineRule="auto"/>
                    <w:jc w:val="center"/>
                    <w:textAlignment w:val="auto"/>
                    <w:rPr>
                      <w:rFonts w:hint="eastAsia" w:cs="Times New Roman" w:eastAsiaTheme="minorEastAsia"/>
                      <w:color w:val="000000" w:themeColor="text1"/>
                      <w:sz w:val="21"/>
                      <w:szCs w:val="21"/>
                      <w:lang w:val="en-US" w:eastAsia="zh-CN"/>
                      <w14:textFill>
                        <w14:solidFill>
                          <w14:schemeClr w14:val="tx1"/>
                        </w14:solidFill>
                      </w14:textFill>
                    </w:rPr>
                  </w:pPr>
                </w:p>
              </w:tc>
              <w:tc>
                <w:tcPr>
                  <w:tcW w:w="706" w:type="pct"/>
                  <w:noWrap w:val="0"/>
                  <w:vAlign w:val="center"/>
                </w:tcPr>
                <w:p w14:paraId="1E7894DD">
                  <w:pPr>
                    <w:keepNext w:val="0"/>
                    <w:keepLines w:val="0"/>
                    <w:pageBreakBefore w:val="0"/>
                    <w:widowControl w:val="0"/>
                    <w:kinsoku/>
                    <w:wordWrap/>
                    <w:overflowPunct/>
                    <w:topLinePunct w:val="0"/>
                    <w:autoSpaceDE/>
                    <w:autoSpaceDN/>
                    <w:bidi w:val="0"/>
                    <w:snapToGrid/>
                    <w:spacing w:line="240" w:lineRule="auto"/>
                    <w:jc w:val="center"/>
                    <w:textAlignment w:val="auto"/>
                    <w:rPr>
                      <w:rFonts w:hint="default"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危险废物</w:t>
                  </w:r>
                </w:p>
              </w:tc>
              <w:tc>
                <w:tcPr>
                  <w:tcW w:w="3853" w:type="pct"/>
                  <w:noWrap w:val="0"/>
                  <w:vAlign w:val="center"/>
                </w:tcPr>
                <w:p w14:paraId="1B4E3E8F">
                  <w:pPr>
                    <w:keepNext w:val="0"/>
                    <w:keepLines w:val="0"/>
                    <w:pageBreakBefore w:val="0"/>
                    <w:widowControl w:val="0"/>
                    <w:kinsoku/>
                    <w:wordWrap/>
                    <w:overflowPunct/>
                    <w:topLinePunct w:val="0"/>
                    <w:autoSpaceDE/>
                    <w:autoSpaceDN/>
                    <w:bidi w:val="0"/>
                    <w:snapToGrid/>
                    <w:spacing w:line="240" w:lineRule="auto"/>
                    <w:jc w:val="both"/>
                    <w:textAlignment w:val="auto"/>
                    <w:rPr>
                      <w:rFonts w:hint="eastAsia" w:cs="Times New Roman" w:eastAsiaTheme="minorEastAsia"/>
                      <w:color w:val="000000" w:themeColor="text1"/>
                      <w:sz w:val="21"/>
                      <w:szCs w:val="21"/>
                      <w:lang w:val="en-US" w:eastAsia="zh-CN"/>
                      <w14:textFill>
                        <w14:solidFill>
                          <w14:schemeClr w14:val="tx1"/>
                        </w14:solidFill>
                      </w14:textFill>
                    </w:rPr>
                  </w:pPr>
                  <w:r>
                    <w:rPr>
                      <w:rFonts w:hint="eastAsia" w:cs="Times New Roman" w:eastAsiaTheme="minorEastAsia"/>
                      <w:color w:val="000000" w:themeColor="text1"/>
                      <w:sz w:val="21"/>
                      <w:szCs w:val="21"/>
                      <w:lang w:val="en-US" w:eastAsia="zh-CN"/>
                      <w14:textFill>
                        <w14:solidFill>
                          <w14:schemeClr w14:val="tx1"/>
                        </w14:solidFill>
                      </w14:textFill>
                    </w:rPr>
                    <w:t>项目产生的危险废物依托有危险废物处置资质的单位进行处置。</w:t>
                  </w:r>
                </w:p>
              </w:tc>
            </w:tr>
          </w:tbl>
          <w:p w14:paraId="0B617823">
            <w:pPr>
              <w:spacing w:line="500" w:lineRule="exact"/>
              <w:ind w:firstLine="482" w:firstLineChars="200"/>
              <w:rPr>
                <w:rFonts w:hint="eastAsia"/>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3</w:t>
            </w:r>
            <w:r>
              <w:rPr>
                <w:rFonts w:hint="eastAsia"/>
                <w:b/>
                <w:bCs/>
                <w:color w:val="000000" w:themeColor="text1"/>
                <w14:textFill>
                  <w14:solidFill>
                    <w14:schemeClr w14:val="tx1"/>
                  </w14:solidFill>
                </w14:textFill>
              </w:rPr>
              <w:t>.设备清单</w:t>
            </w:r>
          </w:p>
          <w:p w14:paraId="1610F7DB">
            <w:pPr>
              <w:pStyle w:val="34"/>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snapToGrid w:val="0"/>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lang w:val="en-US" w:eastAsia="zh-CN" w:bidi="ar-SA"/>
                <w14:textFill>
                  <w14:solidFill>
                    <w14:schemeClr w14:val="tx1"/>
                  </w14:solidFill>
                </w14:textFill>
              </w:rPr>
              <w:t>3.1升压汇集站</w:t>
            </w:r>
          </w:p>
          <w:p w14:paraId="79A232CA">
            <w:pPr>
              <w:pStyle w:val="3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b w:val="0"/>
                <w:snapToGrid w:val="0"/>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b w:val="0"/>
                <w:snapToGrid w:val="0"/>
                <w:color w:val="000000" w:themeColor="text1"/>
                <w:kern w:val="0"/>
                <w:sz w:val="24"/>
                <w:szCs w:val="24"/>
                <w:lang w:val="en-US" w:eastAsia="zh-CN" w:bidi="ar-SA"/>
                <w14:textFill>
                  <w14:solidFill>
                    <w14:schemeClr w14:val="tx1"/>
                  </w14:solidFill>
                </w14:textFill>
              </w:rPr>
              <w:t>本项目升压汇集站主要设备材料见表2-2。</w:t>
            </w:r>
          </w:p>
          <w:p w14:paraId="649AD9BD">
            <w:pPr>
              <w:keepNext w:val="0"/>
              <w:keepLines w:val="0"/>
              <w:pageBreakBefore w:val="0"/>
              <w:widowControl w:val="0"/>
              <w:tabs>
                <w:tab w:val="left" w:pos="4586"/>
                <w:tab w:val="left" w:pos="5786"/>
              </w:tabs>
              <w:kinsoku/>
              <w:wordWrap/>
              <w:overflowPunct/>
              <w:topLinePunct w:val="0"/>
              <w:autoSpaceDE w:val="0"/>
              <w:autoSpaceDN w:val="0"/>
              <w:bidi w:val="0"/>
              <w:adjustRightInd w:val="0"/>
              <w:snapToGrid w:val="0"/>
              <w:spacing w:line="500" w:lineRule="exact"/>
              <w:jc w:val="center"/>
              <w:textAlignment w:val="auto"/>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表2-</w:t>
            </w:r>
            <w:r>
              <w:rPr>
                <w:rFonts w:hint="eastAsia" w:ascii="黑体" w:hAnsi="黑体" w:eastAsia="黑体" w:cs="黑体"/>
                <w:color w:val="000000" w:themeColor="text1"/>
                <w:sz w:val="21"/>
                <w:szCs w:val="21"/>
                <w:lang w:val="en-US" w:eastAsia="zh-CN"/>
                <w14:textFill>
                  <w14:solidFill>
                    <w14:schemeClr w14:val="tx1"/>
                  </w14:solidFill>
                </w14:textFill>
              </w:rPr>
              <w:t>2</w:t>
            </w:r>
            <w:r>
              <w:rPr>
                <w:rFonts w:hint="eastAsia" w:ascii="黑体" w:hAnsi="黑体" w:eastAsia="黑体" w:cs="黑体"/>
                <w:color w:val="000000" w:themeColor="text1"/>
                <w:sz w:val="21"/>
                <w:szCs w:val="21"/>
                <w14:textFill>
                  <w14:solidFill>
                    <w14:schemeClr w14:val="tx1"/>
                  </w14:solidFill>
                </w14:textFill>
              </w:rPr>
              <w:t xml:space="preserve">   升压</w:t>
            </w:r>
            <w:r>
              <w:rPr>
                <w:rFonts w:hint="eastAsia" w:ascii="黑体" w:hAnsi="黑体" w:eastAsia="黑体" w:cs="黑体"/>
                <w:color w:val="000000" w:themeColor="text1"/>
                <w:sz w:val="21"/>
                <w:szCs w:val="21"/>
                <w:lang w:val="en-US" w:eastAsia="zh-CN"/>
                <w14:textFill>
                  <w14:solidFill>
                    <w14:schemeClr w14:val="tx1"/>
                  </w14:solidFill>
                </w14:textFill>
              </w:rPr>
              <w:t>汇集</w:t>
            </w:r>
            <w:r>
              <w:rPr>
                <w:rFonts w:hint="eastAsia" w:ascii="黑体" w:hAnsi="黑体" w:eastAsia="黑体" w:cs="黑体"/>
                <w:color w:val="000000" w:themeColor="text1"/>
                <w:sz w:val="21"/>
                <w:szCs w:val="21"/>
                <w14:textFill>
                  <w14:solidFill>
                    <w14:schemeClr w14:val="tx1"/>
                  </w14:solidFill>
                </w14:textFill>
              </w:rPr>
              <w:t>站主要设备材料清单</w:t>
            </w:r>
          </w:p>
          <w:tbl>
            <w:tblPr>
              <w:tblStyle w:val="72"/>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45"/>
              <w:gridCol w:w="1460"/>
              <w:gridCol w:w="3917"/>
              <w:gridCol w:w="511"/>
              <w:gridCol w:w="493"/>
              <w:gridCol w:w="1409"/>
            </w:tblGrid>
            <w:tr w14:paraId="78976F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A1EF0A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序号</w:t>
                  </w:r>
                </w:p>
              </w:tc>
              <w:tc>
                <w:tcPr>
                  <w:tcW w:w="890" w:type="pct"/>
                  <w:tcBorders>
                    <w:tl2br w:val="nil"/>
                    <w:tr2bl w:val="nil"/>
                  </w:tcBorders>
                  <w:noWrap w:val="0"/>
                  <w:vAlign w:val="center"/>
                </w:tcPr>
                <w:p w14:paraId="5F85485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名称</w:t>
                  </w:r>
                </w:p>
              </w:tc>
              <w:tc>
                <w:tcPr>
                  <w:tcW w:w="2359" w:type="pct"/>
                  <w:tcBorders>
                    <w:tl2br w:val="nil"/>
                    <w:tr2bl w:val="nil"/>
                  </w:tcBorders>
                  <w:noWrap w:val="0"/>
                  <w:vAlign w:val="center"/>
                </w:tcPr>
                <w:p w14:paraId="1E277F1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型号及规范</w:t>
                  </w:r>
                </w:p>
              </w:tc>
              <w:tc>
                <w:tcPr>
                  <w:tcW w:w="314" w:type="pct"/>
                  <w:tcBorders>
                    <w:tl2br w:val="nil"/>
                    <w:tr2bl w:val="nil"/>
                  </w:tcBorders>
                  <w:noWrap w:val="0"/>
                  <w:vAlign w:val="center"/>
                </w:tcPr>
                <w:p w14:paraId="468947D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单位</w:t>
                  </w:r>
                </w:p>
              </w:tc>
              <w:tc>
                <w:tcPr>
                  <w:tcW w:w="303" w:type="pct"/>
                  <w:tcBorders>
                    <w:tl2br w:val="nil"/>
                    <w:tr2bl w:val="nil"/>
                  </w:tcBorders>
                  <w:noWrap w:val="0"/>
                  <w:vAlign w:val="center"/>
                </w:tcPr>
                <w:p w14:paraId="66BEC3B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数量</w:t>
                  </w:r>
                </w:p>
              </w:tc>
              <w:tc>
                <w:tcPr>
                  <w:tcW w:w="857" w:type="pct"/>
                  <w:tcBorders>
                    <w:tl2br w:val="nil"/>
                    <w:tr2bl w:val="nil"/>
                  </w:tcBorders>
                  <w:noWrap w:val="0"/>
                  <w:vAlign w:val="center"/>
                </w:tcPr>
                <w:p w14:paraId="698E6AA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备注</w:t>
                  </w:r>
                </w:p>
              </w:tc>
            </w:tr>
            <w:tr w14:paraId="7B672E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49379A9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一</w:t>
                  </w:r>
                </w:p>
              </w:tc>
              <w:tc>
                <w:tcPr>
                  <w:tcW w:w="4725" w:type="pct"/>
                  <w:gridSpan w:val="5"/>
                  <w:tcBorders>
                    <w:tl2br w:val="nil"/>
                    <w:tr2bl w:val="nil"/>
                  </w:tcBorders>
                  <w:noWrap w:val="0"/>
                  <w:vAlign w:val="center"/>
                </w:tcPr>
                <w:p w14:paraId="2B826A7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主变压器系统</w:t>
                  </w:r>
                </w:p>
              </w:tc>
            </w:tr>
            <w:tr w14:paraId="18465B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274" w:type="pct"/>
                  <w:tcBorders>
                    <w:tl2br w:val="nil"/>
                    <w:tr2bl w:val="nil"/>
                  </w:tcBorders>
                  <w:noWrap w:val="0"/>
                  <w:vAlign w:val="center"/>
                </w:tcPr>
                <w:p w14:paraId="4A5737F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90" w:type="pct"/>
                  <w:tcBorders>
                    <w:tl2br w:val="nil"/>
                    <w:tr2bl w:val="nil"/>
                  </w:tcBorders>
                  <w:noWrap w:val="0"/>
                  <w:vAlign w:val="center"/>
                </w:tcPr>
                <w:p w14:paraId="3598D15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主变压器</w:t>
                  </w:r>
                </w:p>
              </w:tc>
              <w:tc>
                <w:tcPr>
                  <w:tcW w:w="2359" w:type="pct"/>
                  <w:tcBorders>
                    <w:tl2br w:val="nil"/>
                    <w:tr2bl w:val="nil"/>
                  </w:tcBorders>
                  <w:noWrap w:val="0"/>
                  <w:vAlign w:val="center"/>
                </w:tcPr>
                <w:p w14:paraId="099E77D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SFZ20-250000/220</w:t>
                  </w:r>
                  <w:r>
                    <w:rPr>
                      <w:rFonts w:hint="default"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250MVA242±8×1.25%/36.5kV</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Ud=14%</w:t>
                  </w:r>
                </w:p>
                <w:p w14:paraId="789FDA2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YN，d11</w:t>
                  </w:r>
                </w:p>
              </w:tc>
              <w:tc>
                <w:tcPr>
                  <w:tcW w:w="314" w:type="pct"/>
                  <w:tcBorders>
                    <w:tl2br w:val="nil"/>
                    <w:tr2bl w:val="nil"/>
                  </w:tcBorders>
                  <w:noWrap w:val="0"/>
                  <w:vAlign w:val="center"/>
                </w:tcPr>
                <w:p w14:paraId="2570739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495498C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18FDBEC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含高压及中性</w:t>
                  </w:r>
                </w:p>
                <w:p w14:paraId="6A854B3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点套管CT，变压器应能承受130%Un</w:t>
                  </w:r>
                </w:p>
              </w:tc>
            </w:tr>
            <w:tr w14:paraId="7D4342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4BFC82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90" w:type="pct"/>
                  <w:tcBorders>
                    <w:tl2br w:val="nil"/>
                    <w:tr2bl w:val="nil"/>
                  </w:tcBorders>
                  <w:noWrap w:val="0"/>
                  <w:vAlign w:val="center"/>
                </w:tcPr>
                <w:p w14:paraId="15D3E36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220kV中性点成套装置</w:t>
                  </w:r>
                </w:p>
              </w:tc>
              <w:tc>
                <w:tcPr>
                  <w:tcW w:w="2359" w:type="pct"/>
                  <w:tcBorders>
                    <w:tl2br w:val="nil"/>
                    <w:tr2bl w:val="nil"/>
                  </w:tcBorders>
                  <w:noWrap w:val="0"/>
                  <w:vAlign w:val="center"/>
                </w:tcPr>
                <w:p w14:paraId="69505FB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含以下设备</w:t>
                  </w:r>
                </w:p>
              </w:tc>
              <w:tc>
                <w:tcPr>
                  <w:tcW w:w="314" w:type="pct"/>
                  <w:tcBorders>
                    <w:tl2br w:val="nil"/>
                    <w:tr2bl w:val="nil"/>
                  </w:tcBorders>
                  <w:noWrap w:val="0"/>
                  <w:vAlign w:val="center"/>
                </w:tcPr>
                <w:p w14:paraId="15DCCF9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3FA2BD8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3D8E02C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D7573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579B3B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033C9DD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单相隔离开关</w:t>
                  </w:r>
                </w:p>
              </w:tc>
              <w:tc>
                <w:tcPr>
                  <w:tcW w:w="2359" w:type="pct"/>
                  <w:tcBorders>
                    <w:tl2br w:val="nil"/>
                    <w:tr2bl w:val="nil"/>
                  </w:tcBorders>
                  <w:noWrap w:val="0"/>
                  <w:vAlign w:val="center"/>
                </w:tcPr>
                <w:p w14:paraId="705EF8D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GW13-126W/630A</w:t>
                  </w:r>
                </w:p>
              </w:tc>
              <w:tc>
                <w:tcPr>
                  <w:tcW w:w="314" w:type="pct"/>
                  <w:tcBorders>
                    <w:tl2br w:val="nil"/>
                    <w:tr2bl w:val="nil"/>
                  </w:tcBorders>
                  <w:noWrap w:val="0"/>
                  <w:vAlign w:val="center"/>
                </w:tcPr>
                <w:p w14:paraId="524FA05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极</w:t>
                  </w:r>
                </w:p>
              </w:tc>
              <w:tc>
                <w:tcPr>
                  <w:tcW w:w="303" w:type="pct"/>
                  <w:tcBorders>
                    <w:tl2br w:val="nil"/>
                    <w:tr2bl w:val="nil"/>
                  </w:tcBorders>
                  <w:noWrap w:val="0"/>
                  <w:vAlign w:val="center"/>
                </w:tcPr>
                <w:p w14:paraId="578FAF7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40E4B4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FD7D8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5E9827B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1E86D07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氧化锌避雷器</w:t>
                  </w:r>
                </w:p>
              </w:tc>
              <w:tc>
                <w:tcPr>
                  <w:tcW w:w="2359" w:type="pct"/>
                  <w:tcBorders>
                    <w:tl2br w:val="nil"/>
                    <w:tr2bl w:val="nil"/>
                  </w:tcBorders>
                  <w:noWrap w:val="0"/>
                  <w:vAlign w:val="center"/>
                </w:tcPr>
                <w:p w14:paraId="3CAD255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Y1.5W-144/320W</w:t>
                  </w:r>
                </w:p>
              </w:tc>
              <w:tc>
                <w:tcPr>
                  <w:tcW w:w="314" w:type="pct"/>
                  <w:tcBorders>
                    <w:tl2br w:val="nil"/>
                    <w:tr2bl w:val="nil"/>
                  </w:tcBorders>
                  <w:noWrap w:val="0"/>
                  <w:vAlign w:val="center"/>
                </w:tcPr>
                <w:p w14:paraId="043E4E4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1D97B83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77C6EB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5667C2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EEC868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51EB47D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放电间隙</w:t>
                  </w:r>
                </w:p>
              </w:tc>
              <w:tc>
                <w:tcPr>
                  <w:tcW w:w="2359" w:type="pct"/>
                  <w:tcBorders>
                    <w:tl2br w:val="nil"/>
                    <w:tr2bl w:val="nil"/>
                  </w:tcBorders>
                  <w:noWrap w:val="0"/>
                  <w:vAlign w:val="center"/>
                </w:tcPr>
                <w:p w14:paraId="7F6213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25683B0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60E8E0D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135C06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8D845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4EF5576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5B667F6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电流互感器</w:t>
                  </w:r>
                </w:p>
              </w:tc>
              <w:tc>
                <w:tcPr>
                  <w:tcW w:w="2359" w:type="pct"/>
                  <w:tcBorders>
                    <w:tl2br w:val="nil"/>
                    <w:tr2bl w:val="nil"/>
                  </w:tcBorders>
                  <w:noWrap w:val="0"/>
                  <w:vAlign w:val="center"/>
                </w:tcPr>
                <w:p w14:paraId="6592710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300/1A，5P30/5P30</w:t>
                  </w:r>
                </w:p>
              </w:tc>
              <w:tc>
                <w:tcPr>
                  <w:tcW w:w="314" w:type="pct"/>
                  <w:tcBorders>
                    <w:tl2br w:val="nil"/>
                    <w:tr2bl w:val="nil"/>
                  </w:tcBorders>
                  <w:noWrap w:val="0"/>
                  <w:vAlign w:val="center"/>
                </w:tcPr>
                <w:p w14:paraId="7C4637E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组</w:t>
                  </w:r>
                </w:p>
              </w:tc>
              <w:tc>
                <w:tcPr>
                  <w:tcW w:w="303" w:type="pct"/>
                  <w:tcBorders>
                    <w:tl2br w:val="nil"/>
                    <w:tr2bl w:val="nil"/>
                  </w:tcBorders>
                  <w:noWrap w:val="0"/>
                  <w:vAlign w:val="center"/>
                </w:tcPr>
                <w:p w14:paraId="2C7012F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6C663B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9C161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D9A7C0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4A0C284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中性点间隙电流互感器</w:t>
                  </w:r>
                </w:p>
              </w:tc>
              <w:tc>
                <w:tcPr>
                  <w:tcW w:w="2359" w:type="pct"/>
                  <w:tcBorders>
                    <w:tl2br w:val="nil"/>
                    <w:tr2bl w:val="nil"/>
                  </w:tcBorders>
                  <w:noWrap w:val="0"/>
                  <w:vAlign w:val="center"/>
                </w:tcPr>
                <w:p w14:paraId="20A8945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100/1A，5P30/5P30</w:t>
                  </w:r>
                </w:p>
              </w:tc>
              <w:tc>
                <w:tcPr>
                  <w:tcW w:w="314" w:type="pct"/>
                  <w:tcBorders>
                    <w:tl2br w:val="nil"/>
                    <w:tr2bl w:val="nil"/>
                  </w:tcBorders>
                  <w:noWrap w:val="0"/>
                  <w:vAlign w:val="center"/>
                </w:tcPr>
                <w:p w14:paraId="68BD928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组</w:t>
                  </w:r>
                </w:p>
              </w:tc>
              <w:tc>
                <w:tcPr>
                  <w:tcW w:w="303" w:type="pct"/>
                  <w:tcBorders>
                    <w:tl2br w:val="nil"/>
                    <w:tr2bl w:val="nil"/>
                  </w:tcBorders>
                  <w:noWrap w:val="0"/>
                  <w:vAlign w:val="center"/>
                </w:tcPr>
                <w:p w14:paraId="222E68B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6581C7C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460CE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336789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90" w:type="pct"/>
                  <w:tcBorders>
                    <w:tl2br w:val="nil"/>
                    <w:tr2bl w:val="nil"/>
                  </w:tcBorders>
                  <w:noWrap w:val="0"/>
                  <w:vAlign w:val="center"/>
                </w:tcPr>
                <w:p w14:paraId="1CD9302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风冷控制柜</w:t>
                  </w:r>
                </w:p>
              </w:tc>
              <w:tc>
                <w:tcPr>
                  <w:tcW w:w="2359" w:type="pct"/>
                  <w:tcBorders>
                    <w:tl2br w:val="nil"/>
                    <w:tr2bl w:val="nil"/>
                  </w:tcBorders>
                  <w:noWrap w:val="0"/>
                  <w:vAlign w:val="center"/>
                </w:tcPr>
                <w:p w14:paraId="617594E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48C9083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5A6D102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3BE0A03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B6182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5A0CC27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90" w:type="pct"/>
                  <w:tcBorders>
                    <w:tl2br w:val="nil"/>
                    <w:tr2bl w:val="nil"/>
                  </w:tcBorders>
                  <w:noWrap w:val="0"/>
                  <w:vAlign w:val="center"/>
                </w:tcPr>
                <w:p w14:paraId="76B4AEE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排油注氮灭火装置</w:t>
                  </w:r>
                </w:p>
              </w:tc>
              <w:tc>
                <w:tcPr>
                  <w:tcW w:w="2359" w:type="pct"/>
                  <w:tcBorders>
                    <w:tl2br w:val="nil"/>
                    <w:tr2bl w:val="nil"/>
                  </w:tcBorders>
                  <w:noWrap w:val="0"/>
                  <w:vAlign w:val="center"/>
                </w:tcPr>
                <w:p w14:paraId="010BF10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6A2FEFB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1346A51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14275D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6624E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5FE2FF2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二</w:t>
                  </w:r>
                </w:p>
              </w:tc>
              <w:tc>
                <w:tcPr>
                  <w:tcW w:w="4725" w:type="pct"/>
                  <w:gridSpan w:val="5"/>
                  <w:tcBorders>
                    <w:tl2br w:val="nil"/>
                    <w:tr2bl w:val="nil"/>
                  </w:tcBorders>
                  <w:noWrap w:val="0"/>
                  <w:vAlign w:val="center"/>
                </w:tcPr>
                <w:p w14:paraId="3B59A3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220kV配电装置HGIS</w:t>
                  </w:r>
                </w:p>
              </w:tc>
            </w:tr>
            <w:tr w14:paraId="63911A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74" w:type="pct"/>
                  <w:vMerge w:val="restart"/>
                  <w:tcBorders>
                    <w:tl2br w:val="nil"/>
                    <w:tr2bl w:val="nil"/>
                  </w:tcBorders>
                  <w:noWrap w:val="0"/>
                  <w:vAlign w:val="center"/>
                </w:tcPr>
                <w:p w14:paraId="74D8C8E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90" w:type="pct"/>
                  <w:vMerge w:val="restart"/>
                  <w:tcBorders>
                    <w:tl2br w:val="nil"/>
                    <w:tr2bl w:val="nil"/>
                  </w:tcBorders>
                  <w:noWrap w:val="0"/>
                  <w:vAlign w:val="center"/>
                </w:tcPr>
                <w:p w14:paraId="0CC8FBC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220kV主变进线间隔HGIS</w:t>
                  </w:r>
                </w:p>
              </w:tc>
              <w:tc>
                <w:tcPr>
                  <w:tcW w:w="2359" w:type="pct"/>
                  <w:tcBorders>
                    <w:tl2br w:val="nil"/>
                    <w:tr2bl w:val="nil"/>
                  </w:tcBorders>
                  <w:noWrap w:val="0"/>
                  <w:vAlign w:val="center"/>
                </w:tcPr>
                <w:p w14:paraId="6668119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断路器QF：UN=252kV，IN=4000A，IK=50kA/3s，125kA，三相机械联动</w:t>
                  </w:r>
                </w:p>
              </w:tc>
              <w:tc>
                <w:tcPr>
                  <w:tcW w:w="314" w:type="pct"/>
                  <w:vMerge w:val="restart"/>
                  <w:tcBorders>
                    <w:tl2br w:val="nil"/>
                    <w:tr2bl w:val="nil"/>
                  </w:tcBorders>
                  <w:noWrap w:val="0"/>
                  <w:vAlign w:val="center"/>
                </w:tcPr>
                <w:p w14:paraId="6152446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间隔</w:t>
                  </w:r>
                </w:p>
              </w:tc>
              <w:tc>
                <w:tcPr>
                  <w:tcW w:w="303" w:type="pct"/>
                  <w:vMerge w:val="restart"/>
                  <w:tcBorders>
                    <w:tl2br w:val="nil"/>
                    <w:tr2bl w:val="nil"/>
                  </w:tcBorders>
                  <w:noWrap w:val="0"/>
                  <w:vAlign w:val="center"/>
                </w:tcPr>
                <w:p w14:paraId="0B5CDCB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1752B5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EA479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100CD46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7FA171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7581BC8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CT</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5P30/5P30/5P30/5P30/5P30/5P30/</w:t>
                  </w:r>
                </w:p>
                <w:p w14:paraId="3090611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0.2S/0.5，</w:t>
                  </w:r>
                </w:p>
                <w:p w14:paraId="4134DBA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5P：1500-3000/1A，0.2S/0.5</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750/1A，20/20/20/20/20/20/5/10VA，共24台</w:t>
                  </w:r>
                </w:p>
              </w:tc>
              <w:tc>
                <w:tcPr>
                  <w:tcW w:w="314" w:type="pct"/>
                  <w:vMerge w:val="continue"/>
                  <w:tcBorders>
                    <w:tl2br w:val="nil"/>
                    <w:tr2bl w:val="nil"/>
                  </w:tcBorders>
                  <w:noWrap w:val="0"/>
                  <w:vAlign w:val="center"/>
                </w:tcPr>
                <w:p w14:paraId="1FAB4FC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497542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2246FF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3D3D7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2C9096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3517F1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6C52674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三工位隔离接地开关：252kV，4000A，50kA/3s，1组</w:t>
                  </w:r>
                </w:p>
              </w:tc>
              <w:tc>
                <w:tcPr>
                  <w:tcW w:w="314" w:type="pct"/>
                  <w:vMerge w:val="continue"/>
                  <w:tcBorders>
                    <w:tl2br w:val="nil"/>
                    <w:tr2bl w:val="nil"/>
                  </w:tcBorders>
                  <w:noWrap w:val="0"/>
                  <w:vAlign w:val="center"/>
                </w:tcPr>
                <w:p w14:paraId="336B06A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5223765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477C0D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19F62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0C1DCFE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1FAD202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226E9A0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隔离开关：252kV，4000A，50kA/3s，2组</w:t>
                  </w:r>
                </w:p>
              </w:tc>
              <w:tc>
                <w:tcPr>
                  <w:tcW w:w="314" w:type="pct"/>
                  <w:vMerge w:val="continue"/>
                  <w:tcBorders>
                    <w:tl2br w:val="nil"/>
                    <w:tr2bl w:val="nil"/>
                  </w:tcBorders>
                  <w:noWrap w:val="0"/>
                  <w:vAlign w:val="center"/>
                </w:tcPr>
                <w:p w14:paraId="3B4387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7BAA6BE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1378CC1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547F2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4AD122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1E29E9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2CA165C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接地开关：252kV，125kA</w:t>
                  </w:r>
                  <w:r>
                    <w:rPr>
                      <w:rFonts w:hint="default"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动稳定电流</w:t>
                  </w:r>
                  <w:r>
                    <w:rPr>
                      <w:rFonts w:hint="default"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，2组</w:t>
                  </w:r>
                </w:p>
              </w:tc>
              <w:tc>
                <w:tcPr>
                  <w:tcW w:w="314" w:type="pct"/>
                  <w:vMerge w:val="continue"/>
                  <w:tcBorders>
                    <w:tl2br w:val="nil"/>
                    <w:tr2bl w:val="nil"/>
                  </w:tcBorders>
                  <w:noWrap w:val="0"/>
                  <w:vAlign w:val="center"/>
                </w:tcPr>
                <w:p w14:paraId="0CBB0C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01F9E5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4B55BB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A69BF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4C3CE7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40E755B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7A878EA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SF6进线套管BSG</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4000A，50kA/3s，125kA，6</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支</w:t>
                  </w:r>
                </w:p>
              </w:tc>
              <w:tc>
                <w:tcPr>
                  <w:tcW w:w="314" w:type="pct"/>
                  <w:vMerge w:val="continue"/>
                  <w:tcBorders>
                    <w:tl2br w:val="nil"/>
                    <w:tr2bl w:val="nil"/>
                  </w:tcBorders>
                  <w:noWrap w:val="0"/>
                  <w:vAlign w:val="center"/>
                </w:tcPr>
                <w:p w14:paraId="086AAA1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0C44F6D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5D00DF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158B3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3AEB96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3B5C20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2F05737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带电显示装置VD</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A，B，C相各1只</w:t>
                  </w:r>
                </w:p>
              </w:tc>
              <w:tc>
                <w:tcPr>
                  <w:tcW w:w="314" w:type="pct"/>
                  <w:vMerge w:val="continue"/>
                  <w:tcBorders>
                    <w:tl2br w:val="nil"/>
                    <w:tr2bl w:val="nil"/>
                  </w:tcBorders>
                  <w:noWrap w:val="0"/>
                  <w:vAlign w:val="center"/>
                </w:tcPr>
                <w:p w14:paraId="5DB7B4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33EE965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326843D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8CCB0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5F73A20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90" w:type="pct"/>
                  <w:vMerge w:val="restart"/>
                  <w:tcBorders>
                    <w:tl2br w:val="nil"/>
                    <w:tr2bl w:val="nil"/>
                  </w:tcBorders>
                  <w:noWrap w:val="0"/>
                  <w:vAlign w:val="center"/>
                </w:tcPr>
                <w:p w14:paraId="7AFF94F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220kV出线间隔HGIS</w:t>
                  </w:r>
                </w:p>
              </w:tc>
              <w:tc>
                <w:tcPr>
                  <w:tcW w:w="2359" w:type="pct"/>
                  <w:tcBorders>
                    <w:tl2br w:val="nil"/>
                    <w:tr2bl w:val="nil"/>
                  </w:tcBorders>
                  <w:noWrap w:val="0"/>
                  <w:vAlign w:val="center"/>
                </w:tcPr>
                <w:p w14:paraId="3D58592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断路器QF：UN=252kV，IN=4000A，IK=50kA/3s，125kA，三相分相操作</w:t>
                  </w:r>
                </w:p>
              </w:tc>
              <w:tc>
                <w:tcPr>
                  <w:tcW w:w="314" w:type="pct"/>
                  <w:vMerge w:val="restart"/>
                  <w:tcBorders>
                    <w:tl2br w:val="nil"/>
                    <w:tr2bl w:val="nil"/>
                  </w:tcBorders>
                  <w:noWrap w:val="0"/>
                  <w:vAlign w:val="center"/>
                </w:tcPr>
                <w:p w14:paraId="2978455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间隔</w:t>
                  </w:r>
                </w:p>
              </w:tc>
              <w:tc>
                <w:tcPr>
                  <w:tcW w:w="303" w:type="pct"/>
                  <w:vMerge w:val="restart"/>
                  <w:tcBorders>
                    <w:tl2br w:val="nil"/>
                    <w:tr2bl w:val="nil"/>
                  </w:tcBorders>
                  <w:noWrap w:val="0"/>
                  <w:vAlign w:val="center"/>
                </w:tcPr>
                <w:p w14:paraId="001D6AC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7860F7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45F91B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74BDF7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5ED8791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03F9563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CT</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p w14:paraId="30377AC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5P30/5P30/5P30/5P30/5P30/5P30/0.2S/0.5</w:t>
                  </w:r>
                  <w:r>
                    <w:rPr>
                      <w:rFonts w:hint="default"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5P</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2000-4000/1A，</w:t>
                  </w:r>
                </w:p>
                <w:p w14:paraId="71B5D89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0.2S/0.5</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1000-2000-4000/1A，20/20/20/20/20/20/5/5VA，共24台</w:t>
                  </w:r>
                </w:p>
              </w:tc>
              <w:tc>
                <w:tcPr>
                  <w:tcW w:w="314" w:type="pct"/>
                  <w:vMerge w:val="continue"/>
                  <w:tcBorders>
                    <w:tl2br w:val="nil"/>
                    <w:tr2bl w:val="nil"/>
                  </w:tcBorders>
                  <w:noWrap w:val="0"/>
                  <w:vAlign w:val="center"/>
                </w:tcPr>
                <w:p w14:paraId="44BD416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57645E0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0AB36F8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F5CF6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2FDF54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2F464D5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5544404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三工位隔离接地开关：252kV，4000A，50kA/3s，1组</w:t>
                  </w:r>
                </w:p>
              </w:tc>
              <w:tc>
                <w:tcPr>
                  <w:tcW w:w="314" w:type="pct"/>
                  <w:vMerge w:val="continue"/>
                  <w:tcBorders>
                    <w:tl2br w:val="nil"/>
                    <w:tr2bl w:val="nil"/>
                  </w:tcBorders>
                  <w:noWrap w:val="0"/>
                  <w:vAlign w:val="center"/>
                </w:tcPr>
                <w:p w14:paraId="1A45FF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381238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623FDD8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32621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46C735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7795FDD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2E0931A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隔离开关：252kV，4000A，50kA/3s，2组</w:t>
                  </w:r>
                </w:p>
              </w:tc>
              <w:tc>
                <w:tcPr>
                  <w:tcW w:w="314" w:type="pct"/>
                  <w:vMerge w:val="continue"/>
                  <w:tcBorders>
                    <w:tl2br w:val="nil"/>
                    <w:tr2bl w:val="nil"/>
                  </w:tcBorders>
                  <w:noWrap w:val="0"/>
                  <w:vAlign w:val="center"/>
                </w:tcPr>
                <w:p w14:paraId="320033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44137AB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7016793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EDCE0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52CC75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7BBC991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46E2C1B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快速接地开关：252kV，125kA</w:t>
                  </w:r>
                  <w:r>
                    <w:rPr>
                      <w:rFonts w:hint="default"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动稳定电流</w:t>
                  </w:r>
                  <w:r>
                    <w:rPr>
                      <w:rFonts w:hint="default"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，1组</w:t>
                  </w:r>
                </w:p>
              </w:tc>
              <w:tc>
                <w:tcPr>
                  <w:tcW w:w="314" w:type="pct"/>
                  <w:vMerge w:val="continue"/>
                  <w:tcBorders>
                    <w:tl2br w:val="nil"/>
                    <w:tr2bl w:val="nil"/>
                  </w:tcBorders>
                  <w:noWrap w:val="0"/>
                  <w:vAlign w:val="center"/>
                </w:tcPr>
                <w:p w14:paraId="3DAA4B8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09463D8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50700D6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D7A57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749C03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288D5F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3AE76EB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接地开关：252kV，125kA</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动稳定电流</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，1组</w:t>
                  </w:r>
                </w:p>
              </w:tc>
              <w:tc>
                <w:tcPr>
                  <w:tcW w:w="314" w:type="pct"/>
                  <w:vMerge w:val="continue"/>
                  <w:tcBorders>
                    <w:tl2br w:val="nil"/>
                    <w:tr2bl w:val="nil"/>
                  </w:tcBorders>
                  <w:noWrap w:val="0"/>
                  <w:vAlign w:val="center"/>
                </w:tcPr>
                <w:p w14:paraId="78DF19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12DF15C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40FD211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6FF04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3119507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141D73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0D1DE3E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SF6进线套管BSG：4000A，50kA/3s，125kA，6</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支</w:t>
                  </w:r>
                </w:p>
              </w:tc>
              <w:tc>
                <w:tcPr>
                  <w:tcW w:w="314" w:type="pct"/>
                  <w:vMerge w:val="continue"/>
                  <w:tcBorders>
                    <w:tl2br w:val="nil"/>
                    <w:tr2bl w:val="nil"/>
                  </w:tcBorders>
                  <w:noWrap w:val="0"/>
                  <w:vAlign w:val="center"/>
                </w:tcPr>
                <w:p w14:paraId="2959D5A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54C22C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2A2F2AF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1DCF7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4AAF1A7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4C6C9F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2FE7E0C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带电显示装置VD：A，B，C相各1只</w:t>
                  </w:r>
                </w:p>
              </w:tc>
              <w:tc>
                <w:tcPr>
                  <w:tcW w:w="314" w:type="pct"/>
                  <w:vMerge w:val="continue"/>
                  <w:tcBorders>
                    <w:tl2br w:val="nil"/>
                    <w:tr2bl w:val="nil"/>
                  </w:tcBorders>
                  <w:noWrap w:val="0"/>
                  <w:vAlign w:val="center"/>
                </w:tcPr>
                <w:p w14:paraId="77404EB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7F4341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0D02C7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2DAD0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5E201DF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90" w:type="pct"/>
                  <w:vMerge w:val="restart"/>
                  <w:tcBorders>
                    <w:tl2br w:val="nil"/>
                    <w:tr2bl w:val="nil"/>
                  </w:tcBorders>
                  <w:noWrap w:val="0"/>
                  <w:vAlign w:val="center"/>
                </w:tcPr>
                <w:p w14:paraId="0BC42D4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220kV母联间隔HGIS</w:t>
                  </w:r>
                </w:p>
              </w:tc>
              <w:tc>
                <w:tcPr>
                  <w:tcW w:w="2359" w:type="pct"/>
                  <w:tcBorders>
                    <w:tl2br w:val="nil"/>
                    <w:tr2bl w:val="nil"/>
                  </w:tcBorders>
                  <w:noWrap w:val="0"/>
                  <w:vAlign w:val="center"/>
                </w:tcPr>
                <w:p w14:paraId="15AE94A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断路器QF：UN=252kV，IN=4000A，IK=50kA/3s，125kA，三相机械联动</w:t>
                  </w:r>
                </w:p>
              </w:tc>
              <w:tc>
                <w:tcPr>
                  <w:tcW w:w="314" w:type="pct"/>
                  <w:vMerge w:val="restart"/>
                  <w:tcBorders>
                    <w:tl2br w:val="nil"/>
                    <w:tr2bl w:val="nil"/>
                  </w:tcBorders>
                  <w:noWrap w:val="0"/>
                  <w:vAlign w:val="center"/>
                </w:tcPr>
                <w:p w14:paraId="0AF1A1A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间隔</w:t>
                  </w:r>
                </w:p>
              </w:tc>
              <w:tc>
                <w:tcPr>
                  <w:tcW w:w="303" w:type="pct"/>
                  <w:vMerge w:val="restart"/>
                  <w:tcBorders>
                    <w:tl2br w:val="nil"/>
                    <w:tr2bl w:val="nil"/>
                  </w:tcBorders>
                  <w:noWrap w:val="0"/>
                  <w:vAlign w:val="center"/>
                </w:tcPr>
                <w:p w14:paraId="4BAF6C3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2E48AA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53982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175694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7FD440D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02B8BB4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CT</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p w14:paraId="6D55872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5P30/5P30/5P30/5P30/5P30/5P30/0.2S/0.5，</w:t>
                  </w:r>
                </w:p>
                <w:p w14:paraId="406B35A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5P</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2000-4000/1A，</w:t>
                  </w:r>
                </w:p>
                <w:p w14:paraId="54E6CA3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0.2S/0.5</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1000-2000-4000/1A，20/20/20/20/20/20/5/5VA，共24台</w:t>
                  </w:r>
                </w:p>
              </w:tc>
              <w:tc>
                <w:tcPr>
                  <w:tcW w:w="314" w:type="pct"/>
                  <w:vMerge w:val="continue"/>
                  <w:tcBorders>
                    <w:tl2br w:val="nil"/>
                    <w:tr2bl w:val="nil"/>
                  </w:tcBorders>
                  <w:noWrap w:val="0"/>
                  <w:vAlign w:val="center"/>
                </w:tcPr>
                <w:p w14:paraId="54A5A5E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60C66DA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069089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76973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2C19DA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4FBC9C0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6942BCD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三工位隔离接地开关：252kV，4000A，50kA/3s，2组</w:t>
                  </w:r>
                </w:p>
              </w:tc>
              <w:tc>
                <w:tcPr>
                  <w:tcW w:w="314" w:type="pct"/>
                  <w:vMerge w:val="continue"/>
                  <w:tcBorders>
                    <w:tl2br w:val="nil"/>
                    <w:tr2bl w:val="nil"/>
                  </w:tcBorders>
                  <w:noWrap w:val="0"/>
                  <w:vAlign w:val="center"/>
                </w:tcPr>
                <w:p w14:paraId="7E1045A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048F942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57AB243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1B0CD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34A81EA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29AAE15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6788BE8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SF6出线套管BSG：4000A，50kA/3s，125kA，6只</w:t>
                  </w:r>
                </w:p>
              </w:tc>
              <w:tc>
                <w:tcPr>
                  <w:tcW w:w="314" w:type="pct"/>
                  <w:vMerge w:val="continue"/>
                  <w:tcBorders>
                    <w:tl2br w:val="nil"/>
                    <w:tr2bl w:val="nil"/>
                  </w:tcBorders>
                  <w:noWrap w:val="0"/>
                  <w:vAlign w:val="center"/>
                </w:tcPr>
                <w:p w14:paraId="0CDFDB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vMerge w:val="continue"/>
                  <w:tcBorders>
                    <w:tl2br w:val="nil"/>
                    <w:tr2bl w:val="nil"/>
                  </w:tcBorders>
                  <w:noWrap w:val="0"/>
                  <w:vAlign w:val="center"/>
                </w:tcPr>
                <w:p w14:paraId="2DDF60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67EC75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CDC8C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9CC482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90" w:type="pct"/>
                  <w:tcBorders>
                    <w:tl2br w:val="nil"/>
                    <w:tr2bl w:val="nil"/>
                  </w:tcBorders>
                  <w:noWrap w:val="0"/>
                  <w:vAlign w:val="center"/>
                </w:tcPr>
                <w:p w14:paraId="7F04016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接地开关</w:t>
                  </w:r>
                </w:p>
              </w:tc>
              <w:tc>
                <w:tcPr>
                  <w:tcW w:w="2359" w:type="pct"/>
                  <w:tcBorders>
                    <w:tl2br w:val="nil"/>
                    <w:tr2bl w:val="nil"/>
                  </w:tcBorders>
                  <w:noWrap w:val="0"/>
                  <w:vAlign w:val="center"/>
                </w:tcPr>
                <w:p w14:paraId="5029A3B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JW6-252，252kV，125kA</w:t>
                  </w:r>
                </w:p>
              </w:tc>
              <w:tc>
                <w:tcPr>
                  <w:tcW w:w="314" w:type="pct"/>
                  <w:tcBorders>
                    <w:tl2br w:val="nil"/>
                    <w:tr2bl w:val="nil"/>
                  </w:tcBorders>
                  <w:noWrap w:val="0"/>
                  <w:vAlign w:val="center"/>
                </w:tcPr>
                <w:p w14:paraId="354D737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组/三相</w:t>
                  </w:r>
                </w:p>
              </w:tc>
              <w:tc>
                <w:tcPr>
                  <w:tcW w:w="303" w:type="pct"/>
                  <w:tcBorders>
                    <w:tl2br w:val="nil"/>
                    <w:tr2bl w:val="nil"/>
                  </w:tcBorders>
                  <w:noWrap w:val="0"/>
                  <w:vAlign w:val="center"/>
                </w:tcPr>
                <w:p w14:paraId="4BAAEFE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7EA8F68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ADD3B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2F3D5E9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w:t>
                  </w:r>
                </w:p>
              </w:tc>
              <w:tc>
                <w:tcPr>
                  <w:tcW w:w="890" w:type="pct"/>
                  <w:vMerge w:val="restart"/>
                  <w:tcBorders>
                    <w:tl2br w:val="nil"/>
                    <w:tr2bl w:val="nil"/>
                  </w:tcBorders>
                  <w:noWrap w:val="0"/>
                  <w:vAlign w:val="center"/>
                </w:tcPr>
                <w:p w14:paraId="6833186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220kV电容式电压互感器</w:t>
                  </w:r>
                </w:p>
              </w:tc>
              <w:tc>
                <w:tcPr>
                  <w:tcW w:w="2359" w:type="pct"/>
                  <w:tcBorders>
                    <w:tl2br w:val="nil"/>
                    <w:tr2bl w:val="nil"/>
                  </w:tcBorders>
                  <w:noWrap w:val="0"/>
                  <w:vAlign w:val="center"/>
                </w:tcPr>
                <w:p w14:paraId="730B6EE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母线电压互感器</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p>
                <w:p w14:paraId="24057ED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(220/√3)/(0.1/√3)/(0.1/√3)/(0.1/√3)/(0.1/√3)/0. 1kV，0.2/0.2/0.5(3P)/0.5(3P)/3P，10/10/50/50/100VA</w:t>
                  </w:r>
                </w:p>
              </w:tc>
              <w:tc>
                <w:tcPr>
                  <w:tcW w:w="314" w:type="pct"/>
                  <w:tcBorders>
                    <w:tl2br w:val="nil"/>
                    <w:tr2bl w:val="nil"/>
                  </w:tcBorders>
                  <w:noWrap w:val="0"/>
                  <w:vAlign w:val="center"/>
                </w:tcPr>
                <w:p w14:paraId="00128BE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1B54C96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57" w:type="pct"/>
                  <w:tcBorders>
                    <w:tl2br w:val="nil"/>
                    <w:tr2bl w:val="nil"/>
                  </w:tcBorders>
                  <w:noWrap w:val="0"/>
                  <w:vAlign w:val="center"/>
                </w:tcPr>
                <w:p w14:paraId="513731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C8F14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7" w:hRule="atLeast"/>
              </w:trPr>
              <w:tc>
                <w:tcPr>
                  <w:tcW w:w="274" w:type="pct"/>
                  <w:vMerge w:val="continue"/>
                  <w:tcBorders>
                    <w:tl2br w:val="nil"/>
                    <w:tr2bl w:val="nil"/>
                  </w:tcBorders>
                  <w:noWrap w:val="0"/>
                  <w:vAlign w:val="center"/>
                </w:tcPr>
                <w:p w14:paraId="5821AA6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6FBEDED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1D71918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线路电压互感器：(220/√3)/(0.1/√3)/(0.1/√3)/(0.1/√3)/0.1kV，0.2/0.5(3P)/0.5(3P)/3P，</w:t>
                  </w:r>
                </w:p>
                <w:p w14:paraId="68922E0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10/10/10/10VA</w:t>
                  </w:r>
                </w:p>
              </w:tc>
              <w:tc>
                <w:tcPr>
                  <w:tcW w:w="314" w:type="pct"/>
                  <w:tcBorders>
                    <w:tl2br w:val="nil"/>
                    <w:tr2bl w:val="nil"/>
                  </w:tcBorders>
                  <w:noWrap w:val="0"/>
                  <w:vAlign w:val="center"/>
                </w:tcPr>
                <w:p w14:paraId="00C20D7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536C111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57" w:type="pct"/>
                  <w:tcBorders>
                    <w:tl2br w:val="nil"/>
                    <w:tr2bl w:val="nil"/>
                  </w:tcBorders>
                  <w:noWrap w:val="0"/>
                  <w:vAlign w:val="center"/>
                </w:tcPr>
                <w:p w14:paraId="437A54A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8726C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4CC9C2E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90" w:type="pct"/>
                  <w:tcBorders>
                    <w:tl2br w:val="nil"/>
                    <w:tr2bl w:val="nil"/>
                  </w:tcBorders>
                  <w:noWrap w:val="0"/>
                  <w:vAlign w:val="center"/>
                </w:tcPr>
                <w:p w14:paraId="1D4F2F0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双柱水平旋转隔离开关（单接地）</w:t>
                  </w:r>
                </w:p>
              </w:tc>
              <w:tc>
                <w:tcPr>
                  <w:tcW w:w="2359" w:type="pct"/>
                  <w:tcBorders>
                    <w:tl2br w:val="nil"/>
                    <w:tr2bl w:val="nil"/>
                  </w:tcBorders>
                  <w:noWrap w:val="0"/>
                  <w:vAlign w:val="center"/>
                </w:tcPr>
                <w:p w14:paraId="314AECE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GW7B-252，252kV，3150A，50kA/3s，125kA</w:t>
                  </w:r>
                </w:p>
              </w:tc>
              <w:tc>
                <w:tcPr>
                  <w:tcW w:w="314" w:type="pct"/>
                  <w:tcBorders>
                    <w:tl2br w:val="nil"/>
                    <w:tr2bl w:val="nil"/>
                  </w:tcBorders>
                  <w:noWrap w:val="0"/>
                  <w:vAlign w:val="center"/>
                </w:tcPr>
                <w:p w14:paraId="00623D7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组</w:t>
                  </w:r>
                </w:p>
              </w:tc>
              <w:tc>
                <w:tcPr>
                  <w:tcW w:w="303" w:type="pct"/>
                  <w:tcBorders>
                    <w:tl2br w:val="nil"/>
                    <w:tr2bl w:val="nil"/>
                  </w:tcBorders>
                  <w:noWrap w:val="0"/>
                  <w:vAlign w:val="center"/>
                </w:tcPr>
                <w:p w14:paraId="085B99C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5FB815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35189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43DF321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7</w:t>
                  </w:r>
                </w:p>
              </w:tc>
              <w:tc>
                <w:tcPr>
                  <w:tcW w:w="890" w:type="pct"/>
                  <w:tcBorders>
                    <w:tl2br w:val="nil"/>
                    <w:tr2bl w:val="nil"/>
                  </w:tcBorders>
                  <w:noWrap w:val="0"/>
                  <w:vAlign w:val="center"/>
                </w:tcPr>
                <w:p w14:paraId="1130D7C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避雷器</w:t>
                  </w:r>
                </w:p>
              </w:tc>
              <w:tc>
                <w:tcPr>
                  <w:tcW w:w="2359" w:type="pct"/>
                  <w:tcBorders>
                    <w:tl2br w:val="nil"/>
                    <w:tr2bl w:val="nil"/>
                  </w:tcBorders>
                  <w:noWrap w:val="0"/>
                  <w:vAlign w:val="center"/>
                </w:tcPr>
                <w:p w14:paraId="173BE81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204/532kV，附在线监测仪</w:t>
                  </w:r>
                </w:p>
              </w:tc>
              <w:tc>
                <w:tcPr>
                  <w:tcW w:w="314" w:type="pct"/>
                  <w:tcBorders>
                    <w:tl2br w:val="nil"/>
                    <w:tr2bl w:val="nil"/>
                  </w:tcBorders>
                  <w:noWrap w:val="0"/>
                  <w:vAlign w:val="center"/>
                </w:tcPr>
                <w:p w14:paraId="613EEB1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0E33B31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57" w:type="pct"/>
                  <w:tcBorders>
                    <w:tl2br w:val="nil"/>
                    <w:tr2bl w:val="nil"/>
                  </w:tcBorders>
                  <w:noWrap w:val="0"/>
                  <w:vAlign w:val="center"/>
                </w:tcPr>
                <w:p w14:paraId="1F118FC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E025D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264404A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8</w:t>
                  </w:r>
                </w:p>
              </w:tc>
              <w:tc>
                <w:tcPr>
                  <w:tcW w:w="890" w:type="pct"/>
                  <w:tcBorders>
                    <w:tl2br w:val="nil"/>
                    <w:tr2bl w:val="nil"/>
                  </w:tcBorders>
                  <w:noWrap w:val="0"/>
                  <w:vAlign w:val="center"/>
                </w:tcPr>
                <w:p w14:paraId="76C1275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支柱绝缘子</w:t>
                  </w:r>
                </w:p>
              </w:tc>
              <w:tc>
                <w:tcPr>
                  <w:tcW w:w="2359" w:type="pct"/>
                  <w:tcBorders>
                    <w:tl2br w:val="nil"/>
                    <w:tr2bl w:val="nil"/>
                  </w:tcBorders>
                  <w:noWrap w:val="0"/>
                  <w:vAlign w:val="center"/>
                </w:tcPr>
                <w:p w14:paraId="07C83EC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ZSW-252/16K-4</w:t>
                  </w:r>
                </w:p>
              </w:tc>
              <w:tc>
                <w:tcPr>
                  <w:tcW w:w="314" w:type="pct"/>
                  <w:tcBorders>
                    <w:tl2br w:val="nil"/>
                    <w:tr2bl w:val="nil"/>
                  </w:tcBorders>
                  <w:noWrap w:val="0"/>
                  <w:vAlign w:val="center"/>
                </w:tcPr>
                <w:p w14:paraId="454ABEE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15EE7AB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552097F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0D886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53C59AE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w:t>
                  </w:r>
                </w:p>
              </w:tc>
              <w:tc>
                <w:tcPr>
                  <w:tcW w:w="890" w:type="pct"/>
                  <w:tcBorders>
                    <w:tl2br w:val="nil"/>
                    <w:tr2bl w:val="nil"/>
                  </w:tcBorders>
                  <w:noWrap w:val="0"/>
                  <w:vAlign w:val="center"/>
                </w:tcPr>
                <w:p w14:paraId="0451371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V型绝缘子串</w:t>
                  </w:r>
                </w:p>
              </w:tc>
              <w:tc>
                <w:tcPr>
                  <w:tcW w:w="2359" w:type="pct"/>
                  <w:tcBorders>
                    <w:tl2br w:val="nil"/>
                    <w:tr2bl w:val="nil"/>
                  </w:tcBorders>
                  <w:noWrap w:val="0"/>
                  <w:vAlign w:val="center"/>
                </w:tcPr>
                <w:p w14:paraId="5F9182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17(FC100PL/146)</w:t>
                  </w:r>
                </w:p>
              </w:tc>
              <w:tc>
                <w:tcPr>
                  <w:tcW w:w="314" w:type="pct"/>
                  <w:tcBorders>
                    <w:tl2br w:val="nil"/>
                    <w:tr2bl w:val="nil"/>
                  </w:tcBorders>
                  <w:noWrap w:val="0"/>
                  <w:vAlign w:val="center"/>
                </w:tcPr>
                <w:p w14:paraId="7B7FCD9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串</w:t>
                  </w:r>
                </w:p>
              </w:tc>
              <w:tc>
                <w:tcPr>
                  <w:tcW w:w="303" w:type="pct"/>
                  <w:tcBorders>
                    <w:tl2br w:val="nil"/>
                    <w:tr2bl w:val="nil"/>
                  </w:tcBorders>
                  <w:noWrap w:val="0"/>
                  <w:vAlign w:val="center"/>
                </w:tcPr>
                <w:p w14:paraId="4C4CF76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w:t>
                  </w:r>
                </w:p>
              </w:tc>
              <w:tc>
                <w:tcPr>
                  <w:tcW w:w="857" w:type="pct"/>
                  <w:tcBorders>
                    <w:tl2br w:val="nil"/>
                    <w:tr2bl w:val="nil"/>
                  </w:tcBorders>
                  <w:noWrap w:val="0"/>
                  <w:vAlign w:val="center"/>
                </w:tcPr>
                <w:p w14:paraId="283632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86B04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6614DDA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890" w:type="pct"/>
                  <w:vMerge w:val="restart"/>
                  <w:tcBorders>
                    <w:tl2br w:val="nil"/>
                    <w:tr2bl w:val="nil"/>
                  </w:tcBorders>
                  <w:noWrap w:val="0"/>
                  <w:vAlign w:val="center"/>
                </w:tcPr>
                <w:p w14:paraId="2C84ACF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绝缘子串</w:t>
                  </w:r>
                </w:p>
              </w:tc>
              <w:tc>
                <w:tcPr>
                  <w:tcW w:w="2359" w:type="pct"/>
                  <w:tcBorders>
                    <w:tl2br w:val="nil"/>
                    <w:tr2bl w:val="nil"/>
                  </w:tcBorders>
                  <w:noWrap w:val="0"/>
                  <w:vAlign w:val="center"/>
                </w:tcPr>
                <w:p w14:paraId="7BB64ED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20（XWP-120/146D）</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配双导线</w:t>
                  </w:r>
                </w:p>
              </w:tc>
              <w:tc>
                <w:tcPr>
                  <w:tcW w:w="314" w:type="pct"/>
                  <w:tcBorders>
                    <w:tl2br w:val="nil"/>
                    <w:tr2bl w:val="nil"/>
                  </w:tcBorders>
                  <w:noWrap w:val="0"/>
                  <w:vAlign w:val="center"/>
                </w:tcPr>
                <w:p w14:paraId="6D67FD4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串</w:t>
                  </w:r>
                </w:p>
              </w:tc>
              <w:tc>
                <w:tcPr>
                  <w:tcW w:w="303" w:type="pct"/>
                  <w:tcBorders>
                    <w:tl2br w:val="nil"/>
                    <w:tr2bl w:val="nil"/>
                  </w:tcBorders>
                  <w:noWrap w:val="0"/>
                  <w:vAlign w:val="center"/>
                </w:tcPr>
                <w:p w14:paraId="2720015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57" w:type="pct"/>
                  <w:tcBorders>
                    <w:tl2br w:val="nil"/>
                    <w:tr2bl w:val="nil"/>
                  </w:tcBorders>
                  <w:noWrap w:val="0"/>
                  <w:vAlign w:val="center"/>
                </w:tcPr>
                <w:p w14:paraId="0A9B174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母联</w:t>
                  </w:r>
                </w:p>
              </w:tc>
            </w:tr>
            <w:tr w14:paraId="29A98B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1982C6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7D6D74C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55EE18C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20（XWP-120/146D）</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配单导线</w:t>
                  </w:r>
                </w:p>
              </w:tc>
              <w:tc>
                <w:tcPr>
                  <w:tcW w:w="314" w:type="pct"/>
                  <w:tcBorders>
                    <w:tl2br w:val="nil"/>
                    <w:tr2bl w:val="nil"/>
                  </w:tcBorders>
                  <w:noWrap w:val="0"/>
                  <w:vAlign w:val="center"/>
                </w:tcPr>
                <w:p w14:paraId="1B072ED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串</w:t>
                  </w:r>
                </w:p>
              </w:tc>
              <w:tc>
                <w:tcPr>
                  <w:tcW w:w="303" w:type="pct"/>
                  <w:tcBorders>
                    <w:tl2br w:val="nil"/>
                    <w:tr2bl w:val="nil"/>
                  </w:tcBorders>
                  <w:noWrap w:val="0"/>
                  <w:vAlign w:val="center"/>
                </w:tcPr>
                <w:p w14:paraId="4E10D9C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18</w:t>
                  </w:r>
                </w:p>
              </w:tc>
              <w:tc>
                <w:tcPr>
                  <w:tcW w:w="857" w:type="pct"/>
                  <w:tcBorders>
                    <w:tl2br w:val="nil"/>
                    <w:tr2bl w:val="nil"/>
                  </w:tcBorders>
                  <w:noWrap w:val="0"/>
                  <w:vAlign w:val="center"/>
                </w:tcPr>
                <w:p w14:paraId="1ADE5F5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主变+出线间隔</w:t>
                  </w:r>
                </w:p>
              </w:tc>
            </w:tr>
            <w:tr w14:paraId="2EC892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CC83D1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11</w:t>
                  </w:r>
                </w:p>
              </w:tc>
              <w:tc>
                <w:tcPr>
                  <w:tcW w:w="890" w:type="pct"/>
                  <w:tcBorders>
                    <w:tl2br w:val="nil"/>
                    <w:tr2bl w:val="nil"/>
                  </w:tcBorders>
                  <w:noWrap w:val="0"/>
                  <w:vAlign w:val="center"/>
                </w:tcPr>
                <w:p w14:paraId="6BF597D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耐张线夹</w:t>
                  </w:r>
                </w:p>
              </w:tc>
              <w:tc>
                <w:tcPr>
                  <w:tcW w:w="2359" w:type="pct"/>
                  <w:tcBorders>
                    <w:tl2br w:val="nil"/>
                    <w:tr2bl w:val="nil"/>
                  </w:tcBorders>
                  <w:noWrap w:val="0"/>
                  <w:vAlign w:val="center"/>
                </w:tcPr>
                <w:p w14:paraId="6E2D470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NY-630/55</w:t>
                  </w:r>
                </w:p>
              </w:tc>
              <w:tc>
                <w:tcPr>
                  <w:tcW w:w="314" w:type="pct"/>
                  <w:tcBorders>
                    <w:tl2br w:val="nil"/>
                    <w:tr2bl w:val="nil"/>
                  </w:tcBorders>
                  <w:noWrap w:val="0"/>
                  <w:vAlign w:val="center"/>
                </w:tcPr>
                <w:p w14:paraId="00B5063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23836C3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27</w:t>
                  </w:r>
                </w:p>
              </w:tc>
              <w:tc>
                <w:tcPr>
                  <w:tcW w:w="857" w:type="pct"/>
                  <w:tcBorders>
                    <w:tl2br w:val="nil"/>
                    <w:tr2bl w:val="nil"/>
                  </w:tcBorders>
                  <w:noWrap w:val="0"/>
                  <w:vAlign w:val="center"/>
                </w:tcPr>
                <w:p w14:paraId="2137D47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附引流夹</w:t>
                  </w:r>
                </w:p>
              </w:tc>
            </w:tr>
            <w:tr w14:paraId="5B8CD7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17FE58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w:t>
                  </w:r>
                </w:p>
              </w:tc>
              <w:tc>
                <w:tcPr>
                  <w:tcW w:w="890" w:type="pct"/>
                  <w:tcBorders>
                    <w:tl2br w:val="nil"/>
                    <w:tr2bl w:val="nil"/>
                  </w:tcBorders>
                  <w:noWrap w:val="0"/>
                  <w:vAlign w:val="center"/>
                </w:tcPr>
                <w:p w14:paraId="4106F89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防污闪辅助伞裙</w:t>
                  </w:r>
                </w:p>
              </w:tc>
              <w:tc>
                <w:tcPr>
                  <w:tcW w:w="2359" w:type="pct"/>
                  <w:tcBorders>
                    <w:tl2br w:val="nil"/>
                    <w:tr2bl w:val="nil"/>
                  </w:tcBorders>
                  <w:noWrap w:val="0"/>
                  <w:vAlign w:val="center"/>
                </w:tcPr>
                <w:p w14:paraId="700037F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通用型</w:t>
                  </w:r>
                </w:p>
              </w:tc>
              <w:tc>
                <w:tcPr>
                  <w:tcW w:w="314" w:type="pct"/>
                  <w:tcBorders>
                    <w:tl2br w:val="nil"/>
                    <w:tr2bl w:val="nil"/>
                  </w:tcBorders>
                  <w:noWrap w:val="0"/>
                  <w:vAlign w:val="center"/>
                </w:tcPr>
                <w:p w14:paraId="44BCEF7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片</w:t>
                  </w:r>
                </w:p>
              </w:tc>
              <w:tc>
                <w:tcPr>
                  <w:tcW w:w="303" w:type="pct"/>
                  <w:tcBorders>
                    <w:tl2br w:val="nil"/>
                    <w:tr2bl w:val="nil"/>
                  </w:tcBorders>
                  <w:noWrap w:val="0"/>
                  <w:vAlign w:val="center"/>
                </w:tcPr>
                <w:p w14:paraId="78BBBC2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800</w:t>
                  </w:r>
                </w:p>
              </w:tc>
              <w:tc>
                <w:tcPr>
                  <w:tcW w:w="857" w:type="pct"/>
                  <w:tcBorders>
                    <w:tl2br w:val="nil"/>
                    <w:tr2bl w:val="nil"/>
                  </w:tcBorders>
                  <w:noWrap w:val="0"/>
                  <w:vAlign w:val="center"/>
                </w:tcPr>
                <w:p w14:paraId="238DE1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E2743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C2C5A4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13</w:t>
                  </w:r>
                </w:p>
              </w:tc>
              <w:tc>
                <w:tcPr>
                  <w:tcW w:w="890" w:type="pct"/>
                  <w:tcBorders>
                    <w:tl2br w:val="nil"/>
                    <w:tr2bl w:val="nil"/>
                  </w:tcBorders>
                  <w:noWrap w:val="0"/>
                  <w:vAlign w:val="center"/>
                </w:tcPr>
                <w:p w14:paraId="1A4AA13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绝缘涂料</w:t>
                  </w:r>
                </w:p>
              </w:tc>
              <w:tc>
                <w:tcPr>
                  <w:tcW w:w="2359" w:type="pct"/>
                  <w:tcBorders>
                    <w:tl2br w:val="nil"/>
                    <w:tr2bl w:val="nil"/>
                  </w:tcBorders>
                  <w:noWrap w:val="0"/>
                  <w:vAlign w:val="center"/>
                </w:tcPr>
                <w:p w14:paraId="510C4D0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PRTV</w:t>
                  </w:r>
                </w:p>
              </w:tc>
              <w:tc>
                <w:tcPr>
                  <w:tcW w:w="314" w:type="pct"/>
                  <w:tcBorders>
                    <w:tl2br w:val="nil"/>
                    <w:tr2bl w:val="nil"/>
                  </w:tcBorders>
                  <w:noWrap w:val="0"/>
                  <w:vAlign w:val="center"/>
                </w:tcPr>
                <w:p w14:paraId="37749B8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kg</w:t>
                  </w:r>
                </w:p>
              </w:tc>
              <w:tc>
                <w:tcPr>
                  <w:tcW w:w="303" w:type="pct"/>
                  <w:tcBorders>
                    <w:tl2br w:val="nil"/>
                    <w:tr2bl w:val="nil"/>
                  </w:tcBorders>
                  <w:noWrap w:val="0"/>
                  <w:vAlign w:val="center"/>
                </w:tcPr>
                <w:p w14:paraId="6CABE9E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400</w:t>
                  </w:r>
                </w:p>
              </w:tc>
              <w:tc>
                <w:tcPr>
                  <w:tcW w:w="857" w:type="pct"/>
                  <w:tcBorders>
                    <w:tl2br w:val="nil"/>
                    <w:tr2bl w:val="nil"/>
                  </w:tcBorders>
                  <w:noWrap w:val="0"/>
                  <w:vAlign w:val="center"/>
                </w:tcPr>
                <w:p w14:paraId="44837DC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9520B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bottom w:val="single" w:color="auto" w:sz="4" w:space="0"/>
                    <w:tl2br w:val="nil"/>
                    <w:tr2bl w:val="nil"/>
                  </w:tcBorders>
                  <w:noWrap w:val="0"/>
                  <w:vAlign w:val="center"/>
                </w:tcPr>
                <w:p w14:paraId="173003B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14</w:t>
                  </w:r>
                </w:p>
              </w:tc>
              <w:tc>
                <w:tcPr>
                  <w:tcW w:w="890" w:type="pct"/>
                  <w:tcBorders>
                    <w:bottom w:val="single" w:color="auto" w:sz="4" w:space="0"/>
                    <w:tl2br w:val="nil"/>
                    <w:tr2bl w:val="nil"/>
                  </w:tcBorders>
                  <w:noWrap w:val="0"/>
                  <w:vAlign w:val="center"/>
                </w:tcPr>
                <w:p w14:paraId="4BEB3F0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主变+出线间隔线夹</w:t>
                  </w:r>
                </w:p>
              </w:tc>
              <w:tc>
                <w:tcPr>
                  <w:tcW w:w="2359" w:type="pct"/>
                  <w:tcBorders>
                    <w:tl2br w:val="nil"/>
                    <w:tr2bl w:val="nil"/>
                  </w:tcBorders>
                  <w:noWrap w:val="0"/>
                  <w:vAlign w:val="center"/>
                </w:tcPr>
                <w:p w14:paraId="72F3A7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404955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tcBorders>
                    <w:tl2br w:val="nil"/>
                    <w:tr2bl w:val="nil"/>
                  </w:tcBorders>
                  <w:noWrap w:val="0"/>
                  <w:vAlign w:val="center"/>
                </w:tcPr>
                <w:p w14:paraId="0FFAAF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74D8666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A9266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op w:val="single" w:color="auto" w:sz="4" w:space="0"/>
                    <w:bottom w:val="single" w:color="auto" w:sz="4" w:space="0"/>
                    <w:tl2br w:val="nil"/>
                    <w:tr2bl w:val="nil"/>
                  </w:tcBorders>
                  <w:noWrap w:val="0"/>
                  <w:vAlign w:val="center"/>
                </w:tcPr>
                <w:p w14:paraId="517F0EC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1</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op w:val="single" w:color="auto" w:sz="4" w:space="0"/>
                    <w:bottom w:val="single" w:color="auto" w:sz="4" w:space="0"/>
                    <w:tl2br w:val="nil"/>
                    <w:tr2bl w:val="nil"/>
                  </w:tcBorders>
                  <w:noWrap w:val="0"/>
                  <w:vAlign w:val="center"/>
                </w:tcPr>
                <w:p w14:paraId="58E3E9D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T型线夹</w:t>
                  </w:r>
                </w:p>
              </w:tc>
              <w:tc>
                <w:tcPr>
                  <w:tcW w:w="2359" w:type="pct"/>
                  <w:tcBorders>
                    <w:tl2br w:val="nil"/>
                    <w:tr2bl w:val="nil"/>
                  </w:tcBorders>
                  <w:noWrap w:val="0"/>
                  <w:vAlign w:val="center"/>
                </w:tcPr>
                <w:p w14:paraId="01D5807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TY-630/55</w:t>
                  </w:r>
                </w:p>
              </w:tc>
              <w:tc>
                <w:tcPr>
                  <w:tcW w:w="314" w:type="pct"/>
                  <w:tcBorders>
                    <w:tl2br w:val="nil"/>
                    <w:tr2bl w:val="nil"/>
                  </w:tcBorders>
                  <w:noWrap w:val="0"/>
                  <w:vAlign w:val="center"/>
                </w:tcPr>
                <w:p w14:paraId="60D7C57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7032418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27</w:t>
                  </w:r>
                </w:p>
              </w:tc>
              <w:tc>
                <w:tcPr>
                  <w:tcW w:w="857" w:type="pct"/>
                  <w:tcBorders>
                    <w:tl2br w:val="nil"/>
                    <w:tr2bl w:val="nil"/>
                  </w:tcBorders>
                  <w:noWrap w:val="0"/>
                  <w:vAlign w:val="center"/>
                </w:tcPr>
                <w:p w14:paraId="002D12A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914E7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op w:val="single" w:color="auto" w:sz="4" w:space="0"/>
                    <w:bottom w:val="single" w:color="auto" w:sz="4" w:space="0"/>
                    <w:tl2br w:val="nil"/>
                    <w:tr2bl w:val="nil"/>
                  </w:tcBorders>
                  <w:noWrap w:val="0"/>
                  <w:vAlign w:val="center"/>
                </w:tcPr>
                <w:p w14:paraId="62A3C08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2</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op w:val="single" w:color="auto" w:sz="4" w:space="0"/>
                    <w:bottom w:val="single" w:color="auto" w:sz="4" w:space="0"/>
                    <w:tl2br w:val="nil"/>
                    <w:tr2bl w:val="nil"/>
                  </w:tcBorders>
                  <w:noWrap w:val="0"/>
                  <w:vAlign w:val="center"/>
                </w:tcPr>
                <w:p w14:paraId="3464385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管母线T型线夹</w:t>
                  </w:r>
                </w:p>
              </w:tc>
              <w:tc>
                <w:tcPr>
                  <w:tcW w:w="2359" w:type="pct"/>
                  <w:tcBorders>
                    <w:tl2br w:val="nil"/>
                    <w:tr2bl w:val="nil"/>
                  </w:tcBorders>
                  <w:noWrap w:val="0"/>
                  <w:vAlign w:val="center"/>
                </w:tcPr>
                <w:p w14:paraId="01BBE8C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MGT-150</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220×220</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314" w:type="pct"/>
                  <w:tcBorders>
                    <w:tl2br w:val="nil"/>
                    <w:tr2bl w:val="nil"/>
                  </w:tcBorders>
                  <w:noWrap w:val="0"/>
                  <w:vAlign w:val="center"/>
                </w:tcPr>
                <w:p w14:paraId="3BD42D8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16E9DB7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w:t>
                  </w:r>
                </w:p>
              </w:tc>
              <w:tc>
                <w:tcPr>
                  <w:tcW w:w="857" w:type="pct"/>
                  <w:tcBorders>
                    <w:tl2br w:val="nil"/>
                    <w:tr2bl w:val="nil"/>
                  </w:tcBorders>
                  <w:noWrap w:val="0"/>
                  <w:vAlign w:val="center"/>
                </w:tcPr>
                <w:p w14:paraId="220F321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E8603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op w:val="single" w:color="auto" w:sz="4" w:space="0"/>
                    <w:tl2br w:val="nil"/>
                    <w:tr2bl w:val="nil"/>
                  </w:tcBorders>
                  <w:noWrap w:val="0"/>
                  <w:vAlign w:val="center"/>
                </w:tcPr>
                <w:p w14:paraId="7FB10BD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3</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vMerge w:val="restart"/>
                  <w:tcBorders>
                    <w:top w:val="single" w:color="auto" w:sz="4" w:space="0"/>
                    <w:tl2br w:val="nil"/>
                    <w:tr2bl w:val="nil"/>
                  </w:tcBorders>
                  <w:noWrap w:val="0"/>
                  <w:vAlign w:val="center"/>
                </w:tcPr>
                <w:p w14:paraId="33BA27B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设备线夹</w:t>
                  </w:r>
                </w:p>
              </w:tc>
              <w:tc>
                <w:tcPr>
                  <w:tcW w:w="2359" w:type="pct"/>
                  <w:tcBorders>
                    <w:tl2br w:val="nil"/>
                    <w:tr2bl w:val="nil"/>
                  </w:tcBorders>
                  <w:noWrap w:val="0"/>
                  <w:vAlign w:val="center"/>
                </w:tcPr>
                <w:p w14:paraId="622F67E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SSY-630/55A</w:t>
                  </w:r>
                </w:p>
              </w:tc>
              <w:tc>
                <w:tcPr>
                  <w:tcW w:w="314" w:type="pct"/>
                  <w:tcBorders>
                    <w:tl2br w:val="nil"/>
                    <w:tr2bl w:val="nil"/>
                  </w:tcBorders>
                  <w:noWrap w:val="0"/>
                  <w:vAlign w:val="center"/>
                </w:tcPr>
                <w:p w14:paraId="3B0FBEB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5042B04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w:t>
                  </w:r>
                </w:p>
              </w:tc>
              <w:tc>
                <w:tcPr>
                  <w:tcW w:w="857" w:type="pct"/>
                  <w:tcBorders>
                    <w:tl2br w:val="nil"/>
                    <w:tr2bl w:val="nil"/>
                  </w:tcBorders>
                  <w:noWrap w:val="0"/>
                  <w:vAlign w:val="center"/>
                </w:tcPr>
                <w:p w14:paraId="77F9E03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77899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38D8592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7D8AA0C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102F6FF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SSY-630/55B</w:t>
                  </w:r>
                </w:p>
              </w:tc>
              <w:tc>
                <w:tcPr>
                  <w:tcW w:w="314" w:type="pct"/>
                  <w:tcBorders>
                    <w:tl2br w:val="nil"/>
                    <w:tr2bl w:val="nil"/>
                  </w:tcBorders>
                  <w:noWrap w:val="0"/>
                  <w:vAlign w:val="center"/>
                </w:tcPr>
                <w:p w14:paraId="153A9A8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3E77981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w:t>
                  </w:r>
                </w:p>
              </w:tc>
              <w:tc>
                <w:tcPr>
                  <w:tcW w:w="857" w:type="pct"/>
                  <w:tcBorders>
                    <w:tl2br w:val="nil"/>
                    <w:tr2bl w:val="nil"/>
                  </w:tcBorders>
                  <w:noWrap w:val="0"/>
                  <w:vAlign w:val="center"/>
                </w:tcPr>
                <w:p w14:paraId="73830AE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42289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1A9A06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5F54B8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602992F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SSY-630/55BC</w:t>
                  </w:r>
                </w:p>
              </w:tc>
              <w:tc>
                <w:tcPr>
                  <w:tcW w:w="314" w:type="pct"/>
                  <w:tcBorders>
                    <w:tl2br w:val="nil"/>
                    <w:tr2bl w:val="nil"/>
                  </w:tcBorders>
                  <w:noWrap w:val="0"/>
                  <w:vAlign w:val="center"/>
                </w:tcPr>
                <w:p w14:paraId="7FC4A8B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4B9D2DC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57" w:type="pct"/>
                  <w:tcBorders>
                    <w:tl2br w:val="nil"/>
                    <w:tr2bl w:val="nil"/>
                  </w:tcBorders>
                  <w:noWrap w:val="0"/>
                  <w:vAlign w:val="center"/>
                </w:tcPr>
                <w:p w14:paraId="06C9E9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4EA70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74D87A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53D6FA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541A5B1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SY-630/55A</w:t>
                  </w:r>
                </w:p>
              </w:tc>
              <w:tc>
                <w:tcPr>
                  <w:tcW w:w="314" w:type="pct"/>
                  <w:tcBorders>
                    <w:tl2br w:val="nil"/>
                    <w:tr2bl w:val="nil"/>
                  </w:tcBorders>
                  <w:noWrap w:val="0"/>
                  <w:vAlign w:val="center"/>
                </w:tcPr>
                <w:p w14:paraId="25BFC25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260EFEB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w:t>
                  </w:r>
                </w:p>
              </w:tc>
              <w:tc>
                <w:tcPr>
                  <w:tcW w:w="857" w:type="pct"/>
                  <w:tcBorders>
                    <w:tl2br w:val="nil"/>
                    <w:tr2bl w:val="nil"/>
                  </w:tcBorders>
                  <w:noWrap w:val="0"/>
                  <w:vAlign w:val="center"/>
                </w:tcPr>
                <w:p w14:paraId="77AACF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EEE45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2BC1D57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655FD3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5CAC284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SY-630/55B</w:t>
                  </w:r>
                </w:p>
              </w:tc>
              <w:tc>
                <w:tcPr>
                  <w:tcW w:w="314" w:type="pct"/>
                  <w:tcBorders>
                    <w:tl2br w:val="nil"/>
                    <w:tr2bl w:val="nil"/>
                  </w:tcBorders>
                  <w:noWrap w:val="0"/>
                  <w:vAlign w:val="center"/>
                </w:tcPr>
                <w:p w14:paraId="502CF54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162A0DA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15</w:t>
                  </w:r>
                </w:p>
              </w:tc>
              <w:tc>
                <w:tcPr>
                  <w:tcW w:w="857" w:type="pct"/>
                  <w:tcBorders>
                    <w:tl2br w:val="nil"/>
                    <w:tr2bl w:val="nil"/>
                  </w:tcBorders>
                  <w:noWrap w:val="0"/>
                  <w:vAlign w:val="center"/>
                </w:tcPr>
                <w:p w14:paraId="3B4A723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AEE4F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bottom w:val="single" w:color="auto" w:sz="4" w:space="0"/>
                    <w:tl2br w:val="nil"/>
                    <w:tr2bl w:val="nil"/>
                  </w:tcBorders>
                  <w:noWrap w:val="0"/>
                  <w:vAlign w:val="center"/>
                </w:tcPr>
                <w:p w14:paraId="3C4959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bottom w:val="single" w:color="auto" w:sz="4" w:space="0"/>
                    <w:tl2br w:val="nil"/>
                    <w:tr2bl w:val="nil"/>
                  </w:tcBorders>
                  <w:noWrap w:val="0"/>
                  <w:vAlign w:val="center"/>
                </w:tcPr>
                <w:p w14:paraId="3E64CF8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5410515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SY-630/55C</w:t>
                  </w:r>
                </w:p>
              </w:tc>
              <w:tc>
                <w:tcPr>
                  <w:tcW w:w="314" w:type="pct"/>
                  <w:tcBorders>
                    <w:tl2br w:val="nil"/>
                    <w:tr2bl w:val="nil"/>
                  </w:tcBorders>
                  <w:noWrap w:val="0"/>
                  <w:vAlign w:val="center"/>
                </w:tcPr>
                <w:p w14:paraId="72F37B8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4181579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57" w:type="pct"/>
                  <w:tcBorders>
                    <w:tl2br w:val="nil"/>
                    <w:tr2bl w:val="nil"/>
                  </w:tcBorders>
                  <w:noWrap w:val="0"/>
                  <w:vAlign w:val="center"/>
                </w:tcPr>
                <w:p w14:paraId="57F1AD8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4826C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op w:val="single" w:color="auto" w:sz="4" w:space="0"/>
                    <w:tl2br w:val="nil"/>
                    <w:tr2bl w:val="nil"/>
                  </w:tcBorders>
                  <w:noWrap w:val="0"/>
                  <w:vAlign w:val="center"/>
                </w:tcPr>
                <w:p w14:paraId="395DEB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4</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op w:val="single" w:color="auto" w:sz="4" w:space="0"/>
                    <w:tl2br w:val="nil"/>
                    <w:tr2bl w:val="nil"/>
                  </w:tcBorders>
                  <w:noWrap w:val="0"/>
                  <w:vAlign w:val="center"/>
                </w:tcPr>
                <w:p w14:paraId="7F0BFCA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双软母线固定金具</w:t>
                  </w:r>
                </w:p>
              </w:tc>
              <w:tc>
                <w:tcPr>
                  <w:tcW w:w="2359" w:type="pct"/>
                  <w:tcBorders>
                    <w:tl2br w:val="nil"/>
                    <w:tr2bl w:val="nil"/>
                  </w:tcBorders>
                  <w:noWrap w:val="0"/>
                  <w:vAlign w:val="center"/>
                </w:tcPr>
                <w:p w14:paraId="041E011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MSG-5/200-225</w:t>
                  </w:r>
                </w:p>
              </w:tc>
              <w:tc>
                <w:tcPr>
                  <w:tcW w:w="314" w:type="pct"/>
                  <w:tcBorders>
                    <w:tl2br w:val="nil"/>
                    <w:tr2bl w:val="nil"/>
                  </w:tcBorders>
                  <w:noWrap w:val="0"/>
                  <w:vAlign w:val="center"/>
                </w:tcPr>
                <w:p w14:paraId="2E9442B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6D0A920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57" w:type="pct"/>
                  <w:tcBorders>
                    <w:tl2br w:val="nil"/>
                    <w:tr2bl w:val="nil"/>
                  </w:tcBorders>
                  <w:noWrap w:val="0"/>
                  <w:vAlign w:val="center"/>
                </w:tcPr>
                <w:p w14:paraId="2D0988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DBE92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3F298F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15</w:t>
                  </w:r>
                </w:p>
              </w:tc>
              <w:tc>
                <w:tcPr>
                  <w:tcW w:w="890" w:type="pct"/>
                  <w:tcBorders>
                    <w:tl2br w:val="nil"/>
                    <w:tr2bl w:val="nil"/>
                  </w:tcBorders>
                  <w:noWrap w:val="0"/>
                  <w:vAlign w:val="center"/>
                </w:tcPr>
                <w:p w14:paraId="50AC21F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母联+出线间隔线夹</w:t>
                  </w:r>
                </w:p>
              </w:tc>
              <w:tc>
                <w:tcPr>
                  <w:tcW w:w="2359" w:type="pct"/>
                  <w:tcBorders>
                    <w:tl2br w:val="nil"/>
                    <w:tr2bl w:val="nil"/>
                  </w:tcBorders>
                  <w:noWrap w:val="0"/>
                  <w:vAlign w:val="center"/>
                </w:tcPr>
                <w:p w14:paraId="134B297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705C07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tcBorders>
                    <w:tl2br w:val="nil"/>
                    <w:tr2bl w:val="nil"/>
                  </w:tcBorders>
                  <w:noWrap w:val="0"/>
                  <w:vAlign w:val="center"/>
                </w:tcPr>
                <w:p w14:paraId="2D555AB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40119B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4900A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shd w:val="clear" w:color="auto" w:fill="auto"/>
                  <w:noWrap w:val="0"/>
                  <w:vAlign w:val="center"/>
                </w:tcPr>
                <w:p w14:paraId="6EA3807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eastAsiaTheme="minorEastAsia"/>
                      <w:snapToGrid w:val="0"/>
                      <w:color w:val="000000" w:themeColor="text1"/>
                      <w:spacing w:val="0"/>
                      <w:w w:val="100"/>
                      <w:kern w:val="0"/>
                      <w:position w:val="0"/>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1</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46F1EF5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T型线夹</w:t>
                  </w:r>
                </w:p>
              </w:tc>
              <w:tc>
                <w:tcPr>
                  <w:tcW w:w="2359" w:type="pct"/>
                  <w:tcBorders>
                    <w:tl2br w:val="nil"/>
                    <w:tr2bl w:val="nil"/>
                  </w:tcBorders>
                  <w:noWrap w:val="0"/>
                  <w:vAlign w:val="center"/>
                </w:tcPr>
                <w:p w14:paraId="1EB0212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TY-630/55</w:t>
                  </w:r>
                </w:p>
              </w:tc>
              <w:tc>
                <w:tcPr>
                  <w:tcW w:w="314" w:type="pct"/>
                  <w:tcBorders>
                    <w:tl2br w:val="nil"/>
                    <w:tr2bl w:val="nil"/>
                  </w:tcBorders>
                  <w:noWrap w:val="0"/>
                  <w:vAlign w:val="center"/>
                </w:tcPr>
                <w:p w14:paraId="61A4607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454F854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w:t>
                  </w:r>
                </w:p>
              </w:tc>
              <w:tc>
                <w:tcPr>
                  <w:tcW w:w="857" w:type="pct"/>
                  <w:tcBorders>
                    <w:tl2br w:val="nil"/>
                    <w:tr2bl w:val="nil"/>
                  </w:tcBorders>
                  <w:noWrap w:val="0"/>
                  <w:vAlign w:val="center"/>
                </w:tcPr>
                <w:p w14:paraId="55BF048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AD2D5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shd w:val="clear" w:color="auto" w:fill="auto"/>
                  <w:noWrap w:val="0"/>
                  <w:vAlign w:val="center"/>
                </w:tcPr>
                <w:p w14:paraId="5A9B4C9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eastAsiaTheme="minorEastAsia"/>
                      <w:snapToGrid w:val="0"/>
                      <w:color w:val="000000" w:themeColor="text1"/>
                      <w:spacing w:val="0"/>
                      <w:w w:val="100"/>
                      <w:kern w:val="0"/>
                      <w:position w:val="0"/>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2</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7494DF1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管母线T型线夹</w:t>
                  </w:r>
                </w:p>
              </w:tc>
              <w:tc>
                <w:tcPr>
                  <w:tcW w:w="2359" w:type="pct"/>
                  <w:tcBorders>
                    <w:tl2br w:val="nil"/>
                    <w:tr2bl w:val="nil"/>
                  </w:tcBorders>
                  <w:noWrap w:val="0"/>
                  <w:vAlign w:val="center"/>
                </w:tcPr>
                <w:p w14:paraId="67DB82D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MGT-150</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220×220</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314" w:type="pct"/>
                  <w:tcBorders>
                    <w:tl2br w:val="nil"/>
                    <w:tr2bl w:val="nil"/>
                  </w:tcBorders>
                  <w:noWrap w:val="0"/>
                  <w:vAlign w:val="center"/>
                </w:tcPr>
                <w:p w14:paraId="23515AB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06B261B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57" w:type="pct"/>
                  <w:tcBorders>
                    <w:tl2br w:val="nil"/>
                    <w:tr2bl w:val="nil"/>
                  </w:tcBorders>
                  <w:noWrap w:val="0"/>
                  <w:vAlign w:val="center"/>
                </w:tcPr>
                <w:p w14:paraId="4D47DA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3B768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1BC4DE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3</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vMerge w:val="restart"/>
                  <w:tcBorders>
                    <w:tl2br w:val="nil"/>
                    <w:tr2bl w:val="nil"/>
                  </w:tcBorders>
                  <w:noWrap w:val="0"/>
                  <w:vAlign w:val="center"/>
                </w:tcPr>
                <w:p w14:paraId="62A53DA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双设备线夹</w:t>
                  </w:r>
                </w:p>
              </w:tc>
              <w:tc>
                <w:tcPr>
                  <w:tcW w:w="2359" w:type="pct"/>
                  <w:tcBorders>
                    <w:tl2br w:val="nil"/>
                    <w:tr2bl w:val="nil"/>
                  </w:tcBorders>
                  <w:noWrap w:val="0"/>
                  <w:vAlign w:val="center"/>
                </w:tcPr>
                <w:p w14:paraId="7634DA7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SSY-630/55A</w:t>
                  </w:r>
                </w:p>
              </w:tc>
              <w:tc>
                <w:tcPr>
                  <w:tcW w:w="314" w:type="pct"/>
                  <w:tcBorders>
                    <w:tl2br w:val="nil"/>
                    <w:tr2bl w:val="nil"/>
                  </w:tcBorders>
                  <w:noWrap w:val="0"/>
                  <w:vAlign w:val="center"/>
                </w:tcPr>
                <w:p w14:paraId="49501FF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23A44D6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57" w:type="pct"/>
                  <w:tcBorders>
                    <w:tl2br w:val="nil"/>
                    <w:tr2bl w:val="nil"/>
                  </w:tcBorders>
                  <w:noWrap w:val="0"/>
                  <w:vAlign w:val="center"/>
                </w:tcPr>
                <w:p w14:paraId="66630E9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F4ADE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79711E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31EB288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2A7E604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SSY-630/55B</w:t>
                  </w:r>
                </w:p>
              </w:tc>
              <w:tc>
                <w:tcPr>
                  <w:tcW w:w="314" w:type="pct"/>
                  <w:tcBorders>
                    <w:tl2br w:val="nil"/>
                    <w:tr2bl w:val="nil"/>
                  </w:tcBorders>
                  <w:noWrap w:val="0"/>
                  <w:vAlign w:val="center"/>
                </w:tcPr>
                <w:p w14:paraId="70C5F19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6161BFA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57" w:type="pct"/>
                  <w:tcBorders>
                    <w:tl2br w:val="nil"/>
                    <w:tr2bl w:val="nil"/>
                  </w:tcBorders>
                  <w:noWrap w:val="0"/>
                  <w:vAlign w:val="center"/>
                </w:tcPr>
                <w:p w14:paraId="7AC60B1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5D0E9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E0D2D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4</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4739947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双分裂间隔棒</w:t>
                  </w:r>
                </w:p>
              </w:tc>
              <w:tc>
                <w:tcPr>
                  <w:tcW w:w="2359" w:type="pct"/>
                  <w:tcBorders>
                    <w:tl2br w:val="nil"/>
                    <w:tr2bl w:val="nil"/>
                  </w:tcBorders>
                  <w:noWrap w:val="0"/>
                  <w:vAlign w:val="center"/>
                </w:tcPr>
                <w:p w14:paraId="375391F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MRJ-5/200</w:t>
                  </w:r>
                </w:p>
              </w:tc>
              <w:tc>
                <w:tcPr>
                  <w:tcW w:w="314" w:type="pct"/>
                  <w:tcBorders>
                    <w:tl2br w:val="nil"/>
                    <w:tr2bl w:val="nil"/>
                  </w:tcBorders>
                  <w:noWrap w:val="0"/>
                  <w:vAlign w:val="center"/>
                </w:tcPr>
                <w:p w14:paraId="14168A2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630F23A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w:t>
                  </w:r>
                </w:p>
              </w:tc>
              <w:tc>
                <w:tcPr>
                  <w:tcW w:w="857" w:type="pct"/>
                  <w:tcBorders>
                    <w:tl2br w:val="nil"/>
                    <w:tr2bl w:val="nil"/>
                  </w:tcBorders>
                  <w:noWrap w:val="0"/>
                  <w:vAlign w:val="center"/>
                </w:tcPr>
                <w:p w14:paraId="6B3B0D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1742A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8F6EE6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5</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47D6C59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双设备线夹</w:t>
                  </w:r>
                </w:p>
              </w:tc>
              <w:tc>
                <w:tcPr>
                  <w:tcW w:w="2359" w:type="pct"/>
                  <w:tcBorders>
                    <w:tl2br w:val="nil"/>
                    <w:tr2bl w:val="nil"/>
                  </w:tcBorders>
                  <w:noWrap w:val="0"/>
                  <w:vAlign w:val="center"/>
                </w:tcPr>
                <w:p w14:paraId="7F7E657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SSY-630/55A</w:t>
                  </w:r>
                </w:p>
              </w:tc>
              <w:tc>
                <w:tcPr>
                  <w:tcW w:w="314" w:type="pct"/>
                  <w:tcBorders>
                    <w:tl2br w:val="nil"/>
                    <w:tr2bl w:val="nil"/>
                  </w:tcBorders>
                  <w:noWrap w:val="0"/>
                  <w:vAlign w:val="center"/>
                </w:tcPr>
                <w:p w14:paraId="551B4F4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4A2CC9B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57" w:type="pct"/>
                  <w:tcBorders>
                    <w:tl2br w:val="nil"/>
                    <w:tr2bl w:val="nil"/>
                  </w:tcBorders>
                  <w:noWrap w:val="0"/>
                  <w:vAlign w:val="center"/>
                </w:tcPr>
                <w:p w14:paraId="7D486AB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EE765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ED34E4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16</w:t>
                  </w:r>
                </w:p>
              </w:tc>
              <w:tc>
                <w:tcPr>
                  <w:tcW w:w="890" w:type="pct"/>
                  <w:tcBorders>
                    <w:tl2br w:val="nil"/>
                    <w:tr2bl w:val="nil"/>
                  </w:tcBorders>
                  <w:noWrap w:val="0"/>
                  <w:vAlign w:val="center"/>
                </w:tcPr>
                <w:p w14:paraId="6B75757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PT间隔线夹</w:t>
                  </w:r>
                </w:p>
              </w:tc>
              <w:tc>
                <w:tcPr>
                  <w:tcW w:w="2359" w:type="pct"/>
                  <w:tcBorders>
                    <w:tl2br w:val="nil"/>
                    <w:tr2bl w:val="nil"/>
                  </w:tcBorders>
                  <w:noWrap w:val="0"/>
                  <w:vAlign w:val="center"/>
                </w:tcPr>
                <w:p w14:paraId="3569008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0D2E882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tcBorders>
                    <w:tl2br w:val="nil"/>
                    <w:tr2bl w:val="nil"/>
                  </w:tcBorders>
                  <w:noWrap w:val="0"/>
                  <w:vAlign w:val="center"/>
                </w:tcPr>
                <w:p w14:paraId="013E55B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3654609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19582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shd w:val="clear" w:color="auto" w:fill="auto"/>
                  <w:noWrap w:val="0"/>
                  <w:vAlign w:val="center"/>
                </w:tcPr>
                <w:p w14:paraId="22E60CF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eastAsiaTheme="minorEastAsia"/>
                      <w:snapToGrid w:val="0"/>
                      <w:color w:val="000000" w:themeColor="text1"/>
                      <w:spacing w:val="0"/>
                      <w:w w:val="100"/>
                      <w:kern w:val="0"/>
                      <w:position w:val="0"/>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1</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264FF76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管母线T型线夹</w:t>
                  </w:r>
                </w:p>
              </w:tc>
              <w:tc>
                <w:tcPr>
                  <w:tcW w:w="2359" w:type="pct"/>
                  <w:tcBorders>
                    <w:tl2br w:val="nil"/>
                    <w:tr2bl w:val="nil"/>
                  </w:tcBorders>
                  <w:noWrap w:val="0"/>
                  <w:vAlign w:val="center"/>
                </w:tcPr>
                <w:p w14:paraId="636F591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MGT-150</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220×220</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314" w:type="pct"/>
                  <w:tcBorders>
                    <w:tl2br w:val="nil"/>
                    <w:tr2bl w:val="nil"/>
                  </w:tcBorders>
                  <w:noWrap w:val="0"/>
                  <w:vAlign w:val="center"/>
                </w:tcPr>
                <w:p w14:paraId="0906E4F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2BC89E5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57" w:type="pct"/>
                  <w:tcBorders>
                    <w:tl2br w:val="nil"/>
                    <w:tr2bl w:val="nil"/>
                  </w:tcBorders>
                  <w:noWrap w:val="0"/>
                  <w:vAlign w:val="center"/>
                </w:tcPr>
                <w:p w14:paraId="73478A9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ABAF3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shd w:val="clear" w:color="auto" w:fill="auto"/>
                  <w:noWrap w:val="0"/>
                  <w:vAlign w:val="center"/>
                </w:tcPr>
                <w:p w14:paraId="4508535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eastAsiaTheme="minorEastAsia"/>
                      <w:snapToGrid w:val="0"/>
                      <w:color w:val="000000" w:themeColor="text1"/>
                      <w:spacing w:val="0"/>
                      <w:w w:val="100"/>
                      <w:kern w:val="0"/>
                      <w:position w:val="0"/>
                      <w:sz w:val="21"/>
                      <w:szCs w:val="21"/>
                      <w:lang w:val="en-US" w:eastAsia="zh-CN" w:bidi="ar-SA"/>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2</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3499EF0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设备线夹</w:t>
                  </w:r>
                </w:p>
              </w:tc>
              <w:tc>
                <w:tcPr>
                  <w:tcW w:w="2359" w:type="pct"/>
                  <w:tcBorders>
                    <w:tl2br w:val="nil"/>
                    <w:tr2bl w:val="nil"/>
                  </w:tcBorders>
                  <w:noWrap w:val="0"/>
                  <w:vAlign w:val="center"/>
                </w:tcPr>
                <w:p w14:paraId="0A9BCC4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SY--400/50A</w:t>
                  </w:r>
                </w:p>
              </w:tc>
              <w:tc>
                <w:tcPr>
                  <w:tcW w:w="314" w:type="pct"/>
                  <w:tcBorders>
                    <w:tl2br w:val="nil"/>
                    <w:tr2bl w:val="nil"/>
                  </w:tcBorders>
                  <w:noWrap w:val="0"/>
                  <w:vAlign w:val="center"/>
                </w:tcPr>
                <w:p w14:paraId="5BB77D8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3C4CDD0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w:t>
                  </w:r>
                </w:p>
              </w:tc>
              <w:tc>
                <w:tcPr>
                  <w:tcW w:w="857" w:type="pct"/>
                  <w:tcBorders>
                    <w:tl2br w:val="nil"/>
                    <w:tr2bl w:val="nil"/>
                  </w:tcBorders>
                  <w:noWrap w:val="0"/>
                  <w:vAlign w:val="center"/>
                </w:tcPr>
                <w:p w14:paraId="52A4BA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6B17E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shd w:val="clear" w:color="auto" w:fill="auto"/>
                  <w:noWrap w:val="0"/>
                  <w:vAlign w:val="center"/>
                </w:tcPr>
                <w:p w14:paraId="7898729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eastAsiaTheme="minorEastAsia"/>
                      <w:snapToGrid w:val="0"/>
                      <w:color w:val="000000" w:themeColor="text1"/>
                      <w:spacing w:val="0"/>
                      <w:w w:val="100"/>
                      <w:kern w:val="0"/>
                      <w:position w:val="0"/>
                      <w:sz w:val="21"/>
                      <w:szCs w:val="21"/>
                      <w:lang w:val="en-US" w:eastAsia="en-US" w:bidi="ar-SA"/>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3</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5127982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设备线夹</w:t>
                  </w:r>
                </w:p>
              </w:tc>
              <w:tc>
                <w:tcPr>
                  <w:tcW w:w="2359" w:type="pct"/>
                  <w:tcBorders>
                    <w:tl2br w:val="nil"/>
                    <w:tr2bl w:val="nil"/>
                  </w:tcBorders>
                  <w:noWrap w:val="0"/>
                  <w:vAlign w:val="center"/>
                </w:tcPr>
                <w:p w14:paraId="1F03A2E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SY--400/50C</w:t>
                  </w:r>
                </w:p>
              </w:tc>
              <w:tc>
                <w:tcPr>
                  <w:tcW w:w="314" w:type="pct"/>
                  <w:tcBorders>
                    <w:tl2br w:val="nil"/>
                    <w:tr2bl w:val="nil"/>
                  </w:tcBorders>
                  <w:noWrap w:val="0"/>
                  <w:vAlign w:val="center"/>
                </w:tcPr>
                <w:p w14:paraId="456D837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3192142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w:t>
                  </w:r>
                </w:p>
              </w:tc>
              <w:tc>
                <w:tcPr>
                  <w:tcW w:w="857" w:type="pct"/>
                  <w:tcBorders>
                    <w:tl2br w:val="nil"/>
                    <w:tr2bl w:val="nil"/>
                  </w:tcBorders>
                  <w:noWrap w:val="0"/>
                  <w:vAlign w:val="center"/>
                </w:tcPr>
                <w:p w14:paraId="306255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31097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56C9CDE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三</w:t>
                  </w:r>
                </w:p>
              </w:tc>
              <w:tc>
                <w:tcPr>
                  <w:tcW w:w="4725" w:type="pct"/>
                  <w:gridSpan w:val="5"/>
                  <w:tcBorders>
                    <w:tl2br w:val="nil"/>
                    <w:tr2bl w:val="nil"/>
                  </w:tcBorders>
                  <w:noWrap w:val="0"/>
                  <w:vAlign w:val="center"/>
                </w:tcPr>
                <w:p w14:paraId="2E949AF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室内</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配电装置</w:t>
                  </w:r>
                </w:p>
              </w:tc>
            </w:tr>
            <w:tr w14:paraId="22D2EB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78818C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90" w:type="pct"/>
                  <w:tcBorders>
                    <w:tl2br w:val="nil"/>
                    <w:tr2bl w:val="nil"/>
                  </w:tcBorders>
                  <w:noWrap w:val="0"/>
                  <w:vAlign w:val="center"/>
                </w:tcPr>
                <w:p w14:paraId="05EEE57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35kV主变进线柜</w:t>
                  </w:r>
                </w:p>
              </w:tc>
              <w:tc>
                <w:tcPr>
                  <w:tcW w:w="2359" w:type="pct"/>
                  <w:tcBorders>
                    <w:tl2br w:val="nil"/>
                    <w:tr2bl w:val="nil"/>
                  </w:tcBorders>
                  <w:noWrap w:val="0"/>
                  <w:vAlign w:val="center"/>
                </w:tcPr>
                <w:p w14:paraId="551B289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KYN口-40.5，配真空断路器，额定电流3150A，开断电流31.5kA</w:t>
                  </w:r>
                </w:p>
              </w:tc>
              <w:tc>
                <w:tcPr>
                  <w:tcW w:w="314" w:type="pct"/>
                  <w:tcBorders>
                    <w:tl2br w:val="nil"/>
                    <w:tr2bl w:val="nil"/>
                  </w:tcBorders>
                  <w:noWrap w:val="0"/>
                  <w:vAlign w:val="center"/>
                </w:tcPr>
                <w:p w14:paraId="2D3ED62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面</w:t>
                  </w:r>
                </w:p>
              </w:tc>
              <w:tc>
                <w:tcPr>
                  <w:tcW w:w="303" w:type="pct"/>
                  <w:tcBorders>
                    <w:tl2br w:val="nil"/>
                    <w:tr2bl w:val="nil"/>
                  </w:tcBorders>
                  <w:noWrap w:val="0"/>
                  <w:vAlign w:val="center"/>
                </w:tcPr>
                <w:p w14:paraId="576377A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75854D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82E7E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881BF9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90" w:type="pct"/>
                  <w:tcBorders>
                    <w:tl2br w:val="nil"/>
                    <w:tr2bl w:val="nil"/>
                  </w:tcBorders>
                  <w:noWrap w:val="0"/>
                  <w:vAlign w:val="center"/>
                </w:tcPr>
                <w:p w14:paraId="193AA10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35kV储能进线柜</w:t>
                  </w:r>
                </w:p>
              </w:tc>
              <w:tc>
                <w:tcPr>
                  <w:tcW w:w="2359" w:type="pct"/>
                  <w:tcBorders>
                    <w:tl2br w:val="nil"/>
                    <w:tr2bl w:val="nil"/>
                  </w:tcBorders>
                  <w:noWrap w:val="0"/>
                  <w:vAlign w:val="center"/>
                </w:tcPr>
                <w:p w14:paraId="40426BD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KYN口</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40.5，配真空断路器，额定电流1250A，开断电流31.5kA</w:t>
                  </w:r>
                </w:p>
              </w:tc>
              <w:tc>
                <w:tcPr>
                  <w:tcW w:w="314" w:type="pct"/>
                  <w:tcBorders>
                    <w:tl2br w:val="nil"/>
                    <w:tr2bl w:val="nil"/>
                  </w:tcBorders>
                  <w:noWrap w:val="0"/>
                  <w:vAlign w:val="center"/>
                </w:tcPr>
                <w:p w14:paraId="399A436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面</w:t>
                  </w:r>
                </w:p>
              </w:tc>
              <w:tc>
                <w:tcPr>
                  <w:tcW w:w="303" w:type="pct"/>
                  <w:tcBorders>
                    <w:tl2br w:val="nil"/>
                    <w:tr2bl w:val="nil"/>
                  </w:tcBorders>
                  <w:noWrap w:val="0"/>
                  <w:vAlign w:val="center"/>
                </w:tcPr>
                <w:p w14:paraId="5097835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857" w:type="pct"/>
                  <w:tcBorders>
                    <w:tl2br w:val="nil"/>
                    <w:tr2bl w:val="nil"/>
                  </w:tcBorders>
                  <w:noWrap w:val="0"/>
                  <w:vAlign w:val="center"/>
                </w:tcPr>
                <w:p w14:paraId="1572E0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C074C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8BDAF2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90" w:type="pct"/>
                  <w:tcBorders>
                    <w:tl2br w:val="nil"/>
                    <w:tr2bl w:val="nil"/>
                  </w:tcBorders>
                  <w:noWrap w:val="0"/>
                  <w:vAlign w:val="center"/>
                </w:tcPr>
                <w:p w14:paraId="519E2E8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35kV站用变柜</w:t>
                  </w:r>
                </w:p>
              </w:tc>
              <w:tc>
                <w:tcPr>
                  <w:tcW w:w="2359" w:type="pct"/>
                  <w:tcBorders>
                    <w:tl2br w:val="nil"/>
                    <w:tr2bl w:val="nil"/>
                  </w:tcBorders>
                  <w:noWrap w:val="0"/>
                  <w:vAlign w:val="center"/>
                </w:tcPr>
                <w:p w14:paraId="3001995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KYN口</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40.5，配真空断路器，额定电流1250A，开断电流31.5kA</w:t>
                  </w:r>
                </w:p>
              </w:tc>
              <w:tc>
                <w:tcPr>
                  <w:tcW w:w="314" w:type="pct"/>
                  <w:tcBorders>
                    <w:tl2br w:val="nil"/>
                    <w:tr2bl w:val="nil"/>
                  </w:tcBorders>
                  <w:noWrap w:val="0"/>
                  <w:vAlign w:val="center"/>
                </w:tcPr>
                <w:p w14:paraId="62614FB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面</w:t>
                  </w:r>
                </w:p>
              </w:tc>
              <w:tc>
                <w:tcPr>
                  <w:tcW w:w="303" w:type="pct"/>
                  <w:tcBorders>
                    <w:tl2br w:val="nil"/>
                    <w:tr2bl w:val="nil"/>
                  </w:tcBorders>
                  <w:noWrap w:val="0"/>
                  <w:vAlign w:val="center"/>
                </w:tcPr>
                <w:p w14:paraId="5DD3109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54EA5B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933DE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C8AA2F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90" w:type="pct"/>
                  <w:tcBorders>
                    <w:tl2br w:val="nil"/>
                    <w:tr2bl w:val="nil"/>
                  </w:tcBorders>
                  <w:noWrap w:val="0"/>
                  <w:vAlign w:val="center"/>
                </w:tcPr>
                <w:p w14:paraId="342AB63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35kVPT柜</w:t>
                  </w:r>
                </w:p>
              </w:tc>
              <w:tc>
                <w:tcPr>
                  <w:tcW w:w="2359" w:type="pct"/>
                  <w:tcBorders>
                    <w:tl2br w:val="nil"/>
                    <w:tr2bl w:val="nil"/>
                  </w:tcBorders>
                  <w:noWrap w:val="0"/>
                  <w:vAlign w:val="center"/>
                </w:tcPr>
                <w:p w14:paraId="2F3D9C8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KYN口</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40.5</w:t>
                  </w:r>
                </w:p>
              </w:tc>
              <w:tc>
                <w:tcPr>
                  <w:tcW w:w="314" w:type="pct"/>
                  <w:tcBorders>
                    <w:tl2br w:val="nil"/>
                    <w:tr2bl w:val="nil"/>
                  </w:tcBorders>
                  <w:noWrap w:val="0"/>
                  <w:vAlign w:val="center"/>
                </w:tcPr>
                <w:p w14:paraId="3EFBE64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面</w:t>
                  </w:r>
                </w:p>
              </w:tc>
              <w:tc>
                <w:tcPr>
                  <w:tcW w:w="303" w:type="pct"/>
                  <w:tcBorders>
                    <w:tl2br w:val="nil"/>
                    <w:tr2bl w:val="nil"/>
                  </w:tcBorders>
                  <w:noWrap w:val="0"/>
                  <w:vAlign w:val="center"/>
                </w:tcPr>
                <w:p w14:paraId="56AF8CA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213F096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DA977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4E878B8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w:t>
                  </w:r>
                </w:p>
              </w:tc>
              <w:tc>
                <w:tcPr>
                  <w:tcW w:w="890" w:type="pct"/>
                  <w:tcBorders>
                    <w:tl2br w:val="nil"/>
                    <w:tr2bl w:val="nil"/>
                  </w:tcBorders>
                  <w:noWrap w:val="0"/>
                  <w:vAlign w:val="center"/>
                </w:tcPr>
                <w:p w14:paraId="6383242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35kV无功补偿柜</w:t>
                  </w:r>
                </w:p>
              </w:tc>
              <w:tc>
                <w:tcPr>
                  <w:tcW w:w="2359" w:type="pct"/>
                  <w:tcBorders>
                    <w:tl2br w:val="nil"/>
                    <w:tr2bl w:val="nil"/>
                  </w:tcBorders>
                  <w:noWrap w:val="0"/>
                  <w:vAlign w:val="center"/>
                </w:tcPr>
                <w:p w14:paraId="6F90E88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KYN口</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40.5，配SF6断路器，额定电流1250A，开断电流31.5kA</w:t>
                  </w:r>
                </w:p>
              </w:tc>
              <w:tc>
                <w:tcPr>
                  <w:tcW w:w="314" w:type="pct"/>
                  <w:tcBorders>
                    <w:tl2br w:val="nil"/>
                    <w:tr2bl w:val="nil"/>
                  </w:tcBorders>
                  <w:noWrap w:val="0"/>
                  <w:vAlign w:val="center"/>
                </w:tcPr>
                <w:p w14:paraId="23F3D78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面</w:t>
                  </w:r>
                </w:p>
              </w:tc>
              <w:tc>
                <w:tcPr>
                  <w:tcW w:w="303" w:type="pct"/>
                  <w:tcBorders>
                    <w:tl2br w:val="nil"/>
                    <w:tr2bl w:val="nil"/>
                  </w:tcBorders>
                  <w:noWrap w:val="0"/>
                  <w:vAlign w:val="center"/>
                </w:tcPr>
                <w:p w14:paraId="1A6025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0D03756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A23B7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ED8C81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90" w:type="pct"/>
                  <w:tcBorders>
                    <w:tl2br w:val="nil"/>
                    <w:tr2bl w:val="nil"/>
                  </w:tcBorders>
                  <w:noWrap w:val="0"/>
                  <w:vAlign w:val="center"/>
                </w:tcPr>
                <w:p w14:paraId="6B5C8EE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35kV穿墙套管</w:t>
                  </w:r>
                </w:p>
              </w:tc>
              <w:tc>
                <w:tcPr>
                  <w:tcW w:w="2359" w:type="pct"/>
                  <w:tcBorders>
                    <w:tl2br w:val="nil"/>
                    <w:tr2bl w:val="nil"/>
                  </w:tcBorders>
                  <w:noWrap w:val="0"/>
                  <w:vAlign w:val="center"/>
                </w:tcPr>
                <w:p w14:paraId="0FDF5BD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40.5kV</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5000A</w:t>
                  </w:r>
                </w:p>
              </w:tc>
              <w:tc>
                <w:tcPr>
                  <w:tcW w:w="314" w:type="pct"/>
                  <w:tcBorders>
                    <w:tl2br w:val="nil"/>
                    <w:tr2bl w:val="nil"/>
                  </w:tcBorders>
                  <w:noWrap w:val="0"/>
                  <w:vAlign w:val="center"/>
                </w:tcPr>
                <w:p w14:paraId="1683298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只</w:t>
                  </w:r>
                </w:p>
              </w:tc>
              <w:tc>
                <w:tcPr>
                  <w:tcW w:w="303" w:type="pct"/>
                  <w:tcBorders>
                    <w:tl2br w:val="nil"/>
                    <w:tr2bl w:val="nil"/>
                  </w:tcBorders>
                  <w:noWrap w:val="0"/>
                  <w:vAlign w:val="center"/>
                </w:tcPr>
                <w:p w14:paraId="6829BF7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57" w:type="pct"/>
                  <w:tcBorders>
                    <w:tl2br w:val="nil"/>
                    <w:tr2bl w:val="nil"/>
                  </w:tcBorders>
                  <w:noWrap w:val="0"/>
                  <w:vAlign w:val="center"/>
                </w:tcPr>
                <w:p w14:paraId="2EFEB5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AD6E3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8914D7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7</w:t>
                  </w:r>
                </w:p>
              </w:tc>
              <w:tc>
                <w:tcPr>
                  <w:tcW w:w="890" w:type="pct"/>
                  <w:tcBorders>
                    <w:tl2br w:val="nil"/>
                    <w:tr2bl w:val="nil"/>
                  </w:tcBorders>
                  <w:noWrap w:val="0"/>
                  <w:vAlign w:val="center"/>
                </w:tcPr>
                <w:p w14:paraId="76E9B60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35kV半绝缘管母</w:t>
                  </w:r>
                </w:p>
              </w:tc>
              <w:tc>
                <w:tcPr>
                  <w:tcW w:w="2359" w:type="pct"/>
                  <w:tcBorders>
                    <w:tl2br w:val="nil"/>
                    <w:tr2bl w:val="nil"/>
                  </w:tcBorders>
                  <w:noWrap w:val="0"/>
                  <w:vAlign w:val="center"/>
                </w:tcPr>
                <w:p w14:paraId="05A9CC2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5000A，31.5kA</w:t>
                  </w:r>
                </w:p>
              </w:tc>
              <w:tc>
                <w:tcPr>
                  <w:tcW w:w="314" w:type="pct"/>
                  <w:tcBorders>
                    <w:tl2br w:val="nil"/>
                    <w:tr2bl w:val="nil"/>
                  </w:tcBorders>
                  <w:noWrap w:val="0"/>
                  <w:vAlign w:val="center"/>
                </w:tcPr>
                <w:p w14:paraId="7372FB1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05CB314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45</w:t>
                  </w:r>
                </w:p>
              </w:tc>
              <w:tc>
                <w:tcPr>
                  <w:tcW w:w="857" w:type="pct"/>
                  <w:tcBorders>
                    <w:tl2br w:val="nil"/>
                    <w:tr2bl w:val="nil"/>
                  </w:tcBorders>
                  <w:noWrap w:val="0"/>
                  <w:vAlign w:val="center"/>
                </w:tcPr>
                <w:p w14:paraId="0FF38C2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6C778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6765EBF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8</w:t>
                  </w:r>
                </w:p>
              </w:tc>
              <w:tc>
                <w:tcPr>
                  <w:tcW w:w="890" w:type="pct"/>
                  <w:tcBorders>
                    <w:tl2br w:val="nil"/>
                    <w:tr2bl w:val="nil"/>
                  </w:tcBorders>
                  <w:noWrap w:val="0"/>
                  <w:vAlign w:val="center"/>
                </w:tcPr>
                <w:p w14:paraId="4DE9B06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35kV封闭母线桥</w:t>
                  </w:r>
                </w:p>
              </w:tc>
              <w:tc>
                <w:tcPr>
                  <w:tcW w:w="2359" w:type="pct"/>
                  <w:tcBorders>
                    <w:tl2br w:val="nil"/>
                    <w:tr2bl w:val="nil"/>
                  </w:tcBorders>
                  <w:noWrap w:val="0"/>
                  <w:vAlign w:val="center"/>
                </w:tcPr>
                <w:p w14:paraId="11EB77B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铜排，5000A</w:t>
                  </w:r>
                </w:p>
              </w:tc>
              <w:tc>
                <w:tcPr>
                  <w:tcW w:w="314" w:type="pct"/>
                  <w:tcBorders>
                    <w:tl2br w:val="nil"/>
                    <w:tr2bl w:val="nil"/>
                  </w:tcBorders>
                  <w:noWrap w:val="0"/>
                  <w:vAlign w:val="center"/>
                </w:tcPr>
                <w:p w14:paraId="71D1BAE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m/三相</w:t>
                  </w:r>
                </w:p>
              </w:tc>
              <w:tc>
                <w:tcPr>
                  <w:tcW w:w="303" w:type="pct"/>
                  <w:tcBorders>
                    <w:tl2br w:val="nil"/>
                    <w:tr2bl w:val="nil"/>
                  </w:tcBorders>
                  <w:noWrap w:val="0"/>
                  <w:vAlign w:val="center"/>
                </w:tcPr>
                <w:p w14:paraId="1268F54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66E38D6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79A2B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DEBB41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w:t>
                  </w:r>
                </w:p>
              </w:tc>
              <w:tc>
                <w:tcPr>
                  <w:tcW w:w="890" w:type="pct"/>
                  <w:tcBorders>
                    <w:tl2br w:val="nil"/>
                    <w:tr2bl w:val="nil"/>
                  </w:tcBorders>
                  <w:noWrap w:val="0"/>
                  <w:vAlign w:val="center"/>
                </w:tcPr>
                <w:p w14:paraId="743057E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35kV封闭母线桥</w:t>
                  </w:r>
                </w:p>
              </w:tc>
              <w:tc>
                <w:tcPr>
                  <w:tcW w:w="2359" w:type="pct"/>
                  <w:tcBorders>
                    <w:tl2br w:val="nil"/>
                    <w:tr2bl w:val="nil"/>
                  </w:tcBorders>
                  <w:noWrap w:val="0"/>
                  <w:vAlign w:val="center"/>
                </w:tcPr>
                <w:p w14:paraId="7E2FE71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铜排，3150A</w:t>
                  </w:r>
                </w:p>
              </w:tc>
              <w:tc>
                <w:tcPr>
                  <w:tcW w:w="314" w:type="pct"/>
                  <w:tcBorders>
                    <w:tl2br w:val="nil"/>
                    <w:tr2bl w:val="nil"/>
                  </w:tcBorders>
                  <w:noWrap w:val="0"/>
                  <w:vAlign w:val="center"/>
                </w:tcPr>
                <w:p w14:paraId="2BFA767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m/三相</w:t>
                  </w:r>
                </w:p>
              </w:tc>
              <w:tc>
                <w:tcPr>
                  <w:tcW w:w="303" w:type="pct"/>
                  <w:tcBorders>
                    <w:tl2br w:val="nil"/>
                    <w:tr2bl w:val="nil"/>
                  </w:tcBorders>
                  <w:noWrap w:val="0"/>
                  <w:vAlign w:val="center"/>
                </w:tcPr>
                <w:p w14:paraId="72DF803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15</w:t>
                  </w:r>
                </w:p>
              </w:tc>
              <w:tc>
                <w:tcPr>
                  <w:tcW w:w="857" w:type="pct"/>
                  <w:tcBorders>
                    <w:tl2br w:val="nil"/>
                    <w:tr2bl w:val="nil"/>
                  </w:tcBorders>
                  <w:noWrap w:val="0"/>
                  <w:vAlign w:val="center"/>
                </w:tcPr>
                <w:p w14:paraId="048FE9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660C2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338AAD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890" w:type="pct"/>
                  <w:tcBorders>
                    <w:tl2br w:val="nil"/>
                    <w:tr2bl w:val="nil"/>
                  </w:tcBorders>
                  <w:noWrap w:val="0"/>
                  <w:vAlign w:val="center"/>
                </w:tcPr>
                <w:p w14:paraId="5145DFF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避雷器</w:t>
                  </w:r>
                </w:p>
              </w:tc>
              <w:tc>
                <w:tcPr>
                  <w:tcW w:w="2359" w:type="pct"/>
                  <w:tcBorders>
                    <w:tl2br w:val="nil"/>
                    <w:tr2bl w:val="nil"/>
                  </w:tcBorders>
                  <w:noWrap w:val="0"/>
                  <w:vAlign w:val="center"/>
                </w:tcPr>
                <w:p w14:paraId="6C1E721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HY5WZ-51/134，附在线监测装置</w:t>
                  </w:r>
                </w:p>
              </w:tc>
              <w:tc>
                <w:tcPr>
                  <w:tcW w:w="314" w:type="pct"/>
                  <w:tcBorders>
                    <w:tl2br w:val="nil"/>
                    <w:tr2bl w:val="nil"/>
                  </w:tcBorders>
                  <w:noWrap w:val="0"/>
                  <w:vAlign w:val="center"/>
                </w:tcPr>
                <w:p w14:paraId="74DB0B3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3E67614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57" w:type="pct"/>
                  <w:tcBorders>
                    <w:tl2br w:val="nil"/>
                    <w:tr2bl w:val="nil"/>
                  </w:tcBorders>
                  <w:noWrap w:val="0"/>
                  <w:vAlign w:val="center"/>
                </w:tcPr>
                <w:p w14:paraId="38AEB84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E275A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B7FD5F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11</w:t>
                  </w:r>
                </w:p>
              </w:tc>
              <w:tc>
                <w:tcPr>
                  <w:tcW w:w="890" w:type="pct"/>
                  <w:tcBorders>
                    <w:tl2br w:val="nil"/>
                    <w:tr2bl w:val="nil"/>
                  </w:tcBorders>
                  <w:noWrap w:val="0"/>
                  <w:vAlign w:val="center"/>
                </w:tcPr>
                <w:p w14:paraId="5ADC5E6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管母及附件</w:t>
                  </w:r>
                </w:p>
              </w:tc>
              <w:tc>
                <w:tcPr>
                  <w:tcW w:w="2359" w:type="pct"/>
                  <w:tcBorders>
                    <w:tl2br w:val="nil"/>
                    <w:tr2bl w:val="nil"/>
                  </w:tcBorders>
                  <w:noWrap w:val="0"/>
                  <w:vAlign w:val="center"/>
                </w:tcPr>
                <w:p w14:paraId="5CB90A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134DE85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164F685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78ABF9F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三相为一套</w:t>
                  </w:r>
                </w:p>
              </w:tc>
            </w:tr>
            <w:tr w14:paraId="39BDBC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881D84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w:t>
                  </w:r>
                </w:p>
              </w:tc>
              <w:tc>
                <w:tcPr>
                  <w:tcW w:w="890" w:type="pct"/>
                  <w:tcBorders>
                    <w:tl2br w:val="nil"/>
                    <w:tr2bl w:val="nil"/>
                  </w:tcBorders>
                  <w:noWrap w:val="0"/>
                  <w:vAlign w:val="center"/>
                </w:tcPr>
                <w:p w14:paraId="5F5F755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35kV配电装置预制舱（2层）</w:t>
                  </w:r>
                </w:p>
              </w:tc>
              <w:tc>
                <w:tcPr>
                  <w:tcW w:w="2359" w:type="pct"/>
                  <w:tcBorders>
                    <w:tl2br w:val="nil"/>
                    <w:tr2bl w:val="nil"/>
                  </w:tcBorders>
                  <w:noWrap w:val="0"/>
                  <w:vAlign w:val="center"/>
                </w:tcPr>
                <w:p w14:paraId="6DF24F7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一层：63m（长）</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11.5m（宽）</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3.8m（高）</w:t>
                  </w:r>
                </w:p>
                <w:p w14:paraId="6634427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二层：21m（长）</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11.5m（宽）</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3.8m（高）</w:t>
                  </w:r>
                </w:p>
              </w:tc>
              <w:tc>
                <w:tcPr>
                  <w:tcW w:w="314" w:type="pct"/>
                  <w:tcBorders>
                    <w:tl2br w:val="nil"/>
                    <w:tr2bl w:val="nil"/>
                  </w:tcBorders>
                  <w:noWrap w:val="0"/>
                  <w:vAlign w:val="center"/>
                </w:tcPr>
                <w:p w14:paraId="594723B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1B275C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53098F3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C9A92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6321086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四</w:t>
                  </w:r>
                </w:p>
              </w:tc>
              <w:tc>
                <w:tcPr>
                  <w:tcW w:w="4725" w:type="pct"/>
                  <w:gridSpan w:val="5"/>
                  <w:tcBorders>
                    <w:tl2br w:val="nil"/>
                    <w:tr2bl w:val="nil"/>
                  </w:tcBorders>
                  <w:noWrap w:val="0"/>
                  <w:vAlign w:val="center"/>
                </w:tcPr>
                <w:p w14:paraId="0ADB50E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无功补偿装置</w:t>
                  </w:r>
                </w:p>
              </w:tc>
            </w:tr>
            <w:tr w14:paraId="6C3E26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5A4A4F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90" w:type="pct"/>
                  <w:tcBorders>
                    <w:tl2br w:val="nil"/>
                    <w:tr2bl w:val="nil"/>
                  </w:tcBorders>
                  <w:noWrap w:val="0"/>
                  <w:vAlign w:val="center"/>
                </w:tcPr>
                <w:p w14:paraId="2666988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无功补偿装置</w:t>
                  </w:r>
                </w:p>
              </w:tc>
              <w:tc>
                <w:tcPr>
                  <w:tcW w:w="2359" w:type="pct"/>
                  <w:tcBorders>
                    <w:tl2br w:val="nil"/>
                    <w:tr2bl w:val="nil"/>
                  </w:tcBorders>
                  <w:noWrap w:val="0"/>
                  <w:vAlign w:val="center"/>
                </w:tcPr>
                <w:p w14:paraId="4F288A8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SVG</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±38MVar</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，直挂水冷，带集装箱</w:t>
                  </w:r>
                </w:p>
              </w:tc>
              <w:tc>
                <w:tcPr>
                  <w:tcW w:w="314" w:type="pct"/>
                  <w:tcBorders>
                    <w:tl2br w:val="nil"/>
                    <w:tr2bl w:val="nil"/>
                  </w:tcBorders>
                  <w:noWrap w:val="0"/>
                  <w:vAlign w:val="center"/>
                </w:tcPr>
                <w:p w14:paraId="62FD5A6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6318C81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096508E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7C434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C03BD6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五</w:t>
                  </w:r>
                </w:p>
              </w:tc>
              <w:tc>
                <w:tcPr>
                  <w:tcW w:w="4725" w:type="pct"/>
                  <w:gridSpan w:val="5"/>
                  <w:tcBorders>
                    <w:tl2br w:val="nil"/>
                    <w:tr2bl w:val="nil"/>
                  </w:tcBorders>
                  <w:noWrap w:val="0"/>
                  <w:vAlign w:val="center"/>
                </w:tcPr>
                <w:p w14:paraId="3E13943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站用电系统</w:t>
                  </w:r>
                </w:p>
              </w:tc>
            </w:tr>
            <w:tr w14:paraId="16F5F9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76EFA7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90" w:type="pct"/>
                  <w:tcBorders>
                    <w:tl2br w:val="nil"/>
                    <w:tr2bl w:val="nil"/>
                  </w:tcBorders>
                  <w:noWrap w:val="0"/>
                  <w:vAlign w:val="center"/>
                </w:tcPr>
                <w:p w14:paraId="5605D3B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35kV接地变设备</w:t>
                  </w:r>
                </w:p>
              </w:tc>
              <w:tc>
                <w:tcPr>
                  <w:tcW w:w="2359" w:type="pct"/>
                  <w:tcBorders>
                    <w:tl2br w:val="nil"/>
                    <w:tr2bl w:val="nil"/>
                  </w:tcBorders>
                  <w:noWrap w:val="0"/>
                  <w:vAlign w:val="center"/>
                </w:tcPr>
                <w:p w14:paraId="14A0343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DKSC-630/36.5kV，630kVA，36.5±2×2.5%，ZN，Ud=6%</w:t>
                  </w:r>
                </w:p>
              </w:tc>
              <w:tc>
                <w:tcPr>
                  <w:tcW w:w="314" w:type="pct"/>
                  <w:tcBorders>
                    <w:tl2br w:val="nil"/>
                    <w:tr2bl w:val="nil"/>
                  </w:tcBorders>
                  <w:noWrap w:val="0"/>
                  <w:vAlign w:val="center"/>
                </w:tcPr>
                <w:p w14:paraId="74291CC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0ED924B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3475ACF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E4B34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C5D604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79B2BAC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接地电阻</w:t>
                  </w:r>
                </w:p>
              </w:tc>
              <w:tc>
                <w:tcPr>
                  <w:tcW w:w="2359" w:type="pct"/>
                  <w:tcBorders>
                    <w:tl2br w:val="nil"/>
                    <w:tr2bl w:val="nil"/>
                  </w:tcBorders>
                  <w:noWrap w:val="0"/>
                  <w:vAlign w:val="center"/>
                </w:tcPr>
                <w:p w14:paraId="03EDCC8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70Ω</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300A</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10s</w:t>
                  </w:r>
                </w:p>
              </w:tc>
              <w:tc>
                <w:tcPr>
                  <w:tcW w:w="314" w:type="pct"/>
                  <w:tcBorders>
                    <w:tl2br w:val="nil"/>
                    <w:tr2bl w:val="nil"/>
                  </w:tcBorders>
                  <w:noWrap w:val="0"/>
                  <w:vAlign w:val="center"/>
                </w:tcPr>
                <w:p w14:paraId="66BC3E0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11EE3DB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2218633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16E7E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C29AF1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90" w:type="pct"/>
                  <w:tcBorders>
                    <w:tl2br w:val="nil"/>
                    <w:tr2bl w:val="nil"/>
                  </w:tcBorders>
                  <w:noWrap w:val="0"/>
                  <w:vAlign w:val="center"/>
                </w:tcPr>
                <w:p w14:paraId="6FA8F98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站用变压器</w:t>
                  </w:r>
                </w:p>
              </w:tc>
              <w:tc>
                <w:tcPr>
                  <w:tcW w:w="2359" w:type="pct"/>
                  <w:tcBorders>
                    <w:tl2br w:val="nil"/>
                    <w:tr2bl w:val="nil"/>
                  </w:tcBorders>
                  <w:noWrap w:val="0"/>
                  <w:vAlign w:val="center"/>
                </w:tcPr>
                <w:p w14:paraId="26AA6E9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SCB14-1500/351500kVA，36.5±2×2.5%/0.4kV，Ud=6%，D</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yn11</w:t>
                  </w:r>
                </w:p>
              </w:tc>
              <w:tc>
                <w:tcPr>
                  <w:tcW w:w="314" w:type="pct"/>
                  <w:tcBorders>
                    <w:tl2br w:val="nil"/>
                    <w:tr2bl w:val="nil"/>
                  </w:tcBorders>
                  <w:noWrap w:val="0"/>
                  <w:vAlign w:val="center"/>
                </w:tcPr>
                <w:p w14:paraId="05D2969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256B848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3C0803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D6A75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6EBFE69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90" w:type="pct"/>
                  <w:tcBorders>
                    <w:tl2br w:val="nil"/>
                    <w:tr2bl w:val="nil"/>
                  </w:tcBorders>
                  <w:noWrap w:val="0"/>
                  <w:vAlign w:val="center"/>
                </w:tcPr>
                <w:p w14:paraId="6965321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交流进线屏</w:t>
                  </w:r>
                </w:p>
              </w:tc>
              <w:tc>
                <w:tcPr>
                  <w:tcW w:w="2359" w:type="pct"/>
                  <w:tcBorders>
                    <w:tl2br w:val="nil"/>
                    <w:tr2bl w:val="nil"/>
                  </w:tcBorders>
                  <w:noWrap w:val="0"/>
                  <w:vAlign w:val="center"/>
                </w:tcPr>
                <w:p w14:paraId="14A72D6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抽屉柜，3000A</w:t>
                  </w:r>
                </w:p>
              </w:tc>
              <w:tc>
                <w:tcPr>
                  <w:tcW w:w="314" w:type="pct"/>
                  <w:tcBorders>
                    <w:tl2br w:val="nil"/>
                    <w:tr2bl w:val="nil"/>
                  </w:tcBorders>
                  <w:noWrap w:val="0"/>
                  <w:vAlign w:val="center"/>
                </w:tcPr>
                <w:p w14:paraId="1B330DF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面</w:t>
                  </w:r>
                </w:p>
              </w:tc>
              <w:tc>
                <w:tcPr>
                  <w:tcW w:w="303" w:type="pct"/>
                  <w:tcBorders>
                    <w:tl2br w:val="nil"/>
                    <w:tr2bl w:val="nil"/>
                  </w:tcBorders>
                  <w:noWrap w:val="0"/>
                  <w:vAlign w:val="center"/>
                </w:tcPr>
                <w:p w14:paraId="392829C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40E3718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2E461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E41734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90" w:type="pct"/>
                  <w:tcBorders>
                    <w:tl2br w:val="nil"/>
                    <w:tr2bl w:val="nil"/>
                  </w:tcBorders>
                  <w:noWrap w:val="0"/>
                  <w:vAlign w:val="center"/>
                </w:tcPr>
                <w:p w14:paraId="34473D5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交流馈线屏</w:t>
                  </w:r>
                </w:p>
              </w:tc>
              <w:tc>
                <w:tcPr>
                  <w:tcW w:w="2359" w:type="pct"/>
                  <w:tcBorders>
                    <w:tl2br w:val="nil"/>
                    <w:tr2bl w:val="nil"/>
                  </w:tcBorders>
                  <w:noWrap w:val="0"/>
                  <w:vAlign w:val="center"/>
                </w:tcPr>
                <w:p w14:paraId="29B5490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抽屉柜</w:t>
                  </w:r>
                </w:p>
              </w:tc>
              <w:tc>
                <w:tcPr>
                  <w:tcW w:w="314" w:type="pct"/>
                  <w:tcBorders>
                    <w:tl2br w:val="nil"/>
                    <w:tr2bl w:val="nil"/>
                  </w:tcBorders>
                  <w:noWrap w:val="0"/>
                  <w:vAlign w:val="center"/>
                </w:tcPr>
                <w:p w14:paraId="2E73E6E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面</w:t>
                  </w:r>
                </w:p>
              </w:tc>
              <w:tc>
                <w:tcPr>
                  <w:tcW w:w="303" w:type="pct"/>
                  <w:tcBorders>
                    <w:tl2br w:val="nil"/>
                    <w:tr2bl w:val="nil"/>
                  </w:tcBorders>
                  <w:noWrap w:val="0"/>
                  <w:vAlign w:val="center"/>
                </w:tcPr>
                <w:p w14:paraId="4017937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8</w:t>
                  </w:r>
                </w:p>
              </w:tc>
              <w:tc>
                <w:tcPr>
                  <w:tcW w:w="857" w:type="pct"/>
                  <w:tcBorders>
                    <w:tl2br w:val="nil"/>
                    <w:tr2bl w:val="nil"/>
                  </w:tcBorders>
                  <w:noWrap w:val="0"/>
                  <w:vAlign w:val="center"/>
                </w:tcPr>
                <w:p w14:paraId="2D7511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CC855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B63191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w:t>
                  </w:r>
                </w:p>
              </w:tc>
              <w:tc>
                <w:tcPr>
                  <w:tcW w:w="890" w:type="pct"/>
                  <w:tcBorders>
                    <w:tl2br w:val="nil"/>
                    <w:tr2bl w:val="nil"/>
                  </w:tcBorders>
                  <w:noWrap w:val="0"/>
                  <w:vAlign w:val="center"/>
                </w:tcPr>
                <w:p w14:paraId="22C2FAB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封闭母线桥</w:t>
                  </w:r>
                </w:p>
              </w:tc>
              <w:tc>
                <w:tcPr>
                  <w:tcW w:w="2359" w:type="pct"/>
                  <w:tcBorders>
                    <w:tl2br w:val="nil"/>
                    <w:tr2bl w:val="nil"/>
                  </w:tcBorders>
                  <w:noWrap w:val="0"/>
                  <w:vAlign w:val="center"/>
                </w:tcPr>
                <w:p w14:paraId="06CEFD5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铜排，TMY-2</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（100×10）</w:t>
                  </w:r>
                </w:p>
              </w:tc>
              <w:tc>
                <w:tcPr>
                  <w:tcW w:w="314" w:type="pct"/>
                  <w:tcBorders>
                    <w:tl2br w:val="nil"/>
                    <w:tr2bl w:val="nil"/>
                  </w:tcBorders>
                  <w:noWrap w:val="0"/>
                  <w:vAlign w:val="center"/>
                </w:tcPr>
                <w:p w14:paraId="29F4E39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米/三相</w:t>
                  </w:r>
                </w:p>
              </w:tc>
              <w:tc>
                <w:tcPr>
                  <w:tcW w:w="303" w:type="pct"/>
                  <w:tcBorders>
                    <w:tl2br w:val="nil"/>
                    <w:tr2bl w:val="nil"/>
                  </w:tcBorders>
                  <w:noWrap w:val="0"/>
                  <w:vAlign w:val="center"/>
                </w:tcPr>
                <w:p w14:paraId="02DF10D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24</w:t>
                  </w:r>
                </w:p>
              </w:tc>
              <w:tc>
                <w:tcPr>
                  <w:tcW w:w="857" w:type="pct"/>
                  <w:tcBorders>
                    <w:tl2br w:val="nil"/>
                    <w:tr2bl w:val="nil"/>
                  </w:tcBorders>
                  <w:noWrap w:val="0"/>
                  <w:vAlign w:val="center"/>
                </w:tcPr>
                <w:p w14:paraId="2D1A394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EA094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94A1B7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90" w:type="pct"/>
                  <w:tcBorders>
                    <w:tl2br w:val="nil"/>
                    <w:tr2bl w:val="nil"/>
                  </w:tcBorders>
                  <w:noWrap w:val="0"/>
                  <w:vAlign w:val="center"/>
                </w:tcPr>
                <w:p w14:paraId="57CDB92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备用站用变系统</w:t>
                  </w:r>
                </w:p>
              </w:tc>
              <w:tc>
                <w:tcPr>
                  <w:tcW w:w="2359" w:type="pct"/>
                  <w:tcBorders>
                    <w:tl2br w:val="nil"/>
                    <w:tr2bl w:val="nil"/>
                  </w:tcBorders>
                  <w:noWrap w:val="0"/>
                  <w:vAlign w:val="center"/>
                </w:tcPr>
                <w:p w14:paraId="109B24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4B5A00C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tcBorders>
                    <w:tl2br w:val="nil"/>
                    <w:tr2bl w:val="nil"/>
                  </w:tcBorders>
                  <w:noWrap w:val="0"/>
                  <w:vAlign w:val="center"/>
                </w:tcPr>
                <w:p w14:paraId="30F49E4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3FC17A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1FEB4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90" w:hRule="atLeast"/>
              </w:trPr>
              <w:tc>
                <w:tcPr>
                  <w:tcW w:w="274" w:type="pct"/>
                  <w:tcBorders>
                    <w:tl2br w:val="nil"/>
                    <w:tr2bl w:val="nil"/>
                  </w:tcBorders>
                  <w:noWrap w:val="0"/>
                  <w:vAlign w:val="center"/>
                </w:tcPr>
                <w:p w14:paraId="58D41EB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7AD2FF9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站用备用变压器</w:t>
                  </w:r>
                </w:p>
              </w:tc>
              <w:tc>
                <w:tcPr>
                  <w:tcW w:w="2359" w:type="pct"/>
                  <w:tcBorders>
                    <w:tl2br w:val="nil"/>
                    <w:tr2bl w:val="nil"/>
                  </w:tcBorders>
                  <w:noWrap w:val="0"/>
                  <w:vAlign w:val="center"/>
                </w:tcPr>
                <w:p w14:paraId="3DFF030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SCB14-1500/10.5kV1500kVA，10.5±2×2.5%/0.4kV，Ud=6%，D,yn11</w:t>
                  </w:r>
                </w:p>
              </w:tc>
              <w:tc>
                <w:tcPr>
                  <w:tcW w:w="314" w:type="pct"/>
                  <w:tcBorders>
                    <w:tl2br w:val="nil"/>
                    <w:tr2bl w:val="nil"/>
                  </w:tcBorders>
                  <w:noWrap w:val="0"/>
                  <w:vAlign w:val="center"/>
                </w:tcPr>
                <w:p w14:paraId="697CF53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0D434F2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623FFD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A766D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9F781A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4CF0FD4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施工变压器</w:t>
                  </w:r>
                </w:p>
              </w:tc>
              <w:tc>
                <w:tcPr>
                  <w:tcW w:w="2359" w:type="pct"/>
                  <w:tcBorders>
                    <w:tl2br w:val="nil"/>
                    <w:tr2bl w:val="nil"/>
                  </w:tcBorders>
                  <w:noWrap w:val="0"/>
                  <w:vAlign w:val="center"/>
                </w:tcPr>
                <w:p w14:paraId="18839F8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315kVA</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10.5±2×2.5%/0.4kV，D,yn11</w:t>
                  </w:r>
                </w:p>
              </w:tc>
              <w:tc>
                <w:tcPr>
                  <w:tcW w:w="314" w:type="pct"/>
                  <w:tcBorders>
                    <w:tl2br w:val="nil"/>
                    <w:tr2bl w:val="nil"/>
                  </w:tcBorders>
                  <w:noWrap w:val="0"/>
                  <w:vAlign w:val="center"/>
                </w:tcPr>
                <w:p w14:paraId="425EC51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台</w:t>
                  </w:r>
                </w:p>
              </w:tc>
              <w:tc>
                <w:tcPr>
                  <w:tcW w:w="303" w:type="pct"/>
                  <w:tcBorders>
                    <w:tl2br w:val="nil"/>
                    <w:tr2bl w:val="nil"/>
                  </w:tcBorders>
                  <w:noWrap w:val="0"/>
                  <w:vAlign w:val="center"/>
                </w:tcPr>
                <w:p w14:paraId="769ED7D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3E11271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4A8A9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27FC8A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7BD82BC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氧化锌避雷器</w:t>
                  </w:r>
                </w:p>
              </w:tc>
              <w:tc>
                <w:tcPr>
                  <w:tcW w:w="2359" w:type="pct"/>
                  <w:tcBorders>
                    <w:tl2br w:val="nil"/>
                    <w:tr2bl w:val="nil"/>
                  </w:tcBorders>
                  <w:noWrap w:val="0"/>
                  <w:vAlign w:val="center"/>
                </w:tcPr>
                <w:p w14:paraId="683E133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HY5WZ</w:t>
                  </w:r>
                  <w:r>
                    <w:rPr>
                      <w:rFonts w:hint="eastAsia" w:cs="Times New Roman" w:eastAsiaTheme="minorEastAsia"/>
                      <w:color w:val="000000" w:themeColor="text1"/>
                      <w:spacing w:val="0"/>
                      <w:w w:val="100"/>
                      <w:positio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17/50</w:t>
                  </w:r>
                </w:p>
              </w:tc>
              <w:tc>
                <w:tcPr>
                  <w:tcW w:w="314" w:type="pct"/>
                  <w:tcBorders>
                    <w:tl2br w:val="nil"/>
                    <w:tr2bl w:val="nil"/>
                  </w:tcBorders>
                  <w:noWrap w:val="0"/>
                  <w:vAlign w:val="center"/>
                </w:tcPr>
                <w:p w14:paraId="2FAEA1E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33FE408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57" w:type="pct"/>
                  <w:tcBorders>
                    <w:tl2br w:val="nil"/>
                    <w:tr2bl w:val="nil"/>
                  </w:tcBorders>
                  <w:noWrap w:val="0"/>
                  <w:vAlign w:val="center"/>
                </w:tcPr>
                <w:p w14:paraId="00C034F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AF7FF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EF9F38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2BD1199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电力电缆</w:t>
                  </w:r>
                </w:p>
              </w:tc>
              <w:tc>
                <w:tcPr>
                  <w:tcW w:w="2359" w:type="pct"/>
                  <w:tcBorders>
                    <w:tl2br w:val="nil"/>
                    <w:tr2bl w:val="nil"/>
                  </w:tcBorders>
                  <w:noWrap w:val="0"/>
                  <w:vAlign w:val="center"/>
                </w:tcPr>
                <w:p w14:paraId="67065CC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ZC-YJY23-8.7/15kV-3×120，含配套电缆终端</w:t>
                  </w:r>
                </w:p>
              </w:tc>
              <w:tc>
                <w:tcPr>
                  <w:tcW w:w="314" w:type="pct"/>
                  <w:tcBorders>
                    <w:tl2br w:val="nil"/>
                    <w:tr2bl w:val="nil"/>
                  </w:tcBorders>
                  <w:noWrap w:val="0"/>
                  <w:vAlign w:val="center"/>
                </w:tcPr>
                <w:p w14:paraId="5BAA8D9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米</w:t>
                  </w:r>
                </w:p>
              </w:tc>
              <w:tc>
                <w:tcPr>
                  <w:tcW w:w="303" w:type="pct"/>
                  <w:tcBorders>
                    <w:tl2br w:val="nil"/>
                    <w:tr2bl w:val="nil"/>
                  </w:tcBorders>
                  <w:noWrap w:val="0"/>
                  <w:vAlign w:val="center"/>
                </w:tcPr>
                <w:p w14:paraId="3BA6C46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200</w:t>
                  </w:r>
                </w:p>
              </w:tc>
              <w:tc>
                <w:tcPr>
                  <w:tcW w:w="857" w:type="pct"/>
                  <w:tcBorders>
                    <w:tl2br w:val="nil"/>
                    <w:tr2bl w:val="nil"/>
                  </w:tcBorders>
                  <w:noWrap w:val="0"/>
                  <w:vAlign w:val="center"/>
                </w:tcPr>
                <w:p w14:paraId="0486EFB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D9570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427416C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5A23969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跌落式熔断器</w:t>
                  </w:r>
                </w:p>
              </w:tc>
              <w:tc>
                <w:tcPr>
                  <w:tcW w:w="2359" w:type="pct"/>
                  <w:tcBorders>
                    <w:tl2br w:val="nil"/>
                    <w:tr2bl w:val="nil"/>
                  </w:tcBorders>
                  <w:noWrap w:val="0"/>
                  <w:vAlign w:val="center"/>
                </w:tcPr>
                <w:p w14:paraId="0F525FF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RW10—10F/50A</w:t>
                  </w:r>
                </w:p>
              </w:tc>
              <w:tc>
                <w:tcPr>
                  <w:tcW w:w="314" w:type="pct"/>
                  <w:tcBorders>
                    <w:tl2br w:val="nil"/>
                    <w:tr2bl w:val="nil"/>
                  </w:tcBorders>
                  <w:noWrap w:val="0"/>
                  <w:vAlign w:val="center"/>
                </w:tcPr>
                <w:p w14:paraId="2A815E7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2196CFC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57" w:type="pct"/>
                  <w:tcBorders>
                    <w:tl2br w:val="nil"/>
                    <w:tr2bl w:val="nil"/>
                  </w:tcBorders>
                  <w:noWrap w:val="0"/>
                  <w:vAlign w:val="center"/>
                </w:tcPr>
                <w:p w14:paraId="2C60242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7DB42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6274B79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7</w:t>
                  </w:r>
                </w:p>
              </w:tc>
              <w:tc>
                <w:tcPr>
                  <w:tcW w:w="890" w:type="pct"/>
                  <w:tcBorders>
                    <w:tl2br w:val="nil"/>
                    <w:tr2bl w:val="nil"/>
                  </w:tcBorders>
                  <w:noWrap w:val="0"/>
                  <w:vAlign w:val="center"/>
                </w:tcPr>
                <w:p w14:paraId="3B3033D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外引一回10kV电源</w:t>
                  </w:r>
                </w:p>
              </w:tc>
              <w:tc>
                <w:tcPr>
                  <w:tcW w:w="2359" w:type="pct"/>
                  <w:tcBorders>
                    <w:tl2br w:val="nil"/>
                    <w:tr2bl w:val="nil"/>
                  </w:tcBorders>
                  <w:noWrap w:val="0"/>
                  <w:vAlign w:val="center"/>
                </w:tcPr>
                <w:p w14:paraId="1443710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含整回线路的架设</w:t>
                  </w:r>
                </w:p>
              </w:tc>
              <w:tc>
                <w:tcPr>
                  <w:tcW w:w="314" w:type="pct"/>
                  <w:tcBorders>
                    <w:tl2br w:val="nil"/>
                    <w:tr2bl w:val="nil"/>
                  </w:tcBorders>
                  <w:noWrap w:val="0"/>
                  <w:vAlign w:val="center"/>
                </w:tcPr>
                <w:p w14:paraId="5D3395A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回</w:t>
                  </w:r>
                </w:p>
              </w:tc>
              <w:tc>
                <w:tcPr>
                  <w:tcW w:w="303" w:type="pct"/>
                  <w:tcBorders>
                    <w:tl2br w:val="nil"/>
                    <w:tr2bl w:val="nil"/>
                  </w:tcBorders>
                  <w:noWrap w:val="0"/>
                  <w:vAlign w:val="center"/>
                </w:tcPr>
                <w:p w14:paraId="77D9FC7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3855A41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最终以电网审查意见为准</w:t>
                  </w:r>
                </w:p>
              </w:tc>
            </w:tr>
            <w:tr w14:paraId="54E62E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2B27563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7D2E0C6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10kV架空绝缘导线</w:t>
                  </w:r>
                </w:p>
              </w:tc>
              <w:tc>
                <w:tcPr>
                  <w:tcW w:w="2359" w:type="pct"/>
                  <w:tcBorders>
                    <w:tl2br w:val="nil"/>
                    <w:tr2bl w:val="nil"/>
                  </w:tcBorders>
                  <w:noWrap w:val="0"/>
                  <w:vAlign w:val="center"/>
                </w:tcPr>
                <w:p w14:paraId="2089862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JKLYJ-10kV-1×120mm</w:t>
                  </w:r>
                  <w:r>
                    <w:rPr>
                      <w:rFonts w:hint="default" w:ascii="Times New Roman" w:hAnsi="Times New Roman" w:cs="Times New Roman" w:eastAsiaTheme="minorEastAsia"/>
                      <w:color w:val="000000" w:themeColor="text1"/>
                      <w:spacing w:val="0"/>
                      <w:w w:val="100"/>
                      <w:position w:val="0"/>
                      <w:sz w:val="21"/>
                      <w:szCs w:val="21"/>
                      <w:vertAlign w:val="superscript"/>
                      <w14:textFill>
                        <w14:solidFill>
                          <w14:schemeClr w14:val="tx1"/>
                        </w14:solidFill>
                      </w14:textFill>
                    </w:rPr>
                    <w:t>2</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，铝芯交联聚乙烯绝缘架空电缆</w:t>
                  </w:r>
                </w:p>
              </w:tc>
              <w:tc>
                <w:tcPr>
                  <w:tcW w:w="314" w:type="pct"/>
                  <w:tcBorders>
                    <w:tl2br w:val="nil"/>
                    <w:tr2bl w:val="nil"/>
                  </w:tcBorders>
                  <w:noWrap w:val="0"/>
                  <w:vAlign w:val="center"/>
                </w:tcPr>
                <w:p w14:paraId="0799502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米</w:t>
                  </w:r>
                </w:p>
              </w:tc>
              <w:tc>
                <w:tcPr>
                  <w:tcW w:w="303" w:type="pct"/>
                  <w:tcBorders>
                    <w:tl2br w:val="nil"/>
                    <w:tr2bl w:val="nil"/>
                  </w:tcBorders>
                  <w:noWrap w:val="0"/>
                  <w:vAlign w:val="center"/>
                </w:tcPr>
                <w:p w14:paraId="330464C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200</w:t>
                  </w:r>
                </w:p>
              </w:tc>
              <w:tc>
                <w:tcPr>
                  <w:tcW w:w="857" w:type="pct"/>
                  <w:tcBorders>
                    <w:tl2br w:val="nil"/>
                    <w:tr2bl w:val="nil"/>
                  </w:tcBorders>
                  <w:noWrap w:val="0"/>
                  <w:vAlign w:val="center"/>
                </w:tcPr>
                <w:p w14:paraId="09F19F7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3BD2C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25F22A0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五</w:t>
                  </w:r>
                </w:p>
              </w:tc>
              <w:tc>
                <w:tcPr>
                  <w:tcW w:w="4725" w:type="pct"/>
                  <w:gridSpan w:val="5"/>
                  <w:tcBorders>
                    <w:tl2br w:val="nil"/>
                    <w:tr2bl w:val="nil"/>
                  </w:tcBorders>
                  <w:noWrap w:val="0"/>
                  <w:vAlign w:val="center"/>
                </w:tcPr>
                <w:p w14:paraId="6DE95EB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防雷接地</w:t>
                  </w:r>
                </w:p>
              </w:tc>
            </w:tr>
            <w:tr w14:paraId="551529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611325D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90" w:type="pct"/>
                  <w:vMerge w:val="restart"/>
                  <w:tcBorders>
                    <w:tl2br w:val="nil"/>
                    <w:tr2bl w:val="nil"/>
                  </w:tcBorders>
                  <w:noWrap w:val="0"/>
                  <w:vAlign w:val="center"/>
                </w:tcPr>
                <w:p w14:paraId="2FF08B8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水平接地</w:t>
                  </w:r>
                </w:p>
              </w:tc>
              <w:tc>
                <w:tcPr>
                  <w:tcW w:w="2359" w:type="pct"/>
                  <w:tcBorders>
                    <w:tl2br w:val="nil"/>
                    <w:tr2bl w:val="nil"/>
                  </w:tcBorders>
                  <w:noWrap w:val="0"/>
                  <w:vAlign w:val="center"/>
                </w:tcPr>
                <w:p w14:paraId="0FFCA88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覆铜圆钢Φ16</w:t>
                  </w:r>
                </w:p>
              </w:tc>
              <w:tc>
                <w:tcPr>
                  <w:tcW w:w="314" w:type="pct"/>
                  <w:tcBorders>
                    <w:tl2br w:val="nil"/>
                    <w:tr2bl w:val="nil"/>
                  </w:tcBorders>
                  <w:noWrap w:val="0"/>
                  <w:vAlign w:val="center"/>
                </w:tcPr>
                <w:p w14:paraId="4F033E7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km</w:t>
                  </w:r>
                </w:p>
              </w:tc>
              <w:tc>
                <w:tcPr>
                  <w:tcW w:w="303" w:type="pct"/>
                  <w:tcBorders>
                    <w:tl2br w:val="nil"/>
                    <w:tr2bl w:val="nil"/>
                  </w:tcBorders>
                  <w:noWrap w:val="0"/>
                  <w:vAlign w:val="center"/>
                </w:tcPr>
                <w:p w14:paraId="4656751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14</w:t>
                  </w:r>
                </w:p>
              </w:tc>
              <w:tc>
                <w:tcPr>
                  <w:tcW w:w="857" w:type="pct"/>
                  <w:tcBorders>
                    <w:tl2br w:val="nil"/>
                    <w:tr2bl w:val="nil"/>
                  </w:tcBorders>
                  <w:noWrap w:val="0"/>
                  <w:vAlign w:val="center"/>
                </w:tcPr>
                <w:p w14:paraId="6FE1D46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主接地网</w:t>
                  </w:r>
                </w:p>
              </w:tc>
            </w:tr>
            <w:tr w14:paraId="193052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1A82455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311DFA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6244E0A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镀锌扁钢-60x8</w:t>
                  </w:r>
                </w:p>
              </w:tc>
              <w:tc>
                <w:tcPr>
                  <w:tcW w:w="314" w:type="pct"/>
                  <w:tcBorders>
                    <w:tl2br w:val="nil"/>
                    <w:tr2bl w:val="nil"/>
                  </w:tcBorders>
                  <w:noWrap w:val="0"/>
                  <w:vAlign w:val="center"/>
                </w:tcPr>
                <w:p w14:paraId="674FA30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km</w:t>
                  </w:r>
                </w:p>
              </w:tc>
              <w:tc>
                <w:tcPr>
                  <w:tcW w:w="303" w:type="pct"/>
                  <w:tcBorders>
                    <w:tl2br w:val="nil"/>
                    <w:tr2bl w:val="nil"/>
                  </w:tcBorders>
                  <w:noWrap w:val="0"/>
                  <w:vAlign w:val="center"/>
                </w:tcPr>
                <w:p w14:paraId="30D7AE7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1.5</w:t>
                  </w:r>
                </w:p>
              </w:tc>
              <w:tc>
                <w:tcPr>
                  <w:tcW w:w="857" w:type="pct"/>
                  <w:tcBorders>
                    <w:tl2br w:val="nil"/>
                    <w:tr2bl w:val="nil"/>
                  </w:tcBorders>
                  <w:noWrap w:val="0"/>
                  <w:vAlign w:val="center"/>
                </w:tcPr>
                <w:p w14:paraId="0FF0438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接地引下线</w:t>
                  </w:r>
                </w:p>
              </w:tc>
            </w:tr>
            <w:tr w14:paraId="579FE7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2848BD7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90" w:type="pct"/>
                  <w:tcBorders>
                    <w:tl2br w:val="nil"/>
                    <w:tr2bl w:val="nil"/>
                  </w:tcBorders>
                  <w:noWrap w:val="0"/>
                  <w:vAlign w:val="center"/>
                </w:tcPr>
                <w:p w14:paraId="4B864F3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垂直接地极</w:t>
                  </w:r>
                </w:p>
              </w:tc>
              <w:tc>
                <w:tcPr>
                  <w:tcW w:w="2359" w:type="pct"/>
                  <w:tcBorders>
                    <w:tl2br w:val="nil"/>
                    <w:tr2bl w:val="nil"/>
                  </w:tcBorders>
                  <w:noWrap w:val="0"/>
                  <w:vAlign w:val="center"/>
                </w:tcPr>
                <w:p w14:paraId="5C6CE84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覆铜圆钢Φ16L=2500mm</w:t>
                  </w:r>
                </w:p>
              </w:tc>
              <w:tc>
                <w:tcPr>
                  <w:tcW w:w="314" w:type="pct"/>
                  <w:tcBorders>
                    <w:tl2br w:val="nil"/>
                    <w:tr2bl w:val="nil"/>
                  </w:tcBorders>
                  <w:noWrap w:val="0"/>
                  <w:vAlign w:val="center"/>
                </w:tcPr>
                <w:p w14:paraId="5142E0C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根</w:t>
                  </w:r>
                </w:p>
              </w:tc>
              <w:tc>
                <w:tcPr>
                  <w:tcW w:w="303" w:type="pct"/>
                  <w:tcBorders>
                    <w:tl2br w:val="nil"/>
                    <w:tr2bl w:val="nil"/>
                  </w:tcBorders>
                  <w:noWrap w:val="0"/>
                  <w:vAlign w:val="center"/>
                </w:tcPr>
                <w:p w14:paraId="6386E56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700</w:t>
                  </w:r>
                </w:p>
              </w:tc>
              <w:tc>
                <w:tcPr>
                  <w:tcW w:w="857" w:type="pct"/>
                  <w:tcBorders>
                    <w:tl2br w:val="nil"/>
                    <w:tr2bl w:val="nil"/>
                  </w:tcBorders>
                  <w:noWrap w:val="0"/>
                  <w:vAlign w:val="center"/>
                </w:tcPr>
                <w:p w14:paraId="1A773F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5E575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650FB1E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90" w:type="pct"/>
                  <w:tcBorders>
                    <w:tl2br w:val="nil"/>
                    <w:tr2bl w:val="nil"/>
                  </w:tcBorders>
                  <w:noWrap w:val="0"/>
                  <w:vAlign w:val="center"/>
                </w:tcPr>
                <w:p w14:paraId="32B4E01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铜排</w:t>
                  </w:r>
                </w:p>
              </w:tc>
              <w:tc>
                <w:tcPr>
                  <w:tcW w:w="2359" w:type="pct"/>
                  <w:tcBorders>
                    <w:tl2br w:val="nil"/>
                    <w:tr2bl w:val="nil"/>
                  </w:tcBorders>
                  <w:noWrap w:val="0"/>
                  <w:vAlign w:val="center"/>
                </w:tcPr>
                <w:p w14:paraId="0F68FCE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-40×3</w:t>
                  </w:r>
                </w:p>
              </w:tc>
              <w:tc>
                <w:tcPr>
                  <w:tcW w:w="314" w:type="pct"/>
                  <w:tcBorders>
                    <w:tl2br w:val="nil"/>
                    <w:tr2bl w:val="nil"/>
                  </w:tcBorders>
                  <w:noWrap w:val="0"/>
                  <w:vAlign w:val="center"/>
                </w:tcPr>
                <w:p w14:paraId="74A255A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5EF44CA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2000</w:t>
                  </w:r>
                </w:p>
              </w:tc>
              <w:tc>
                <w:tcPr>
                  <w:tcW w:w="857" w:type="pct"/>
                  <w:tcBorders>
                    <w:tl2br w:val="nil"/>
                    <w:tr2bl w:val="nil"/>
                  </w:tcBorders>
                  <w:noWrap w:val="0"/>
                  <w:vAlign w:val="center"/>
                </w:tcPr>
                <w:p w14:paraId="68D1082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D3BA2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20E282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90" w:type="pct"/>
                  <w:tcBorders>
                    <w:tl2br w:val="nil"/>
                    <w:tr2bl w:val="nil"/>
                  </w:tcBorders>
                  <w:noWrap w:val="0"/>
                  <w:vAlign w:val="center"/>
                </w:tcPr>
                <w:p w14:paraId="72EF297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绝缘铜缆</w:t>
                  </w:r>
                </w:p>
              </w:tc>
              <w:tc>
                <w:tcPr>
                  <w:tcW w:w="2359" w:type="pct"/>
                  <w:tcBorders>
                    <w:tl2br w:val="nil"/>
                    <w:tr2bl w:val="nil"/>
                  </w:tcBorders>
                  <w:noWrap w:val="0"/>
                  <w:vAlign w:val="center"/>
                </w:tcPr>
                <w:p w14:paraId="35C7D73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4mm</w:t>
                  </w:r>
                  <w:r>
                    <w:rPr>
                      <w:rFonts w:hint="default" w:ascii="Times New Roman" w:hAnsi="Times New Roman" w:cs="Times New Roman" w:eastAsiaTheme="minorEastAsia"/>
                      <w:color w:val="000000" w:themeColor="text1"/>
                      <w:spacing w:val="0"/>
                      <w:w w:val="100"/>
                      <w:position w:val="0"/>
                      <w:sz w:val="21"/>
                      <w:szCs w:val="21"/>
                      <w:vertAlign w:val="superscript"/>
                      <w14:textFill>
                        <w14:solidFill>
                          <w14:schemeClr w14:val="tx1"/>
                        </w14:solidFill>
                      </w14:textFill>
                    </w:rPr>
                    <w:t>2</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，含铜鼻子</w:t>
                  </w:r>
                </w:p>
              </w:tc>
              <w:tc>
                <w:tcPr>
                  <w:tcW w:w="314" w:type="pct"/>
                  <w:tcBorders>
                    <w:tl2br w:val="nil"/>
                    <w:tr2bl w:val="nil"/>
                  </w:tcBorders>
                  <w:noWrap w:val="0"/>
                  <w:vAlign w:val="center"/>
                </w:tcPr>
                <w:p w14:paraId="5BD3436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米</w:t>
                  </w:r>
                </w:p>
              </w:tc>
              <w:tc>
                <w:tcPr>
                  <w:tcW w:w="303" w:type="pct"/>
                  <w:tcBorders>
                    <w:tl2br w:val="nil"/>
                    <w:tr2bl w:val="nil"/>
                  </w:tcBorders>
                  <w:noWrap w:val="0"/>
                  <w:vAlign w:val="center"/>
                </w:tcPr>
                <w:p w14:paraId="69BE198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600</w:t>
                  </w:r>
                </w:p>
              </w:tc>
              <w:tc>
                <w:tcPr>
                  <w:tcW w:w="857" w:type="pct"/>
                  <w:tcBorders>
                    <w:tl2br w:val="nil"/>
                    <w:tr2bl w:val="nil"/>
                  </w:tcBorders>
                  <w:noWrap w:val="0"/>
                  <w:vAlign w:val="center"/>
                </w:tcPr>
                <w:p w14:paraId="24EE82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399A0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B86915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w:t>
                  </w:r>
                </w:p>
              </w:tc>
              <w:tc>
                <w:tcPr>
                  <w:tcW w:w="890" w:type="pct"/>
                  <w:tcBorders>
                    <w:tl2br w:val="nil"/>
                    <w:tr2bl w:val="nil"/>
                  </w:tcBorders>
                  <w:noWrap w:val="0"/>
                  <w:vAlign w:val="center"/>
                </w:tcPr>
                <w:p w14:paraId="7BD83AD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绝缘铜缆</w:t>
                  </w:r>
                </w:p>
              </w:tc>
              <w:tc>
                <w:tcPr>
                  <w:tcW w:w="2359" w:type="pct"/>
                  <w:tcBorders>
                    <w:tl2br w:val="nil"/>
                    <w:tr2bl w:val="nil"/>
                  </w:tcBorders>
                  <w:noWrap w:val="0"/>
                  <w:vAlign w:val="center"/>
                </w:tcPr>
                <w:p w14:paraId="37E739A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50mm</w:t>
                  </w:r>
                  <w:r>
                    <w:rPr>
                      <w:rFonts w:hint="default" w:ascii="Times New Roman" w:hAnsi="Times New Roman" w:cs="Times New Roman" w:eastAsiaTheme="minorEastAsia"/>
                      <w:color w:val="000000" w:themeColor="text1"/>
                      <w:spacing w:val="0"/>
                      <w:w w:val="100"/>
                      <w:position w:val="0"/>
                      <w:sz w:val="21"/>
                      <w:szCs w:val="21"/>
                      <w:vertAlign w:val="superscript"/>
                      <w14:textFill>
                        <w14:solidFill>
                          <w14:schemeClr w14:val="tx1"/>
                        </w14:solidFill>
                      </w14:textFill>
                    </w:rPr>
                    <w:t>2</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，含铜鼻子</w:t>
                  </w:r>
                </w:p>
              </w:tc>
              <w:tc>
                <w:tcPr>
                  <w:tcW w:w="314" w:type="pct"/>
                  <w:tcBorders>
                    <w:tl2br w:val="nil"/>
                    <w:tr2bl w:val="nil"/>
                  </w:tcBorders>
                  <w:noWrap w:val="0"/>
                  <w:vAlign w:val="center"/>
                </w:tcPr>
                <w:p w14:paraId="6C3CB22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米</w:t>
                  </w:r>
                </w:p>
              </w:tc>
              <w:tc>
                <w:tcPr>
                  <w:tcW w:w="303" w:type="pct"/>
                  <w:tcBorders>
                    <w:tl2br w:val="nil"/>
                    <w:tr2bl w:val="nil"/>
                  </w:tcBorders>
                  <w:noWrap w:val="0"/>
                  <w:vAlign w:val="center"/>
                </w:tcPr>
                <w:p w14:paraId="5A5194C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400</w:t>
                  </w:r>
                </w:p>
              </w:tc>
              <w:tc>
                <w:tcPr>
                  <w:tcW w:w="857" w:type="pct"/>
                  <w:tcBorders>
                    <w:tl2br w:val="nil"/>
                    <w:tr2bl w:val="nil"/>
                  </w:tcBorders>
                  <w:noWrap w:val="0"/>
                  <w:vAlign w:val="center"/>
                </w:tcPr>
                <w:p w14:paraId="27B89A9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A924A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299D95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90" w:type="pct"/>
                  <w:tcBorders>
                    <w:tl2br w:val="nil"/>
                    <w:tr2bl w:val="nil"/>
                  </w:tcBorders>
                  <w:noWrap w:val="0"/>
                  <w:vAlign w:val="center"/>
                </w:tcPr>
                <w:p w14:paraId="2CD6CF1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绝缘铜缆</w:t>
                  </w:r>
                </w:p>
              </w:tc>
              <w:tc>
                <w:tcPr>
                  <w:tcW w:w="2359" w:type="pct"/>
                  <w:tcBorders>
                    <w:tl2br w:val="nil"/>
                    <w:tr2bl w:val="nil"/>
                  </w:tcBorders>
                  <w:noWrap w:val="0"/>
                  <w:vAlign w:val="center"/>
                </w:tcPr>
                <w:p w14:paraId="3A0BB5B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120mm</w:t>
                  </w:r>
                  <w:r>
                    <w:rPr>
                      <w:rFonts w:hint="default" w:ascii="Times New Roman" w:hAnsi="Times New Roman" w:cs="Times New Roman" w:eastAsiaTheme="minorEastAsia"/>
                      <w:color w:val="000000" w:themeColor="text1"/>
                      <w:spacing w:val="0"/>
                      <w:w w:val="100"/>
                      <w:position w:val="0"/>
                      <w:sz w:val="21"/>
                      <w:szCs w:val="21"/>
                      <w:vertAlign w:val="superscript"/>
                      <w14:textFill>
                        <w14:solidFill>
                          <w14:schemeClr w14:val="tx1"/>
                        </w14:solidFill>
                      </w14:textFill>
                    </w:rPr>
                    <w:t>2</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，含铜鼻子</w:t>
                  </w:r>
                </w:p>
              </w:tc>
              <w:tc>
                <w:tcPr>
                  <w:tcW w:w="314" w:type="pct"/>
                  <w:tcBorders>
                    <w:tl2br w:val="nil"/>
                    <w:tr2bl w:val="nil"/>
                  </w:tcBorders>
                  <w:noWrap w:val="0"/>
                  <w:vAlign w:val="center"/>
                </w:tcPr>
                <w:p w14:paraId="1655B96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米</w:t>
                  </w:r>
                </w:p>
              </w:tc>
              <w:tc>
                <w:tcPr>
                  <w:tcW w:w="303" w:type="pct"/>
                  <w:tcBorders>
                    <w:tl2br w:val="nil"/>
                    <w:tr2bl w:val="nil"/>
                  </w:tcBorders>
                  <w:noWrap w:val="0"/>
                  <w:vAlign w:val="center"/>
                </w:tcPr>
                <w:p w14:paraId="5EDB83C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300</w:t>
                  </w:r>
                </w:p>
              </w:tc>
              <w:tc>
                <w:tcPr>
                  <w:tcW w:w="857" w:type="pct"/>
                  <w:tcBorders>
                    <w:tl2br w:val="nil"/>
                    <w:tr2bl w:val="nil"/>
                  </w:tcBorders>
                  <w:noWrap w:val="0"/>
                  <w:vAlign w:val="center"/>
                </w:tcPr>
                <w:p w14:paraId="7FC91B7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D5EC0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3EB88FB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7</w:t>
                  </w:r>
                </w:p>
              </w:tc>
              <w:tc>
                <w:tcPr>
                  <w:tcW w:w="890" w:type="pct"/>
                  <w:tcBorders>
                    <w:tl2br w:val="nil"/>
                    <w:tr2bl w:val="nil"/>
                  </w:tcBorders>
                  <w:noWrap w:val="0"/>
                  <w:vAlign w:val="center"/>
                </w:tcPr>
                <w:p w14:paraId="2AE4236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接地测试井</w:t>
                  </w:r>
                </w:p>
              </w:tc>
              <w:tc>
                <w:tcPr>
                  <w:tcW w:w="2359" w:type="pct"/>
                  <w:tcBorders>
                    <w:tl2br w:val="nil"/>
                    <w:tr2bl w:val="nil"/>
                  </w:tcBorders>
                  <w:noWrap w:val="0"/>
                  <w:vAlign w:val="center"/>
                </w:tcPr>
                <w:p w14:paraId="478B97F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2336FE3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座</w:t>
                  </w:r>
                </w:p>
              </w:tc>
              <w:tc>
                <w:tcPr>
                  <w:tcW w:w="303" w:type="pct"/>
                  <w:tcBorders>
                    <w:tl2br w:val="nil"/>
                    <w:tr2bl w:val="nil"/>
                  </w:tcBorders>
                  <w:noWrap w:val="0"/>
                  <w:vAlign w:val="center"/>
                </w:tcPr>
                <w:p w14:paraId="789159F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60E4C29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DE7DA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5031579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8</w:t>
                  </w:r>
                </w:p>
              </w:tc>
              <w:tc>
                <w:tcPr>
                  <w:tcW w:w="890" w:type="pct"/>
                  <w:tcBorders>
                    <w:tl2br w:val="nil"/>
                    <w:tr2bl w:val="nil"/>
                  </w:tcBorders>
                  <w:noWrap w:val="0"/>
                  <w:vAlign w:val="center"/>
                </w:tcPr>
                <w:p w14:paraId="7917205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放热焊接</w:t>
                  </w:r>
                </w:p>
              </w:tc>
              <w:tc>
                <w:tcPr>
                  <w:tcW w:w="2359" w:type="pct"/>
                  <w:tcBorders>
                    <w:tl2br w:val="nil"/>
                    <w:tr2bl w:val="nil"/>
                  </w:tcBorders>
                  <w:noWrap w:val="0"/>
                  <w:vAlign w:val="center"/>
                </w:tcPr>
                <w:p w14:paraId="076155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2AFA306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点</w:t>
                  </w:r>
                </w:p>
              </w:tc>
              <w:tc>
                <w:tcPr>
                  <w:tcW w:w="303" w:type="pct"/>
                  <w:tcBorders>
                    <w:tl2br w:val="nil"/>
                    <w:tr2bl w:val="nil"/>
                  </w:tcBorders>
                  <w:noWrap w:val="0"/>
                  <w:vAlign w:val="center"/>
                </w:tcPr>
                <w:p w14:paraId="661317D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1600</w:t>
                  </w:r>
                </w:p>
              </w:tc>
              <w:tc>
                <w:tcPr>
                  <w:tcW w:w="857" w:type="pct"/>
                  <w:tcBorders>
                    <w:tl2br w:val="nil"/>
                    <w:tr2bl w:val="nil"/>
                  </w:tcBorders>
                  <w:noWrap w:val="0"/>
                  <w:vAlign w:val="center"/>
                </w:tcPr>
                <w:p w14:paraId="5ABE168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288B0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3B9831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w:t>
                  </w:r>
                </w:p>
              </w:tc>
              <w:tc>
                <w:tcPr>
                  <w:tcW w:w="890" w:type="pct"/>
                  <w:tcBorders>
                    <w:tl2br w:val="nil"/>
                    <w:tr2bl w:val="nil"/>
                  </w:tcBorders>
                  <w:noWrap w:val="0"/>
                  <w:vAlign w:val="center"/>
                </w:tcPr>
                <w:p w14:paraId="7284986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屋顶避雷带</w:t>
                  </w:r>
                </w:p>
              </w:tc>
              <w:tc>
                <w:tcPr>
                  <w:tcW w:w="2359" w:type="pct"/>
                  <w:tcBorders>
                    <w:tl2br w:val="nil"/>
                    <w:tr2bl w:val="nil"/>
                  </w:tcBorders>
                  <w:noWrap w:val="0"/>
                  <w:vAlign w:val="center"/>
                </w:tcPr>
                <w:p w14:paraId="37BFDAE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Φ12圆钢</w:t>
                  </w:r>
                </w:p>
              </w:tc>
              <w:tc>
                <w:tcPr>
                  <w:tcW w:w="314" w:type="pct"/>
                  <w:tcBorders>
                    <w:tl2br w:val="nil"/>
                    <w:tr2bl w:val="nil"/>
                  </w:tcBorders>
                  <w:noWrap w:val="0"/>
                  <w:vAlign w:val="center"/>
                </w:tcPr>
                <w:p w14:paraId="17FD0BD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t</w:t>
                  </w:r>
                </w:p>
              </w:tc>
              <w:tc>
                <w:tcPr>
                  <w:tcW w:w="303" w:type="pct"/>
                  <w:tcBorders>
                    <w:tl2br w:val="nil"/>
                    <w:tr2bl w:val="nil"/>
                  </w:tcBorders>
                  <w:noWrap w:val="0"/>
                  <w:vAlign w:val="center"/>
                </w:tcPr>
                <w:p w14:paraId="334CE47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0E05790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热浸镀锌</w:t>
                  </w:r>
                </w:p>
              </w:tc>
            </w:tr>
            <w:tr w14:paraId="32C977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453F2D7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890" w:type="pct"/>
                  <w:vMerge w:val="restart"/>
                  <w:tcBorders>
                    <w:tl2br w:val="nil"/>
                    <w:tr2bl w:val="nil"/>
                  </w:tcBorders>
                  <w:noWrap w:val="0"/>
                  <w:vAlign w:val="center"/>
                </w:tcPr>
                <w:p w14:paraId="0C3B30E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镀锌钢管</w:t>
                  </w:r>
                </w:p>
              </w:tc>
              <w:tc>
                <w:tcPr>
                  <w:tcW w:w="2359" w:type="pct"/>
                  <w:tcBorders>
                    <w:tl2br w:val="nil"/>
                    <w:tr2bl w:val="nil"/>
                  </w:tcBorders>
                  <w:noWrap w:val="0"/>
                  <w:vAlign w:val="center"/>
                </w:tcPr>
                <w:p w14:paraId="66B1E67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镀锌钢管Φ32</w:t>
                  </w:r>
                </w:p>
              </w:tc>
              <w:tc>
                <w:tcPr>
                  <w:tcW w:w="314" w:type="pct"/>
                  <w:tcBorders>
                    <w:tl2br w:val="nil"/>
                    <w:tr2bl w:val="nil"/>
                  </w:tcBorders>
                  <w:noWrap w:val="0"/>
                  <w:vAlign w:val="center"/>
                </w:tcPr>
                <w:p w14:paraId="69DA0AA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53D3BA4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1500</w:t>
                  </w:r>
                </w:p>
              </w:tc>
              <w:tc>
                <w:tcPr>
                  <w:tcW w:w="857" w:type="pct"/>
                  <w:tcBorders>
                    <w:tl2br w:val="nil"/>
                    <w:tr2bl w:val="nil"/>
                  </w:tcBorders>
                  <w:noWrap w:val="0"/>
                  <w:vAlign w:val="center"/>
                </w:tcPr>
                <w:p w14:paraId="7ECF525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D54A2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36208AC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4A8E6B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1B8EE80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镀锌钢管Φ50</w:t>
                  </w:r>
                </w:p>
              </w:tc>
              <w:tc>
                <w:tcPr>
                  <w:tcW w:w="314" w:type="pct"/>
                  <w:tcBorders>
                    <w:tl2br w:val="nil"/>
                    <w:tr2bl w:val="nil"/>
                  </w:tcBorders>
                  <w:noWrap w:val="0"/>
                  <w:vAlign w:val="center"/>
                </w:tcPr>
                <w:p w14:paraId="3CF93F9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44FD956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450</w:t>
                  </w:r>
                </w:p>
              </w:tc>
              <w:tc>
                <w:tcPr>
                  <w:tcW w:w="857" w:type="pct"/>
                  <w:tcBorders>
                    <w:tl2br w:val="nil"/>
                    <w:tr2bl w:val="nil"/>
                  </w:tcBorders>
                  <w:noWrap w:val="0"/>
                  <w:vAlign w:val="center"/>
                </w:tcPr>
                <w:p w14:paraId="6BFA28E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A9804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51D10A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6EB703A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6F45104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镀锌钢管Φ80</w:t>
                  </w:r>
                </w:p>
              </w:tc>
              <w:tc>
                <w:tcPr>
                  <w:tcW w:w="314" w:type="pct"/>
                  <w:tcBorders>
                    <w:tl2br w:val="nil"/>
                    <w:tr2bl w:val="nil"/>
                  </w:tcBorders>
                  <w:noWrap w:val="0"/>
                  <w:vAlign w:val="center"/>
                </w:tcPr>
                <w:p w14:paraId="75BF50D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0A22AE8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600</w:t>
                  </w:r>
                </w:p>
              </w:tc>
              <w:tc>
                <w:tcPr>
                  <w:tcW w:w="857" w:type="pct"/>
                  <w:tcBorders>
                    <w:tl2br w:val="nil"/>
                    <w:tr2bl w:val="nil"/>
                  </w:tcBorders>
                  <w:noWrap w:val="0"/>
                  <w:vAlign w:val="center"/>
                </w:tcPr>
                <w:p w14:paraId="1FF720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B422D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1554E76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5ABF502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33065A5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镀锌钢管Φ100</w:t>
                  </w:r>
                </w:p>
              </w:tc>
              <w:tc>
                <w:tcPr>
                  <w:tcW w:w="314" w:type="pct"/>
                  <w:tcBorders>
                    <w:tl2br w:val="nil"/>
                    <w:tr2bl w:val="nil"/>
                  </w:tcBorders>
                  <w:noWrap w:val="0"/>
                  <w:vAlign w:val="center"/>
                </w:tcPr>
                <w:p w14:paraId="0F1D809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575CCA3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1500</w:t>
                  </w:r>
                </w:p>
              </w:tc>
              <w:tc>
                <w:tcPr>
                  <w:tcW w:w="857" w:type="pct"/>
                  <w:tcBorders>
                    <w:tl2br w:val="nil"/>
                    <w:tr2bl w:val="nil"/>
                  </w:tcBorders>
                  <w:noWrap w:val="0"/>
                  <w:vAlign w:val="center"/>
                </w:tcPr>
                <w:p w14:paraId="5533777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CC7DD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0EA1B4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1369F77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203D177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镀锌钢管Φ200</w:t>
                  </w:r>
                </w:p>
              </w:tc>
              <w:tc>
                <w:tcPr>
                  <w:tcW w:w="314" w:type="pct"/>
                  <w:tcBorders>
                    <w:tl2br w:val="nil"/>
                    <w:tr2bl w:val="nil"/>
                  </w:tcBorders>
                  <w:noWrap w:val="0"/>
                  <w:vAlign w:val="center"/>
                </w:tcPr>
                <w:p w14:paraId="62FAC1E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787CC2F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150</w:t>
                  </w:r>
                </w:p>
              </w:tc>
              <w:tc>
                <w:tcPr>
                  <w:tcW w:w="857" w:type="pct"/>
                  <w:tcBorders>
                    <w:tl2br w:val="nil"/>
                    <w:tr2bl w:val="nil"/>
                  </w:tcBorders>
                  <w:noWrap w:val="0"/>
                  <w:vAlign w:val="center"/>
                </w:tcPr>
                <w:p w14:paraId="11FEB8B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6B82C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9D5478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11</w:t>
                  </w:r>
                </w:p>
              </w:tc>
              <w:tc>
                <w:tcPr>
                  <w:tcW w:w="890" w:type="pct"/>
                  <w:tcBorders>
                    <w:tl2br w:val="nil"/>
                    <w:tr2bl w:val="nil"/>
                  </w:tcBorders>
                  <w:noWrap w:val="0"/>
                  <w:vAlign w:val="center"/>
                </w:tcPr>
                <w:p w14:paraId="7BABD02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电缆护管</w:t>
                  </w:r>
                </w:p>
              </w:tc>
              <w:tc>
                <w:tcPr>
                  <w:tcW w:w="2359" w:type="pct"/>
                  <w:tcBorders>
                    <w:tl2br w:val="nil"/>
                    <w:tr2bl w:val="nil"/>
                  </w:tcBorders>
                  <w:noWrap w:val="0"/>
                  <w:vAlign w:val="center"/>
                </w:tcPr>
                <w:p w14:paraId="1672F3B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PVC硬塑管Φ25</w:t>
                  </w:r>
                </w:p>
              </w:tc>
              <w:tc>
                <w:tcPr>
                  <w:tcW w:w="314" w:type="pct"/>
                  <w:tcBorders>
                    <w:tl2br w:val="nil"/>
                    <w:tr2bl w:val="nil"/>
                  </w:tcBorders>
                  <w:noWrap w:val="0"/>
                  <w:vAlign w:val="center"/>
                </w:tcPr>
                <w:p w14:paraId="4B5CECD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326DA90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2500</w:t>
                  </w:r>
                </w:p>
              </w:tc>
              <w:tc>
                <w:tcPr>
                  <w:tcW w:w="857" w:type="pct"/>
                  <w:tcBorders>
                    <w:tl2br w:val="nil"/>
                    <w:tr2bl w:val="nil"/>
                  </w:tcBorders>
                  <w:noWrap w:val="0"/>
                  <w:vAlign w:val="center"/>
                </w:tcPr>
                <w:p w14:paraId="6A774F9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344A0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DADC17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六</w:t>
                  </w:r>
                </w:p>
              </w:tc>
              <w:tc>
                <w:tcPr>
                  <w:tcW w:w="4725" w:type="pct"/>
                  <w:gridSpan w:val="5"/>
                  <w:tcBorders>
                    <w:tl2br w:val="nil"/>
                    <w:tr2bl w:val="nil"/>
                  </w:tcBorders>
                  <w:noWrap w:val="0"/>
                  <w:vAlign w:val="center"/>
                </w:tcPr>
                <w:p w14:paraId="508B86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eastAsia" w:cs="Times New Roman" w:eastAsiaTheme="minorEastAsia"/>
                      <w:color w:val="000000" w:themeColor="text1"/>
                      <w:spacing w:val="0"/>
                      <w:w w:val="100"/>
                      <w:position w:val="0"/>
                      <w:sz w:val="21"/>
                      <w:szCs w:val="21"/>
                      <w:lang w:eastAsia="zh-CN"/>
                      <w14:textFill>
                        <w14:solidFill>
                          <w14:schemeClr w14:val="tx1"/>
                        </w14:solidFill>
                      </w14:textFill>
                    </w:rPr>
                    <w:t>其他</w:t>
                  </w:r>
                </w:p>
              </w:tc>
            </w:tr>
            <w:tr w14:paraId="54DD22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6524DE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90" w:type="pct"/>
                  <w:tcBorders>
                    <w:tl2br w:val="nil"/>
                    <w:tr2bl w:val="nil"/>
                  </w:tcBorders>
                  <w:noWrap w:val="0"/>
                  <w:vAlign w:val="center"/>
                </w:tcPr>
                <w:p w14:paraId="5BF0ECF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检修电源箱</w:t>
                  </w:r>
                </w:p>
              </w:tc>
              <w:tc>
                <w:tcPr>
                  <w:tcW w:w="2359" w:type="pct"/>
                  <w:tcBorders>
                    <w:tl2br w:val="nil"/>
                    <w:tr2bl w:val="nil"/>
                  </w:tcBorders>
                  <w:noWrap w:val="0"/>
                  <w:vAlign w:val="center"/>
                </w:tcPr>
                <w:p w14:paraId="65C6E48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户外：落地式</w:t>
                  </w:r>
                </w:p>
              </w:tc>
              <w:tc>
                <w:tcPr>
                  <w:tcW w:w="314" w:type="pct"/>
                  <w:tcBorders>
                    <w:tl2br w:val="nil"/>
                    <w:tr2bl w:val="nil"/>
                  </w:tcBorders>
                  <w:noWrap w:val="0"/>
                  <w:vAlign w:val="center"/>
                </w:tcPr>
                <w:p w14:paraId="647CD8C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5492CF1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13</w:t>
                  </w:r>
                </w:p>
              </w:tc>
              <w:tc>
                <w:tcPr>
                  <w:tcW w:w="857" w:type="pct"/>
                  <w:tcBorders>
                    <w:tl2br w:val="nil"/>
                    <w:tr2bl w:val="nil"/>
                  </w:tcBorders>
                  <w:noWrap w:val="0"/>
                  <w:vAlign w:val="center"/>
                </w:tcPr>
                <w:p w14:paraId="23E4CAE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AAAAB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5EB1FF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90" w:type="pct"/>
                  <w:tcBorders>
                    <w:tl2br w:val="nil"/>
                    <w:tr2bl w:val="nil"/>
                  </w:tcBorders>
                  <w:noWrap w:val="0"/>
                  <w:vAlign w:val="center"/>
                </w:tcPr>
                <w:p w14:paraId="6E8326F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检修电源箱</w:t>
                  </w:r>
                </w:p>
              </w:tc>
              <w:tc>
                <w:tcPr>
                  <w:tcW w:w="2359" w:type="pct"/>
                  <w:tcBorders>
                    <w:tl2br w:val="nil"/>
                    <w:tr2bl w:val="nil"/>
                  </w:tcBorders>
                  <w:noWrap w:val="0"/>
                  <w:vAlign w:val="center"/>
                </w:tcPr>
                <w:p w14:paraId="7800126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户内：挂墙式</w:t>
                  </w:r>
                </w:p>
              </w:tc>
              <w:tc>
                <w:tcPr>
                  <w:tcW w:w="314" w:type="pct"/>
                  <w:tcBorders>
                    <w:tl2br w:val="nil"/>
                    <w:tr2bl w:val="nil"/>
                  </w:tcBorders>
                  <w:noWrap w:val="0"/>
                  <w:vAlign w:val="center"/>
                </w:tcPr>
                <w:p w14:paraId="47EEA86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5268D10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0E7C92C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8F1BB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6858390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90" w:type="pct"/>
                  <w:tcBorders>
                    <w:tl2br w:val="nil"/>
                    <w:tr2bl w:val="nil"/>
                  </w:tcBorders>
                  <w:noWrap w:val="0"/>
                  <w:vAlign w:val="center"/>
                </w:tcPr>
                <w:p w14:paraId="670DC58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道路照明配电箱</w:t>
                  </w:r>
                </w:p>
              </w:tc>
              <w:tc>
                <w:tcPr>
                  <w:tcW w:w="2359" w:type="pct"/>
                  <w:tcBorders>
                    <w:tl2br w:val="nil"/>
                    <w:tr2bl w:val="nil"/>
                  </w:tcBorders>
                  <w:noWrap w:val="0"/>
                  <w:vAlign w:val="center"/>
                </w:tcPr>
                <w:p w14:paraId="07C8C7B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户外</w:t>
                  </w:r>
                </w:p>
              </w:tc>
              <w:tc>
                <w:tcPr>
                  <w:tcW w:w="314" w:type="pct"/>
                  <w:tcBorders>
                    <w:tl2br w:val="nil"/>
                    <w:tr2bl w:val="nil"/>
                  </w:tcBorders>
                  <w:noWrap w:val="0"/>
                  <w:vAlign w:val="center"/>
                </w:tcPr>
                <w:p w14:paraId="1B93523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6BB7A6B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07FC139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178AF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90" w:hRule="atLeast"/>
              </w:trPr>
              <w:tc>
                <w:tcPr>
                  <w:tcW w:w="274" w:type="pct"/>
                  <w:tcBorders>
                    <w:tl2br w:val="nil"/>
                    <w:tr2bl w:val="nil"/>
                  </w:tcBorders>
                  <w:noWrap w:val="0"/>
                  <w:vAlign w:val="center"/>
                </w:tcPr>
                <w:p w14:paraId="4190C17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90" w:type="pct"/>
                  <w:tcBorders>
                    <w:tl2br w:val="nil"/>
                    <w:tr2bl w:val="nil"/>
                  </w:tcBorders>
                  <w:noWrap w:val="0"/>
                  <w:vAlign w:val="center"/>
                </w:tcPr>
                <w:p w14:paraId="7F3DA20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照明配电箱</w:t>
                  </w:r>
                </w:p>
              </w:tc>
              <w:tc>
                <w:tcPr>
                  <w:tcW w:w="2359" w:type="pct"/>
                  <w:tcBorders>
                    <w:tl2br w:val="nil"/>
                    <w:tr2bl w:val="nil"/>
                  </w:tcBorders>
                  <w:noWrap w:val="0"/>
                  <w:vAlign w:val="center"/>
                </w:tcPr>
                <w:p w14:paraId="5EE0F80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户内</w:t>
                  </w:r>
                </w:p>
              </w:tc>
              <w:tc>
                <w:tcPr>
                  <w:tcW w:w="314" w:type="pct"/>
                  <w:tcBorders>
                    <w:tl2br w:val="nil"/>
                    <w:tr2bl w:val="nil"/>
                  </w:tcBorders>
                  <w:noWrap w:val="0"/>
                  <w:vAlign w:val="center"/>
                </w:tcPr>
                <w:p w14:paraId="743317D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4A8DBE8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57" w:type="pct"/>
                  <w:tcBorders>
                    <w:tl2br w:val="nil"/>
                    <w:tr2bl w:val="nil"/>
                  </w:tcBorders>
                  <w:noWrap w:val="0"/>
                  <w:vAlign w:val="center"/>
                </w:tcPr>
                <w:p w14:paraId="469F0E5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2BEFD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9C3E68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w:t>
                  </w:r>
                </w:p>
              </w:tc>
              <w:tc>
                <w:tcPr>
                  <w:tcW w:w="890" w:type="pct"/>
                  <w:tcBorders>
                    <w:tl2br w:val="nil"/>
                    <w:tr2bl w:val="nil"/>
                  </w:tcBorders>
                  <w:noWrap w:val="0"/>
                  <w:vAlign w:val="center"/>
                </w:tcPr>
                <w:p w14:paraId="66376D0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动力配电箱</w:t>
                  </w:r>
                </w:p>
              </w:tc>
              <w:tc>
                <w:tcPr>
                  <w:tcW w:w="2359" w:type="pct"/>
                  <w:tcBorders>
                    <w:tl2br w:val="nil"/>
                    <w:tr2bl w:val="nil"/>
                  </w:tcBorders>
                  <w:noWrap w:val="0"/>
                  <w:vAlign w:val="center"/>
                </w:tcPr>
                <w:p w14:paraId="05A2C83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户外</w:t>
                  </w:r>
                </w:p>
              </w:tc>
              <w:tc>
                <w:tcPr>
                  <w:tcW w:w="314" w:type="pct"/>
                  <w:tcBorders>
                    <w:tl2br w:val="nil"/>
                    <w:tr2bl w:val="nil"/>
                  </w:tcBorders>
                  <w:noWrap w:val="0"/>
                  <w:vAlign w:val="center"/>
                </w:tcPr>
                <w:p w14:paraId="433A4A7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35FA07D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5</w:t>
                  </w:r>
                </w:p>
              </w:tc>
              <w:tc>
                <w:tcPr>
                  <w:tcW w:w="857" w:type="pct"/>
                  <w:tcBorders>
                    <w:tl2br w:val="nil"/>
                    <w:tr2bl w:val="nil"/>
                  </w:tcBorders>
                  <w:noWrap w:val="0"/>
                  <w:vAlign w:val="center"/>
                </w:tcPr>
                <w:p w14:paraId="6E47C62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DCB20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6EA669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90" w:type="pct"/>
                  <w:tcBorders>
                    <w:tl2br w:val="nil"/>
                    <w:tr2bl w:val="nil"/>
                  </w:tcBorders>
                  <w:noWrap w:val="0"/>
                  <w:vAlign w:val="center"/>
                </w:tcPr>
                <w:p w14:paraId="59C9B65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动力配电箱</w:t>
                  </w:r>
                </w:p>
              </w:tc>
              <w:tc>
                <w:tcPr>
                  <w:tcW w:w="2359" w:type="pct"/>
                  <w:tcBorders>
                    <w:tl2br w:val="nil"/>
                    <w:tr2bl w:val="nil"/>
                  </w:tcBorders>
                  <w:noWrap w:val="0"/>
                  <w:vAlign w:val="center"/>
                </w:tcPr>
                <w:p w14:paraId="4175BC0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户内</w:t>
                  </w:r>
                </w:p>
              </w:tc>
              <w:tc>
                <w:tcPr>
                  <w:tcW w:w="314" w:type="pct"/>
                  <w:tcBorders>
                    <w:tl2br w:val="nil"/>
                    <w:tr2bl w:val="nil"/>
                  </w:tcBorders>
                  <w:noWrap w:val="0"/>
                  <w:vAlign w:val="center"/>
                </w:tcPr>
                <w:p w14:paraId="13A651B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56A41D2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57" w:type="pct"/>
                  <w:tcBorders>
                    <w:tl2br w:val="nil"/>
                    <w:tr2bl w:val="nil"/>
                  </w:tcBorders>
                  <w:noWrap w:val="0"/>
                  <w:vAlign w:val="center"/>
                </w:tcPr>
                <w:p w14:paraId="75D4C7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DFD92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04A3D2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7</w:t>
                  </w:r>
                </w:p>
              </w:tc>
              <w:tc>
                <w:tcPr>
                  <w:tcW w:w="890" w:type="pct"/>
                  <w:tcBorders>
                    <w:tl2br w:val="nil"/>
                    <w:tr2bl w:val="nil"/>
                  </w:tcBorders>
                  <w:noWrap w:val="0"/>
                  <w:vAlign w:val="center"/>
                </w:tcPr>
                <w:p w14:paraId="649F22E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消防应急照明集中箱</w:t>
                  </w:r>
                </w:p>
              </w:tc>
              <w:tc>
                <w:tcPr>
                  <w:tcW w:w="2359" w:type="pct"/>
                  <w:tcBorders>
                    <w:tl2br w:val="nil"/>
                    <w:tr2bl w:val="nil"/>
                  </w:tcBorders>
                  <w:noWrap w:val="0"/>
                  <w:vAlign w:val="center"/>
                </w:tcPr>
                <w:p w14:paraId="2AC8952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户内</w:t>
                  </w:r>
                </w:p>
              </w:tc>
              <w:tc>
                <w:tcPr>
                  <w:tcW w:w="314" w:type="pct"/>
                  <w:tcBorders>
                    <w:tl2br w:val="nil"/>
                    <w:tr2bl w:val="nil"/>
                  </w:tcBorders>
                  <w:noWrap w:val="0"/>
                  <w:vAlign w:val="center"/>
                </w:tcPr>
                <w:p w14:paraId="317BE9F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1A41E51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w:t>
                  </w:r>
                </w:p>
              </w:tc>
              <w:tc>
                <w:tcPr>
                  <w:tcW w:w="857" w:type="pct"/>
                  <w:tcBorders>
                    <w:tl2br w:val="nil"/>
                    <w:tr2bl w:val="nil"/>
                  </w:tcBorders>
                  <w:noWrap w:val="0"/>
                  <w:vAlign w:val="center"/>
                </w:tcPr>
                <w:p w14:paraId="325C8DF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4B45A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D3D78F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8</w:t>
                  </w:r>
                </w:p>
              </w:tc>
              <w:tc>
                <w:tcPr>
                  <w:tcW w:w="890" w:type="pct"/>
                  <w:tcBorders>
                    <w:tl2br w:val="nil"/>
                    <w:tr2bl w:val="nil"/>
                  </w:tcBorders>
                  <w:noWrap w:val="0"/>
                  <w:vAlign w:val="center"/>
                </w:tcPr>
                <w:p w14:paraId="2167139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应急照明配电箱</w:t>
                  </w:r>
                </w:p>
              </w:tc>
              <w:tc>
                <w:tcPr>
                  <w:tcW w:w="2359" w:type="pct"/>
                  <w:tcBorders>
                    <w:tl2br w:val="nil"/>
                    <w:tr2bl w:val="nil"/>
                  </w:tcBorders>
                  <w:noWrap w:val="0"/>
                  <w:vAlign w:val="center"/>
                </w:tcPr>
                <w:p w14:paraId="3BF6BAE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户内</w:t>
                  </w:r>
                </w:p>
              </w:tc>
              <w:tc>
                <w:tcPr>
                  <w:tcW w:w="314" w:type="pct"/>
                  <w:tcBorders>
                    <w:tl2br w:val="nil"/>
                    <w:tr2bl w:val="nil"/>
                  </w:tcBorders>
                  <w:noWrap w:val="0"/>
                  <w:vAlign w:val="center"/>
                </w:tcPr>
                <w:p w14:paraId="787E716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个</w:t>
                  </w:r>
                </w:p>
              </w:tc>
              <w:tc>
                <w:tcPr>
                  <w:tcW w:w="303" w:type="pct"/>
                  <w:tcBorders>
                    <w:tl2br w:val="nil"/>
                    <w:tr2bl w:val="nil"/>
                  </w:tcBorders>
                  <w:noWrap w:val="0"/>
                  <w:vAlign w:val="center"/>
                </w:tcPr>
                <w:p w14:paraId="0A9D09F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09E71F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0777A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63A5058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w:t>
                  </w:r>
                </w:p>
              </w:tc>
              <w:tc>
                <w:tcPr>
                  <w:tcW w:w="890" w:type="pct"/>
                  <w:tcBorders>
                    <w:tl2br w:val="nil"/>
                    <w:tr2bl w:val="nil"/>
                  </w:tcBorders>
                  <w:noWrap w:val="0"/>
                  <w:vAlign w:val="center"/>
                </w:tcPr>
                <w:p w14:paraId="0E68609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管吊式双管荧光灯</w:t>
                  </w:r>
                </w:p>
              </w:tc>
              <w:tc>
                <w:tcPr>
                  <w:tcW w:w="2359" w:type="pct"/>
                  <w:tcBorders>
                    <w:tl2br w:val="nil"/>
                    <w:tr2bl w:val="nil"/>
                  </w:tcBorders>
                  <w:noWrap w:val="0"/>
                  <w:vAlign w:val="center"/>
                </w:tcPr>
                <w:p w14:paraId="49D03DF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LED2</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20W</w:t>
                  </w:r>
                </w:p>
              </w:tc>
              <w:tc>
                <w:tcPr>
                  <w:tcW w:w="314" w:type="pct"/>
                  <w:tcBorders>
                    <w:tl2br w:val="nil"/>
                    <w:tr2bl w:val="nil"/>
                  </w:tcBorders>
                  <w:noWrap w:val="0"/>
                  <w:vAlign w:val="center"/>
                </w:tcPr>
                <w:p w14:paraId="1653320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6876D57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14</w:t>
                  </w:r>
                </w:p>
              </w:tc>
              <w:tc>
                <w:tcPr>
                  <w:tcW w:w="857" w:type="pct"/>
                  <w:tcBorders>
                    <w:tl2br w:val="nil"/>
                    <w:tr2bl w:val="nil"/>
                  </w:tcBorders>
                  <w:noWrap w:val="0"/>
                  <w:vAlign w:val="center"/>
                </w:tcPr>
                <w:p w14:paraId="246E970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B805C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5B41DDA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890" w:type="pct"/>
                  <w:tcBorders>
                    <w:tl2br w:val="nil"/>
                    <w:tr2bl w:val="nil"/>
                  </w:tcBorders>
                  <w:noWrap w:val="0"/>
                  <w:vAlign w:val="center"/>
                </w:tcPr>
                <w:p w14:paraId="2779D18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嵌入式双管荧光灯</w:t>
                  </w:r>
                </w:p>
              </w:tc>
              <w:tc>
                <w:tcPr>
                  <w:tcW w:w="2359" w:type="pct"/>
                  <w:tcBorders>
                    <w:tl2br w:val="nil"/>
                    <w:tr2bl w:val="nil"/>
                  </w:tcBorders>
                  <w:noWrap w:val="0"/>
                  <w:vAlign w:val="center"/>
                </w:tcPr>
                <w:p w14:paraId="763E2E7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LED2</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20W</w:t>
                  </w:r>
                </w:p>
              </w:tc>
              <w:tc>
                <w:tcPr>
                  <w:tcW w:w="314" w:type="pct"/>
                  <w:tcBorders>
                    <w:tl2br w:val="nil"/>
                    <w:tr2bl w:val="nil"/>
                  </w:tcBorders>
                  <w:noWrap w:val="0"/>
                  <w:vAlign w:val="center"/>
                </w:tcPr>
                <w:p w14:paraId="0A36FDF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61942E0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80</w:t>
                  </w:r>
                </w:p>
              </w:tc>
              <w:tc>
                <w:tcPr>
                  <w:tcW w:w="857" w:type="pct"/>
                  <w:tcBorders>
                    <w:tl2br w:val="nil"/>
                    <w:tr2bl w:val="nil"/>
                  </w:tcBorders>
                  <w:noWrap w:val="0"/>
                  <w:vAlign w:val="center"/>
                </w:tcPr>
                <w:p w14:paraId="564EE57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9A52B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218FE2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11</w:t>
                  </w:r>
                </w:p>
              </w:tc>
              <w:tc>
                <w:tcPr>
                  <w:tcW w:w="890" w:type="pct"/>
                  <w:tcBorders>
                    <w:tl2br w:val="nil"/>
                    <w:tr2bl w:val="nil"/>
                  </w:tcBorders>
                  <w:noWrap w:val="0"/>
                  <w:vAlign w:val="center"/>
                </w:tcPr>
                <w:p w14:paraId="7B84044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吸顶灯</w:t>
                  </w:r>
                </w:p>
              </w:tc>
              <w:tc>
                <w:tcPr>
                  <w:tcW w:w="2359" w:type="pct"/>
                  <w:tcBorders>
                    <w:tl2br w:val="nil"/>
                    <w:tr2bl w:val="nil"/>
                  </w:tcBorders>
                  <w:noWrap w:val="0"/>
                  <w:vAlign w:val="center"/>
                </w:tcPr>
                <w:p w14:paraId="6E27C33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 15W</w:t>
                  </w:r>
                </w:p>
              </w:tc>
              <w:tc>
                <w:tcPr>
                  <w:tcW w:w="314" w:type="pct"/>
                  <w:tcBorders>
                    <w:tl2br w:val="nil"/>
                    <w:tr2bl w:val="nil"/>
                  </w:tcBorders>
                  <w:noWrap w:val="0"/>
                  <w:vAlign w:val="center"/>
                </w:tcPr>
                <w:p w14:paraId="1E9E7BD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20EE63C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30</w:t>
                  </w:r>
                </w:p>
              </w:tc>
              <w:tc>
                <w:tcPr>
                  <w:tcW w:w="857" w:type="pct"/>
                  <w:tcBorders>
                    <w:tl2br w:val="nil"/>
                    <w:tr2bl w:val="nil"/>
                  </w:tcBorders>
                  <w:noWrap w:val="0"/>
                  <w:vAlign w:val="center"/>
                </w:tcPr>
                <w:p w14:paraId="3C2AA94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D781E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4A2D716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w:t>
                  </w:r>
                </w:p>
              </w:tc>
              <w:tc>
                <w:tcPr>
                  <w:tcW w:w="890" w:type="pct"/>
                  <w:tcBorders>
                    <w:tl2br w:val="nil"/>
                    <w:tr2bl w:val="nil"/>
                  </w:tcBorders>
                  <w:noWrap w:val="0"/>
                  <w:vAlign w:val="center"/>
                </w:tcPr>
                <w:p w14:paraId="54FEE9B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防水防尘吸顶灯</w:t>
                  </w:r>
                </w:p>
              </w:tc>
              <w:tc>
                <w:tcPr>
                  <w:tcW w:w="2359" w:type="pct"/>
                  <w:tcBorders>
                    <w:tl2br w:val="nil"/>
                    <w:tr2bl w:val="nil"/>
                  </w:tcBorders>
                  <w:noWrap w:val="0"/>
                  <w:vAlign w:val="center"/>
                </w:tcPr>
                <w:p w14:paraId="41FE675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 15W</w:t>
                  </w:r>
                </w:p>
              </w:tc>
              <w:tc>
                <w:tcPr>
                  <w:tcW w:w="314" w:type="pct"/>
                  <w:tcBorders>
                    <w:tl2br w:val="nil"/>
                    <w:tr2bl w:val="nil"/>
                  </w:tcBorders>
                  <w:noWrap w:val="0"/>
                  <w:vAlign w:val="center"/>
                </w:tcPr>
                <w:p w14:paraId="359B4DA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1E18B4D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857" w:type="pct"/>
                  <w:tcBorders>
                    <w:tl2br w:val="nil"/>
                    <w:tr2bl w:val="nil"/>
                  </w:tcBorders>
                  <w:noWrap w:val="0"/>
                  <w:vAlign w:val="center"/>
                </w:tcPr>
                <w:p w14:paraId="042E6D7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CFCED3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E18AA5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13</w:t>
                  </w:r>
                </w:p>
              </w:tc>
              <w:tc>
                <w:tcPr>
                  <w:tcW w:w="890" w:type="pct"/>
                  <w:tcBorders>
                    <w:tl2br w:val="nil"/>
                    <w:tr2bl w:val="nil"/>
                  </w:tcBorders>
                  <w:noWrap w:val="0"/>
                  <w:vAlign w:val="center"/>
                </w:tcPr>
                <w:p w14:paraId="2E49C97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防潮吸顶灯</w:t>
                  </w:r>
                </w:p>
              </w:tc>
              <w:tc>
                <w:tcPr>
                  <w:tcW w:w="2359" w:type="pct"/>
                  <w:tcBorders>
                    <w:tl2br w:val="nil"/>
                    <w:tr2bl w:val="nil"/>
                  </w:tcBorders>
                  <w:noWrap w:val="0"/>
                  <w:vAlign w:val="center"/>
                </w:tcPr>
                <w:p w14:paraId="6FB852C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 32W，AC 24V</w:t>
                  </w:r>
                </w:p>
              </w:tc>
              <w:tc>
                <w:tcPr>
                  <w:tcW w:w="314" w:type="pct"/>
                  <w:tcBorders>
                    <w:tl2br w:val="nil"/>
                    <w:tr2bl w:val="nil"/>
                  </w:tcBorders>
                  <w:noWrap w:val="0"/>
                  <w:vAlign w:val="center"/>
                </w:tcPr>
                <w:p w14:paraId="62D9A7F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3E82279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15</w:t>
                  </w:r>
                </w:p>
              </w:tc>
              <w:tc>
                <w:tcPr>
                  <w:tcW w:w="857" w:type="pct"/>
                  <w:tcBorders>
                    <w:tl2br w:val="nil"/>
                    <w:tr2bl w:val="nil"/>
                  </w:tcBorders>
                  <w:noWrap w:val="0"/>
                  <w:vAlign w:val="center"/>
                </w:tcPr>
                <w:p w14:paraId="23F8618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CF3A8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54C1891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14</w:t>
                  </w:r>
                </w:p>
              </w:tc>
              <w:tc>
                <w:tcPr>
                  <w:tcW w:w="890" w:type="pct"/>
                  <w:tcBorders>
                    <w:tl2br w:val="nil"/>
                    <w:tr2bl w:val="nil"/>
                  </w:tcBorders>
                  <w:noWrap w:val="0"/>
                  <w:vAlign w:val="center"/>
                </w:tcPr>
                <w:p w14:paraId="7DFE5C2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隔爆防爆灯</w:t>
                  </w:r>
                </w:p>
              </w:tc>
              <w:tc>
                <w:tcPr>
                  <w:tcW w:w="2359" w:type="pct"/>
                  <w:tcBorders>
                    <w:tl2br w:val="nil"/>
                    <w:tr2bl w:val="nil"/>
                  </w:tcBorders>
                  <w:noWrap w:val="0"/>
                  <w:vAlign w:val="center"/>
                </w:tcPr>
                <w:p w14:paraId="615141B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LED，GCD-1×30W</w:t>
                  </w:r>
                </w:p>
              </w:tc>
              <w:tc>
                <w:tcPr>
                  <w:tcW w:w="314" w:type="pct"/>
                  <w:tcBorders>
                    <w:tl2br w:val="nil"/>
                    <w:tr2bl w:val="nil"/>
                  </w:tcBorders>
                  <w:noWrap w:val="0"/>
                  <w:vAlign w:val="center"/>
                </w:tcPr>
                <w:p w14:paraId="4AC8BFE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0CC9726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w:t>
                  </w:r>
                </w:p>
              </w:tc>
              <w:tc>
                <w:tcPr>
                  <w:tcW w:w="857" w:type="pct"/>
                  <w:tcBorders>
                    <w:tl2br w:val="nil"/>
                    <w:tr2bl w:val="nil"/>
                  </w:tcBorders>
                  <w:noWrap w:val="0"/>
                  <w:vAlign w:val="center"/>
                </w:tcPr>
                <w:p w14:paraId="14160F3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FC7C3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28C7FEE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15</w:t>
                  </w:r>
                </w:p>
              </w:tc>
              <w:tc>
                <w:tcPr>
                  <w:tcW w:w="890" w:type="pct"/>
                  <w:tcBorders>
                    <w:tl2br w:val="nil"/>
                    <w:tr2bl w:val="nil"/>
                  </w:tcBorders>
                  <w:noWrap w:val="0"/>
                  <w:vAlign w:val="center"/>
                </w:tcPr>
                <w:p w14:paraId="678D6DA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LED路灯</w:t>
                  </w:r>
                </w:p>
              </w:tc>
              <w:tc>
                <w:tcPr>
                  <w:tcW w:w="2359" w:type="pct"/>
                  <w:tcBorders>
                    <w:tl2br w:val="nil"/>
                    <w:tr2bl w:val="nil"/>
                  </w:tcBorders>
                  <w:noWrap w:val="0"/>
                  <w:vAlign w:val="center"/>
                </w:tcPr>
                <w:p w14:paraId="141E741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 80W</w:t>
                  </w:r>
                </w:p>
              </w:tc>
              <w:tc>
                <w:tcPr>
                  <w:tcW w:w="314" w:type="pct"/>
                  <w:tcBorders>
                    <w:tl2br w:val="nil"/>
                    <w:tr2bl w:val="nil"/>
                  </w:tcBorders>
                  <w:noWrap w:val="0"/>
                  <w:vAlign w:val="center"/>
                </w:tcPr>
                <w:p w14:paraId="6822E81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0852E08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166</w:t>
                  </w:r>
                </w:p>
              </w:tc>
              <w:tc>
                <w:tcPr>
                  <w:tcW w:w="857" w:type="pct"/>
                  <w:tcBorders>
                    <w:tl2br w:val="nil"/>
                    <w:tr2bl w:val="nil"/>
                  </w:tcBorders>
                  <w:noWrap w:val="0"/>
                  <w:vAlign w:val="center"/>
                </w:tcPr>
                <w:p w14:paraId="59C2F6C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立杆安装</w:t>
                  </w:r>
                </w:p>
              </w:tc>
            </w:tr>
            <w:tr w14:paraId="4EE52B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D44FAD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16</w:t>
                  </w:r>
                </w:p>
              </w:tc>
              <w:tc>
                <w:tcPr>
                  <w:tcW w:w="890" w:type="pct"/>
                  <w:tcBorders>
                    <w:tl2br w:val="nil"/>
                    <w:tr2bl w:val="nil"/>
                  </w:tcBorders>
                  <w:noWrap w:val="0"/>
                  <w:vAlign w:val="center"/>
                </w:tcPr>
                <w:p w14:paraId="1816288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LED投光灯</w:t>
                  </w:r>
                </w:p>
              </w:tc>
              <w:tc>
                <w:tcPr>
                  <w:tcW w:w="2359" w:type="pct"/>
                  <w:tcBorders>
                    <w:tl2br w:val="nil"/>
                    <w:tr2bl w:val="nil"/>
                  </w:tcBorders>
                  <w:noWrap w:val="0"/>
                  <w:vAlign w:val="center"/>
                </w:tcPr>
                <w:p w14:paraId="7699ACFF">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LED 100W</w:t>
                  </w:r>
                </w:p>
              </w:tc>
              <w:tc>
                <w:tcPr>
                  <w:tcW w:w="314" w:type="pct"/>
                  <w:tcBorders>
                    <w:tl2br w:val="nil"/>
                    <w:tr2bl w:val="nil"/>
                  </w:tcBorders>
                  <w:noWrap w:val="0"/>
                  <w:vAlign w:val="center"/>
                </w:tcPr>
                <w:p w14:paraId="689A72A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23416C2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120</w:t>
                  </w:r>
                </w:p>
              </w:tc>
              <w:tc>
                <w:tcPr>
                  <w:tcW w:w="857" w:type="pct"/>
                  <w:tcBorders>
                    <w:tl2br w:val="nil"/>
                    <w:tr2bl w:val="nil"/>
                  </w:tcBorders>
                  <w:noWrap w:val="0"/>
                  <w:vAlign w:val="center"/>
                </w:tcPr>
                <w:p w14:paraId="2088537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立杆安装</w:t>
                  </w:r>
                </w:p>
              </w:tc>
            </w:tr>
            <w:tr w14:paraId="046B0F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0CAEBD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17</w:t>
                  </w:r>
                </w:p>
              </w:tc>
              <w:tc>
                <w:tcPr>
                  <w:tcW w:w="890" w:type="pct"/>
                  <w:tcBorders>
                    <w:tl2br w:val="nil"/>
                    <w:tr2bl w:val="nil"/>
                  </w:tcBorders>
                  <w:noWrap w:val="0"/>
                  <w:vAlign w:val="center"/>
                </w:tcPr>
                <w:p w14:paraId="4B73E20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插座及开关</w:t>
                  </w:r>
                </w:p>
              </w:tc>
              <w:tc>
                <w:tcPr>
                  <w:tcW w:w="2359" w:type="pct"/>
                  <w:tcBorders>
                    <w:tl2br w:val="nil"/>
                    <w:tr2bl w:val="nil"/>
                  </w:tcBorders>
                  <w:noWrap w:val="0"/>
                  <w:vAlign w:val="center"/>
                </w:tcPr>
                <w:p w14:paraId="5133975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各种型号</w:t>
                  </w:r>
                </w:p>
              </w:tc>
              <w:tc>
                <w:tcPr>
                  <w:tcW w:w="314" w:type="pct"/>
                  <w:tcBorders>
                    <w:tl2br w:val="nil"/>
                    <w:tr2bl w:val="nil"/>
                  </w:tcBorders>
                  <w:noWrap w:val="0"/>
                  <w:vAlign w:val="center"/>
                </w:tcPr>
                <w:p w14:paraId="7F01550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034327F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260</w:t>
                  </w:r>
                </w:p>
              </w:tc>
              <w:tc>
                <w:tcPr>
                  <w:tcW w:w="857" w:type="pct"/>
                  <w:tcBorders>
                    <w:tl2br w:val="nil"/>
                    <w:tr2bl w:val="nil"/>
                  </w:tcBorders>
                  <w:noWrap w:val="0"/>
                  <w:vAlign w:val="center"/>
                </w:tcPr>
                <w:p w14:paraId="44BD374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7A080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246380F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18</w:t>
                  </w:r>
                </w:p>
              </w:tc>
              <w:tc>
                <w:tcPr>
                  <w:tcW w:w="890" w:type="pct"/>
                  <w:tcBorders>
                    <w:tl2br w:val="nil"/>
                    <w:tr2bl w:val="nil"/>
                  </w:tcBorders>
                  <w:noWrap w:val="0"/>
                  <w:vAlign w:val="center"/>
                </w:tcPr>
                <w:p w14:paraId="0BAC3AE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电缆沟架</w:t>
                  </w:r>
                </w:p>
              </w:tc>
              <w:tc>
                <w:tcPr>
                  <w:tcW w:w="2359" w:type="pct"/>
                  <w:tcBorders>
                    <w:tl2br w:val="nil"/>
                    <w:tr2bl w:val="nil"/>
                  </w:tcBorders>
                  <w:noWrap w:val="0"/>
                  <w:vAlign w:val="center"/>
                </w:tcPr>
                <w:p w14:paraId="4B083EA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各种型号</w:t>
                  </w:r>
                </w:p>
              </w:tc>
              <w:tc>
                <w:tcPr>
                  <w:tcW w:w="314" w:type="pct"/>
                  <w:tcBorders>
                    <w:tl2br w:val="nil"/>
                    <w:tr2bl w:val="nil"/>
                  </w:tcBorders>
                  <w:noWrap w:val="0"/>
                  <w:vAlign w:val="center"/>
                </w:tcPr>
                <w:p w14:paraId="6A8D037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t</w:t>
                  </w:r>
                </w:p>
              </w:tc>
              <w:tc>
                <w:tcPr>
                  <w:tcW w:w="303" w:type="pct"/>
                  <w:tcBorders>
                    <w:tl2br w:val="nil"/>
                    <w:tr2bl w:val="nil"/>
                  </w:tcBorders>
                  <w:noWrap w:val="0"/>
                  <w:vAlign w:val="center"/>
                </w:tcPr>
                <w:p w14:paraId="703D4A5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w:t>
                  </w:r>
                </w:p>
              </w:tc>
              <w:tc>
                <w:tcPr>
                  <w:tcW w:w="857" w:type="pct"/>
                  <w:tcBorders>
                    <w:tl2br w:val="nil"/>
                    <w:tr2bl w:val="nil"/>
                  </w:tcBorders>
                  <w:noWrap w:val="0"/>
                  <w:vAlign w:val="center"/>
                </w:tcPr>
                <w:p w14:paraId="2DB789F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FA8F0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11047AF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19</w:t>
                  </w:r>
                </w:p>
              </w:tc>
              <w:tc>
                <w:tcPr>
                  <w:tcW w:w="890" w:type="pct"/>
                  <w:tcBorders>
                    <w:tl2br w:val="nil"/>
                    <w:tr2bl w:val="nil"/>
                  </w:tcBorders>
                  <w:noWrap w:val="0"/>
                  <w:vAlign w:val="center"/>
                </w:tcPr>
                <w:p w14:paraId="26D26C4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电缆桥架槽盒</w:t>
                  </w:r>
                </w:p>
              </w:tc>
              <w:tc>
                <w:tcPr>
                  <w:tcW w:w="2359" w:type="pct"/>
                  <w:tcBorders>
                    <w:tl2br w:val="nil"/>
                    <w:tr2bl w:val="nil"/>
                  </w:tcBorders>
                  <w:noWrap w:val="0"/>
                  <w:vAlign w:val="center"/>
                </w:tcPr>
                <w:p w14:paraId="7B4E700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各种型号</w:t>
                  </w:r>
                </w:p>
              </w:tc>
              <w:tc>
                <w:tcPr>
                  <w:tcW w:w="314" w:type="pct"/>
                  <w:tcBorders>
                    <w:tl2br w:val="nil"/>
                    <w:tr2bl w:val="nil"/>
                  </w:tcBorders>
                  <w:noWrap w:val="0"/>
                  <w:vAlign w:val="center"/>
                </w:tcPr>
                <w:p w14:paraId="6EDFACC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km</w:t>
                  </w:r>
                </w:p>
              </w:tc>
              <w:tc>
                <w:tcPr>
                  <w:tcW w:w="303" w:type="pct"/>
                  <w:tcBorders>
                    <w:tl2br w:val="nil"/>
                    <w:tr2bl w:val="nil"/>
                  </w:tcBorders>
                  <w:noWrap w:val="0"/>
                  <w:vAlign w:val="center"/>
                </w:tcPr>
                <w:p w14:paraId="52523A0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p>
              </w:tc>
              <w:tc>
                <w:tcPr>
                  <w:tcW w:w="857" w:type="pct"/>
                  <w:tcBorders>
                    <w:tl2br w:val="nil"/>
                    <w:tr2bl w:val="nil"/>
                  </w:tcBorders>
                  <w:noWrap w:val="0"/>
                  <w:vAlign w:val="center"/>
                </w:tcPr>
                <w:p w14:paraId="2C8A1E6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6097C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4FE17FE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w:t>
                  </w:r>
                </w:p>
              </w:tc>
              <w:tc>
                <w:tcPr>
                  <w:tcW w:w="890" w:type="pct"/>
                  <w:tcBorders>
                    <w:tl2br w:val="nil"/>
                    <w:tr2bl w:val="nil"/>
                  </w:tcBorders>
                  <w:noWrap w:val="0"/>
                  <w:vAlign w:val="center"/>
                </w:tcPr>
                <w:p w14:paraId="3FD01E9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防火封堵</w:t>
                  </w:r>
                </w:p>
              </w:tc>
              <w:tc>
                <w:tcPr>
                  <w:tcW w:w="2359" w:type="pct"/>
                  <w:tcBorders>
                    <w:tl2br w:val="nil"/>
                    <w:tr2bl w:val="nil"/>
                  </w:tcBorders>
                  <w:noWrap w:val="0"/>
                  <w:vAlign w:val="center"/>
                </w:tcPr>
                <w:p w14:paraId="73BE45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274754F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tcBorders>
                    <w:tl2br w:val="nil"/>
                    <w:tr2bl w:val="nil"/>
                  </w:tcBorders>
                  <w:noWrap w:val="0"/>
                  <w:vAlign w:val="center"/>
                </w:tcPr>
                <w:p w14:paraId="38D74CA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0B529D6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01307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656605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1</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2ED37FD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阻火模块</w:t>
                  </w:r>
                </w:p>
              </w:tc>
              <w:tc>
                <w:tcPr>
                  <w:tcW w:w="2359" w:type="pct"/>
                  <w:tcBorders>
                    <w:tl2br w:val="nil"/>
                    <w:tr2bl w:val="nil"/>
                  </w:tcBorders>
                  <w:noWrap w:val="0"/>
                  <w:vAlign w:val="center"/>
                </w:tcPr>
                <w:p w14:paraId="15470D0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无机240×120×60</w:t>
                  </w:r>
                </w:p>
              </w:tc>
              <w:tc>
                <w:tcPr>
                  <w:tcW w:w="314" w:type="pct"/>
                  <w:tcBorders>
                    <w:tl2br w:val="nil"/>
                    <w:tr2bl w:val="nil"/>
                  </w:tcBorders>
                  <w:noWrap w:val="0"/>
                  <w:vAlign w:val="center"/>
                </w:tcPr>
                <w:p w14:paraId="6AB427A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立方米</w:t>
                  </w:r>
                </w:p>
              </w:tc>
              <w:tc>
                <w:tcPr>
                  <w:tcW w:w="303" w:type="pct"/>
                  <w:tcBorders>
                    <w:tl2br w:val="nil"/>
                    <w:tr2bl w:val="nil"/>
                  </w:tcBorders>
                  <w:noWrap w:val="0"/>
                  <w:vAlign w:val="center"/>
                </w:tcPr>
                <w:p w14:paraId="0853D776">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80</w:t>
                  </w:r>
                </w:p>
              </w:tc>
              <w:tc>
                <w:tcPr>
                  <w:tcW w:w="857" w:type="pct"/>
                  <w:tcBorders>
                    <w:tl2br w:val="nil"/>
                    <w:tr2bl w:val="nil"/>
                  </w:tcBorders>
                  <w:noWrap w:val="0"/>
                  <w:vAlign w:val="center"/>
                </w:tcPr>
                <w:p w14:paraId="5A4950C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FBBAB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90" w:hRule="atLeast"/>
              </w:trPr>
              <w:tc>
                <w:tcPr>
                  <w:tcW w:w="274" w:type="pct"/>
                  <w:tcBorders>
                    <w:tl2br w:val="nil"/>
                    <w:tr2bl w:val="nil"/>
                  </w:tcBorders>
                  <w:noWrap w:val="0"/>
                  <w:vAlign w:val="center"/>
                </w:tcPr>
                <w:p w14:paraId="6B51D11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2</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008DF35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有机防火堵料</w:t>
                  </w:r>
                </w:p>
              </w:tc>
              <w:tc>
                <w:tcPr>
                  <w:tcW w:w="2359" w:type="pct"/>
                  <w:tcBorders>
                    <w:tl2br w:val="nil"/>
                    <w:tr2bl w:val="nil"/>
                  </w:tcBorders>
                  <w:noWrap w:val="0"/>
                  <w:vAlign w:val="center"/>
                </w:tcPr>
                <w:p w14:paraId="6070F52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AB-2</w:t>
                  </w:r>
                </w:p>
              </w:tc>
              <w:tc>
                <w:tcPr>
                  <w:tcW w:w="314" w:type="pct"/>
                  <w:tcBorders>
                    <w:tl2br w:val="nil"/>
                    <w:tr2bl w:val="nil"/>
                  </w:tcBorders>
                  <w:noWrap w:val="0"/>
                  <w:vAlign w:val="center"/>
                </w:tcPr>
                <w:p w14:paraId="5C045F6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吨</w:t>
                  </w:r>
                </w:p>
              </w:tc>
              <w:tc>
                <w:tcPr>
                  <w:tcW w:w="303" w:type="pct"/>
                  <w:tcBorders>
                    <w:tl2br w:val="nil"/>
                    <w:tr2bl w:val="nil"/>
                  </w:tcBorders>
                  <w:noWrap w:val="0"/>
                  <w:vAlign w:val="center"/>
                </w:tcPr>
                <w:p w14:paraId="5BDB265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w:t>
                  </w:r>
                </w:p>
              </w:tc>
              <w:tc>
                <w:tcPr>
                  <w:tcW w:w="857" w:type="pct"/>
                  <w:tcBorders>
                    <w:tl2br w:val="nil"/>
                    <w:tr2bl w:val="nil"/>
                  </w:tcBorders>
                  <w:noWrap w:val="0"/>
                  <w:vAlign w:val="center"/>
                </w:tcPr>
                <w:p w14:paraId="41D981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3909C7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04C645D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3</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39839D1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防火涂料</w:t>
                  </w:r>
                </w:p>
              </w:tc>
              <w:tc>
                <w:tcPr>
                  <w:tcW w:w="2359" w:type="pct"/>
                  <w:tcBorders>
                    <w:tl2br w:val="nil"/>
                    <w:tr2bl w:val="nil"/>
                  </w:tcBorders>
                  <w:noWrap w:val="0"/>
                  <w:vAlign w:val="center"/>
                </w:tcPr>
                <w:p w14:paraId="64AF5AF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t60-1</w:t>
                  </w:r>
                </w:p>
              </w:tc>
              <w:tc>
                <w:tcPr>
                  <w:tcW w:w="314" w:type="pct"/>
                  <w:tcBorders>
                    <w:tl2br w:val="nil"/>
                    <w:tr2bl w:val="nil"/>
                  </w:tcBorders>
                  <w:noWrap w:val="0"/>
                  <w:vAlign w:val="center"/>
                </w:tcPr>
                <w:p w14:paraId="32358AA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吨</w:t>
                  </w:r>
                </w:p>
              </w:tc>
              <w:tc>
                <w:tcPr>
                  <w:tcW w:w="303" w:type="pct"/>
                  <w:tcBorders>
                    <w:tl2br w:val="nil"/>
                    <w:tr2bl w:val="nil"/>
                  </w:tcBorders>
                  <w:noWrap w:val="0"/>
                  <w:vAlign w:val="center"/>
                </w:tcPr>
                <w:p w14:paraId="4EDA617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857" w:type="pct"/>
                  <w:tcBorders>
                    <w:tl2br w:val="nil"/>
                    <w:tr2bl w:val="nil"/>
                  </w:tcBorders>
                  <w:noWrap w:val="0"/>
                  <w:vAlign w:val="center"/>
                </w:tcPr>
                <w:p w14:paraId="10A7359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9A397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4989C90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21</w:t>
                  </w:r>
                </w:p>
              </w:tc>
              <w:tc>
                <w:tcPr>
                  <w:tcW w:w="890" w:type="pct"/>
                  <w:tcBorders>
                    <w:tl2br w:val="nil"/>
                    <w:tr2bl w:val="nil"/>
                  </w:tcBorders>
                  <w:noWrap w:val="0"/>
                  <w:vAlign w:val="center"/>
                </w:tcPr>
                <w:p w14:paraId="77961E5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管状母线</w:t>
                  </w:r>
                </w:p>
              </w:tc>
              <w:tc>
                <w:tcPr>
                  <w:tcW w:w="2359" w:type="pct"/>
                  <w:tcBorders>
                    <w:tl2br w:val="nil"/>
                    <w:tr2bl w:val="nil"/>
                  </w:tcBorders>
                  <w:noWrap w:val="0"/>
                  <w:vAlign w:val="center"/>
                </w:tcPr>
                <w:p w14:paraId="478A69F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6063G-φ150/230</w:t>
                  </w:r>
                </w:p>
              </w:tc>
              <w:tc>
                <w:tcPr>
                  <w:tcW w:w="314" w:type="pct"/>
                  <w:tcBorders>
                    <w:tl2br w:val="nil"/>
                    <w:tr2bl w:val="nil"/>
                  </w:tcBorders>
                  <w:noWrap w:val="0"/>
                  <w:vAlign w:val="center"/>
                </w:tcPr>
                <w:p w14:paraId="4706A2E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33E2AAA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160</w:t>
                  </w:r>
                </w:p>
              </w:tc>
              <w:tc>
                <w:tcPr>
                  <w:tcW w:w="857" w:type="pct"/>
                  <w:tcBorders>
                    <w:tl2br w:val="nil"/>
                    <w:tr2bl w:val="nil"/>
                  </w:tcBorders>
                  <w:noWrap w:val="0"/>
                  <w:vAlign w:val="center"/>
                </w:tcPr>
                <w:p w14:paraId="6493F35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FF452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2AA8C18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22</w:t>
                  </w:r>
                </w:p>
              </w:tc>
              <w:tc>
                <w:tcPr>
                  <w:tcW w:w="890" w:type="pct"/>
                  <w:vMerge w:val="restart"/>
                  <w:tcBorders>
                    <w:tl2br w:val="nil"/>
                    <w:tr2bl w:val="nil"/>
                  </w:tcBorders>
                  <w:noWrap w:val="0"/>
                  <w:vAlign w:val="center"/>
                </w:tcPr>
                <w:p w14:paraId="49B19F1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钢芯铝绞线</w:t>
                  </w:r>
                </w:p>
              </w:tc>
              <w:tc>
                <w:tcPr>
                  <w:tcW w:w="2359" w:type="pct"/>
                  <w:tcBorders>
                    <w:tl2br w:val="nil"/>
                    <w:tr2bl w:val="nil"/>
                  </w:tcBorders>
                  <w:noWrap w:val="0"/>
                  <w:vAlign w:val="center"/>
                </w:tcPr>
                <w:p w14:paraId="634D846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LGJ-630/55</w:t>
                  </w:r>
                </w:p>
              </w:tc>
              <w:tc>
                <w:tcPr>
                  <w:tcW w:w="314" w:type="pct"/>
                  <w:tcBorders>
                    <w:tl2br w:val="nil"/>
                    <w:tr2bl w:val="nil"/>
                  </w:tcBorders>
                  <w:noWrap w:val="0"/>
                  <w:vAlign w:val="center"/>
                </w:tcPr>
                <w:p w14:paraId="3ADF81A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47D9EFA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900</w:t>
                  </w:r>
                </w:p>
              </w:tc>
              <w:tc>
                <w:tcPr>
                  <w:tcW w:w="857" w:type="pct"/>
                  <w:tcBorders>
                    <w:tl2br w:val="nil"/>
                    <w:tr2bl w:val="nil"/>
                  </w:tcBorders>
                  <w:noWrap w:val="0"/>
                  <w:vAlign w:val="center"/>
                </w:tcPr>
                <w:p w14:paraId="108FA544">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7FEB64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47B665C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7347A17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1A31D4D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LGJ-400/50</w:t>
                  </w:r>
                </w:p>
              </w:tc>
              <w:tc>
                <w:tcPr>
                  <w:tcW w:w="314" w:type="pct"/>
                  <w:tcBorders>
                    <w:tl2br w:val="nil"/>
                    <w:tr2bl w:val="nil"/>
                  </w:tcBorders>
                  <w:noWrap w:val="0"/>
                  <w:vAlign w:val="center"/>
                </w:tcPr>
                <w:p w14:paraId="03C0ABD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27D11CC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90</w:t>
                  </w:r>
                </w:p>
              </w:tc>
              <w:tc>
                <w:tcPr>
                  <w:tcW w:w="857" w:type="pct"/>
                  <w:tcBorders>
                    <w:tl2br w:val="nil"/>
                    <w:tr2bl w:val="nil"/>
                  </w:tcBorders>
                  <w:noWrap w:val="0"/>
                  <w:vAlign w:val="center"/>
                </w:tcPr>
                <w:p w14:paraId="63CDEA4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2B00C3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7F2D0C4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23</w:t>
                  </w:r>
                </w:p>
              </w:tc>
              <w:tc>
                <w:tcPr>
                  <w:tcW w:w="890" w:type="pct"/>
                  <w:vMerge w:val="restart"/>
                  <w:tcBorders>
                    <w:tl2br w:val="nil"/>
                    <w:tr2bl w:val="nil"/>
                  </w:tcBorders>
                  <w:noWrap w:val="0"/>
                  <w:vAlign w:val="center"/>
                </w:tcPr>
                <w:p w14:paraId="4536D8A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升压区电力电缆</w:t>
                  </w:r>
                </w:p>
              </w:tc>
              <w:tc>
                <w:tcPr>
                  <w:tcW w:w="2359" w:type="pct"/>
                  <w:tcBorders>
                    <w:tl2br w:val="nil"/>
                    <w:tr2bl w:val="nil"/>
                  </w:tcBorders>
                  <w:noWrap w:val="0"/>
                  <w:vAlign w:val="center"/>
                </w:tcPr>
                <w:p w14:paraId="265C108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阻燃电缆1kV</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ZC-YJY23-0.6/1kV型，电缆截面平均50mm</w:t>
                  </w:r>
                  <w:r>
                    <w:rPr>
                      <w:rFonts w:hint="default" w:ascii="Times New Roman" w:hAnsi="Times New Roman" w:cs="Times New Roman" w:eastAsiaTheme="minorEastAsia"/>
                      <w:color w:val="000000" w:themeColor="text1"/>
                      <w:spacing w:val="0"/>
                      <w:w w:val="100"/>
                      <w:position w:val="0"/>
                      <w:sz w:val="21"/>
                      <w:szCs w:val="21"/>
                      <w:vertAlign w:val="superscript"/>
                      <w14:textFill>
                        <w14:solidFill>
                          <w14:schemeClr w14:val="tx1"/>
                        </w14:solidFill>
                      </w14:textFill>
                    </w:rPr>
                    <w:t>2</w:t>
                  </w:r>
                </w:p>
              </w:tc>
              <w:tc>
                <w:tcPr>
                  <w:tcW w:w="314" w:type="pct"/>
                  <w:tcBorders>
                    <w:tl2br w:val="nil"/>
                    <w:tr2bl w:val="nil"/>
                  </w:tcBorders>
                  <w:noWrap w:val="0"/>
                  <w:vAlign w:val="center"/>
                </w:tcPr>
                <w:p w14:paraId="7862F2B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km</w:t>
                  </w:r>
                </w:p>
              </w:tc>
              <w:tc>
                <w:tcPr>
                  <w:tcW w:w="303" w:type="pct"/>
                  <w:tcBorders>
                    <w:tl2br w:val="nil"/>
                    <w:tr2bl w:val="nil"/>
                  </w:tcBorders>
                  <w:noWrap w:val="0"/>
                  <w:vAlign w:val="center"/>
                </w:tcPr>
                <w:p w14:paraId="0285D1C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12</w:t>
                  </w:r>
                </w:p>
              </w:tc>
              <w:tc>
                <w:tcPr>
                  <w:tcW w:w="857" w:type="pct"/>
                  <w:tcBorders>
                    <w:tl2br w:val="nil"/>
                    <w:tr2bl w:val="nil"/>
                  </w:tcBorders>
                  <w:noWrap w:val="0"/>
                  <w:vAlign w:val="center"/>
                </w:tcPr>
                <w:p w14:paraId="5D711B4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463673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5B9FD5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4DFADB8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741E3AB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耐火电缆1kV</w:t>
                  </w: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 xml:space="preserve"> </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NH-YJY23-0.6/1kV型，5芯，平均电缆截面50mm</w:t>
                  </w:r>
                  <w:r>
                    <w:rPr>
                      <w:rFonts w:hint="default" w:ascii="Times New Roman" w:hAnsi="Times New Roman" w:cs="Times New Roman" w:eastAsiaTheme="minorEastAsia"/>
                      <w:color w:val="000000" w:themeColor="text1"/>
                      <w:spacing w:val="0"/>
                      <w:w w:val="100"/>
                      <w:position w:val="0"/>
                      <w:sz w:val="21"/>
                      <w:szCs w:val="21"/>
                      <w:vertAlign w:val="superscript"/>
                      <w14:textFill>
                        <w14:solidFill>
                          <w14:schemeClr w14:val="tx1"/>
                        </w14:solidFill>
                      </w14:textFill>
                    </w:rPr>
                    <w:t>2</w:t>
                  </w:r>
                </w:p>
              </w:tc>
              <w:tc>
                <w:tcPr>
                  <w:tcW w:w="314" w:type="pct"/>
                  <w:tcBorders>
                    <w:tl2br w:val="nil"/>
                    <w:tr2bl w:val="nil"/>
                  </w:tcBorders>
                  <w:noWrap w:val="0"/>
                  <w:vAlign w:val="center"/>
                </w:tcPr>
                <w:p w14:paraId="655049E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km</w:t>
                  </w:r>
                </w:p>
              </w:tc>
              <w:tc>
                <w:tcPr>
                  <w:tcW w:w="303" w:type="pct"/>
                  <w:tcBorders>
                    <w:tl2br w:val="nil"/>
                    <w:tr2bl w:val="nil"/>
                  </w:tcBorders>
                  <w:noWrap w:val="0"/>
                  <w:vAlign w:val="center"/>
                </w:tcPr>
                <w:p w14:paraId="0706FC4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0.35</w:t>
                  </w:r>
                </w:p>
              </w:tc>
              <w:tc>
                <w:tcPr>
                  <w:tcW w:w="857" w:type="pct"/>
                  <w:tcBorders>
                    <w:tl2br w:val="nil"/>
                    <w:tr2bl w:val="nil"/>
                  </w:tcBorders>
                  <w:noWrap w:val="0"/>
                  <w:vAlign w:val="center"/>
                </w:tcPr>
                <w:p w14:paraId="0F3EE9A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F6E6B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0903918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11217D0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469DECC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ZC-YJY23-26/35kV-3×240</w:t>
                  </w:r>
                </w:p>
              </w:tc>
              <w:tc>
                <w:tcPr>
                  <w:tcW w:w="314" w:type="pct"/>
                  <w:tcBorders>
                    <w:tl2br w:val="nil"/>
                    <w:tr2bl w:val="nil"/>
                  </w:tcBorders>
                  <w:noWrap w:val="0"/>
                  <w:vAlign w:val="center"/>
                </w:tcPr>
                <w:p w14:paraId="7343F70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km</w:t>
                  </w:r>
                </w:p>
              </w:tc>
              <w:tc>
                <w:tcPr>
                  <w:tcW w:w="303" w:type="pct"/>
                  <w:tcBorders>
                    <w:tl2br w:val="nil"/>
                    <w:tr2bl w:val="nil"/>
                  </w:tcBorders>
                  <w:noWrap w:val="0"/>
                  <w:vAlign w:val="center"/>
                </w:tcPr>
                <w:p w14:paraId="515E691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0.32</w:t>
                  </w:r>
                </w:p>
              </w:tc>
              <w:tc>
                <w:tcPr>
                  <w:tcW w:w="857" w:type="pct"/>
                  <w:tcBorders>
                    <w:tl2br w:val="nil"/>
                    <w:tr2bl w:val="nil"/>
                  </w:tcBorders>
                  <w:noWrap w:val="0"/>
                  <w:vAlign w:val="center"/>
                </w:tcPr>
                <w:p w14:paraId="5587941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SVG用</w:t>
                  </w:r>
                </w:p>
              </w:tc>
            </w:tr>
            <w:tr w14:paraId="2804E0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41E7779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62CD35D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7EC575D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ZC-YJY23-26/35kV-3×150</w:t>
                  </w:r>
                </w:p>
              </w:tc>
              <w:tc>
                <w:tcPr>
                  <w:tcW w:w="314" w:type="pct"/>
                  <w:tcBorders>
                    <w:tl2br w:val="nil"/>
                    <w:tr2bl w:val="nil"/>
                  </w:tcBorders>
                  <w:noWrap w:val="0"/>
                  <w:vAlign w:val="center"/>
                </w:tcPr>
                <w:p w14:paraId="45EEEC0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km</w:t>
                  </w:r>
                </w:p>
              </w:tc>
              <w:tc>
                <w:tcPr>
                  <w:tcW w:w="303" w:type="pct"/>
                  <w:tcBorders>
                    <w:tl2br w:val="nil"/>
                    <w:tr2bl w:val="nil"/>
                  </w:tcBorders>
                  <w:noWrap w:val="0"/>
                  <w:vAlign w:val="center"/>
                </w:tcPr>
                <w:p w14:paraId="36F455E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0.025</w:t>
                  </w:r>
                </w:p>
              </w:tc>
              <w:tc>
                <w:tcPr>
                  <w:tcW w:w="857" w:type="pct"/>
                  <w:tcBorders>
                    <w:tl2br w:val="nil"/>
                    <w:tr2bl w:val="nil"/>
                  </w:tcBorders>
                  <w:noWrap w:val="0"/>
                  <w:vAlign w:val="center"/>
                </w:tcPr>
                <w:p w14:paraId="4D1901D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接地变用</w:t>
                  </w:r>
                </w:p>
              </w:tc>
            </w:tr>
            <w:tr w14:paraId="47D6A6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63F0F70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323ECA8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2C09428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ZC-YJY23-26/35kV-3×150</w:t>
                  </w:r>
                </w:p>
              </w:tc>
              <w:tc>
                <w:tcPr>
                  <w:tcW w:w="314" w:type="pct"/>
                  <w:tcBorders>
                    <w:tl2br w:val="nil"/>
                    <w:tr2bl w:val="nil"/>
                  </w:tcBorders>
                  <w:noWrap w:val="0"/>
                  <w:vAlign w:val="center"/>
                </w:tcPr>
                <w:p w14:paraId="7B8C5F7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km</w:t>
                  </w:r>
                </w:p>
              </w:tc>
              <w:tc>
                <w:tcPr>
                  <w:tcW w:w="303" w:type="pct"/>
                  <w:tcBorders>
                    <w:tl2br w:val="nil"/>
                    <w:tr2bl w:val="nil"/>
                  </w:tcBorders>
                  <w:noWrap w:val="0"/>
                  <w:vAlign w:val="center"/>
                </w:tcPr>
                <w:p w14:paraId="3B01D65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0.056</w:t>
                  </w:r>
                </w:p>
              </w:tc>
              <w:tc>
                <w:tcPr>
                  <w:tcW w:w="857" w:type="pct"/>
                  <w:tcBorders>
                    <w:tl2br w:val="nil"/>
                    <w:tr2bl w:val="nil"/>
                  </w:tcBorders>
                  <w:noWrap w:val="0"/>
                  <w:vAlign w:val="center"/>
                </w:tcPr>
                <w:p w14:paraId="0AB8432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站用变用</w:t>
                  </w:r>
                </w:p>
              </w:tc>
            </w:tr>
            <w:tr w14:paraId="310030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0646A3E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24</w:t>
                  </w:r>
                </w:p>
              </w:tc>
              <w:tc>
                <w:tcPr>
                  <w:tcW w:w="890" w:type="pct"/>
                  <w:vMerge w:val="restart"/>
                  <w:tcBorders>
                    <w:tl2br w:val="nil"/>
                    <w:tr2bl w:val="nil"/>
                  </w:tcBorders>
                  <w:noWrap w:val="0"/>
                  <w:vAlign w:val="center"/>
                </w:tcPr>
                <w:p w14:paraId="26B20AD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电缆终端附件</w:t>
                  </w:r>
                </w:p>
              </w:tc>
              <w:tc>
                <w:tcPr>
                  <w:tcW w:w="2359" w:type="pct"/>
                  <w:tcBorders>
                    <w:tl2br w:val="nil"/>
                    <w:tr2bl w:val="nil"/>
                  </w:tcBorders>
                  <w:noWrap w:val="0"/>
                  <w:vAlign w:val="center"/>
                </w:tcPr>
                <w:p w14:paraId="7077187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户外冷缩式，与ZC-YJY23-26/35kV-3×240配套</w:t>
                  </w:r>
                </w:p>
              </w:tc>
              <w:tc>
                <w:tcPr>
                  <w:tcW w:w="314" w:type="pct"/>
                  <w:tcBorders>
                    <w:tl2br w:val="nil"/>
                    <w:tr2bl w:val="nil"/>
                  </w:tcBorders>
                  <w:noWrap w:val="0"/>
                  <w:vAlign w:val="center"/>
                </w:tcPr>
                <w:p w14:paraId="2591AA8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708D5B0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57" w:type="pct"/>
                  <w:tcBorders>
                    <w:tl2br w:val="nil"/>
                    <w:tr2bl w:val="nil"/>
                  </w:tcBorders>
                  <w:noWrap w:val="0"/>
                  <w:vAlign w:val="center"/>
                </w:tcPr>
                <w:p w14:paraId="623B035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三相为一套</w:t>
                  </w:r>
                </w:p>
              </w:tc>
            </w:tr>
            <w:tr w14:paraId="1F615C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2619806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36A57BC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4B6A4492">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户内冷缩式，与ZC-YJY23-26/35kV-3×240配套</w:t>
                  </w:r>
                </w:p>
              </w:tc>
              <w:tc>
                <w:tcPr>
                  <w:tcW w:w="314" w:type="pct"/>
                  <w:tcBorders>
                    <w:tl2br w:val="nil"/>
                    <w:tr2bl w:val="nil"/>
                  </w:tcBorders>
                  <w:noWrap w:val="0"/>
                  <w:vAlign w:val="center"/>
                </w:tcPr>
                <w:p w14:paraId="2E37CD1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5313B80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57" w:type="pct"/>
                  <w:tcBorders>
                    <w:tl2br w:val="nil"/>
                    <w:tr2bl w:val="nil"/>
                  </w:tcBorders>
                  <w:noWrap w:val="0"/>
                  <w:vAlign w:val="center"/>
                </w:tcPr>
                <w:p w14:paraId="1E6B2087">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三相为一套</w:t>
                  </w:r>
                </w:p>
              </w:tc>
            </w:tr>
            <w:tr w14:paraId="7E7224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2F615F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5200B5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21853291">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户内冷缩式，与ZC-YJY23-26/35kV-3×150配套</w:t>
                  </w:r>
                </w:p>
              </w:tc>
              <w:tc>
                <w:tcPr>
                  <w:tcW w:w="314" w:type="pct"/>
                  <w:tcBorders>
                    <w:tl2br w:val="nil"/>
                    <w:tr2bl w:val="nil"/>
                  </w:tcBorders>
                  <w:noWrap w:val="0"/>
                  <w:vAlign w:val="center"/>
                </w:tcPr>
                <w:p w14:paraId="62A251A5">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套</w:t>
                  </w:r>
                </w:p>
              </w:tc>
              <w:tc>
                <w:tcPr>
                  <w:tcW w:w="303" w:type="pct"/>
                  <w:tcBorders>
                    <w:tl2br w:val="nil"/>
                    <w:tr2bl w:val="nil"/>
                  </w:tcBorders>
                  <w:noWrap w:val="0"/>
                  <w:vAlign w:val="center"/>
                </w:tcPr>
                <w:p w14:paraId="10A0A0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w:t>
                  </w:r>
                </w:p>
              </w:tc>
              <w:tc>
                <w:tcPr>
                  <w:tcW w:w="857" w:type="pct"/>
                  <w:tcBorders>
                    <w:tl2br w:val="nil"/>
                    <w:tr2bl w:val="nil"/>
                  </w:tcBorders>
                  <w:noWrap w:val="0"/>
                  <w:vAlign w:val="center"/>
                </w:tcPr>
                <w:p w14:paraId="644926B0">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三相为一套</w:t>
                  </w:r>
                </w:p>
              </w:tc>
            </w:tr>
            <w:tr w14:paraId="265A51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restart"/>
                  <w:tcBorders>
                    <w:tl2br w:val="nil"/>
                    <w:tr2bl w:val="nil"/>
                  </w:tcBorders>
                  <w:noWrap w:val="0"/>
                  <w:vAlign w:val="center"/>
                </w:tcPr>
                <w:p w14:paraId="262A785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5</w:t>
                  </w:r>
                </w:p>
              </w:tc>
              <w:tc>
                <w:tcPr>
                  <w:tcW w:w="890" w:type="pct"/>
                  <w:vMerge w:val="restart"/>
                  <w:tcBorders>
                    <w:tl2br w:val="nil"/>
                    <w:tr2bl w:val="nil"/>
                  </w:tcBorders>
                  <w:noWrap w:val="0"/>
                  <w:vAlign w:val="center"/>
                </w:tcPr>
                <w:p w14:paraId="51B7C96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低压电缆</w:t>
                  </w:r>
                </w:p>
              </w:tc>
              <w:tc>
                <w:tcPr>
                  <w:tcW w:w="2359" w:type="pct"/>
                  <w:tcBorders>
                    <w:tl2br w:val="nil"/>
                    <w:tr2bl w:val="nil"/>
                  </w:tcBorders>
                  <w:noWrap w:val="0"/>
                  <w:vAlign w:val="center"/>
                </w:tcPr>
                <w:p w14:paraId="7557053B">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ZC-YJY23-0.6/</w:t>
                  </w:r>
                  <w:r>
                    <w:rPr>
                      <w:rFonts w:hint="eastAsia" w:cs="Times New Roman" w:eastAsiaTheme="minorEastAsia"/>
                      <w:color w:val="000000" w:themeColor="text1"/>
                      <w:spacing w:val="0"/>
                      <w:w w:val="100"/>
                      <w:position w:val="0"/>
                      <w:sz w:val="21"/>
                      <w:szCs w:val="21"/>
                      <w:lang w:eastAsia="zh-CN"/>
                      <w14:textFill>
                        <w14:solidFill>
                          <w14:schemeClr w14:val="tx1"/>
                        </w14:solidFill>
                      </w14:textFill>
                    </w:rPr>
                    <w:t>1kV</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-3×4</w:t>
                  </w:r>
                </w:p>
              </w:tc>
              <w:tc>
                <w:tcPr>
                  <w:tcW w:w="314" w:type="pct"/>
                  <w:tcBorders>
                    <w:tl2br w:val="nil"/>
                    <w:tr2bl w:val="nil"/>
                  </w:tcBorders>
                  <w:noWrap w:val="0"/>
                  <w:vAlign w:val="center"/>
                </w:tcPr>
                <w:p w14:paraId="7E6588F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2E9913F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4000</w:t>
                  </w:r>
                </w:p>
              </w:tc>
              <w:tc>
                <w:tcPr>
                  <w:tcW w:w="857" w:type="pct"/>
                  <w:tcBorders>
                    <w:tl2br w:val="nil"/>
                    <w:tr2bl w:val="nil"/>
                  </w:tcBorders>
                  <w:noWrap w:val="0"/>
                  <w:vAlign w:val="center"/>
                </w:tcPr>
                <w:p w14:paraId="384ADEB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CC9E8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30207E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08A6304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6BD89206">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ZC-YJY23-0.6/</w:t>
                  </w:r>
                  <w:r>
                    <w:rPr>
                      <w:rFonts w:hint="eastAsia" w:cs="Times New Roman" w:eastAsiaTheme="minorEastAsia"/>
                      <w:color w:val="000000" w:themeColor="text1"/>
                      <w:spacing w:val="0"/>
                      <w:w w:val="100"/>
                      <w:position w:val="0"/>
                      <w:sz w:val="21"/>
                      <w:szCs w:val="21"/>
                      <w:lang w:eastAsia="zh-CN"/>
                      <w14:textFill>
                        <w14:solidFill>
                          <w14:schemeClr w14:val="tx1"/>
                        </w14:solidFill>
                      </w14:textFill>
                    </w:rPr>
                    <w:t>1kV</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-3×10</w:t>
                  </w:r>
                </w:p>
              </w:tc>
              <w:tc>
                <w:tcPr>
                  <w:tcW w:w="314" w:type="pct"/>
                  <w:tcBorders>
                    <w:tl2br w:val="nil"/>
                    <w:tr2bl w:val="nil"/>
                  </w:tcBorders>
                  <w:noWrap w:val="0"/>
                  <w:vAlign w:val="center"/>
                </w:tcPr>
                <w:p w14:paraId="0A10C40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6C84907E">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3900</w:t>
                  </w:r>
                </w:p>
              </w:tc>
              <w:tc>
                <w:tcPr>
                  <w:tcW w:w="857" w:type="pct"/>
                  <w:tcBorders>
                    <w:tl2br w:val="nil"/>
                    <w:tr2bl w:val="nil"/>
                  </w:tcBorders>
                  <w:noWrap w:val="0"/>
                  <w:vAlign w:val="center"/>
                </w:tcPr>
                <w:p w14:paraId="07547A1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0AA5B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3B446B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36A2DE6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542ACCAB">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ZC-YJY23-0.6/</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1kV</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-3×120+2×70</w:t>
                  </w:r>
                </w:p>
              </w:tc>
              <w:tc>
                <w:tcPr>
                  <w:tcW w:w="314" w:type="pct"/>
                  <w:tcBorders>
                    <w:tl2br w:val="nil"/>
                    <w:tr2bl w:val="nil"/>
                  </w:tcBorders>
                  <w:noWrap w:val="0"/>
                  <w:vAlign w:val="center"/>
                </w:tcPr>
                <w:p w14:paraId="4830357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45ED4F8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2000</w:t>
                  </w:r>
                </w:p>
              </w:tc>
              <w:tc>
                <w:tcPr>
                  <w:tcW w:w="857" w:type="pct"/>
                  <w:tcBorders>
                    <w:tl2br w:val="nil"/>
                    <w:tr2bl w:val="nil"/>
                  </w:tcBorders>
                  <w:noWrap w:val="0"/>
                  <w:vAlign w:val="center"/>
                </w:tcPr>
                <w:p w14:paraId="1CA887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332A7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6FA9D1C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14ACE00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103F2B4E">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ZC-YJY23-0.6/</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1kV</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-3×150+2×70</w:t>
                  </w:r>
                </w:p>
              </w:tc>
              <w:tc>
                <w:tcPr>
                  <w:tcW w:w="314" w:type="pct"/>
                  <w:tcBorders>
                    <w:tl2br w:val="nil"/>
                    <w:tr2bl w:val="nil"/>
                  </w:tcBorders>
                  <w:noWrap w:val="0"/>
                  <w:vAlign w:val="center"/>
                </w:tcPr>
                <w:p w14:paraId="5C47C21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6C64170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1000</w:t>
                  </w:r>
                </w:p>
              </w:tc>
              <w:tc>
                <w:tcPr>
                  <w:tcW w:w="857" w:type="pct"/>
                  <w:tcBorders>
                    <w:tl2br w:val="nil"/>
                    <w:tr2bl w:val="nil"/>
                  </w:tcBorders>
                  <w:noWrap w:val="0"/>
                  <w:vAlign w:val="center"/>
                </w:tcPr>
                <w:p w14:paraId="4E941E9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506F32D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vMerge w:val="continue"/>
                  <w:tcBorders>
                    <w:tl2br w:val="nil"/>
                    <w:tr2bl w:val="nil"/>
                  </w:tcBorders>
                  <w:noWrap w:val="0"/>
                  <w:vAlign w:val="center"/>
                </w:tcPr>
                <w:p w14:paraId="7D2CC8B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90" w:type="pct"/>
                  <w:vMerge w:val="continue"/>
                  <w:tcBorders>
                    <w:tl2br w:val="nil"/>
                    <w:tr2bl w:val="nil"/>
                  </w:tcBorders>
                  <w:noWrap w:val="0"/>
                  <w:vAlign w:val="center"/>
                </w:tcPr>
                <w:p w14:paraId="0C8EFB6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2359" w:type="pct"/>
                  <w:tcBorders>
                    <w:tl2br w:val="nil"/>
                    <w:tr2bl w:val="nil"/>
                  </w:tcBorders>
                  <w:noWrap w:val="0"/>
                  <w:vAlign w:val="center"/>
                </w:tcPr>
                <w:p w14:paraId="645B9B2C">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ZC-YJY23-0.6/</w:t>
                  </w:r>
                  <w:r>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t>1kV</w:t>
                  </w: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-3×50+2×25</w:t>
                  </w:r>
                </w:p>
              </w:tc>
              <w:tc>
                <w:tcPr>
                  <w:tcW w:w="314" w:type="pct"/>
                  <w:tcBorders>
                    <w:tl2br w:val="nil"/>
                    <w:tr2bl w:val="nil"/>
                  </w:tcBorders>
                  <w:noWrap w:val="0"/>
                  <w:vAlign w:val="center"/>
                </w:tcPr>
                <w:p w14:paraId="5CF9D08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m</w:t>
                  </w:r>
                </w:p>
              </w:tc>
              <w:tc>
                <w:tcPr>
                  <w:tcW w:w="303" w:type="pct"/>
                  <w:tcBorders>
                    <w:tl2br w:val="nil"/>
                    <w:tr2bl w:val="nil"/>
                  </w:tcBorders>
                  <w:noWrap w:val="0"/>
                  <w:vAlign w:val="center"/>
                </w:tcPr>
                <w:p w14:paraId="344CEF0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340</w:t>
                  </w:r>
                </w:p>
              </w:tc>
              <w:tc>
                <w:tcPr>
                  <w:tcW w:w="857" w:type="pct"/>
                  <w:tcBorders>
                    <w:tl2br w:val="nil"/>
                    <w:tr2bl w:val="nil"/>
                  </w:tcBorders>
                  <w:noWrap w:val="0"/>
                  <w:vAlign w:val="center"/>
                </w:tcPr>
                <w:p w14:paraId="4CEA3D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DAB82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73DF5E09">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6</w:t>
                  </w:r>
                </w:p>
              </w:tc>
              <w:tc>
                <w:tcPr>
                  <w:tcW w:w="890" w:type="pct"/>
                  <w:tcBorders>
                    <w:tl2br w:val="nil"/>
                    <w:tr2bl w:val="nil"/>
                  </w:tcBorders>
                  <w:noWrap w:val="0"/>
                  <w:vAlign w:val="center"/>
                </w:tcPr>
                <w:p w14:paraId="0BB91CB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屋顶光伏</w:t>
                  </w:r>
                </w:p>
              </w:tc>
              <w:tc>
                <w:tcPr>
                  <w:tcW w:w="2359" w:type="pct"/>
                  <w:tcBorders>
                    <w:tl2br w:val="nil"/>
                    <w:tr2bl w:val="nil"/>
                  </w:tcBorders>
                  <w:noWrap w:val="0"/>
                  <w:vAlign w:val="center"/>
                </w:tcPr>
                <w:p w14:paraId="0B05A458">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综合楼屋顶安装92块630Wp单晶硅光伏组件，容量57.96kWp，配置1台50kW逆变器，附属用房屋顶安装78块630Wp单晶硅光伏组件，容量49.14kWp，配置1台40kW逆变器，接入站内400V配电系统</w:t>
                  </w:r>
                </w:p>
              </w:tc>
              <w:tc>
                <w:tcPr>
                  <w:tcW w:w="314" w:type="pct"/>
                  <w:tcBorders>
                    <w:tl2br w:val="nil"/>
                    <w:tr2bl w:val="nil"/>
                  </w:tcBorders>
                  <w:noWrap w:val="0"/>
                  <w:vAlign w:val="center"/>
                </w:tcPr>
                <w:p w14:paraId="66BA70F3">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项</w:t>
                  </w:r>
                </w:p>
              </w:tc>
              <w:tc>
                <w:tcPr>
                  <w:tcW w:w="303" w:type="pct"/>
                  <w:tcBorders>
                    <w:tl2br w:val="nil"/>
                    <w:tr2bl w:val="nil"/>
                  </w:tcBorders>
                  <w:noWrap w:val="0"/>
                  <w:vAlign w:val="center"/>
                </w:tcPr>
                <w:p w14:paraId="2A623974">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w:t>
                  </w:r>
                </w:p>
              </w:tc>
              <w:tc>
                <w:tcPr>
                  <w:tcW w:w="857" w:type="pct"/>
                  <w:tcBorders>
                    <w:tl2br w:val="nil"/>
                    <w:tr2bl w:val="nil"/>
                  </w:tcBorders>
                  <w:noWrap w:val="0"/>
                  <w:vAlign w:val="center"/>
                </w:tcPr>
                <w:p w14:paraId="52C355D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01CA83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274" w:type="pct"/>
                  <w:tcBorders>
                    <w:tl2br w:val="nil"/>
                    <w:tr2bl w:val="nil"/>
                  </w:tcBorders>
                  <w:noWrap w:val="0"/>
                  <w:vAlign w:val="center"/>
                </w:tcPr>
                <w:p w14:paraId="4278B6DD">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2</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7</w:t>
                  </w:r>
                </w:p>
              </w:tc>
              <w:tc>
                <w:tcPr>
                  <w:tcW w:w="890" w:type="pct"/>
                  <w:tcBorders>
                    <w:tl2br w:val="nil"/>
                    <w:tr2bl w:val="nil"/>
                  </w:tcBorders>
                  <w:noWrap w:val="0"/>
                  <w:vAlign w:val="center"/>
                </w:tcPr>
                <w:p w14:paraId="4DF9B59A">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其他安装材料</w:t>
                  </w:r>
                </w:p>
              </w:tc>
              <w:tc>
                <w:tcPr>
                  <w:tcW w:w="2359" w:type="pct"/>
                  <w:tcBorders>
                    <w:tl2br w:val="nil"/>
                    <w:tr2bl w:val="nil"/>
                  </w:tcBorders>
                  <w:noWrap w:val="0"/>
                  <w:vAlign w:val="center"/>
                </w:tcPr>
                <w:p w14:paraId="52643D7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14" w:type="pct"/>
                  <w:tcBorders>
                    <w:tl2br w:val="nil"/>
                    <w:tr2bl w:val="nil"/>
                  </w:tcBorders>
                  <w:noWrap w:val="0"/>
                  <w:vAlign w:val="center"/>
                </w:tcPr>
                <w:p w14:paraId="00D1D9A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303" w:type="pct"/>
                  <w:tcBorders>
                    <w:tl2br w:val="nil"/>
                    <w:tr2bl w:val="nil"/>
                  </w:tcBorders>
                  <w:noWrap w:val="0"/>
                  <w:vAlign w:val="center"/>
                </w:tcPr>
                <w:p w14:paraId="04AFD57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c>
                <w:tcPr>
                  <w:tcW w:w="857" w:type="pct"/>
                  <w:tcBorders>
                    <w:tl2br w:val="nil"/>
                    <w:tr2bl w:val="nil"/>
                  </w:tcBorders>
                  <w:noWrap w:val="0"/>
                  <w:vAlign w:val="center"/>
                </w:tcPr>
                <w:p w14:paraId="682D403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1BAC34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244EE21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1</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43BE8FA9">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槽钢</w:t>
                  </w:r>
                </w:p>
              </w:tc>
              <w:tc>
                <w:tcPr>
                  <w:tcW w:w="2359" w:type="pct"/>
                  <w:tcBorders>
                    <w:tl2br w:val="nil"/>
                    <w:tr2bl w:val="nil"/>
                  </w:tcBorders>
                  <w:noWrap w:val="0"/>
                  <w:vAlign w:val="center"/>
                </w:tcPr>
                <w:p w14:paraId="1E30F29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314" w:type="pct"/>
                  <w:tcBorders>
                    <w:tl2br w:val="nil"/>
                    <w:tr2bl w:val="nil"/>
                  </w:tcBorders>
                  <w:noWrap w:val="0"/>
                  <w:vAlign w:val="center"/>
                </w:tcPr>
                <w:p w14:paraId="6122115F">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t</w:t>
                  </w:r>
                </w:p>
              </w:tc>
              <w:tc>
                <w:tcPr>
                  <w:tcW w:w="303" w:type="pct"/>
                  <w:tcBorders>
                    <w:tl2br w:val="nil"/>
                    <w:tr2bl w:val="nil"/>
                  </w:tcBorders>
                  <w:noWrap w:val="0"/>
                  <w:vAlign w:val="center"/>
                </w:tcPr>
                <w:p w14:paraId="68015047">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857" w:type="pct"/>
                  <w:tcBorders>
                    <w:tl2br w:val="nil"/>
                    <w:tr2bl w:val="nil"/>
                  </w:tcBorders>
                  <w:noWrap w:val="0"/>
                  <w:vAlign w:val="center"/>
                </w:tcPr>
                <w:p w14:paraId="312E54A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r w14:paraId="6B1F1CF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74" w:type="pct"/>
                  <w:tcBorders>
                    <w:tl2br w:val="nil"/>
                    <w:tr2bl w:val="nil"/>
                  </w:tcBorders>
                  <w:noWrap w:val="0"/>
                  <w:vAlign w:val="center"/>
                </w:tcPr>
                <w:p w14:paraId="2B8826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position w:val="0"/>
                      <w:sz w:val="21"/>
                      <w:szCs w:val="21"/>
                      <w:lang w:val="en-US" w:eastAsia="zh-CN"/>
                      <w14:textFill>
                        <w14:solidFill>
                          <w14:schemeClr w14:val="tx1"/>
                        </w14:solidFill>
                      </w14:textFill>
                    </w:rPr>
                    <w:t>2</w:t>
                  </w:r>
                  <w:r>
                    <w:rPr>
                      <w:rFonts w:hint="eastAsia" w:cs="Times New Roman" w:eastAsiaTheme="minorEastAsia"/>
                      <w:color w:val="000000" w:themeColor="text1"/>
                      <w:spacing w:val="0"/>
                      <w:w w:val="100"/>
                      <w:position w:val="0"/>
                      <w:sz w:val="21"/>
                      <w:szCs w:val="21"/>
                      <w:lang w:val="en-US" w:eastAsia="zh-CN"/>
                      <w14:textFill>
                        <w14:solidFill>
                          <w14:schemeClr w14:val="tx1"/>
                        </w14:solidFill>
                      </w14:textFill>
                    </w:rPr>
                    <w:t>)</w:t>
                  </w:r>
                </w:p>
              </w:tc>
              <w:tc>
                <w:tcPr>
                  <w:tcW w:w="890" w:type="pct"/>
                  <w:tcBorders>
                    <w:tl2br w:val="nil"/>
                    <w:tr2bl w:val="nil"/>
                  </w:tcBorders>
                  <w:noWrap w:val="0"/>
                  <w:vAlign w:val="center"/>
                </w:tcPr>
                <w:p w14:paraId="40003D5D">
                  <w:pPr>
                    <w:pStyle w:val="89"/>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角钢</w:t>
                  </w:r>
                </w:p>
              </w:tc>
              <w:tc>
                <w:tcPr>
                  <w:tcW w:w="2359" w:type="pct"/>
                  <w:tcBorders>
                    <w:tl2br w:val="nil"/>
                    <w:tr2bl w:val="nil"/>
                  </w:tcBorders>
                  <w:noWrap w:val="0"/>
                  <w:vAlign w:val="center"/>
                </w:tcPr>
                <w:p w14:paraId="1EC061B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L50×50×5</w:t>
                  </w:r>
                </w:p>
              </w:tc>
              <w:tc>
                <w:tcPr>
                  <w:tcW w:w="314" w:type="pct"/>
                  <w:tcBorders>
                    <w:tl2br w:val="nil"/>
                    <w:tr2bl w:val="nil"/>
                  </w:tcBorders>
                  <w:noWrap w:val="0"/>
                  <w:vAlign w:val="center"/>
                </w:tcPr>
                <w:p w14:paraId="3404E601">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t</w:t>
                  </w:r>
                </w:p>
              </w:tc>
              <w:tc>
                <w:tcPr>
                  <w:tcW w:w="303" w:type="pct"/>
                  <w:tcBorders>
                    <w:tl2br w:val="nil"/>
                    <w:tr2bl w:val="nil"/>
                  </w:tcBorders>
                  <w:noWrap w:val="0"/>
                  <w:vAlign w:val="center"/>
                </w:tcPr>
                <w:p w14:paraId="27C6B0F3">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t>10</w:t>
                  </w:r>
                </w:p>
              </w:tc>
              <w:tc>
                <w:tcPr>
                  <w:tcW w:w="857" w:type="pct"/>
                  <w:tcBorders>
                    <w:tl2br w:val="nil"/>
                    <w:tr2bl w:val="nil"/>
                  </w:tcBorders>
                  <w:noWrap w:val="0"/>
                  <w:vAlign w:val="center"/>
                </w:tcPr>
                <w:p w14:paraId="348F206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cs="Times New Roman" w:eastAsiaTheme="minorEastAsia"/>
                      <w:color w:val="000000" w:themeColor="text1"/>
                      <w:spacing w:val="0"/>
                      <w:w w:val="100"/>
                      <w:position w:val="0"/>
                      <w:sz w:val="21"/>
                      <w:szCs w:val="21"/>
                      <w14:textFill>
                        <w14:solidFill>
                          <w14:schemeClr w14:val="tx1"/>
                        </w14:solidFill>
                      </w14:textFill>
                    </w:rPr>
                  </w:pPr>
                </w:p>
              </w:tc>
            </w:tr>
          </w:tbl>
          <w:p w14:paraId="258B7B8F">
            <w:pPr>
              <w:pStyle w:val="34"/>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snapToGrid w:val="0"/>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b/>
                <w:bCs/>
                <w:snapToGrid w:val="0"/>
                <w:color w:val="000000" w:themeColor="text1"/>
                <w:kern w:val="0"/>
                <w:sz w:val="24"/>
                <w:szCs w:val="24"/>
                <w:lang w:val="en-US" w:eastAsia="zh-CN" w:bidi="ar-SA"/>
                <w14:textFill>
                  <w14:solidFill>
                    <w14:schemeClr w14:val="tx1"/>
                  </w14:solidFill>
                </w14:textFill>
              </w:rPr>
              <w:t>3.2外送线路</w:t>
            </w:r>
          </w:p>
          <w:p w14:paraId="155100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eastAsia="宋体"/>
                <w:b w:val="0"/>
                <w:bCs w:val="0"/>
                <w:color w:val="000000" w:themeColor="text1"/>
                <w:lang w:val="en-US"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1</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线路</w:t>
            </w:r>
          </w:p>
          <w:p w14:paraId="7282976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本项目新建单回220kV线路接入且末750kV变电站由西往东第四个已建间隔</w:t>
            </w:r>
            <w:r>
              <w:rPr>
                <w:rFonts w:hint="default" w:ascii="Times New Roman" w:hAnsi="Times New Roman" w:cs="Times New Roman"/>
                <w:b w:val="0"/>
                <w:bCs w:val="0"/>
                <w:color w:val="000000" w:themeColor="text1"/>
                <w14:textFill>
                  <w14:solidFill>
                    <w14:schemeClr w14:val="tx1"/>
                  </w14:solidFill>
                </w14:textFill>
              </w:rPr>
              <w:t>，线路全长约</w:t>
            </w:r>
            <w:r>
              <w:rPr>
                <w:rFonts w:hint="default" w:ascii="Times New Roman" w:hAnsi="Times New Roman" w:cs="Times New Roman"/>
                <w:b w:val="0"/>
                <w:bCs w:val="0"/>
                <w:color w:val="000000" w:themeColor="text1"/>
                <w:lang w:val="en-US" w:eastAsia="zh-CN"/>
                <w14:textFill>
                  <w14:solidFill>
                    <w14:schemeClr w14:val="tx1"/>
                  </w14:solidFill>
                </w14:textFill>
              </w:rPr>
              <w:t>2.8</w:t>
            </w:r>
            <w:r>
              <w:rPr>
                <w:rFonts w:hint="eastAsia" w:cs="Times New Roman"/>
                <w:b w:val="0"/>
                <w:bCs w:val="0"/>
                <w:color w:val="000000" w:themeColor="text1"/>
                <w:lang w:val="en-US" w:eastAsia="zh-CN"/>
                <w14:textFill>
                  <w14:solidFill>
                    <w14:schemeClr w14:val="tx1"/>
                  </w14:solidFill>
                </w14:textFill>
              </w:rPr>
              <w:t>8</w:t>
            </w:r>
            <w:r>
              <w:rPr>
                <w:rFonts w:hint="default" w:ascii="Times New Roman" w:hAnsi="Times New Roman" w:cs="Times New Roman"/>
                <w:b w:val="0"/>
                <w:bCs w:val="0"/>
                <w:color w:val="000000" w:themeColor="text1"/>
                <w14:textFill>
                  <w14:solidFill>
                    <w14:schemeClr w14:val="tx1"/>
                  </w14:solidFill>
                </w14:textFill>
              </w:rPr>
              <w:t>km，电压等级</w:t>
            </w:r>
            <w:r>
              <w:rPr>
                <w:rFonts w:hint="default" w:ascii="Times New Roman" w:hAnsi="Times New Roman" w:cs="Times New Roman"/>
                <w:b w:val="0"/>
                <w:bCs w:val="0"/>
                <w:color w:val="000000" w:themeColor="text1"/>
                <w:lang w:val="en-US" w:eastAsia="zh-CN"/>
                <w14:textFill>
                  <w14:solidFill>
                    <w14:schemeClr w14:val="tx1"/>
                  </w14:solidFill>
                </w14:textFill>
              </w:rPr>
              <w:t>22</w:t>
            </w:r>
            <w:r>
              <w:rPr>
                <w:rFonts w:hint="default" w:ascii="Times New Roman" w:hAnsi="Times New Roman" w:cs="Times New Roman"/>
                <w:b w:val="0"/>
                <w:bCs w:val="0"/>
                <w:color w:val="000000" w:themeColor="text1"/>
                <w14:textFill>
                  <w14:solidFill>
                    <w14:schemeClr w14:val="tx1"/>
                  </w14:solidFill>
                </w14:textFill>
              </w:rPr>
              <w:t>0kV，单回路架设，导线采用4×JL3/G1A-400/35型钢芯高导电率铝绞线，线路全线架设双地线，地线采用两根72芯OPGW-15-120-2型光缆。线路全线跨越</w:t>
            </w:r>
            <w:r>
              <w:rPr>
                <w:rFonts w:hint="default" w:ascii="Times New Roman" w:hAnsi="Times New Roman" w:cs="Times New Roman"/>
                <w:b w:val="0"/>
                <w:bCs w:val="0"/>
                <w:color w:val="000000" w:themeColor="text1"/>
                <w:lang w:val="en-US" w:eastAsia="zh-CN"/>
                <w14:textFill>
                  <w14:solidFill>
                    <w14:schemeClr w14:val="tx1"/>
                  </w14:solidFill>
                </w14:textFill>
              </w:rPr>
              <w:t>110</w:t>
            </w:r>
            <w:r>
              <w:rPr>
                <w:rFonts w:hint="default" w:ascii="Times New Roman" w:hAnsi="Times New Roman" w:cs="Times New Roman"/>
                <w:b w:val="0"/>
                <w:bCs w:val="0"/>
                <w:color w:val="000000" w:themeColor="text1"/>
                <w14:textFill>
                  <w14:solidFill>
                    <w14:schemeClr w14:val="tx1"/>
                  </w14:solidFill>
                </w14:textFill>
              </w:rPr>
              <w:t>kV</w:t>
            </w:r>
            <w:r>
              <w:rPr>
                <w:rFonts w:hint="default" w:ascii="Times New Roman" w:hAnsi="Times New Roman" w:cs="Times New Roman"/>
                <w:b w:val="0"/>
                <w:bCs w:val="0"/>
                <w:color w:val="000000" w:themeColor="text1"/>
                <w:lang w:val="en-US" w:eastAsia="zh-CN"/>
                <w14:textFill>
                  <w14:solidFill>
                    <w14:schemeClr w14:val="tx1"/>
                  </w14:solidFill>
                </w14:textFill>
              </w:rPr>
              <w:t>瓦屯</w:t>
            </w:r>
            <w:r>
              <w:rPr>
                <w:rFonts w:hint="default" w:ascii="Times New Roman" w:hAnsi="Times New Roman" w:cs="Times New Roman"/>
                <w:b w:val="0"/>
                <w:bCs w:val="0"/>
                <w:color w:val="000000" w:themeColor="text1"/>
                <w14:textFill>
                  <w14:solidFill>
                    <w14:schemeClr w14:val="tx1"/>
                  </w14:solidFill>
                </w14:textFill>
              </w:rPr>
              <w:t>线</w:t>
            </w:r>
            <w:r>
              <w:rPr>
                <w:rFonts w:hint="default" w:ascii="Times New Roman" w:hAnsi="Times New Roman" w:cs="Times New Roman"/>
                <w:b w:val="0"/>
                <w:bCs w:val="0"/>
                <w:color w:val="000000" w:themeColor="text1"/>
                <w:lang w:val="en-US" w:eastAsia="zh-CN"/>
                <w14:textFill>
                  <w14:solidFill>
                    <w14:schemeClr w14:val="tx1"/>
                  </w14:solidFill>
                </w14:textFill>
              </w:rPr>
              <w:t>1</w:t>
            </w:r>
            <w:r>
              <w:rPr>
                <w:rFonts w:hint="default" w:ascii="Times New Roman" w:hAnsi="Times New Roman" w:cs="Times New Roman"/>
                <w:b w:val="0"/>
                <w:bCs w:val="0"/>
                <w:color w:val="000000" w:themeColor="text1"/>
                <w14:textFill>
                  <w14:solidFill>
                    <w14:schemeClr w14:val="tx1"/>
                  </w14:solidFill>
                </w14:textFill>
              </w:rPr>
              <w:t>次，</w:t>
            </w:r>
            <w:r>
              <w:rPr>
                <w:rFonts w:hint="default" w:ascii="Times New Roman" w:hAnsi="Times New Roman" w:cs="Times New Roman"/>
                <w:b w:val="0"/>
                <w:bCs w:val="0"/>
                <w:color w:val="000000" w:themeColor="text1"/>
                <w:lang w:val="en-US" w:eastAsia="zh-CN"/>
                <w14:textFill>
                  <w14:solidFill>
                    <w14:schemeClr w14:val="tx1"/>
                  </w14:solidFill>
                </w14:textFill>
              </w:rPr>
              <w:t>土渠1</w:t>
            </w:r>
            <w:r>
              <w:rPr>
                <w:rFonts w:hint="default" w:ascii="Times New Roman" w:hAnsi="Times New Roman" w:cs="Times New Roman"/>
                <w:b w:val="0"/>
                <w:bCs w:val="0"/>
                <w:color w:val="000000" w:themeColor="text1"/>
                <w14:textFill>
                  <w14:solidFill>
                    <w14:schemeClr w14:val="tx1"/>
                  </w14:solidFill>
                </w14:textFill>
              </w:rPr>
              <w:t>次。全线新建单回路角钢塔</w:t>
            </w:r>
            <w:r>
              <w:rPr>
                <w:rFonts w:hint="default" w:ascii="Times New Roman" w:hAnsi="Times New Roman" w:cs="Times New Roman"/>
                <w:b w:val="0"/>
                <w:bCs w:val="0"/>
                <w:color w:val="000000" w:themeColor="text1"/>
                <w:lang w:val="en-US" w:eastAsia="zh-CN"/>
                <w14:textFill>
                  <w14:solidFill>
                    <w14:schemeClr w14:val="tx1"/>
                  </w14:solidFill>
                </w14:textFill>
              </w:rPr>
              <w:t>9</w:t>
            </w:r>
            <w:r>
              <w:rPr>
                <w:rFonts w:hint="default" w:ascii="Times New Roman" w:hAnsi="Times New Roman" w:cs="Times New Roman"/>
                <w:b w:val="0"/>
                <w:bCs w:val="0"/>
                <w:color w:val="000000" w:themeColor="text1"/>
                <w14:textFill>
                  <w14:solidFill>
                    <w14:schemeClr w14:val="tx1"/>
                  </w14:solidFill>
                </w14:textFill>
              </w:rPr>
              <w:t>基。</w:t>
            </w:r>
          </w:p>
          <w:p w14:paraId="5631E2F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且末750kV变电站</w:t>
            </w:r>
            <w:r>
              <w:rPr>
                <w:rFonts w:hint="default" w:ascii="Times New Roman" w:hAnsi="Times New Roman" w:cs="Times New Roman"/>
                <w:b w:val="0"/>
                <w:bCs w:val="0"/>
                <w:color w:val="000000" w:themeColor="text1"/>
                <w:lang w:val="en-US" w:eastAsia="zh-CN"/>
                <w14:textFill>
                  <w14:solidFill>
                    <w14:schemeClr w14:val="tx1"/>
                  </w14:solidFill>
                </w14:textFill>
              </w:rPr>
              <w:t>包含在《和田—民丰—且末—若羌Ⅱ回750千伏输变电工程（且末—若羌段）环境影响报告书》中</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于2025年10月21日取得新疆维吾尔自治区生态环境厅《</w:t>
            </w:r>
            <w:r>
              <w:rPr>
                <w:rFonts w:hint="default" w:ascii="Times New Roman" w:hAnsi="Times New Roman" w:cs="Times New Roman"/>
                <w:b w:val="0"/>
                <w:bCs w:val="0"/>
                <w:color w:val="000000" w:themeColor="text1"/>
                <w:lang w:val="en-US" w:eastAsia="zh-CN"/>
                <w14:textFill>
                  <w14:solidFill>
                    <w14:schemeClr w14:val="tx1"/>
                  </w14:solidFill>
                </w14:textFill>
              </w:rPr>
              <w:t>和田—民丰—且末—若羌Ⅱ回750千伏输变电工程（且末—若羌段）环境影响报告书的批复</w:t>
            </w:r>
            <w:r>
              <w:rPr>
                <w:rFonts w:hint="default" w:ascii="Times New Roman" w:hAnsi="Times New Roman" w:cs="Times New Roman"/>
                <w:color w:val="000000" w:themeColor="text1"/>
                <w:highlight w:val="none"/>
                <w:lang w:val="en-US" w:eastAsia="zh-CN"/>
                <w14:textFill>
                  <w14:solidFill>
                    <w14:schemeClr w14:val="tx1"/>
                  </w14:solidFill>
                </w14:textFill>
              </w:rPr>
              <w:t>》（批复文号“新环审〔2025〕244号”），目前该变电站处于建设中，尚未竣工验收。</w:t>
            </w:r>
          </w:p>
          <w:p w14:paraId="5FE4781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b w:val="0"/>
                <w:bCs w:val="0"/>
                <w:color w:val="000000" w:themeColor="text1"/>
                <w:lang w:val="en-US"/>
                <w14:textFill>
                  <w14:solidFill>
                    <w14:schemeClr w14:val="tx1"/>
                  </w14:solidFill>
                </w14:textFill>
              </w:rPr>
            </w:pPr>
            <w:r>
              <w:rPr>
                <w:rFonts w:hint="eastAsia"/>
                <w:b w:val="0"/>
                <w:bCs w:val="0"/>
                <w:color w:val="000000" w:themeColor="text1"/>
                <w:lang w:val="en-US" w:eastAsia="zh-CN"/>
                <w14:textFill>
                  <w14:solidFill>
                    <w14:schemeClr w14:val="tx1"/>
                  </w14:solidFill>
                </w14:textFill>
              </w:rPr>
              <w:t>外送线路</w:t>
            </w:r>
            <w:r>
              <w:rPr>
                <w:rFonts w:hint="eastAsia"/>
                <w:color w:val="000000" w:themeColor="text1"/>
                <w:highlight w:val="none"/>
                <w:lang w:val="en-US" w:eastAsia="zh-CN"/>
                <w14:textFill>
                  <w14:solidFill>
                    <w14:schemeClr w14:val="tx1"/>
                  </w14:solidFill>
                </w14:textFill>
              </w:rPr>
              <w:t>导线相关设备清单见下表。</w:t>
            </w:r>
          </w:p>
          <w:p w14:paraId="76FF8B10">
            <w:pPr>
              <w:keepNext w:val="0"/>
              <w:keepLines w:val="0"/>
              <w:pageBreakBefore w:val="0"/>
              <w:widowControl w:val="0"/>
              <w:tabs>
                <w:tab w:val="left" w:pos="4586"/>
                <w:tab w:val="left" w:pos="5786"/>
              </w:tabs>
              <w:kinsoku/>
              <w:wordWrap/>
              <w:overflowPunct/>
              <w:topLinePunct w:val="0"/>
              <w:autoSpaceDE w:val="0"/>
              <w:autoSpaceDN w:val="0"/>
              <w:bidi w:val="0"/>
              <w:adjustRightInd w:val="0"/>
              <w:snapToGrid w:val="0"/>
              <w:spacing w:line="500" w:lineRule="exact"/>
              <w:jc w:val="center"/>
              <w:textAlignment w:val="auto"/>
              <w:rPr>
                <w:rFonts w:hint="eastAsia" w:ascii="黑体" w:hAnsi="黑体" w:eastAsia="黑体" w:cs="黑体"/>
                <w:color w:val="000000" w:themeColor="text1"/>
                <w:kern w:val="0"/>
                <w:sz w:val="21"/>
                <w:szCs w:val="21"/>
                <w:lang w:val="en-US" w:eastAsia="zh-CN"/>
                <w14:textFill>
                  <w14:solidFill>
                    <w14:schemeClr w14:val="tx1"/>
                  </w14:solidFill>
                </w14:textFill>
              </w:rPr>
            </w:pPr>
            <w:r>
              <w:rPr>
                <w:rFonts w:hint="eastAsia" w:ascii="黑体" w:hAnsi="黑体" w:eastAsia="黑体" w:cs="黑体"/>
                <w:bCs/>
                <w:color w:val="000000" w:themeColor="text1"/>
                <w:sz w:val="21"/>
                <w:szCs w:val="21"/>
                <w14:textFill>
                  <w14:solidFill>
                    <w14:schemeClr w14:val="tx1"/>
                  </w14:solidFill>
                </w14:textFill>
              </w:rPr>
              <w:t>表2</w:t>
            </w:r>
            <w:r>
              <w:rPr>
                <w:rFonts w:hint="eastAsia" w:ascii="黑体" w:hAnsi="黑体" w:eastAsia="黑体" w:cs="黑体"/>
                <w:color w:val="000000" w:themeColor="text1"/>
                <w:kern w:val="0"/>
                <w:sz w:val="21"/>
                <w:szCs w:val="21"/>
                <w14:textFill>
                  <w14:solidFill>
                    <w14:schemeClr w14:val="tx1"/>
                  </w14:solidFill>
                </w14:textFill>
              </w:rPr>
              <w:t>-</w:t>
            </w:r>
            <w:r>
              <w:rPr>
                <w:rFonts w:hint="eastAsia" w:ascii="黑体" w:hAnsi="黑体" w:eastAsia="黑体" w:cs="黑体"/>
                <w:color w:val="000000" w:themeColor="text1"/>
                <w:kern w:val="0"/>
                <w:sz w:val="21"/>
                <w:szCs w:val="21"/>
                <w:lang w:val="en-US" w:eastAsia="zh-CN"/>
                <w14:textFill>
                  <w14:solidFill>
                    <w14:schemeClr w14:val="tx1"/>
                  </w14:solidFill>
                </w14:textFill>
              </w:rPr>
              <w:t>3</w:t>
            </w:r>
            <w:r>
              <w:rPr>
                <w:rFonts w:hint="eastAsia" w:ascii="黑体" w:hAnsi="黑体" w:eastAsia="黑体" w:cs="黑体"/>
                <w:color w:val="000000" w:themeColor="text1"/>
                <w:kern w:val="0"/>
                <w:sz w:val="21"/>
                <w:szCs w:val="21"/>
                <w14:textFill>
                  <w14:solidFill>
                    <w14:schemeClr w14:val="tx1"/>
                  </w14:solidFill>
                </w14:textFill>
              </w:rPr>
              <w:t xml:space="preserve"> </w:t>
            </w:r>
            <w:r>
              <w:rPr>
                <w:rFonts w:hint="eastAsia" w:ascii="黑体" w:hAnsi="黑体" w:eastAsia="黑体" w:cs="黑体"/>
                <w:color w:val="000000" w:themeColor="text1"/>
                <w:kern w:val="0"/>
                <w:sz w:val="21"/>
                <w:szCs w:val="21"/>
                <w:lang w:val="en-US" w:eastAsia="zh-CN"/>
                <w14:textFill>
                  <w14:solidFill>
                    <w14:schemeClr w14:val="tx1"/>
                  </w14:solidFill>
                </w14:textFill>
              </w:rPr>
              <w:t xml:space="preserve">   线路工程导线特性表</w:t>
            </w:r>
          </w:p>
          <w:tbl>
            <w:tblPr>
              <w:tblStyle w:val="27"/>
              <w:tblW w:w="4996"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701"/>
              <w:gridCol w:w="2761"/>
              <w:gridCol w:w="3769"/>
            </w:tblGrid>
            <w:tr w14:paraId="7369D0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21448549">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导线名称</w:t>
                  </w:r>
                </w:p>
              </w:tc>
              <w:tc>
                <w:tcPr>
                  <w:tcW w:w="2289" w:type="pct"/>
                  <w:tcBorders>
                    <w:tl2br w:val="nil"/>
                    <w:tr2bl w:val="nil"/>
                  </w:tcBorders>
                  <w:noWrap w:val="0"/>
                  <w:vAlign w:val="center"/>
                </w:tcPr>
                <w:p w14:paraId="0A68C12E">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钢芯高导电率铝绞线</w:t>
                  </w:r>
                </w:p>
              </w:tc>
            </w:tr>
            <w:tr w14:paraId="610359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69427E32">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导线型号</w:t>
                  </w:r>
                </w:p>
              </w:tc>
              <w:tc>
                <w:tcPr>
                  <w:tcW w:w="2289" w:type="pct"/>
                  <w:tcBorders>
                    <w:tl2br w:val="nil"/>
                    <w:tr2bl w:val="nil"/>
                  </w:tcBorders>
                  <w:noWrap w:val="0"/>
                  <w:vAlign w:val="center"/>
                </w:tcPr>
                <w:p w14:paraId="1E2E96C5">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2"/>
                      <w:sz w:val="21"/>
                      <w:szCs w:val="21"/>
                      <w14:textFill>
                        <w14:solidFill>
                          <w14:schemeClr w14:val="tx1"/>
                        </w14:solidFill>
                      </w14:textFill>
                    </w:rPr>
                    <w:t>4×JL3/G1A-400/35-48/7</w:t>
                  </w:r>
                </w:p>
              </w:tc>
            </w:tr>
            <w:tr w14:paraId="62EE90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033" w:type="pct"/>
                  <w:vMerge w:val="restart"/>
                  <w:tcBorders>
                    <w:tl2br w:val="nil"/>
                    <w:tr2bl w:val="nil"/>
                  </w:tcBorders>
                  <w:noWrap w:val="0"/>
                  <w:vAlign w:val="center"/>
                </w:tcPr>
                <w:p w14:paraId="5E91C6EB">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color w:val="000000" w:themeColor="text1"/>
                      <w:spacing w:val="-1"/>
                      <w:sz w:val="21"/>
                      <w:szCs w:val="21"/>
                      <w14:textFill>
                        <w14:solidFill>
                          <w14:schemeClr w14:val="tx1"/>
                        </w14:solidFill>
                      </w14:textFill>
                    </w:rPr>
                  </w:pPr>
                  <w:r>
                    <w:rPr>
                      <w:rFonts w:hint="default" w:ascii="Times New Roman" w:hAnsi="Times New Roman" w:eastAsia="宋体" w:cs="Times New Roman"/>
                      <w:color w:val="000000" w:themeColor="text1"/>
                      <w:spacing w:val="-1"/>
                      <w:sz w:val="21"/>
                      <w:szCs w:val="21"/>
                      <w14:textFill>
                        <w14:solidFill>
                          <w14:schemeClr w14:val="tx1"/>
                        </w14:solidFill>
                      </w14:textFill>
                    </w:rPr>
                    <w:t>根×直径</w:t>
                  </w:r>
                </w:p>
                <w:p w14:paraId="46EEC724">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pacing w:val="-2"/>
                      <w:sz w:val="21"/>
                      <w:szCs w:val="21"/>
                      <w:lang w:val="en-US" w:eastAsia="zh-CN"/>
                      <w14:textFill>
                        <w14:solidFill>
                          <w14:schemeClr w14:val="tx1"/>
                        </w14:solidFill>
                      </w14:textFill>
                    </w:rPr>
                    <w:t>(</w:t>
                  </w:r>
                  <w:r>
                    <w:rPr>
                      <w:rFonts w:hint="default" w:ascii="Times New Roman" w:hAnsi="Times New Roman" w:eastAsia="Times New Roman" w:cs="Times New Roman"/>
                      <w:color w:val="000000" w:themeColor="text1"/>
                      <w:spacing w:val="-2"/>
                      <w:sz w:val="21"/>
                      <w:szCs w:val="21"/>
                      <w14:textFill>
                        <w14:solidFill>
                          <w14:schemeClr w14:val="tx1"/>
                        </w14:solidFill>
                      </w14:textFill>
                    </w:rPr>
                    <w:t>mm</w:t>
                  </w:r>
                  <w:r>
                    <w:rPr>
                      <w:rFonts w:hint="eastAsia" w:ascii="Times New Roman" w:hAnsi="Times New Roman" w:cs="Times New Roman"/>
                      <w:color w:val="000000" w:themeColor="text1"/>
                      <w:spacing w:val="-2"/>
                      <w:sz w:val="21"/>
                      <w:szCs w:val="21"/>
                      <w:lang w:val="en-US" w:eastAsia="zh-CN"/>
                      <w14:textFill>
                        <w14:solidFill>
                          <w14:schemeClr w14:val="tx1"/>
                        </w14:solidFill>
                      </w14:textFill>
                    </w:rPr>
                    <w:t>)</w:t>
                  </w:r>
                </w:p>
              </w:tc>
              <w:tc>
                <w:tcPr>
                  <w:tcW w:w="1677" w:type="pct"/>
                  <w:tcBorders>
                    <w:tl2br w:val="nil"/>
                    <w:tr2bl w:val="nil"/>
                  </w:tcBorders>
                  <w:noWrap w:val="0"/>
                  <w:vAlign w:val="center"/>
                </w:tcPr>
                <w:p w14:paraId="231D44A5">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铝单线</w:t>
                  </w:r>
                  <w:r>
                    <w:rPr>
                      <w:rFonts w:hint="eastAsia" w:ascii="Times New Roman" w:hAnsi="Times New Roman" w:eastAsia="宋体" w:cs="Times New Roman"/>
                      <w:color w:val="000000" w:themeColor="text1"/>
                      <w:spacing w:val="-1"/>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14:textFill>
                        <w14:solidFill>
                          <w14:schemeClr w14:val="tx1"/>
                        </w14:solidFill>
                      </w14:textFill>
                    </w:rPr>
                    <w:t>铝合金</w:t>
                  </w:r>
                  <w:r>
                    <w:rPr>
                      <w:rFonts w:hint="eastAsia" w:ascii="Times New Roman" w:hAnsi="Times New Roman" w:eastAsia="宋体" w:cs="Times New Roman"/>
                      <w:color w:val="000000" w:themeColor="text1"/>
                      <w:spacing w:val="-1"/>
                      <w:sz w:val="21"/>
                      <w:szCs w:val="21"/>
                      <w:lang w:eastAsia="zh-CN"/>
                      <w14:textFill>
                        <w14:solidFill>
                          <w14:schemeClr w14:val="tx1"/>
                        </w14:solidFill>
                      </w14:textFill>
                    </w:rPr>
                    <w:t>）</w:t>
                  </w:r>
                </w:p>
              </w:tc>
              <w:tc>
                <w:tcPr>
                  <w:tcW w:w="2289" w:type="pct"/>
                  <w:tcBorders>
                    <w:tl2br w:val="nil"/>
                    <w:tr2bl w:val="nil"/>
                  </w:tcBorders>
                  <w:noWrap w:val="0"/>
                  <w:vAlign w:val="center"/>
                </w:tcPr>
                <w:p w14:paraId="036B32BB">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48</w:t>
                  </w:r>
                  <w:r>
                    <w:rPr>
                      <w:rFonts w:hint="default" w:ascii="Times New Roman" w:hAnsi="Times New Roman" w:eastAsia="宋体" w:cs="Times New Roman"/>
                      <w:color w:val="000000" w:themeColor="text1"/>
                      <w:spacing w:val="-1"/>
                      <w:sz w:val="21"/>
                      <w:szCs w:val="21"/>
                      <w14:textFill>
                        <w14:solidFill>
                          <w14:schemeClr w14:val="tx1"/>
                        </w14:solidFill>
                      </w14:textFill>
                    </w:rPr>
                    <w:t>×</w:t>
                  </w:r>
                  <w:r>
                    <w:rPr>
                      <w:rFonts w:hint="default" w:ascii="Times New Roman" w:hAnsi="Times New Roman" w:eastAsia="Times New Roman" w:cs="Times New Roman"/>
                      <w:color w:val="000000" w:themeColor="text1"/>
                      <w:spacing w:val="-1"/>
                      <w:sz w:val="21"/>
                      <w:szCs w:val="21"/>
                      <w14:textFill>
                        <w14:solidFill>
                          <w14:schemeClr w14:val="tx1"/>
                        </w14:solidFill>
                      </w14:textFill>
                    </w:rPr>
                    <w:t>3.22</w:t>
                  </w:r>
                </w:p>
              </w:tc>
            </w:tr>
            <w:tr w14:paraId="1CB61C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033" w:type="pct"/>
                  <w:vMerge w:val="continue"/>
                  <w:tcBorders>
                    <w:tl2br w:val="nil"/>
                    <w:tr2bl w:val="nil"/>
                  </w:tcBorders>
                  <w:noWrap w:val="0"/>
                  <w:vAlign w:val="center"/>
                </w:tcPr>
                <w:p w14:paraId="591E43F1">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677" w:type="pct"/>
                  <w:tcBorders>
                    <w:tl2br w:val="nil"/>
                    <w:tr2bl w:val="nil"/>
                  </w:tcBorders>
                  <w:noWrap w:val="0"/>
                  <w:vAlign w:val="center"/>
                </w:tcPr>
                <w:p w14:paraId="74F6BC60">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镀锌钢线</w:t>
                  </w:r>
                  <w:r>
                    <w:rPr>
                      <w:rFonts w:hint="eastAsia" w:ascii="Times New Roman" w:hAnsi="Times New Roman" w:eastAsia="宋体" w:cs="Times New Roman"/>
                      <w:color w:val="000000" w:themeColor="text1"/>
                      <w:spacing w:val="-1"/>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1"/>
                      <w:sz w:val="21"/>
                      <w:szCs w:val="21"/>
                      <w14:textFill>
                        <w14:solidFill>
                          <w14:schemeClr w14:val="tx1"/>
                        </w14:solidFill>
                      </w14:textFill>
                    </w:rPr>
                    <w:t>铝合金</w:t>
                  </w:r>
                  <w:r>
                    <w:rPr>
                      <w:rFonts w:hint="eastAsia" w:ascii="Times New Roman" w:hAnsi="Times New Roman" w:eastAsia="宋体" w:cs="Times New Roman"/>
                      <w:color w:val="000000" w:themeColor="text1"/>
                      <w:spacing w:val="-1"/>
                      <w:sz w:val="21"/>
                      <w:szCs w:val="21"/>
                      <w:lang w:eastAsia="zh-CN"/>
                      <w14:textFill>
                        <w14:solidFill>
                          <w14:schemeClr w14:val="tx1"/>
                        </w14:solidFill>
                      </w14:textFill>
                    </w:rPr>
                    <w:t>）</w:t>
                  </w:r>
                </w:p>
              </w:tc>
              <w:tc>
                <w:tcPr>
                  <w:tcW w:w="2289" w:type="pct"/>
                  <w:tcBorders>
                    <w:tl2br w:val="nil"/>
                    <w:tr2bl w:val="nil"/>
                  </w:tcBorders>
                  <w:noWrap w:val="0"/>
                  <w:vAlign w:val="center"/>
                </w:tcPr>
                <w:p w14:paraId="38162093">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7</w:t>
                  </w:r>
                  <w:r>
                    <w:rPr>
                      <w:rFonts w:hint="default" w:ascii="Times New Roman" w:hAnsi="Times New Roman" w:eastAsia="宋体" w:cs="Times New Roman"/>
                      <w:color w:val="000000" w:themeColor="text1"/>
                      <w:spacing w:val="-1"/>
                      <w:sz w:val="21"/>
                      <w:szCs w:val="21"/>
                      <w14:textFill>
                        <w14:solidFill>
                          <w14:schemeClr w14:val="tx1"/>
                        </w14:solidFill>
                      </w14:textFill>
                    </w:rPr>
                    <w:t>×</w:t>
                  </w:r>
                  <w:r>
                    <w:rPr>
                      <w:rFonts w:hint="default" w:ascii="Times New Roman" w:hAnsi="Times New Roman" w:eastAsia="Times New Roman" w:cs="Times New Roman"/>
                      <w:color w:val="000000" w:themeColor="text1"/>
                      <w:spacing w:val="-1"/>
                      <w:sz w:val="21"/>
                      <w:szCs w:val="21"/>
                      <w14:textFill>
                        <w14:solidFill>
                          <w14:schemeClr w14:val="tx1"/>
                        </w14:solidFill>
                      </w14:textFill>
                    </w:rPr>
                    <w:t>2.5</w:t>
                  </w:r>
                </w:p>
              </w:tc>
            </w:tr>
            <w:tr w14:paraId="5CEF33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033" w:type="pct"/>
                  <w:vMerge w:val="restart"/>
                  <w:tcBorders>
                    <w:tl2br w:val="nil"/>
                    <w:tr2bl w:val="nil"/>
                  </w:tcBorders>
                  <w:noWrap w:val="0"/>
                  <w:vAlign w:val="center"/>
                </w:tcPr>
                <w:p w14:paraId="387EBD95">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eastAsia="宋体" w:cs="Times New Roman"/>
                      <w:color w:val="000000" w:themeColor="text1"/>
                      <w:spacing w:val="-2"/>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截面积</w:t>
                  </w:r>
                </w:p>
                <w:p w14:paraId="66A8CDEB">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pacing w:val="-2"/>
                      <w:sz w:val="21"/>
                      <w:szCs w:val="21"/>
                      <w:lang w:val="en-US" w:eastAsia="zh-CN"/>
                      <w14:textFill>
                        <w14:solidFill>
                          <w14:schemeClr w14:val="tx1"/>
                        </w14:solidFill>
                      </w14:textFill>
                    </w:rPr>
                    <w:t>(</w:t>
                  </w:r>
                  <w:r>
                    <w:rPr>
                      <w:rFonts w:hint="default" w:ascii="Times New Roman" w:hAnsi="Times New Roman" w:eastAsia="Times New Roman" w:cs="Times New Roman"/>
                      <w:color w:val="000000" w:themeColor="text1"/>
                      <w:spacing w:val="-2"/>
                      <w:sz w:val="21"/>
                      <w:szCs w:val="21"/>
                      <w14:textFill>
                        <w14:solidFill>
                          <w14:schemeClr w14:val="tx1"/>
                        </w14:solidFill>
                      </w14:textFill>
                    </w:rPr>
                    <w:t>mm</w:t>
                  </w:r>
                  <w:r>
                    <w:rPr>
                      <w:rFonts w:hint="default" w:ascii="Times New Roman" w:hAnsi="Times New Roman" w:eastAsia="Times New Roman" w:cs="Times New Roman"/>
                      <w:color w:val="000000" w:themeColor="text1"/>
                      <w:spacing w:val="-2"/>
                      <w:sz w:val="21"/>
                      <w:szCs w:val="21"/>
                      <w:vertAlign w:val="superscript"/>
                      <w14:textFill>
                        <w14:solidFill>
                          <w14:schemeClr w14:val="tx1"/>
                        </w14:solidFill>
                      </w14:textFill>
                    </w:rPr>
                    <w:t>2</w:t>
                  </w:r>
                  <w:r>
                    <w:rPr>
                      <w:rFonts w:hint="eastAsia" w:ascii="Times New Roman" w:hAnsi="Times New Roman" w:cs="Times New Roman"/>
                      <w:color w:val="000000" w:themeColor="text1"/>
                      <w:spacing w:val="-2"/>
                      <w:sz w:val="21"/>
                      <w:szCs w:val="21"/>
                      <w:lang w:val="en-US" w:eastAsia="zh-CN"/>
                      <w14:textFill>
                        <w14:solidFill>
                          <w14:schemeClr w14:val="tx1"/>
                        </w14:solidFill>
                      </w14:textFill>
                    </w:rPr>
                    <w:t>)</w:t>
                  </w:r>
                </w:p>
              </w:tc>
              <w:tc>
                <w:tcPr>
                  <w:tcW w:w="1677" w:type="pct"/>
                  <w:tcBorders>
                    <w:tl2br w:val="nil"/>
                    <w:tr2bl w:val="nil"/>
                  </w:tcBorders>
                  <w:noWrap w:val="0"/>
                  <w:vAlign w:val="center"/>
                </w:tcPr>
                <w:p w14:paraId="32223459">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铝</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14:textFill>
                        <w14:solidFill>
                          <w14:schemeClr w14:val="tx1"/>
                        </w14:solidFill>
                      </w14:textFill>
                    </w:rPr>
                    <w:t>铝合金</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p>
              </w:tc>
              <w:tc>
                <w:tcPr>
                  <w:tcW w:w="2289" w:type="pct"/>
                  <w:tcBorders>
                    <w:tl2br w:val="nil"/>
                    <w:tr2bl w:val="nil"/>
                  </w:tcBorders>
                  <w:noWrap w:val="0"/>
                  <w:vAlign w:val="center"/>
                </w:tcPr>
                <w:p w14:paraId="5C0D70CA">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390.88</w:t>
                  </w:r>
                </w:p>
              </w:tc>
            </w:tr>
            <w:tr w14:paraId="439CD2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033" w:type="pct"/>
                  <w:vMerge w:val="continue"/>
                  <w:tcBorders>
                    <w:tl2br w:val="nil"/>
                    <w:tr2bl w:val="nil"/>
                  </w:tcBorders>
                  <w:noWrap w:val="0"/>
                  <w:vAlign w:val="center"/>
                </w:tcPr>
                <w:p w14:paraId="58FCAB48">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677" w:type="pct"/>
                  <w:tcBorders>
                    <w:tl2br w:val="nil"/>
                    <w:tr2bl w:val="nil"/>
                  </w:tcBorders>
                  <w:noWrap w:val="0"/>
                  <w:vAlign w:val="center"/>
                </w:tcPr>
                <w:p w14:paraId="68EA15BD">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钢</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14:textFill>
                        <w14:solidFill>
                          <w14:schemeClr w14:val="tx1"/>
                        </w14:solidFill>
                      </w14:textFill>
                    </w:rPr>
                    <w:t>铝合金</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p>
              </w:tc>
              <w:tc>
                <w:tcPr>
                  <w:tcW w:w="2289" w:type="pct"/>
                  <w:tcBorders>
                    <w:tl2br w:val="nil"/>
                    <w:tr2bl w:val="nil"/>
                  </w:tcBorders>
                  <w:noWrap w:val="0"/>
                  <w:vAlign w:val="center"/>
                </w:tcPr>
                <w:p w14:paraId="3633093C">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34.36</w:t>
                  </w:r>
                </w:p>
              </w:tc>
            </w:tr>
            <w:tr w14:paraId="13C7DA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1033" w:type="pct"/>
                  <w:vMerge w:val="continue"/>
                  <w:tcBorders>
                    <w:tl2br w:val="nil"/>
                    <w:tr2bl w:val="nil"/>
                  </w:tcBorders>
                  <w:noWrap w:val="0"/>
                  <w:vAlign w:val="center"/>
                </w:tcPr>
                <w:p w14:paraId="5D43C9B6">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677" w:type="pct"/>
                  <w:tcBorders>
                    <w:tl2br w:val="nil"/>
                    <w:tr2bl w:val="nil"/>
                  </w:tcBorders>
                  <w:noWrap w:val="0"/>
                  <w:vAlign w:val="center"/>
                </w:tcPr>
                <w:p w14:paraId="05ABA055">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总截面</w:t>
                  </w:r>
                </w:p>
              </w:tc>
              <w:tc>
                <w:tcPr>
                  <w:tcW w:w="2289" w:type="pct"/>
                  <w:tcBorders>
                    <w:tl2br w:val="nil"/>
                    <w:tr2bl w:val="nil"/>
                  </w:tcBorders>
                  <w:noWrap w:val="0"/>
                  <w:vAlign w:val="center"/>
                </w:tcPr>
                <w:p w14:paraId="4A162653">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425.24</w:t>
                  </w:r>
                </w:p>
              </w:tc>
            </w:tr>
            <w:tr w14:paraId="4FFC96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3B0FE612">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铝钢截面比</w:t>
                  </w:r>
                </w:p>
              </w:tc>
              <w:tc>
                <w:tcPr>
                  <w:tcW w:w="2289" w:type="pct"/>
                  <w:tcBorders>
                    <w:tl2br w:val="nil"/>
                    <w:tr2bl w:val="nil"/>
                  </w:tcBorders>
                  <w:noWrap w:val="0"/>
                  <w:vAlign w:val="center"/>
                </w:tcPr>
                <w:p w14:paraId="3A0F4190">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11.4</w:t>
                  </w:r>
                </w:p>
              </w:tc>
            </w:tr>
            <w:tr w14:paraId="665206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7D122A88">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直径</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Times New Roman" w:cs="Times New Roman"/>
                      <w:color w:val="000000" w:themeColor="text1"/>
                      <w:spacing w:val="-2"/>
                      <w:sz w:val="21"/>
                      <w:szCs w:val="21"/>
                      <w14:textFill>
                        <w14:solidFill>
                          <w14:schemeClr w14:val="tx1"/>
                        </w14:solidFill>
                      </w14:textFill>
                    </w:rPr>
                    <w:t>mm</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p>
              </w:tc>
              <w:tc>
                <w:tcPr>
                  <w:tcW w:w="2289" w:type="pct"/>
                  <w:tcBorders>
                    <w:tl2br w:val="nil"/>
                    <w:tr2bl w:val="nil"/>
                  </w:tcBorders>
                  <w:noWrap w:val="0"/>
                  <w:vAlign w:val="center"/>
                </w:tcPr>
                <w:p w14:paraId="45F90E6A">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26.8</w:t>
                  </w:r>
                </w:p>
              </w:tc>
            </w:tr>
            <w:tr w14:paraId="589922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27A154FF">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单位质量</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Times New Roman" w:cs="Times New Roman"/>
                      <w:color w:val="000000" w:themeColor="text1"/>
                      <w:spacing w:val="-2"/>
                      <w:sz w:val="21"/>
                      <w:szCs w:val="21"/>
                      <w14:textFill>
                        <w14:solidFill>
                          <w14:schemeClr w14:val="tx1"/>
                        </w14:solidFill>
                      </w14:textFill>
                    </w:rPr>
                    <w:t>kg/km</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p>
              </w:tc>
              <w:tc>
                <w:tcPr>
                  <w:tcW w:w="2289" w:type="pct"/>
                  <w:tcBorders>
                    <w:tl2br w:val="nil"/>
                    <w:tr2bl w:val="nil"/>
                  </w:tcBorders>
                  <w:noWrap w:val="0"/>
                  <w:vAlign w:val="center"/>
                </w:tcPr>
                <w:p w14:paraId="57B5CFC7">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1347.3</w:t>
                  </w:r>
                </w:p>
              </w:tc>
            </w:tr>
            <w:tr w14:paraId="665C1C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3C0F670E">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额定拉断力</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Times New Roman" w:cs="Times New Roman"/>
                      <w:color w:val="000000" w:themeColor="text1"/>
                      <w:spacing w:val="-2"/>
                      <w:sz w:val="21"/>
                      <w:szCs w:val="21"/>
                      <w14:textFill>
                        <w14:solidFill>
                          <w14:schemeClr w14:val="tx1"/>
                        </w14:solidFill>
                      </w14:textFill>
                    </w:rPr>
                    <w:t>kN</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p>
              </w:tc>
              <w:tc>
                <w:tcPr>
                  <w:tcW w:w="2289" w:type="pct"/>
                  <w:tcBorders>
                    <w:tl2br w:val="nil"/>
                    <w:tr2bl w:val="nil"/>
                  </w:tcBorders>
                  <w:noWrap w:val="0"/>
                  <w:vAlign w:val="center"/>
                </w:tcPr>
                <w:p w14:paraId="2ACB7244">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103.67</w:t>
                  </w:r>
                </w:p>
              </w:tc>
            </w:tr>
            <w:tr w14:paraId="0913FF2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25804C72">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2"/>
                      <w:sz w:val="21"/>
                      <w:szCs w:val="21"/>
                      <w14:textFill>
                        <w14:solidFill>
                          <w14:schemeClr w14:val="tx1"/>
                        </w14:solidFill>
                      </w14:textFill>
                    </w:rPr>
                    <w:t>20</w:t>
                  </w:r>
                  <w:r>
                    <w:rPr>
                      <w:rFonts w:hint="default" w:ascii="Times New Roman" w:hAnsi="Times New Roman" w:eastAsia="宋体" w:cs="Times New Roman"/>
                      <w:color w:val="000000" w:themeColor="text1"/>
                      <w:spacing w:val="-2"/>
                      <w:sz w:val="21"/>
                      <w:szCs w:val="21"/>
                      <w14:textFill>
                        <w14:solidFill>
                          <w14:schemeClr w14:val="tx1"/>
                        </w14:solidFill>
                      </w14:textFill>
                    </w:rPr>
                    <w:t>℃时直流电阻</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宋体" w:cs="Times New Roman"/>
                      <w:color w:val="000000" w:themeColor="text1"/>
                      <w:spacing w:val="-2"/>
                      <w:sz w:val="21"/>
                      <w:szCs w:val="21"/>
                      <w14:textFill>
                        <w14:solidFill>
                          <w14:schemeClr w14:val="tx1"/>
                        </w14:solidFill>
                      </w14:textFill>
                    </w:rPr>
                    <w:t>Ω</w:t>
                  </w:r>
                  <w:r>
                    <w:rPr>
                      <w:rFonts w:hint="default" w:ascii="Times New Roman" w:hAnsi="Times New Roman" w:eastAsia="Times New Roman" w:cs="Times New Roman"/>
                      <w:color w:val="000000" w:themeColor="text1"/>
                      <w:spacing w:val="-2"/>
                      <w:sz w:val="21"/>
                      <w:szCs w:val="21"/>
                      <w14:textFill>
                        <w14:solidFill>
                          <w14:schemeClr w14:val="tx1"/>
                        </w14:solidFill>
                      </w14:textFill>
                    </w:rPr>
                    <w:t>/km</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p>
              </w:tc>
              <w:tc>
                <w:tcPr>
                  <w:tcW w:w="2289" w:type="pct"/>
                  <w:tcBorders>
                    <w:tl2br w:val="nil"/>
                    <w:tr2bl w:val="nil"/>
                  </w:tcBorders>
                  <w:noWrap w:val="0"/>
                  <w:vAlign w:val="center"/>
                </w:tcPr>
                <w:p w14:paraId="5B847379">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0.0722</w:t>
                  </w:r>
                </w:p>
              </w:tc>
            </w:tr>
            <w:tr w14:paraId="6270C0C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2DC20848">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弹性模量</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Times New Roman" w:cs="Times New Roman"/>
                      <w:color w:val="000000" w:themeColor="text1"/>
                      <w:spacing w:val="-2"/>
                      <w:sz w:val="21"/>
                      <w:szCs w:val="21"/>
                      <w14:textFill>
                        <w14:solidFill>
                          <w14:schemeClr w14:val="tx1"/>
                        </w14:solidFill>
                      </w14:textFill>
                    </w:rPr>
                    <w:t>GPa</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p>
              </w:tc>
              <w:tc>
                <w:tcPr>
                  <w:tcW w:w="2289" w:type="pct"/>
                  <w:tcBorders>
                    <w:tl2br w:val="nil"/>
                    <w:tr2bl w:val="nil"/>
                  </w:tcBorders>
                  <w:noWrap w:val="0"/>
                  <w:vAlign w:val="center"/>
                </w:tcPr>
                <w:p w14:paraId="7C7C3CEC">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65.0</w:t>
                  </w:r>
                </w:p>
              </w:tc>
            </w:tr>
            <w:tr w14:paraId="18FA2B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66C72E95">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热胀系数</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Times New Roman" w:cs="Times New Roman"/>
                      <w:color w:val="000000" w:themeColor="text1"/>
                      <w:spacing w:val="-2"/>
                      <w:sz w:val="21"/>
                      <w:szCs w:val="21"/>
                      <w14:textFill>
                        <w14:solidFill>
                          <w14:schemeClr w14:val="tx1"/>
                        </w14:solidFill>
                      </w14:textFill>
                    </w:rPr>
                    <w:t>*10-6/</w:t>
                  </w:r>
                  <w:r>
                    <w:rPr>
                      <w:rFonts w:hint="default" w:ascii="Times New Roman" w:hAnsi="Times New Roman" w:eastAsia="宋体" w:cs="Times New Roman"/>
                      <w:color w:val="000000" w:themeColor="text1"/>
                      <w:spacing w:val="-2"/>
                      <w:sz w:val="21"/>
                      <w:szCs w:val="21"/>
                      <w14:textFill>
                        <w14:solidFill>
                          <w14:schemeClr w14:val="tx1"/>
                        </w14:solidFill>
                      </w14:textFill>
                    </w:rPr>
                    <w:t>℃</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p>
              </w:tc>
              <w:tc>
                <w:tcPr>
                  <w:tcW w:w="2289" w:type="pct"/>
                  <w:tcBorders>
                    <w:tl2br w:val="nil"/>
                    <w:tr2bl w:val="nil"/>
                  </w:tcBorders>
                  <w:noWrap w:val="0"/>
                  <w:vAlign w:val="center"/>
                </w:tcPr>
                <w:p w14:paraId="3AC9AEFA">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20.5</w:t>
                  </w:r>
                </w:p>
              </w:tc>
            </w:tr>
            <w:tr w14:paraId="3E90A5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710" w:type="pct"/>
                  <w:gridSpan w:val="2"/>
                  <w:tcBorders>
                    <w:tl2br w:val="nil"/>
                    <w:tr2bl w:val="nil"/>
                  </w:tcBorders>
                  <w:noWrap w:val="0"/>
                  <w:vAlign w:val="center"/>
                </w:tcPr>
                <w:p w14:paraId="28E81B63">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pacing w:val="-2"/>
                      <w:sz w:val="21"/>
                      <w:szCs w:val="21"/>
                      <w14:textFill>
                        <w14:solidFill>
                          <w14:schemeClr w14:val="tx1"/>
                        </w14:solidFill>
                      </w14:textFill>
                    </w:rPr>
                    <w:t>拉力单重比</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r>
                    <w:rPr>
                      <w:rFonts w:hint="default" w:ascii="Times New Roman" w:hAnsi="Times New Roman" w:eastAsia="Times New Roman" w:cs="Times New Roman"/>
                      <w:color w:val="000000" w:themeColor="text1"/>
                      <w:spacing w:val="-2"/>
                      <w:sz w:val="21"/>
                      <w:szCs w:val="21"/>
                      <w14:textFill>
                        <w14:solidFill>
                          <w14:schemeClr w14:val="tx1"/>
                        </w14:solidFill>
                      </w14:textFill>
                    </w:rPr>
                    <w:t>km</w:t>
                  </w:r>
                  <w:r>
                    <w:rPr>
                      <w:rFonts w:hint="eastAsia" w:ascii="Times New Roman" w:hAnsi="Times New Roman" w:eastAsia="宋体" w:cs="Times New Roman"/>
                      <w:color w:val="000000" w:themeColor="text1"/>
                      <w:spacing w:val="-2"/>
                      <w:sz w:val="21"/>
                      <w:szCs w:val="21"/>
                      <w:lang w:eastAsia="zh-CN"/>
                      <w14:textFill>
                        <w14:solidFill>
                          <w14:schemeClr w14:val="tx1"/>
                        </w14:solidFill>
                      </w14:textFill>
                    </w:rPr>
                    <w:t>）</w:t>
                  </w:r>
                </w:p>
              </w:tc>
              <w:tc>
                <w:tcPr>
                  <w:tcW w:w="2289" w:type="pct"/>
                  <w:tcBorders>
                    <w:tl2br w:val="nil"/>
                    <w:tr2bl w:val="nil"/>
                  </w:tcBorders>
                  <w:noWrap w:val="0"/>
                  <w:vAlign w:val="center"/>
                </w:tcPr>
                <w:p w14:paraId="194B4063">
                  <w:pPr>
                    <w:pStyle w:val="68"/>
                    <w:keepNext w:val="0"/>
                    <w:keepLines w:val="0"/>
                    <w:pageBreakBefore w:val="0"/>
                    <w:widowControl w:val="0"/>
                    <w:kinsoku w:val="0"/>
                    <w:wordWrap/>
                    <w:overflowPunct w:val="0"/>
                    <w:topLinePunct w:val="0"/>
                    <w:autoSpaceDE w:val="0"/>
                    <w:autoSpaceDN w:val="0"/>
                    <w:bidi w:val="0"/>
                    <w:adjustRightInd w:val="0"/>
                    <w:snapToGrid w:val="0"/>
                    <w:spacing w:beforeLines="0" w:afterLines="0" w:line="240" w:lineRule="auto"/>
                    <w:ind w:left="0" w:right="0" w:firstLine="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eastAsia="Times New Roman" w:cs="Times New Roman"/>
                      <w:color w:val="000000" w:themeColor="text1"/>
                      <w:spacing w:val="-1"/>
                      <w:sz w:val="21"/>
                      <w:szCs w:val="21"/>
                      <w14:textFill>
                        <w14:solidFill>
                          <w14:schemeClr w14:val="tx1"/>
                        </w14:solidFill>
                      </w14:textFill>
                    </w:rPr>
                    <w:t>13</w:t>
                  </w:r>
                </w:p>
              </w:tc>
            </w:tr>
          </w:tbl>
          <w:p w14:paraId="32D4D3A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eastAsia="宋体"/>
                <w:b w:val="0"/>
                <w:bCs w:val="0"/>
                <w:color w:val="000000" w:themeColor="text1"/>
                <w:lang w:val="en-US" w:eastAsia="zh-CN"/>
                <w14:textFill>
                  <w14:solidFill>
                    <w14:schemeClr w14:val="tx1"/>
                  </w14:solidFill>
                </w14:textFill>
              </w:rPr>
            </w:pPr>
            <w:r>
              <w:rPr>
                <w:rFonts w:hint="eastAsia"/>
                <w:b w:val="0"/>
                <w:bCs w:val="0"/>
                <w:color w:val="000000" w:themeColor="text1"/>
                <w:lang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2</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塔基</w:t>
            </w:r>
          </w:p>
          <w:p w14:paraId="47EEE7AA">
            <w:pPr>
              <w:spacing w:line="500" w:lineRule="exact"/>
              <w:ind w:firstLine="480" w:firstLineChars="200"/>
              <w:rPr>
                <w:rFonts w:hint="default" w:eastAsia="宋体"/>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本项目22</w:t>
            </w:r>
            <w:r>
              <w:rPr>
                <w:rFonts w:hint="eastAsia"/>
                <w:b w:val="0"/>
                <w:bCs w:val="0"/>
                <w:color w:val="000000" w:themeColor="text1"/>
                <w14:textFill>
                  <w14:solidFill>
                    <w14:schemeClr w14:val="tx1"/>
                  </w14:solidFill>
                </w14:textFill>
              </w:rPr>
              <w:t>0kV架空</w:t>
            </w:r>
            <w:r>
              <w:rPr>
                <w:rFonts w:hint="eastAsia"/>
                <w:b w:val="0"/>
                <w:bCs w:val="0"/>
                <w:color w:val="000000" w:themeColor="text1"/>
                <w:lang w:val="en-US" w:eastAsia="zh-CN"/>
                <w14:textFill>
                  <w14:solidFill>
                    <w14:schemeClr w14:val="tx1"/>
                  </w14:solidFill>
                </w14:textFill>
              </w:rPr>
              <w:t>外送线路</w:t>
            </w:r>
            <w:r>
              <w:rPr>
                <w:rFonts w:hint="eastAsia"/>
                <w:b w:val="0"/>
                <w:bCs w:val="0"/>
                <w:color w:val="000000" w:themeColor="text1"/>
                <w14:textFill>
                  <w14:solidFill>
                    <w14:schemeClr w14:val="tx1"/>
                  </w14:solidFill>
                </w14:textFill>
              </w:rPr>
              <w:t>工程共新设</w:t>
            </w:r>
            <w:r>
              <w:rPr>
                <w:rFonts w:hint="eastAsia"/>
                <w:b w:val="0"/>
                <w:bCs w:val="0"/>
                <w:color w:val="000000" w:themeColor="text1"/>
                <w:lang w:val="en-US" w:eastAsia="zh-CN"/>
                <w14:textFill>
                  <w14:solidFill>
                    <w14:schemeClr w14:val="tx1"/>
                  </w14:solidFill>
                </w14:textFill>
              </w:rPr>
              <w:t>9</w:t>
            </w:r>
            <w:r>
              <w:rPr>
                <w:rFonts w:hint="eastAsia"/>
                <w:b w:val="0"/>
                <w:bCs w:val="0"/>
                <w:color w:val="000000" w:themeColor="text1"/>
                <w14:textFill>
                  <w14:solidFill>
                    <w14:schemeClr w14:val="tx1"/>
                  </w14:solidFill>
                </w14:textFill>
              </w:rPr>
              <w:t>基杆塔</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全部为</w:t>
            </w:r>
            <w:r>
              <w:rPr>
                <w:rFonts w:hint="eastAsia"/>
                <w:b w:val="0"/>
                <w:bCs w:val="0"/>
                <w:color w:val="000000" w:themeColor="text1"/>
                <w14:textFill>
                  <w14:solidFill>
                    <w14:schemeClr w14:val="tx1"/>
                  </w14:solidFill>
                </w14:textFill>
              </w:rPr>
              <w:t>角钢塔。杆塔型号见下表。</w:t>
            </w:r>
          </w:p>
          <w:p w14:paraId="2E55D7CE">
            <w:pPr>
              <w:keepNext w:val="0"/>
              <w:keepLines w:val="0"/>
              <w:pageBreakBefore w:val="0"/>
              <w:widowControl w:val="0"/>
              <w:tabs>
                <w:tab w:val="left" w:pos="4586"/>
                <w:tab w:val="left" w:pos="5786"/>
              </w:tabs>
              <w:kinsoku/>
              <w:wordWrap/>
              <w:overflowPunct/>
              <w:topLinePunct w:val="0"/>
              <w:autoSpaceDE w:val="0"/>
              <w:autoSpaceDN w:val="0"/>
              <w:bidi w:val="0"/>
              <w:adjustRightInd w:val="0"/>
              <w:snapToGrid w:val="0"/>
              <w:spacing w:line="500" w:lineRule="exact"/>
              <w:jc w:val="center"/>
              <w:textAlignment w:val="auto"/>
              <w:rPr>
                <w:rFonts w:hint="eastAsia" w:ascii="黑体" w:hAnsi="黑体" w:eastAsia="黑体" w:cs="黑体"/>
                <w:bCs/>
                <w:color w:val="000000" w:themeColor="text1"/>
                <w:sz w:val="21"/>
                <w:szCs w:val="21"/>
                <w:lang w:val="en-US" w:eastAsia="zh-CN"/>
                <w14:textFill>
                  <w14:solidFill>
                    <w14:schemeClr w14:val="tx1"/>
                  </w14:solidFill>
                </w14:textFill>
              </w:rPr>
            </w:pPr>
            <w:r>
              <w:rPr>
                <w:rFonts w:hint="eastAsia" w:ascii="黑体" w:hAnsi="黑体" w:eastAsia="黑体" w:cs="黑体"/>
                <w:bCs/>
                <w:color w:val="000000" w:themeColor="text1"/>
                <w:sz w:val="21"/>
                <w:szCs w:val="21"/>
                <w:lang w:val="en-US" w:eastAsia="zh-CN"/>
                <w14:textFill>
                  <w14:solidFill>
                    <w14:schemeClr w14:val="tx1"/>
                  </w14:solidFill>
                </w14:textFill>
              </w:rPr>
              <w:t>表2-4    本工程铁塔使用型号一览表</w:t>
            </w:r>
          </w:p>
          <w:tbl>
            <w:tblPr>
              <w:tblStyle w:val="28"/>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725"/>
              <w:gridCol w:w="1035"/>
              <w:gridCol w:w="974"/>
              <w:gridCol w:w="1013"/>
              <w:gridCol w:w="1387"/>
              <w:gridCol w:w="695"/>
              <w:gridCol w:w="773"/>
            </w:tblGrid>
            <w:tr w14:paraId="722502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383" w:type="pct"/>
                  <w:vMerge w:val="restart"/>
                  <w:tcBorders>
                    <w:tl2br w:val="nil"/>
                    <w:tr2bl w:val="nil"/>
                  </w:tcBorders>
                  <w:noWrap w:val="0"/>
                  <w:vAlign w:val="center"/>
                </w:tcPr>
                <w:p w14:paraId="20695983">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序号</w:t>
                  </w:r>
                </w:p>
              </w:tc>
              <w:tc>
                <w:tcPr>
                  <w:tcW w:w="1047" w:type="pct"/>
                  <w:vMerge w:val="restart"/>
                  <w:tcBorders>
                    <w:tl2br w:val="nil"/>
                    <w:tr2bl w:val="nil"/>
                  </w:tcBorders>
                  <w:noWrap w:val="0"/>
                  <w:vAlign w:val="center"/>
                </w:tcPr>
                <w:p w14:paraId="3CD26860">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杆塔型</w:t>
                  </w:r>
                </w:p>
              </w:tc>
              <w:tc>
                <w:tcPr>
                  <w:tcW w:w="628" w:type="pct"/>
                  <w:vMerge w:val="restart"/>
                  <w:tcBorders>
                    <w:tl2br w:val="nil"/>
                    <w:tr2bl w:val="nil"/>
                  </w:tcBorders>
                  <w:noWrap w:val="0"/>
                  <w:vAlign w:val="center"/>
                </w:tcPr>
                <w:p w14:paraId="0AF27950">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使用呼称高（m）</w:t>
                  </w:r>
                </w:p>
              </w:tc>
              <w:tc>
                <w:tcPr>
                  <w:tcW w:w="1206" w:type="pct"/>
                  <w:gridSpan w:val="2"/>
                  <w:tcBorders>
                    <w:tl2br w:val="nil"/>
                    <w:tr2bl w:val="nil"/>
                  </w:tcBorders>
                  <w:noWrap w:val="0"/>
                  <w:vAlign w:val="center"/>
                </w:tcPr>
                <w:p w14:paraId="5163B194">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设计档距（m）</w:t>
                  </w:r>
                </w:p>
              </w:tc>
              <w:tc>
                <w:tcPr>
                  <w:tcW w:w="842" w:type="pct"/>
                  <w:vMerge w:val="restart"/>
                  <w:tcBorders>
                    <w:tl2br w:val="nil"/>
                    <w:tr2bl w:val="nil"/>
                  </w:tcBorders>
                  <w:noWrap w:val="0"/>
                  <w:vAlign w:val="center"/>
                </w:tcPr>
                <w:p w14:paraId="1D634C2D">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转角度数（</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422" w:type="pct"/>
                  <w:vMerge w:val="restart"/>
                  <w:tcBorders>
                    <w:tl2br w:val="nil"/>
                    <w:tr2bl w:val="nil"/>
                  </w:tcBorders>
                  <w:noWrap w:val="0"/>
                  <w:vAlign w:val="center"/>
                </w:tcPr>
                <w:p w14:paraId="7F0F6EDB">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基数</w:t>
                  </w:r>
                </w:p>
              </w:tc>
              <w:tc>
                <w:tcPr>
                  <w:tcW w:w="469" w:type="pct"/>
                  <w:vMerge w:val="restart"/>
                  <w:tcBorders>
                    <w:tl2br w:val="nil"/>
                    <w:tr2bl w:val="nil"/>
                  </w:tcBorders>
                  <w:noWrap w:val="0"/>
                  <w:vAlign w:val="center"/>
                </w:tcPr>
                <w:p w14:paraId="7A14AB98">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备注</w:t>
                  </w:r>
                </w:p>
              </w:tc>
            </w:tr>
            <w:tr w14:paraId="52210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383" w:type="pct"/>
                  <w:vMerge w:val="continue"/>
                  <w:tcBorders>
                    <w:tl2br w:val="nil"/>
                    <w:tr2bl w:val="nil"/>
                  </w:tcBorders>
                  <w:noWrap w:val="0"/>
                  <w:vAlign w:val="center"/>
                </w:tcPr>
                <w:p w14:paraId="65D58167">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1047" w:type="pct"/>
                  <w:vMerge w:val="continue"/>
                  <w:tcBorders>
                    <w:tl2br w:val="nil"/>
                    <w:tr2bl w:val="nil"/>
                  </w:tcBorders>
                  <w:noWrap w:val="0"/>
                  <w:vAlign w:val="center"/>
                </w:tcPr>
                <w:p w14:paraId="357D95DC">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628" w:type="pct"/>
                  <w:vMerge w:val="continue"/>
                  <w:tcBorders>
                    <w:tl2br w:val="nil"/>
                    <w:tr2bl w:val="nil"/>
                  </w:tcBorders>
                  <w:noWrap w:val="0"/>
                  <w:vAlign w:val="center"/>
                </w:tcPr>
                <w:p w14:paraId="384FE18D">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p>
              </w:tc>
              <w:tc>
                <w:tcPr>
                  <w:tcW w:w="591" w:type="pct"/>
                  <w:tcBorders>
                    <w:tl2br w:val="nil"/>
                    <w:tr2bl w:val="nil"/>
                  </w:tcBorders>
                  <w:noWrap w:val="0"/>
                  <w:vAlign w:val="center"/>
                </w:tcPr>
                <w:p w14:paraId="2270E3F8">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水平</w:t>
                  </w:r>
                </w:p>
              </w:tc>
              <w:tc>
                <w:tcPr>
                  <w:tcW w:w="614" w:type="pct"/>
                  <w:tcBorders>
                    <w:tl2br w:val="nil"/>
                    <w:tr2bl w:val="nil"/>
                  </w:tcBorders>
                  <w:noWrap w:val="0"/>
                  <w:vAlign w:val="center"/>
                </w:tcPr>
                <w:p w14:paraId="64D5B3C9">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垂直</w:t>
                  </w:r>
                </w:p>
              </w:tc>
              <w:tc>
                <w:tcPr>
                  <w:tcW w:w="842" w:type="pct"/>
                  <w:vMerge w:val="continue"/>
                  <w:tcBorders>
                    <w:tl2br w:val="nil"/>
                    <w:tr2bl w:val="nil"/>
                  </w:tcBorders>
                  <w:noWrap w:val="0"/>
                  <w:vAlign w:val="center"/>
                </w:tcPr>
                <w:p w14:paraId="36330324">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422" w:type="pct"/>
                  <w:vMerge w:val="continue"/>
                  <w:tcBorders>
                    <w:tl2br w:val="nil"/>
                    <w:tr2bl w:val="nil"/>
                  </w:tcBorders>
                  <w:noWrap w:val="0"/>
                  <w:vAlign w:val="center"/>
                </w:tcPr>
                <w:p w14:paraId="7D24368F">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469" w:type="pct"/>
                  <w:vMerge w:val="continue"/>
                  <w:tcBorders>
                    <w:tl2br w:val="nil"/>
                    <w:tr2bl w:val="nil"/>
                  </w:tcBorders>
                  <w:noWrap w:val="0"/>
                  <w:vAlign w:val="center"/>
                </w:tcPr>
                <w:p w14:paraId="3E57551F">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14:paraId="122771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3" w:type="pct"/>
                  <w:tcBorders>
                    <w:tl2br w:val="nil"/>
                    <w:tr2bl w:val="nil"/>
                  </w:tcBorders>
                  <w:noWrap w:val="0"/>
                  <w:vAlign w:val="center"/>
                </w:tcPr>
                <w:p w14:paraId="786AC1F0">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p>
              </w:tc>
              <w:tc>
                <w:tcPr>
                  <w:tcW w:w="1047" w:type="pct"/>
                  <w:tcBorders>
                    <w:tl2br w:val="nil"/>
                    <w:tr2bl w:val="nil"/>
                  </w:tcBorders>
                  <w:noWrap w:val="0"/>
                  <w:vAlign w:val="center"/>
                </w:tcPr>
                <w:p w14:paraId="0EC70D14">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220-KD21D-J4</w:t>
                  </w:r>
                </w:p>
              </w:tc>
              <w:tc>
                <w:tcPr>
                  <w:tcW w:w="628" w:type="pct"/>
                  <w:tcBorders>
                    <w:tl2br w:val="nil"/>
                    <w:tr2bl w:val="nil"/>
                  </w:tcBorders>
                  <w:noWrap w:val="0"/>
                  <w:vAlign w:val="center"/>
                </w:tcPr>
                <w:p w14:paraId="5A751F0D">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24-27</w:t>
                  </w:r>
                </w:p>
              </w:tc>
              <w:tc>
                <w:tcPr>
                  <w:tcW w:w="591" w:type="pct"/>
                  <w:tcBorders>
                    <w:tl2br w:val="nil"/>
                    <w:tr2bl w:val="nil"/>
                  </w:tcBorders>
                  <w:noWrap w:val="0"/>
                  <w:vAlign w:val="center"/>
                </w:tcPr>
                <w:p w14:paraId="74204382">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ascii="Times New Roman" w:hAnsi="Times New Roman" w:eastAsia="Times New Roman" w:cs="Times New Roman"/>
                      <w:color w:val="000000" w:themeColor="text1"/>
                      <w:spacing w:val="-1"/>
                      <w:sz w:val="22"/>
                      <w:szCs w:val="22"/>
                      <w14:textFill>
                        <w14:solidFill>
                          <w14:schemeClr w14:val="tx1"/>
                        </w14:solidFill>
                      </w14:textFill>
                    </w:rPr>
                    <w:t>420</w:t>
                  </w:r>
                </w:p>
              </w:tc>
              <w:tc>
                <w:tcPr>
                  <w:tcW w:w="614" w:type="pct"/>
                  <w:tcBorders>
                    <w:tl2br w:val="nil"/>
                    <w:tr2bl w:val="nil"/>
                  </w:tcBorders>
                  <w:noWrap w:val="0"/>
                  <w:vAlign w:val="center"/>
                </w:tcPr>
                <w:p w14:paraId="71B088D8">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pacing w:val="-1"/>
                      <w:sz w:val="22"/>
                      <w:szCs w:val="22"/>
                      <w:lang w:val="en-US" w:eastAsia="zh-CN"/>
                      <w14:textFill>
                        <w14:solidFill>
                          <w14:schemeClr w14:val="tx1"/>
                        </w14:solidFill>
                      </w14:textFill>
                    </w:rPr>
                    <w:t>550</w:t>
                  </w:r>
                </w:p>
              </w:tc>
              <w:tc>
                <w:tcPr>
                  <w:tcW w:w="842" w:type="pct"/>
                  <w:tcBorders>
                    <w:tl2br w:val="nil"/>
                    <w:tr2bl w:val="nil"/>
                  </w:tcBorders>
                  <w:noWrap w:val="0"/>
                  <w:vAlign w:val="center"/>
                </w:tcPr>
                <w:p w14:paraId="312D045F">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w:t>
                  </w:r>
                </w:p>
              </w:tc>
              <w:tc>
                <w:tcPr>
                  <w:tcW w:w="422" w:type="pct"/>
                  <w:tcBorders>
                    <w:tl2br w:val="nil"/>
                    <w:tr2bl w:val="nil"/>
                  </w:tcBorders>
                  <w:noWrap w:val="0"/>
                  <w:vAlign w:val="center"/>
                </w:tcPr>
                <w:p w14:paraId="78D878D7">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w:t>
                  </w:r>
                </w:p>
              </w:tc>
              <w:tc>
                <w:tcPr>
                  <w:tcW w:w="469" w:type="pct"/>
                  <w:tcBorders>
                    <w:tl2br w:val="nil"/>
                    <w:tr2bl w:val="nil"/>
                  </w:tcBorders>
                  <w:noWrap w:val="0"/>
                  <w:vAlign w:val="center"/>
                </w:tcPr>
                <w:p w14:paraId="5BC2D309">
                  <w:pPr>
                    <w:pStyle w:val="94"/>
                    <w:keepNext w:val="0"/>
                    <w:keepLines w:val="0"/>
                    <w:pageBreakBefore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单回路</w:t>
                  </w:r>
                </w:p>
              </w:tc>
            </w:tr>
            <w:tr w14:paraId="185529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3" w:type="pct"/>
                  <w:tcBorders>
                    <w:tl2br w:val="nil"/>
                    <w:tr2bl w:val="nil"/>
                  </w:tcBorders>
                  <w:noWrap w:val="0"/>
                  <w:vAlign w:val="center"/>
                </w:tcPr>
                <w:p w14:paraId="7DDE84FB">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p>
              </w:tc>
              <w:tc>
                <w:tcPr>
                  <w:tcW w:w="1047" w:type="pct"/>
                  <w:tcBorders>
                    <w:tl2br w:val="nil"/>
                    <w:tr2bl w:val="nil"/>
                  </w:tcBorders>
                  <w:noWrap w:val="0"/>
                  <w:vAlign w:val="center"/>
                </w:tcPr>
                <w:p w14:paraId="6850E5CD">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220-KD21D-ZB2</w:t>
                  </w:r>
                </w:p>
              </w:tc>
              <w:tc>
                <w:tcPr>
                  <w:tcW w:w="628" w:type="pct"/>
                  <w:tcBorders>
                    <w:tl2br w:val="nil"/>
                    <w:tr2bl w:val="nil"/>
                  </w:tcBorders>
                  <w:noWrap w:val="0"/>
                  <w:vAlign w:val="center"/>
                </w:tcPr>
                <w:p w14:paraId="3930A156">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ascii="Times New Roman" w:hAnsi="Times New Roman" w:cs="Times New Roman"/>
                      <w:color w:val="000000" w:themeColor="text1"/>
                      <w:sz w:val="21"/>
                      <w:szCs w:val="21"/>
                      <w:lang w:val="en-US" w:eastAsia="zh-CN"/>
                      <w14:textFill>
                        <w14:solidFill>
                          <w14:schemeClr w14:val="tx1"/>
                        </w14:solidFill>
                      </w14:textFill>
                    </w:rPr>
                    <w:t>4</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-45</w:t>
                  </w:r>
                </w:p>
              </w:tc>
              <w:tc>
                <w:tcPr>
                  <w:tcW w:w="591" w:type="pct"/>
                  <w:tcBorders>
                    <w:tl2br w:val="nil"/>
                    <w:tr2bl w:val="nil"/>
                  </w:tcBorders>
                  <w:noWrap w:val="0"/>
                  <w:vAlign w:val="center"/>
                </w:tcPr>
                <w:p w14:paraId="17C05FF9">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450</w:t>
                  </w:r>
                </w:p>
              </w:tc>
              <w:tc>
                <w:tcPr>
                  <w:tcW w:w="614" w:type="pct"/>
                  <w:tcBorders>
                    <w:tl2br w:val="nil"/>
                    <w:tr2bl w:val="nil"/>
                  </w:tcBorders>
                  <w:noWrap w:val="0"/>
                  <w:vAlign w:val="center"/>
                </w:tcPr>
                <w:p w14:paraId="67906B53">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550</w:t>
                  </w:r>
                </w:p>
              </w:tc>
              <w:tc>
                <w:tcPr>
                  <w:tcW w:w="842" w:type="pct"/>
                  <w:tcBorders>
                    <w:tl2br w:val="nil"/>
                    <w:tr2bl w:val="nil"/>
                  </w:tcBorders>
                  <w:noWrap w:val="0"/>
                  <w:vAlign w:val="center"/>
                </w:tcPr>
                <w:p w14:paraId="6F784D98">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60-90</w:t>
                  </w:r>
                </w:p>
              </w:tc>
              <w:tc>
                <w:tcPr>
                  <w:tcW w:w="422" w:type="pct"/>
                  <w:tcBorders>
                    <w:tl2br w:val="nil"/>
                    <w:tr2bl w:val="nil"/>
                  </w:tcBorders>
                  <w:noWrap w:val="0"/>
                  <w:vAlign w:val="center"/>
                </w:tcPr>
                <w:p w14:paraId="7AD4C262">
                  <w:pPr>
                    <w:pStyle w:val="94"/>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w:t>
                  </w:r>
                </w:p>
              </w:tc>
              <w:tc>
                <w:tcPr>
                  <w:tcW w:w="469" w:type="pct"/>
                  <w:tcBorders>
                    <w:tl2br w:val="nil"/>
                    <w:tr2bl w:val="nil"/>
                  </w:tcBorders>
                  <w:noWrap w:val="0"/>
                  <w:vAlign w:val="center"/>
                </w:tcPr>
                <w:p w14:paraId="73501B2A">
                  <w:pPr>
                    <w:keepNext w:val="0"/>
                    <w:keepLines w:val="0"/>
                    <w:pageBreakBefore w:val="0"/>
                    <w:kinsoku/>
                    <w:wordWrap/>
                    <w:overflowPunct/>
                    <w:topLinePunct w:val="0"/>
                    <w:autoSpaceDE/>
                    <w:autoSpaceDN/>
                    <w:bidi w:val="0"/>
                    <w:adjustRightInd w:val="0"/>
                    <w:snapToGrid w:val="0"/>
                    <w:spacing w:line="240" w:lineRule="auto"/>
                    <w:ind w:left="-120" w:leftChars="-50" w:right="-120" w:rightChars="-5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单回路</w:t>
                  </w:r>
                </w:p>
              </w:tc>
            </w:tr>
          </w:tbl>
          <w:p w14:paraId="59DD203F">
            <w:pPr>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4</w:t>
            </w:r>
            <w:r>
              <w:rPr>
                <w:b/>
                <w:bCs/>
                <w:color w:val="000000" w:themeColor="text1"/>
                <w14:textFill>
                  <w14:solidFill>
                    <w14:schemeClr w14:val="tx1"/>
                  </w14:solidFill>
                </w14:textFill>
              </w:rPr>
              <w:t>.占地规模</w:t>
            </w:r>
          </w:p>
          <w:p w14:paraId="55EB501A">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color w:val="000000" w:themeColor="text1"/>
                <w:lang w:val="en-US" w:eastAsia="zh-CN"/>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lang w:val="en-US" w:eastAsia="zh-CN"/>
                <w14:textFill>
                  <w14:solidFill>
                    <w14:schemeClr w14:val="tx1"/>
                  </w14:solidFill>
                </w14:textFill>
              </w:rPr>
              <w:t>总</w:t>
            </w:r>
            <w:r>
              <w:rPr>
                <w:color w:val="000000" w:themeColor="text1"/>
                <w14:textFill>
                  <w14:solidFill>
                    <w14:schemeClr w14:val="tx1"/>
                  </w14:solidFill>
                </w14:textFill>
              </w:rPr>
              <w:t>占地面积为</w:t>
            </w:r>
            <w:r>
              <w:rPr>
                <w:rFonts w:hint="eastAsia"/>
                <w:color w:val="000000" w:themeColor="text1"/>
                <w:lang w:val="en-US" w:eastAsia="zh-CN"/>
                <w14:textFill>
                  <w14:solidFill>
                    <w14:schemeClr w14:val="tx1"/>
                  </w14:solidFill>
                </w14:textFill>
              </w:rPr>
              <w:t>32222</w:t>
            </w:r>
            <w:r>
              <w:rPr>
                <w:rFonts w:hint="eastAsia"/>
                <w:color w:val="000000" w:themeColor="text1"/>
                <w:highlight w:val="none"/>
                <w:lang w:val="en-US" w:eastAsia="zh-CN"/>
                <w14:textFill>
                  <w14:solidFill>
                    <w14:schemeClr w14:val="tx1"/>
                  </w14:solidFill>
                </w14:textFill>
              </w:rPr>
              <w:t>m</w:t>
            </w:r>
            <w:r>
              <w:rPr>
                <w:rFonts w:hint="eastAsia"/>
                <w:color w:val="000000" w:themeColor="text1"/>
                <w:highlight w:val="none"/>
                <w:vertAlign w:val="superscript"/>
                <w:lang w:val="en-US" w:eastAsia="zh-CN"/>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其中</w:t>
            </w:r>
            <w:r>
              <w:rPr>
                <w:color w:val="000000" w:themeColor="text1"/>
                <w14:textFill>
                  <w14:solidFill>
                    <w14:schemeClr w14:val="tx1"/>
                  </w14:solidFill>
                </w14:textFill>
              </w:rPr>
              <w:t>永久占地</w:t>
            </w:r>
            <w:r>
              <w:rPr>
                <w:rFonts w:hint="eastAsia"/>
                <w:color w:val="000000" w:themeColor="text1"/>
                <w:lang w:val="en-US" w:eastAsia="zh-CN"/>
                <w14:textFill>
                  <w14:solidFill>
                    <w14:schemeClr w14:val="tx1"/>
                  </w14:solidFill>
                </w14:textFill>
              </w:rPr>
              <w:t>面积为20196</w:t>
            </w:r>
            <w:r>
              <w:rPr>
                <w:rFonts w:hint="eastAsia"/>
                <w:color w:val="000000" w:themeColor="text1"/>
                <w:highlight w:val="none"/>
                <w:lang w:val="en-US" w:eastAsia="zh-CN"/>
                <w14:textFill>
                  <w14:solidFill>
                    <w14:schemeClr w14:val="tx1"/>
                  </w14:solidFill>
                </w14:textFill>
              </w:rPr>
              <w:t>m</w:t>
            </w:r>
            <w:r>
              <w:rPr>
                <w:rFonts w:hint="eastAsia"/>
                <w:color w:val="000000" w:themeColor="text1"/>
                <w:highlight w:val="none"/>
                <w:vertAlign w:val="superscript"/>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临时占地</w:t>
            </w:r>
            <w:r>
              <w:rPr>
                <w:rFonts w:hint="eastAsia"/>
                <w:color w:val="000000" w:themeColor="text1"/>
                <w:lang w:val="en-US" w:eastAsia="zh-CN"/>
                <w14:textFill>
                  <w14:solidFill>
                    <w14:schemeClr w14:val="tx1"/>
                  </w14:solidFill>
                </w14:textFill>
              </w:rPr>
              <w:t>面积为12026</w:t>
            </w:r>
            <w:r>
              <w:rPr>
                <w:rFonts w:hint="eastAsia"/>
                <w:color w:val="000000" w:themeColor="text1"/>
                <w:highlight w:val="none"/>
                <w:lang w:val="en-US" w:eastAsia="zh-CN"/>
                <w14:textFill>
                  <w14:solidFill>
                    <w14:schemeClr w14:val="tx1"/>
                  </w14:solidFill>
                </w14:textFill>
              </w:rPr>
              <w:t>m</w:t>
            </w:r>
            <w:r>
              <w:rPr>
                <w:rFonts w:hint="eastAsia"/>
                <w:color w:val="000000" w:themeColor="text1"/>
                <w:highlight w:val="none"/>
                <w:vertAlign w:val="superscript"/>
                <w:lang w:val="en-US" w:eastAsia="zh-CN"/>
                <w14:textFill>
                  <w14:solidFill>
                    <w14:schemeClr w14:val="tx1"/>
                  </w14:solidFill>
                </w14:textFill>
              </w:rPr>
              <w:t>2</w:t>
            </w:r>
            <w:r>
              <w:rPr>
                <w:color w:val="000000" w:themeColor="text1"/>
                <w14:textFill>
                  <w14:solidFill>
                    <w14:schemeClr w14:val="tx1"/>
                  </w14:solidFill>
                </w14:textFill>
              </w:rPr>
              <w:t>，</w:t>
            </w:r>
            <w:r>
              <w:rPr>
                <w:rFonts w:hint="eastAsia"/>
                <w:color w:val="000000" w:themeColor="text1"/>
                <w:sz w:val="24"/>
                <w14:textFill>
                  <w14:solidFill>
                    <w14:schemeClr w14:val="tx1"/>
                  </w14:solidFill>
                </w14:textFill>
              </w:rPr>
              <w:t>永久性占地包括</w:t>
            </w:r>
            <w:r>
              <w:rPr>
                <w:rFonts w:hint="eastAsia"/>
                <w:color w:val="000000" w:themeColor="text1"/>
                <w:sz w:val="24"/>
                <w:lang w:val="en-US" w:eastAsia="zh-CN"/>
                <w14:textFill>
                  <w14:solidFill>
                    <w14:schemeClr w14:val="tx1"/>
                  </w14:solidFill>
                </w14:textFill>
              </w:rPr>
              <w:t>升压汇集站及</w:t>
            </w:r>
            <w:r>
              <w:rPr>
                <w:rFonts w:hint="eastAsia"/>
                <w:b w:val="0"/>
                <w:bCs w:val="0"/>
                <w:color w:val="000000" w:themeColor="text1"/>
                <w14:textFill>
                  <w14:solidFill>
                    <w14:schemeClr w14:val="tx1"/>
                  </w14:solidFill>
                </w14:textFill>
              </w:rPr>
              <w:t>杆塔</w:t>
            </w:r>
            <w:r>
              <w:rPr>
                <w:rFonts w:hint="eastAsia"/>
                <w:b w:val="0"/>
                <w:bCs w:val="0"/>
                <w:color w:val="000000" w:themeColor="text1"/>
                <w:lang w:val="en-US" w:eastAsia="zh-CN"/>
                <w14:textFill>
                  <w14:solidFill>
                    <w14:schemeClr w14:val="tx1"/>
                  </w14:solidFill>
                </w14:textFill>
              </w:rPr>
              <w:t>占地，临时占地包括</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施工临时营地、塔基施工区</w:t>
            </w:r>
            <w:r>
              <w:rPr>
                <w:rFonts w:hint="eastAsia" w:cs="Times New Roman"/>
                <w:color w:val="000000" w:themeColor="text1"/>
                <w:sz w:val="24"/>
                <w:szCs w:val="24"/>
                <w:lang w:val="en-US" w:eastAsia="zh-CN"/>
                <w14:textFill>
                  <w14:solidFill>
                    <w14:schemeClr w14:val="tx1"/>
                  </w14:solidFill>
                </w14:textFill>
              </w:rPr>
              <w:t>、施工道路、牵张场、跨越施工场</w:t>
            </w:r>
            <w:r>
              <w:rPr>
                <w:rFonts w:hint="eastAsia"/>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本项目永久及临时占地情况见表</w:t>
            </w:r>
            <w:r>
              <w:rPr>
                <w:rFonts w:hint="eastAsia"/>
                <w:color w:val="000000" w:themeColor="text1"/>
                <w:lang w:val="en-US" w:eastAsia="zh-CN"/>
                <w14:textFill>
                  <w14:solidFill>
                    <w14:schemeClr w14:val="tx1"/>
                  </w14:solidFill>
                </w14:textFill>
              </w:rPr>
              <w:t>2-5。</w:t>
            </w:r>
          </w:p>
          <w:p w14:paraId="48F60A56">
            <w:pPr>
              <w:keepNext w:val="0"/>
              <w:keepLines w:val="0"/>
              <w:pageBreakBefore w:val="0"/>
              <w:widowControl w:val="0"/>
              <w:tabs>
                <w:tab w:val="left" w:pos="4586"/>
                <w:tab w:val="left" w:pos="5786"/>
              </w:tabs>
              <w:kinsoku/>
              <w:wordWrap/>
              <w:overflowPunct/>
              <w:topLinePunct w:val="0"/>
              <w:autoSpaceDE w:val="0"/>
              <w:autoSpaceDN w:val="0"/>
              <w:bidi w:val="0"/>
              <w:adjustRightInd w:val="0"/>
              <w:snapToGrid w:val="0"/>
              <w:jc w:val="center"/>
              <w:textAlignment w:val="auto"/>
              <w:rPr>
                <w:rFonts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表2-</w:t>
            </w:r>
            <w:r>
              <w:rPr>
                <w:rFonts w:hint="eastAsia" w:ascii="黑体" w:hAnsi="黑体" w:eastAsia="黑体" w:cs="黑体"/>
                <w:color w:val="000000" w:themeColor="text1"/>
                <w:sz w:val="21"/>
                <w:szCs w:val="21"/>
                <w:lang w:val="en-US" w:eastAsia="zh-CN"/>
                <w14:textFill>
                  <w14:solidFill>
                    <w14:schemeClr w14:val="tx1"/>
                  </w14:solidFill>
                </w14:textFill>
              </w:rPr>
              <w:t>5</w:t>
            </w:r>
            <w:r>
              <w:rPr>
                <w:rFonts w:hint="eastAsia" w:ascii="黑体" w:hAnsi="黑体" w:eastAsia="黑体" w:cs="黑体"/>
                <w:color w:val="000000" w:themeColor="text1"/>
                <w:sz w:val="21"/>
                <w:szCs w:val="21"/>
                <w14:textFill>
                  <w14:solidFill>
                    <w14:schemeClr w14:val="tx1"/>
                  </w14:solidFill>
                </w14:textFill>
              </w:rPr>
              <w:t xml:space="preserve">    永久及临时占地面积一览表</w:t>
            </w:r>
          </w:p>
          <w:tbl>
            <w:tblPr>
              <w:tblStyle w:val="28"/>
              <w:tblW w:w="82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1967"/>
              <w:gridCol w:w="1288"/>
              <w:gridCol w:w="1793"/>
              <w:gridCol w:w="2549"/>
            </w:tblGrid>
            <w:tr w14:paraId="157825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389" w:type="pct"/>
                  <w:tcBorders>
                    <w:tl2br w:val="nil"/>
                    <w:tr2bl w:val="nil"/>
                  </w:tcBorders>
                  <w:shd w:val="clear" w:color="auto" w:fill="auto"/>
                  <w:vAlign w:val="center"/>
                </w:tcPr>
                <w:p w14:paraId="46457A9C">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sz w:val="21"/>
                      <w:szCs w:val="21"/>
                      <w14:textFill>
                        <w14:solidFill>
                          <w14:schemeClr w14:val="tx1"/>
                        </w14:solidFill>
                      </w14:textFill>
                    </w:rPr>
                    <w:t>序号</w:t>
                  </w:r>
                </w:p>
              </w:tc>
              <w:tc>
                <w:tcPr>
                  <w:tcW w:w="1193" w:type="pct"/>
                  <w:tcBorders>
                    <w:tl2br w:val="nil"/>
                    <w:tr2bl w:val="nil"/>
                  </w:tcBorders>
                  <w:shd w:val="clear" w:color="auto" w:fill="auto"/>
                  <w:vAlign w:val="center"/>
                </w:tcPr>
                <w:p w14:paraId="3705A820">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sz w:val="21"/>
                      <w:szCs w:val="21"/>
                      <w14:textFill>
                        <w14:solidFill>
                          <w14:schemeClr w14:val="tx1"/>
                        </w14:solidFill>
                      </w14:textFill>
                    </w:rPr>
                    <w:t>项目</w:t>
                  </w:r>
                </w:p>
              </w:tc>
              <w:tc>
                <w:tcPr>
                  <w:tcW w:w="782" w:type="pct"/>
                  <w:tcBorders>
                    <w:tl2br w:val="nil"/>
                    <w:tr2bl w:val="nil"/>
                  </w:tcBorders>
                  <w:shd w:val="clear" w:color="auto" w:fill="auto"/>
                  <w:vAlign w:val="center"/>
                </w:tcPr>
                <w:p w14:paraId="4CE66C0E">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bCs/>
                      <w:color w:val="000000" w:themeColor="text1"/>
                      <w:sz w:val="21"/>
                      <w:szCs w:val="21"/>
                      <w14:textFill>
                        <w14:solidFill>
                          <w14:schemeClr w14:val="tx1"/>
                        </w14:solidFill>
                      </w14:textFill>
                    </w:rPr>
                  </w:pPr>
                  <w:r>
                    <w:rPr>
                      <w:rFonts w:hint="default" w:ascii="Times New Roman" w:hAnsi="Times New Roman" w:cs="Times New Roman" w:eastAsiaTheme="minorEastAsia"/>
                      <w:b/>
                      <w:bCs/>
                      <w:color w:val="000000" w:themeColor="text1"/>
                      <w:sz w:val="21"/>
                      <w:szCs w:val="21"/>
                      <w14:textFill>
                        <w14:solidFill>
                          <w14:schemeClr w14:val="tx1"/>
                        </w14:solidFill>
                      </w14:textFill>
                    </w:rPr>
                    <w:t>用地</w:t>
                  </w:r>
                </w:p>
                <w:p w14:paraId="7CE3451D">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eastAsia"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eastAsia" w:cs="Times New Roman" w:eastAsiaTheme="minorEastAsia"/>
                      <w:b/>
                      <w:bCs/>
                      <w:color w:val="000000" w:themeColor="text1"/>
                      <w:sz w:val="21"/>
                      <w:szCs w:val="21"/>
                      <w:lang w:val="en-US" w:eastAsia="zh-CN"/>
                      <w14:textFill>
                        <w14:solidFill>
                          <w14:schemeClr w14:val="tx1"/>
                        </w14:solidFill>
                      </w14:textFill>
                    </w:rPr>
                    <w:t>(</w:t>
                  </w:r>
                  <w:r>
                    <w:rPr>
                      <w:rFonts w:hint="default" w:ascii="Times New Roman" w:hAnsi="Times New Roman" w:cs="Times New Roman" w:eastAsiaTheme="minorEastAsia"/>
                      <w:b/>
                      <w:bCs/>
                      <w:color w:val="000000" w:themeColor="text1"/>
                      <w:sz w:val="21"/>
                      <w:szCs w:val="21"/>
                      <w:lang w:val="en-US" w:eastAsia="zh-CN"/>
                      <w14:textFill>
                        <w14:solidFill>
                          <w14:schemeClr w14:val="tx1"/>
                        </w14:solidFill>
                      </w14:textFill>
                    </w:rPr>
                    <w:t>m</w:t>
                  </w:r>
                  <w:r>
                    <w:rPr>
                      <w:rFonts w:hint="default" w:ascii="Times New Roman" w:hAnsi="Times New Roman" w:cs="Times New Roman" w:eastAsiaTheme="minorEastAsia"/>
                      <w:b/>
                      <w:bCs/>
                      <w:color w:val="000000" w:themeColor="text1"/>
                      <w:sz w:val="21"/>
                      <w:szCs w:val="21"/>
                      <w:vertAlign w:val="superscript"/>
                      <w:lang w:val="en-US" w:eastAsia="zh-CN"/>
                      <w14:textFill>
                        <w14:solidFill>
                          <w14:schemeClr w14:val="tx1"/>
                        </w14:solidFill>
                      </w14:textFill>
                    </w:rPr>
                    <w:t>2</w:t>
                  </w:r>
                  <w:r>
                    <w:rPr>
                      <w:rFonts w:hint="eastAsia" w:cs="Times New Roman" w:eastAsiaTheme="minorEastAsia"/>
                      <w:b/>
                      <w:bCs/>
                      <w:color w:val="000000" w:themeColor="text1"/>
                      <w:sz w:val="21"/>
                      <w:szCs w:val="21"/>
                      <w:lang w:val="en-US" w:eastAsia="zh-CN"/>
                      <w14:textFill>
                        <w14:solidFill>
                          <w14:schemeClr w14:val="tx1"/>
                        </w14:solidFill>
                      </w14:textFill>
                    </w:rPr>
                    <w:t>)</w:t>
                  </w:r>
                </w:p>
              </w:tc>
              <w:tc>
                <w:tcPr>
                  <w:tcW w:w="1088" w:type="pct"/>
                  <w:tcBorders>
                    <w:tl2br w:val="nil"/>
                    <w:tr2bl w:val="nil"/>
                  </w:tcBorders>
                  <w:shd w:val="clear" w:color="auto" w:fill="auto"/>
                  <w:vAlign w:val="center"/>
                </w:tcPr>
                <w:p w14:paraId="2CF8CD59">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bCs/>
                      <w:color w:val="000000" w:themeColor="text1"/>
                      <w:kern w:val="2"/>
                      <w:sz w:val="21"/>
                      <w:szCs w:val="21"/>
                      <w:lang w:val="en-US" w:eastAsia="zh-CN" w:bidi="ar-SA"/>
                      <w14:textFill>
                        <w14:solidFill>
                          <w14:schemeClr w14:val="tx1"/>
                        </w14:solidFill>
                      </w14:textFill>
                    </w:rPr>
                    <w:t>占地类型</w:t>
                  </w:r>
                </w:p>
              </w:tc>
              <w:tc>
                <w:tcPr>
                  <w:tcW w:w="1545" w:type="pct"/>
                  <w:tcBorders>
                    <w:tl2br w:val="nil"/>
                    <w:tr2bl w:val="nil"/>
                  </w:tcBorders>
                  <w:vAlign w:val="center"/>
                </w:tcPr>
                <w:p w14:paraId="0BD35966">
                  <w:pPr>
                    <w:pStyle w:val="34"/>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eastAsiaTheme="minorEastAsia"/>
                      <w:b/>
                      <w:bCs/>
                      <w:color w:val="000000" w:themeColor="text1"/>
                      <w:sz w:val="21"/>
                      <w:szCs w:val="21"/>
                      <w14:textFill>
                        <w14:solidFill>
                          <w14:schemeClr w14:val="tx1"/>
                        </w14:solidFill>
                      </w14:textFill>
                    </w:rPr>
                  </w:pPr>
                  <w:r>
                    <w:rPr>
                      <w:rFonts w:hint="default" w:ascii="Times New Roman" w:hAnsi="Times New Roman" w:cs="Times New Roman" w:eastAsiaTheme="minorEastAsia"/>
                      <w:b/>
                      <w:bCs/>
                      <w:color w:val="000000" w:themeColor="text1"/>
                      <w:sz w:val="21"/>
                      <w:szCs w:val="21"/>
                      <w14:textFill>
                        <w14:solidFill>
                          <w14:schemeClr w14:val="tx1"/>
                        </w14:solidFill>
                      </w14:textFill>
                    </w:rPr>
                    <w:t>备注</w:t>
                  </w:r>
                </w:p>
                <w:p w14:paraId="0D0B0889">
                  <w:pPr>
                    <w:pStyle w:val="34"/>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eastAsia" w:ascii="Times New Roman" w:hAnsi="Times New Roman" w:cs="Times New Roman" w:eastAsiaTheme="minorEastAsia"/>
                      <w:b/>
                      <w:bCs/>
                      <w:color w:val="000000" w:themeColor="text1"/>
                      <w:sz w:val="21"/>
                      <w:szCs w:val="21"/>
                      <w:vertAlign w:val="baseline"/>
                      <w:lang w:eastAsia="zh-CN"/>
                      <w14:textFill>
                        <w14:solidFill>
                          <w14:schemeClr w14:val="tx1"/>
                        </w14:solidFill>
                      </w14:textFill>
                    </w:rPr>
                  </w:pPr>
                  <w:r>
                    <w:rPr>
                      <w:rFonts w:hint="eastAsia" w:ascii="Times New Roman" w:hAnsi="Times New Roman" w:cs="Times New Roman" w:eastAsiaTheme="minorEastAsia"/>
                      <w:b/>
                      <w:bCs/>
                      <w:color w:val="000000" w:themeColor="text1"/>
                      <w:sz w:val="21"/>
                      <w:szCs w:val="21"/>
                      <w:lang w:val="en-US" w:eastAsia="zh-CN"/>
                      <w14:textFill>
                        <w14:solidFill>
                          <w14:schemeClr w14:val="tx1"/>
                        </w14:solidFill>
                      </w14:textFill>
                    </w:rPr>
                    <w:t>(</w:t>
                  </w:r>
                  <w:r>
                    <w:rPr>
                      <w:rFonts w:hint="default" w:ascii="Times New Roman" w:hAnsi="Times New Roman" w:cs="Times New Roman" w:eastAsiaTheme="minorEastAsia"/>
                      <w:b/>
                      <w:bCs/>
                      <w:color w:val="000000" w:themeColor="text1"/>
                      <w:sz w:val="21"/>
                      <w:szCs w:val="21"/>
                      <w:lang w:val="en-US" w:eastAsia="zh-CN"/>
                      <w14:textFill>
                        <w14:solidFill>
                          <w14:schemeClr w14:val="tx1"/>
                        </w14:solidFill>
                      </w14:textFill>
                    </w:rPr>
                    <w:t>m</w:t>
                  </w:r>
                  <w:r>
                    <w:rPr>
                      <w:rFonts w:hint="default" w:ascii="Times New Roman" w:hAnsi="Times New Roman" w:cs="Times New Roman" w:eastAsiaTheme="minorEastAsia"/>
                      <w:b/>
                      <w:bCs/>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eastAsiaTheme="minorEastAsia"/>
                      <w:b/>
                      <w:bCs/>
                      <w:color w:val="000000" w:themeColor="text1"/>
                      <w:sz w:val="21"/>
                      <w:szCs w:val="21"/>
                      <w:lang w:val="en-US" w:eastAsia="zh-CN"/>
                      <w14:textFill>
                        <w14:solidFill>
                          <w14:schemeClr w14:val="tx1"/>
                        </w14:solidFill>
                      </w14:textFill>
                    </w:rPr>
                    <w:t>)</w:t>
                  </w:r>
                </w:p>
              </w:tc>
            </w:tr>
            <w:tr w14:paraId="06F568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5000" w:type="pct"/>
                  <w:gridSpan w:val="5"/>
                  <w:tcBorders>
                    <w:tl2br w:val="nil"/>
                    <w:tr2bl w:val="nil"/>
                  </w:tcBorders>
                  <w:vAlign w:val="center"/>
                </w:tcPr>
                <w:p w14:paraId="5ACD69AA">
                  <w:pPr>
                    <w:pStyle w:val="34"/>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eastAsiaTheme="minorEastAsia"/>
                      <w:b w:val="0"/>
                      <w:bCs w:val="0"/>
                      <w:color w:val="000000" w:themeColor="text1"/>
                      <w:sz w:val="21"/>
                      <w:szCs w:val="21"/>
                      <w:vertAlign w:val="baseline"/>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14:textFill>
                        <w14:solidFill>
                          <w14:schemeClr w14:val="tx1"/>
                        </w14:solidFill>
                      </w14:textFill>
                    </w:rPr>
                    <w:t>永久占地项目</w:t>
                  </w:r>
                </w:p>
              </w:tc>
            </w:tr>
            <w:tr w14:paraId="23D116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389" w:type="pct"/>
                  <w:tcBorders>
                    <w:tl2br w:val="nil"/>
                    <w:tr2bl w:val="nil"/>
                  </w:tcBorders>
                  <w:shd w:val="clear" w:color="auto" w:fill="auto"/>
                  <w:vAlign w:val="center"/>
                </w:tcPr>
                <w:p w14:paraId="75EFF780">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14:textFill>
                        <w14:solidFill>
                          <w14:schemeClr w14:val="tx1"/>
                        </w14:solidFill>
                      </w14:textFill>
                    </w:rPr>
                    <w:t>1</w:t>
                  </w:r>
                </w:p>
              </w:tc>
              <w:tc>
                <w:tcPr>
                  <w:tcW w:w="1193" w:type="pct"/>
                  <w:tcBorders>
                    <w:tl2br w:val="nil"/>
                    <w:tr2bl w:val="nil"/>
                  </w:tcBorders>
                  <w:shd w:val="clear" w:color="auto" w:fill="auto"/>
                  <w:vAlign w:val="center"/>
                </w:tcPr>
                <w:p w14:paraId="1E3F8862">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t>220kV升压汇集站</w:t>
                  </w:r>
                </w:p>
              </w:tc>
              <w:tc>
                <w:tcPr>
                  <w:tcW w:w="782" w:type="pct"/>
                  <w:tcBorders>
                    <w:tl2br w:val="nil"/>
                    <w:tr2bl w:val="nil"/>
                  </w:tcBorders>
                  <w:shd w:val="clear" w:color="auto" w:fill="auto"/>
                  <w:vAlign w:val="center"/>
                </w:tcPr>
                <w:p w14:paraId="546E5C20">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18900</w:t>
                  </w:r>
                </w:p>
              </w:tc>
              <w:tc>
                <w:tcPr>
                  <w:tcW w:w="1088" w:type="pct"/>
                  <w:tcBorders>
                    <w:tl2br w:val="nil"/>
                    <w:tr2bl w:val="nil"/>
                  </w:tcBorders>
                  <w:shd w:val="clear" w:color="auto" w:fill="auto"/>
                  <w:vAlign w:val="center"/>
                </w:tcPr>
                <w:p w14:paraId="06736D95">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w:t>
                  </w:r>
                </w:p>
              </w:tc>
              <w:tc>
                <w:tcPr>
                  <w:tcW w:w="1545" w:type="pct"/>
                  <w:tcBorders>
                    <w:tl2br w:val="nil"/>
                    <w:tr2bl w:val="nil"/>
                  </w:tcBorders>
                  <w:shd w:val="clear" w:color="auto" w:fill="auto"/>
                  <w:vAlign w:val="center"/>
                </w:tcPr>
                <w:p w14:paraId="7AB3110D">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沙地18900</w:t>
                  </w:r>
                </w:p>
              </w:tc>
            </w:tr>
            <w:tr w14:paraId="39CDE6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9" w:type="pct"/>
                  <w:tcBorders>
                    <w:tl2br w:val="nil"/>
                    <w:tr2bl w:val="nil"/>
                  </w:tcBorders>
                  <w:shd w:val="clear" w:color="auto" w:fill="auto"/>
                  <w:vAlign w:val="center"/>
                </w:tcPr>
                <w:p w14:paraId="25DA2209">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t>2</w:t>
                  </w:r>
                </w:p>
              </w:tc>
              <w:tc>
                <w:tcPr>
                  <w:tcW w:w="1193" w:type="pct"/>
                  <w:tcBorders>
                    <w:tl2br w:val="nil"/>
                    <w:tr2bl w:val="nil"/>
                  </w:tcBorders>
                  <w:shd w:val="clear" w:color="auto" w:fill="auto"/>
                  <w:vAlign w:val="center"/>
                </w:tcPr>
                <w:p w14:paraId="4FF29D6D">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杆塔</w:t>
                  </w:r>
                </w:p>
              </w:tc>
              <w:tc>
                <w:tcPr>
                  <w:tcW w:w="782" w:type="pct"/>
                  <w:tcBorders>
                    <w:tl2br w:val="nil"/>
                    <w:tr2bl w:val="nil"/>
                  </w:tcBorders>
                  <w:shd w:val="clear" w:color="auto" w:fill="auto"/>
                  <w:vAlign w:val="center"/>
                </w:tcPr>
                <w:p w14:paraId="1C005C79">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1296</w:t>
                  </w:r>
                </w:p>
              </w:tc>
              <w:tc>
                <w:tcPr>
                  <w:tcW w:w="1088" w:type="pct"/>
                  <w:tcBorders>
                    <w:tl2br w:val="nil"/>
                    <w:tr2bl w:val="nil"/>
                  </w:tcBorders>
                  <w:shd w:val="clear" w:color="auto" w:fill="auto"/>
                  <w:vAlign w:val="center"/>
                </w:tcPr>
                <w:p w14:paraId="5CA2A156">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沙地、后备耕地</w:t>
                  </w:r>
                </w:p>
              </w:tc>
              <w:tc>
                <w:tcPr>
                  <w:tcW w:w="1545" w:type="pct"/>
                  <w:tcBorders>
                    <w:tl2br w:val="nil"/>
                    <w:tr2bl w:val="nil"/>
                  </w:tcBorders>
                  <w:shd w:val="clear" w:color="auto" w:fill="auto"/>
                  <w:vAlign w:val="center"/>
                </w:tcPr>
                <w:p w14:paraId="4AAFDDCF">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沙地720、后备耕地576</w:t>
                  </w:r>
                </w:p>
              </w:tc>
            </w:tr>
            <w:tr w14:paraId="48BDA6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583" w:type="pct"/>
                  <w:gridSpan w:val="2"/>
                  <w:tcBorders>
                    <w:tl2br w:val="nil"/>
                    <w:tr2bl w:val="nil"/>
                  </w:tcBorders>
                  <w:shd w:val="clear" w:color="auto" w:fill="auto"/>
                  <w:vAlign w:val="center"/>
                </w:tcPr>
                <w:p w14:paraId="4E7684DC">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lang w:eastAsia="zh-CN"/>
                      <w14:textFill>
                        <w14:solidFill>
                          <w14:schemeClr w14:val="tx1"/>
                        </w14:solidFill>
                      </w14:textFill>
                    </w:rPr>
                    <w:t>总计</w:t>
                  </w:r>
                </w:p>
              </w:tc>
              <w:tc>
                <w:tcPr>
                  <w:tcW w:w="1870" w:type="pct"/>
                  <w:gridSpan w:val="2"/>
                  <w:tcBorders>
                    <w:tl2br w:val="nil"/>
                    <w:tr2bl w:val="nil"/>
                  </w:tcBorders>
                  <w:shd w:val="clear" w:color="auto" w:fill="auto"/>
                  <w:vAlign w:val="center"/>
                </w:tcPr>
                <w:p w14:paraId="086F95C0">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20196</w:t>
                  </w:r>
                </w:p>
              </w:tc>
              <w:tc>
                <w:tcPr>
                  <w:tcW w:w="1545" w:type="pct"/>
                  <w:tcBorders>
                    <w:tl2br w:val="nil"/>
                    <w:tr2bl w:val="nil"/>
                  </w:tcBorders>
                  <w:vAlign w:val="center"/>
                </w:tcPr>
                <w:p w14:paraId="084A982F">
                  <w:pPr>
                    <w:pStyle w:val="34"/>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vertAlign w:val="baseline"/>
                      <w:lang w:val="en-US" w:eastAsia="zh-CN"/>
                      <w14:textFill>
                        <w14:solidFill>
                          <w14:schemeClr w14:val="tx1"/>
                        </w14:solidFill>
                      </w14:textFill>
                    </w:rPr>
                    <w:t>/</w:t>
                  </w:r>
                </w:p>
              </w:tc>
            </w:tr>
            <w:tr w14:paraId="1282AD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000" w:type="pct"/>
                  <w:gridSpan w:val="5"/>
                  <w:tcBorders>
                    <w:tl2br w:val="nil"/>
                    <w:tr2bl w:val="nil"/>
                  </w:tcBorders>
                  <w:vAlign w:val="center"/>
                </w:tcPr>
                <w:p w14:paraId="0E5E89F7">
                  <w:pPr>
                    <w:pStyle w:val="34"/>
                    <w:keepNext w:val="0"/>
                    <w:keepLines w:val="0"/>
                    <w:pageBreakBefore w:val="0"/>
                    <w:widowControl w:val="0"/>
                    <w:kinsoku/>
                    <w:wordWrap/>
                    <w:overflowPunct/>
                    <w:topLinePunct w:val="0"/>
                    <w:autoSpaceDE/>
                    <w:autoSpaceDN/>
                    <w:bidi w:val="0"/>
                    <w:adjustRightInd w:val="0"/>
                    <w:snapToGrid w:val="0"/>
                    <w:spacing w:line="240" w:lineRule="auto"/>
                    <w:ind w:right="0"/>
                    <w:jc w:val="center"/>
                    <w:textAlignment w:val="auto"/>
                    <w:rPr>
                      <w:rFonts w:hint="default" w:ascii="Times New Roman" w:hAnsi="Times New Roman" w:cs="Times New Roman" w:eastAsiaTheme="minorEastAsia"/>
                      <w:b w:val="0"/>
                      <w:bCs w:val="0"/>
                      <w:color w:val="000000" w:themeColor="text1"/>
                      <w:sz w:val="21"/>
                      <w:szCs w:val="21"/>
                      <w:vertAlign w:val="baseline"/>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lang w:eastAsia="zh-CN"/>
                      <w14:textFill>
                        <w14:solidFill>
                          <w14:schemeClr w14:val="tx1"/>
                        </w14:solidFill>
                      </w14:textFill>
                    </w:rPr>
                    <w:t>施工</w:t>
                  </w:r>
                  <w:r>
                    <w:rPr>
                      <w:rFonts w:hint="default" w:ascii="Times New Roman" w:hAnsi="Times New Roman" w:cs="Times New Roman" w:eastAsiaTheme="minorEastAsia"/>
                      <w:b w:val="0"/>
                      <w:bCs w:val="0"/>
                      <w:color w:val="000000" w:themeColor="text1"/>
                      <w:sz w:val="21"/>
                      <w:szCs w:val="21"/>
                      <w14:textFill>
                        <w14:solidFill>
                          <w14:schemeClr w14:val="tx1"/>
                        </w14:solidFill>
                      </w14:textFill>
                    </w:rPr>
                    <w:t>临时占地项目</w:t>
                  </w:r>
                </w:p>
              </w:tc>
            </w:tr>
            <w:tr w14:paraId="245D2D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389" w:type="pct"/>
                  <w:tcBorders>
                    <w:tl2br w:val="nil"/>
                    <w:tr2bl w:val="nil"/>
                  </w:tcBorders>
                  <w:shd w:val="clear" w:color="auto" w:fill="auto"/>
                  <w:vAlign w:val="center"/>
                </w:tcPr>
                <w:p w14:paraId="5F1CBABC">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t>1</w:t>
                  </w:r>
                </w:p>
              </w:tc>
              <w:tc>
                <w:tcPr>
                  <w:tcW w:w="1193" w:type="pct"/>
                  <w:tcBorders>
                    <w:tl2br w:val="nil"/>
                    <w:tr2bl w:val="nil"/>
                  </w:tcBorders>
                  <w:shd w:val="clear" w:color="auto" w:fill="auto"/>
                  <w:vAlign w:val="center"/>
                </w:tcPr>
                <w:p w14:paraId="5632972E">
                  <w:pPr>
                    <w:pStyle w:val="79"/>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firstLine="0" w:firstLineChars="0"/>
                    <w:textAlignment w:val="auto"/>
                    <w:rPr>
                      <w:rFonts w:hint="default" w:ascii="Times New Roman" w:hAnsi="Times New Roman" w:cs="Times New Roman" w:eastAsiaTheme="minorEastAsia"/>
                      <w:b w:val="0"/>
                      <w:bCs w:val="0"/>
                      <w:snapToGrid w:val="0"/>
                      <w:color w:val="000000" w:themeColor="text1"/>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snapToGrid w:val="0"/>
                      <w:color w:val="000000" w:themeColor="text1"/>
                      <w:sz w:val="21"/>
                      <w:szCs w:val="21"/>
                      <w:lang w:val="en-US" w:eastAsia="zh-CN" w:bidi="ar-SA"/>
                      <w14:textFill>
                        <w14:solidFill>
                          <w14:schemeClr w14:val="tx1"/>
                        </w14:solidFill>
                      </w14:textFill>
                    </w:rPr>
                    <w:t>施工临时营地</w:t>
                  </w:r>
                </w:p>
              </w:tc>
              <w:tc>
                <w:tcPr>
                  <w:tcW w:w="782" w:type="pct"/>
                  <w:tcBorders>
                    <w:tl2br w:val="nil"/>
                    <w:tr2bl w:val="nil"/>
                  </w:tcBorders>
                  <w:shd w:val="clear" w:color="auto" w:fill="auto"/>
                  <w:vAlign w:val="center"/>
                </w:tcPr>
                <w:p w14:paraId="3D34D4FE">
                  <w:pPr>
                    <w:pStyle w:val="79"/>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firstLine="0" w:firstLineChars="0"/>
                    <w:textAlignment w:val="auto"/>
                    <w:rPr>
                      <w:rFonts w:hint="default" w:ascii="Times New Roman" w:hAnsi="Times New Roman" w:cs="Times New Roman" w:eastAsiaTheme="minorEastAsia"/>
                      <w:b w:val="0"/>
                      <w:bCs w:val="0"/>
                      <w:snapToGrid w:val="0"/>
                      <w:color w:val="000000" w:themeColor="text1"/>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snapToGrid w:val="0"/>
                      <w:color w:val="000000" w:themeColor="text1"/>
                      <w:sz w:val="21"/>
                      <w:szCs w:val="21"/>
                      <w:lang w:val="en-US" w:eastAsia="zh-CN"/>
                      <w14:textFill>
                        <w14:solidFill>
                          <w14:schemeClr w14:val="tx1"/>
                        </w14:solidFill>
                      </w14:textFill>
                    </w:rPr>
                    <w:t>5617</w:t>
                  </w:r>
                </w:p>
              </w:tc>
              <w:tc>
                <w:tcPr>
                  <w:tcW w:w="1088" w:type="pct"/>
                  <w:tcBorders>
                    <w:tl2br w:val="nil"/>
                    <w:tr2bl w:val="nil"/>
                  </w:tcBorders>
                  <w:shd w:val="clear" w:color="auto" w:fill="auto"/>
                  <w:vAlign w:val="center"/>
                </w:tcPr>
                <w:p w14:paraId="08931330">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w:t>
                  </w:r>
                </w:p>
              </w:tc>
              <w:tc>
                <w:tcPr>
                  <w:tcW w:w="1545" w:type="pct"/>
                  <w:tcBorders>
                    <w:tl2br w:val="nil"/>
                    <w:tr2bl w:val="nil"/>
                  </w:tcBorders>
                  <w:shd w:val="clear" w:color="auto" w:fill="auto"/>
                  <w:vAlign w:val="center"/>
                </w:tcPr>
                <w:p w14:paraId="07229F70">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t>位于升压汇集站东侧，</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w:t>
                  </w:r>
                  <w:r>
                    <w:rPr>
                      <w:rFonts w:hint="default" w:ascii="Times New Roman" w:hAnsi="Times New Roman" w:cs="Times New Roman" w:eastAsiaTheme="minorEastAsia"/>
                      <w:b w:val="0"/>
                      <w:bCs w:val="0"/>
                      <w:snapToGrid w:val="0"/>
                      <w:color w:val="000000" w:themeColor="text1"/>
                      <w:sz w:val="21"/>
                      <w:szCs w:val="21"/>
                      <w:lang w:val="en-US" w:eastAsia="zh-CN"/>
                      <w14:textFill>
                        <w14:solidFill>
                          <w14:schemeClr w14:val="tx1"/>
                        </w14:solidFill>
                      </w14:textFill>
                    </w:rPr>
                    <w:t>5617</w:t>
                  </w:r>
                </w:p>
              </w:tc>
            </w:tr>
            <w:tr w14:paraId="7AC0E0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9" w:type="pct"/>
                  <w:tcBorders>
                    <w:tl2br w:val="nil"/>
                    <w:tr2bl w:val="nil"/>
                  </w:tcBorders>
                  <w:shd w:val="clear" w:color="auto" w:fill="auto"/>
                  <w:vAlign w:val="center"/>
                </w:tcPr>
                <w:p w14:paraId="01019BC9">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t>2</w:t>
                  </w:r>
                </w:p>
              </w:tc>
              <w:tc>
                <w:tcPr>
                  <w:tcW w:w="1193" w:type="pct"/>
                  <w:tcBorders>
                    <w:tl2br w:val="nil"/>
                    <w:tr2bl w:val="nil"/>
                  </w:tcBorders>
                  <w:shd w:val="clear" w:color="auto" w:fill="auto"/>
                  <w:vAlign w:val="center"/>
                </w:tcPr>
                <w:p w14:paraId="09F90872">
                  <w:pPr>
                    <w:pStyle w:val="79"/>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firstLine="0" w:firstLineChars="0"/>
                    <w:textAlignment w:val="auto"/>
                    <w:rPr>
                      <w:rFonts w:hint="default" w:ascii="Times New Roman" w:hAnsi="Times New Roman" w:cs="Times New Roman" w:eastAsiaTheme="minorEastAsia"/>
                      <w:b w:val="0"/>
                      <w:bCs w:val="0"/>
                      <w:snapToGrid w:val="0"/>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val="0"/>
                      <w:bCs w:val="0"/>
                      <w:snapToGrid w:val="0"/>
                      <w:color w:val="000000" w:themeColor="text1"/>
                      <w:sz w:val="21"/>
                      <w:szCs w:val="21"/>
                      <w:lang w:eastAsia="zh-CN"/>
                      <w14:textFill>
                        <w14:solidFill>
                          <w14:schemeClr w14:val="tx1"/>
                        </w14:solidFill>
                      </w14:textFill>
                    </w:rPr>
                    <w:t>塔基施工区</w:t>
                  </w:r>
                </w:p>
              </w:tc>
              <w:tc>
                <w:tcPr>
                  <w:tcW w:w="782" w:type="pct"/>
                  <w:tcBorders>
                    <w:tl2br w:val="nil"/>
                    <w:tr2bl w:val="nil"/>
                  </w:tcBorders>
                  <w:shd w:val="clear" w:color="auto" w:fill="auto"/>
                  <w:vAlign w:val="center"/>
                </w:tcPr>
                <w:p w14:paraId="1349304E">
                  <w:pPr>
                    <w:pStyle w:val="79"/>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firstLine="0" w:firstLineChars="0"/>
                    <w:textAlignment w:val="auto"/>
                    <w:rPr>
                      <w:rFonts w:hint="default" w:ascii="Times New Roman" w:hAnsi="Times New Roman" w:cs="Times New Roman" w:eastAsiaTheme="minorEastAsia"/>
                      <w:b w:val="0"/>
                      <w:bCs w:val="0"/>
                      <w:snapToGrid w:val="0"/>
                      <w:color w:val="000000" w:themeColor="text1"/>
                      <w:sz w:val="21"/>
                      <w:szCs w:val="21"/>
                      <w:lang w:val="en-US" w:eastAsia="zh-CN"/>
                      <w14:textFill>
                        <w14:solidFill>
                          <w14:schemeClr w14:val="tx1"/>
                        </w14:solidFill>
                      </w14:textFill>
                    </w:rPr>
                  </w:pPr>
                  <w:r>
                    <w:rPr>
                      <w:rFonts w:hint="eastAsia" w:cs="Times New Roman" w:eastAsiaTheme="minorEastAsia"/>
                      <w:b w:val="0"/>
                      <w:bCs w:val="0"/>
                      <w:snapToGrid w:val="0"/>
                      <w:color w:val="000000" w:themeColor="text1"/>
                      <w:sz w:val="21"/>
                      <w:szCs w:val="21"/>
                      <w:lang w:val="en-US" w:eastAsia="zh-CN"/>
                      <w14:textFill>
                        <w14:solidFill>
                          <w14:schemeClr w14:val="tx1"/>
                        </w14:solidFill>
                      </w14:textFill>
                    </w:rPr>
                    <w:t>1080</w:t>
                  </w:r>
                </w:p>
              </w:tc>
              <w:tc>
                <w:tcPr>
                  <w:tcW w:w="1088" w:type="pct"/>
                  <w:tcBorders>
                    <w:tl2br w:val="nil"/>
                    <w:tr2bl w:val="nil"/>
                  </w:tcBorders>
                  <w:shd w:val="clear" w:color="auto" w:fill="auto"/>
                  <w:vAlign w:val="center"/>
                </w:tcPr>
                <w:p w14:paraId="4DA4A138">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沙地、后备耕地</w:t>
                  </w:r>
                </w:p>
              </w:tc>
              <w:tc>
                <w:tcPr>
                  <w:tcW w:w="1545" w:type="pct"/>
                  <w:tcBorders>
                    <w:tl2br w:val="nil"/>
                    <w:tr2bl w:val="nil"/>
                  </w:tcBorders>
                  <w:shd w:val="clear" w:color="auto" w:fill="auto"/>
                  <w:vAlign w:val="center"/>
                </w:tcPr>
                <w:p w14:paraId="4490C2C3">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w:t>
                  </w: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600</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、后备耕地</w:t>
                  </w: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480</w:t>
                  </w:r>
                </w:p>
              </w:tc>
            </w:tr>
            <w:tr w14:paraId="481CE6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9" w:type="pct"/>
                  <w:tcBorders>
                    <w:tl2br w:val="nil"/>
                    <w:tr2bl w:val="nil"/>
                  </w:tcBorders>
                  <w:shd w:val="clear" w:color="auto" w:fill="auto"/>
                  <w:vAlign w:val="center"/>
                </w:tcPr>
                <w:p w14:paraId="724AD5DD">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pPr>
                  <w:r>
                    <w:rPr>
                      <w:rFonts w:hint="eastAsia" w:cs="Times New Roman" w:eastAsiaTheme="minorEastAsia"/>
                      <w:b w:val="0"/>
                      <w:bCs w:val="0"/>
                      <w:color w:val="000000" w:themeColor="text1"/>
                      <w:sz w:val="21"/>
                      <w:szCs w:val="21"/>
                      <w:lang w:val="en-US" w:eastAsia="zh-CN"/>
                      <w14:textFill>
                        <w14:solidFill>
                          <w14:schemeClr w14:val="tx1"/>
                        </w14:solidFill>
                      </w14:textFill>
                    </w:rPr>
                    <w:t>3</w:t>
                  </w:r>
                </w:p>
              </w:tc>
              <w:tc>
                <w:tcPr>
                  <w:tcW w:w="1193" w:type="pct"/>
                  <w:tcBorders>
                    <w:tl2br w:val="nil"/>
                    <w:tr2bl w:val="nil"/>
                  </w:tcBorders>
                  <w:shd w:val="clear" w:color="auto" w:fill="auto"/>
                  <w:vAlign w:val="center"/>
                </w:tcPr>
                <w:p w14:paraId="0E8F8E47">
                  <w:pPr>
                    <w:pStyle w:val="79"/>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firstLine="0" w:firstLineChars="0"/>
                    <w:textAlignment w:val="auto"/>
                    <w:rPr>
                      <w:rFonts w:hint="default" w:ascii="Times New Roman" w:hAnsi="Times New Roman" w:cs="Times New Roman" w:eastAsiaTheme="minorEastAsia"/>
                      <w:b w:val="0"/>
                      <w:bCs w:val="0"/>
                      <w:snapToGrid w:val="0"/>
                      <w:color w:val="000000" w:themeColor="text1"/>
                      <w:sz w:val="21"/>
                      <w:szCs w:val="21"/>
                      <w:lang w:eastAsia="zh-CN"/>
                      <w14:textFill>
                        <w14:solidFill>
                          <w14:schemeClr w14:val="tx1"/>
                        </w14:solidFill>
                      </w14:textFill>
                    </w:rPr>
                  </w:pPr>
                  <w:r>
                    <w:rPr>
                      <w:rFonts w:hint="default" w:ascii="Times New Roman" w:hAnsi="Times New Roman" w:cs="Times New Roman" w:eastAsiaTheme="minorEastAsia"/>
                      <w:b w:val="0"/>
                      <w:bCs w:val="0"/>
                      <w:snapToGrid w:val="0"/>
                      <w:color w:val="000000" w:themeColor="text1"/>
                      <w:kern w:val="0"/>
                      <w:sz w:val="21"/>
                      <w:szCs w:val="21"/>
                      <w:lang w:val="en-US" w:eastAsia="zh-CN" w:bidi="ar-SA"/>
                      <w14:textFill>
                        <w14:solidFill>
                          <w14:schemeClr w14:val="tx1"/>
                        </w14:solidFill>
                      </w14:textFill>
                    </w:rPr>
                    <w:t>施工道路</w:t>
                  </w:r>
                </w:p>
              </w:tc>
              <w:tc>
                <w:tcPr>
                  <w:tcW w:w="782" w:type="pct"/>
                  <w:tcBorders>
                    <w:tl2br w:val="nil"/>
                    <w:tr2bl w:val="nil"/>
                  </w:tcBorders>
                  <w:shd w:val="clear" w:color="auto" w:fill="auto"/>
                  <w:vAlign w:val="center"/>
                </w:tcPr>
                <w:p w14:paraId="4600B243">
                  <w:pPr>
                    <w:pStyle w:val="79"/>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firstLine="0" w:firstLineChars="0"/>
                    <w:textAlignment w:val="auto"/>
                    <w:rPr>
                      <w:rFonts w:hint="default" w:ascii="Times New Roman" w:hAnsi="Times New Roman" w:cs="Times New Roman" w:eastAsiaTheme="minorEastAsia"/>
                      <w:b w:val="0"/>
                      <w:bCs w:val="0"/>
                      <w:snapToGrid w:val="0"/>
                      <w:color w:val="000000" w:themeColor="text1"/>
                      <w:sz w:val="21"/>
                      <w:szCs w:val="21"/>
                      <w:lang w:val="en-US" w:eastAsia="zh-CN"/>
                      <w14:textFill>
                        <w14:solidFill>
                          <w14:schemeClr w14:val="tx1"/>
                        </w14:solidFill>
                      </w14:textFill>
                    </w:rPr>
                  </w:pPr>
                  <w:r>
                    <w:rPr>
                      <w:rFonts w:hint="eastAsia" w:cs="Times New Roman" w:eastAsiaTheme="minorEastAsia"/>
                      <w:b w:val="0"/>
                      <w:bCs w:val="0"/>
                      <w:snapToGrid w:val="0"/>
                      <w:color w:val="000000" w:themeColor="text1"/>
                      <w:sz w:val="21"/>
                      <w:szCs w:val="21"/>
                      <w:lang w:val="en-US" w:eastAsia="zh-CN"/>
                      <w14:textFill>
                        <w14:solidFill>
                          <w14:schemeClr w14:val="tx1"/>
                        </w14:solidFill>
                      </w14:textFill>
                    </w:rPr>
                    <w:t>4329</w:t>
                  </w:r>
                </w:p>
              </w:tc>
              <w:tc>
                <w:tcPr>
                  <w:tcW w:w="1088" w:type="pct"/>
                  <w:tcBorders>
                    <w:tl2br w:val="nil"/>
                    <w:tr2bl w:val="nil"/>
                  </w:tcBorders>
                  <w:shd w:val="clear" w:color="auto" w:fill="auto"/>
                  <w:vAlign w:val="center"/>
                </w:tcPr>
                <w:p w14:paraId="04313459">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沙地、后备耕地</w:t>
                  </w:r>
                </w:p>
              </w:tc>
              <w:tc>
                <w:tcPr>
                  <w:tcW w:w="1545" w:type="pct"/>
                  <w:tcBorders>
                    <w:tl2br w:val="nil"/>
                    <w:tr2bl w:val="nil"/>
                  </w:tcBorders>
                  <w:shd w:val="clear" w:color="auto" w:fill="auto"/>
                  <w:vAlign w:val="center"/>
                </w:tcPr>
                <w:p w14:paraId="77B45045">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w:t>
                  </w: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3487</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、后备耕地</w:t>
                  </w: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842</w:t>
                  </w:r>
                </w:p>
              </w:tc>
            </w:tr>
            <w:tr w14:paraId="155301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89" w:type="pct"/>
                  <w:tcBorders>
                    <w:tl2br w:val="nil"/>
                    <w:tr2bl w:val="nil"/>
                  </w:tcBorders>
                  <w:shd w:val="clear" w:color="auto" w:fill="auto"/>
                  <w:vAlign w:val="center"/>
                </w:tcPr>
                <w:p w14:paraId="6F68FC13">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snapToGrid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snapToGrid w:val="0"/>
                      <w:color w:val="000000" w:themeColor="text1"/>
                      <w:sz w:val="21"/>
                      <w:szCs w:val="21"/>
                      <w:lang w:val="en-US" w:eastAsia="zh-CN"/>
                      <w14:textFill>
                        <w14:solidFill>
                          <w14:schemeClr w14:val="tx1"/>
                        </w14:solidFill>
                      </w14:textFill>
                    </w:rPr>
                    <w:t>4</w:t>
                  </w:r>
                </w:p>
              </w:tc>
              <w:tc>
                <w:tcPr>
                  <w:tcW w:w="1193" w:type="pct"/>
                  <w:tcBorders>
                    <w:tl2br w:val="nil"/>
                    <w:tr2bl w:val="nil"/>
                  </w:tcBorders>
                  <w:shd w:val="clear" w:color="auto" w:fill="auto"/>
                  <w:vAlign w:val="center"/>
                </w:tcPr>
                <w:p w14:paraId="61EAC625">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snapToGrid w:val="0"/>
                      <w:color w:val="000000" w:themeColor="text1"/>
                      <w:kern w:val="0"/>
                      <w:sz w:val="21"/>
                      <w:szCs w:val="21"/>
                      <w:lang w:val="en-US" w:eastAsia="zh-CN" w:bidi="ar-SA"/>
                      <w14:textFill>
                        <w14:solidFill>
                          <w14:schemeClr w14:val="tx1"/>
                        </w14:solidFill>
                      </w14:textFill>
                    </w:rPr>
                    <w:t>牵张场</w:t>
                  </w:r>
                </w:p>
              </w:tc>
              <w:tc>
                <w:tcPr>
                  <w:tcW w:w="782" w:type="pct"/>
                  <w:tcBorders>
                    <w:tl2br w:val="nil"/>
                    <w:tr2bl w:val="nil"/>
                  </w:tcBorders>
                  <w:shd w:val="clear" w:color="auto" w:fill="auto"/>
                  <w:vAlign w:val="center"/>
                </w:tcPr>
                <w:p w14:paraId="552D049D">
                  <w:pPr>
                    <w:pStyle w:val="79"/>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firstLine="0" w:firstLineChars="0"/>
                    <w:textAlignment w:val="auto"/>
                    <w:rPr>
                      <w:rFonts w:hint="default" w:ascii="Times New Roman" w:hAnsi="Times New Roman" w:cs="Times New Roman" w:eastAsiaTheme="minorEastAsia"/>
                      <w:b w:val="0"/>
                      <w:bCs w:val="0"/>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snapToGrid w:val="0"/>
                      <w:color w:val="000000" w:themeColor="text1"/>
                      <w:sz w:val="21"/>
                      <w:szCs w:val="21"/>
                      <w:lang w:val="en-US" w:eastAsia="zh-CN" w:bidi="ar-SA"/>
                      <w14:textFill>
                        <w14:solidFill>
                          <w14:schemeClr w14:val="tx1"/>
                        </w14:solidFill>
                      </w14:textFill>
                    </w:rPr>
                    <w:t>800</w:t>
                  </w:r>
                </w:p>
              </w:tc>
              <w:tc>
                <w:tcPr>
                  <w:tcW w:w="1088" w:type="pct"/>
                  <w:tcBorders>
                    <w:tl2br w:val="nil"/>
                    <w:tr2bl w:val="nil"/>
                  </w:tcBorders>
                  <w:shd w:val="clear" w:color="auto" w:fill="auto"/>
                  <w:vAlign w:val="center"/>
                </w:tcPr>
                <w:p w14:paraId="08023924">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沙地、后备耕地</w:t>
                  </w:r>
                </w:p>
              </w:tc>
              <w:tc>
                <w:tcPr>
                  <w:tcW w:w="1545" w:type="pct"/>
                  <w:tcBorders>
                    <w:tl2br w:val="nil"/>
                    <w:tr2bl w:val="nil"/>
                  </w:tcBorders>
                  <w:shd w:val="clear" w:color="auto" w:fill="auto"/>
                  <w:vAlign w:val="center"/>
                </w:tcPr>
                <w:p w14:paraId="2267315A">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w:t>
                  </w: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400</w:t>
                  </w:r>
                  <w:r>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、后备耕地</w:t>
                  </w: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400</w:t>
                  </w:r>
                </w:p>
              </w:tc>
            </w:tr>
            <w:tr w14:paraId="6204E0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389" w:type="pct"/>
                  <w:tcBorders>
                    <w:tl2br w:val="nil"/>
                    <w:tr2bl w:val="nil"/>
                  </w:tcBorders>
                  <w:shd w:val="clear" w:color="auto" w:fill="auto"/>
                  <w:vAlign w:val="center"/>
                </w:tcPr>
                <w:p w14:paraId="10287742">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snapToGrid w:val="0"/>
                      <w:color w:val="000000" w:themeColor="text1"/>
                      <w:sz w:val="21"/>
                      <w:szCs w:val="21"/>
                      <w:lang w:val="en-US" w:eastAsia="zh-CN"/>
                      <w14:textFill>
                        <w14:solidFill>
                          <w14:schemeClr w14:val="tx1"/>
                        </w14:solidFill>
                      </w14:textFill>
                    </w:rPr>
                  </w:pPr>
                  <w:r>
                    <w:rPr>
                      <w:rFonts w:hint="eastAsia" w:cs="Times New Roman" w:eastAsiaTheme="minorEastAsia"/>
                      <w:b w:val="0"/>
                      <w:bCs w:val="0"/>
                      <w:snapToGrid w:val="0"/>
                      <w:color w:val="000000" w:themeColor="text1"/>
                      <w:sz w:val="21"/>
                      <w:szCs w:val="21"/>
                      <w:lang w:val="en-US" w:eastAsia="zh-CN"/>
                      <w14:textFill>
                        <w14:solidFill>
                          <w14:schemeClr w14:val="tx1"/>
                        </w14:solidFill>
                      </w14:textFill>
                    </w:rPr>
                    <w:t>5</w:t>
                  </w:r>
                </w:p>
              </w:tc>
              <w:tc>
                <w:tcPr>
                  <w:tcW w:w="1193" w:type="pct"/>
                  <w:tcBorders>
                    <w:tl2br w:val="nil"/>
                    <w:tr2bl w:val="nil"/>
                  </w:tcBorders>
                  <w:shd w:val="clear" w:color="auto" w:fill="auto"/>
                  <w:vAlign w:val="center"/>
                </w:tcPr>
                <w:p w14:paraId="6571F440">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snapToGrid w:val="0"/>
                      <w:color w:val="000000" w:themeColor="text1"/>
                      <w:kern w:val="0"/>
                      <w:sz w:val="21"/>
                      <w:szCs w:val="21"/>
                      <w:lang w:val="en-US" w:eastAsia="zh-CN" w:bidi="ar-SA"/>
                      <w14:textFill>
                        <w14:solidFill>
                          <w14:schemeClr w14:val="tx1"/>
                        </w14:solidFill>
                      </w14:textFill>
                    </w:rPr>
                    <w:t>跨越施工场</w:t>
                  </w:r>
                </w:p>
              </w:tc>
              <w:tc>
                <w:tcPr>
                  <w:tcW w:w="782" w:type="pct"/>
                  <w:tcBorders>
                    <w:tl2br w:val="nil"/>
                    <w:tr2bl w:val="nil"/>
                  </w:tcBorders>
                  <w:shd w:val="clear" w:color="auto" w:fill="auto"/>
                  <w:vAlign w:val="center"/>
                </w:tcPr>
                <w:p w14:paraId="4E2F239F">
                  <w:pPr>
                    <w:pStyle w:val="79"/>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firstLine="0" w:firstLineChars="0"/>
                    <w:textAlignment w:val="auto"/>
                    <w:rPr>
                      <w:rFonts w:hint="default" w:ascii="Times New Roman" w:hAnsi="Times New Roman" w:cs="Times New Roman" w:eastAsiaTheme="minorEastAsia"/>
                      <w:b w:val="0"/>
                      <w:bCs w:val="0"/>
                      <w:snapToGrid w:val="0"/>
                      <w:color w:val="000000" w:themeColor="text1"/>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snapToGrid w:val="0"/>
                      <w:color w:val="000000" w:themeColor="text1"/>
                      <w:sz w:val="21"/>
                      <w:szCs w:val="21"/>
                      <w:lang w:val="en-US" w:eastAsia="zh-CN" w:bidi="ar-SA"/>
                      <w14:textFill>
                        <w14:solidFill>
                          <w14:schemeClr w14:val="tx1"/>
                        </w14:solidFill>
                      </w14:textFill>
                    </w:rPr>
                    <w:t>200</w:t>
                  </w:r>
                </w:p>
              </w:tc>
              <w:tc>
                <w:tcPr>
                  <w:tcW w:w="1088" w:type="pct"/>
                  <w:tcBorders>
                    <w:tl2br w:val="nil"/>
                    <w:tr2bl w:val="nil"/>
                  </w:tcBorders>
                  <w:shd w:val="clear" w:color="auto" w:fill="auto"/>
                  <w:vAlign w:val="center"/>
                </w:tcPr>
                <w:p w14:paraId="744B3F1E">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沙地</w:t>
                  </w:r>
                </w:p>
              </w:tc>
              <w:tc>
                <w:tcPr>
                  <w:tcW w:w="1545" w:type="pct"/>
                  <w:tcBorders>
                    <w:tl2br w:val="nil"/>
                    <w:tr2bl w:val="nil"/>
                  </w:tcBorders>
                  <w:shd w:val="clear" w:color="auto" w:fill="auto"/>
                  <w:vAlign w:val="center"/>
                </w:tcPr>
                <w:p w14:paraId="326FBE38">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cs="Times New Roman" w:eastAsiaTheme="minorEastAsia"/>
                      <w:b w:val="0"/>
                      <w:bCs w:val="0"/>
                      <w:color w:val="000000" w:themeColor="text1"/>
                      <w:kern w:val="2"/>
                      <w:sz w:val="21"/>
                      <w:szCs w:val="21"/>
                      <w:lang w:val="en-US" w:eastAsia="zh-CN" w:bidi="ar-SA"/>
                      <w14:textFill>
                        <w14:solidFill>
                          <w14:schemeClr w14:val="tx1"/>
                        </w14:solidFill>
                      </w14:textFill>
                    </w:rPr>
                    <w:t>沙地200</w:t>
                  </w:r>
                </w:p>
              </w:tc>
            </w:tr>
            <w:tr w14:paraId="0ABE4C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583" w:type="pct"/>
                  <w:gridSpan w:val="2"/>
                  <w:tcBorders>
                    <w:tl2br w:val="nil"/>
                    <w:tr2bl w:val="nil"/>
                  </w:tcBorders>
                  <w:shd w:val="clear" w:color="auto" w:fill="auto"/>
                  <w:vAlign w:val="center"/>
                </w:tcPr>
                <w:p w14:paraId="3384EFFE">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snapToGrid w:val="0"/>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eastAsiaTheme="minorEastAsia"/>
                      <w:b w:val="0"/>
                      <w:bCs w:val="0"/>
                      <w:snapToGrid w:val="0"/>
                      <w:color w:val="000000" w:themeColor="text1"/>
                      <w:kern w:val="0"/>
                      <w:sz w:val="21"/>
                      <w:szCs w:val="21"/>
                      <w:lang w:val="en-US" w:eastAsia="zh-CN" w:bidi="ar-SA"/>
                      <w14:textFill>
                        <w14:solidFill>
                          <w14:schemeClr w14:val="tx1"/>
                        </w14:solidFill>
                      </w14:textFill>
                    </w:rPr>
                    <w:t>合计</w:t>
                  </w:r>
                </w:p>
              </w:tc>
              <w:tc>
                <w:tcPr>
                  <w:tcW w:w="1870" w:type="pct"/>
                  <w:gridSpan w:val="2"/>
                  <w:tcBorders>
                    <w:tl2br w:val="nil"/>
                    <w:tr2bl w:val="nil"/>
                  </w:tcBorders>
                  <w:shd w:val="clear" w:color="auto" w:fill="auto"/>
                  <w:vAlign w:val="center"/>
                </w:tcPr>
                <w:p w14:paraId="6D531C34">
                  <w:pPr>
                    <w:keepNext w:val="0"/>
                    <w:keepLines w:val="0"/>
                    <w:pageBreakBefore w:val="0"/>
                    <w:widowControl w:val="0"/>
                    <w:kinsoku/>
                    <w:wordWrap/>
                    <w:overflowPunct/>
                    <w:topLinePunct w:val="0"/>
                    <w:autoSpaceDE/>
                    <w:autoSpaceDN/>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eastAsiaTheme="minorEastAsia"/>
                      <w:b w:val="0"/>
                      <w:bCs w:val="0"/>
                      <w:color w:val="000000" w:themeColor="text1"/>
                      <w:kern w:val="2"/>
                      <w:sz w:val="21"/>
                      <w:szCs w:val="21"/>
                      <w:lang w:val="en-US" w:eastAsia="zh-CN" w:bidi="ar-SA"/>
                      <w14:textFill>
                        <w14:solidFill>
                          <w14:schemeClr w14:val="tx1"/>
                        </w14:solidFill>
                      </w14:textFill>
                    </w:rPr>
                    <w:t>12026</w:t>
                  </w:r>
                </w:p>
              </w:tc>
              <w:tc>
                <w:tcPr>
                  <w:tcW w:w="1545" w:type="pct"/>
                  <w:tcBorders>
                    <w:tl2br w:val="nil"/>
                    <w:tr2bl w:val="nil"/>
                  </w:tcBorders>
                  <w:shd w:val="clear" w:color="auto" w:fill="auto"/>
                  <w:vAlign w:val="center"/>
                </w:tcPr>
                <w:p w14:paraId="62007270">
                  <w:pPr>
                    <w:keepNext w:val="0"/>
                    <w:keepLines w:val="0"/>
                    <w:pageBreakBefore w:val="0"/>
                    <w:widowControl w:val="0"/>
                    <w:kinsoku/>
                    <w:wordWrap/>
                    <w:overflowPunct/>
                    <w:topLinePunct w:val="0"/>
                    <w:bidi w:val="0"/>
                    <w:adjustRightInd/>
                    <w:snapToGrid w:val="0"/>
                    <w:spacing w:line="240" w:lineRule="auto"/>
                    <w:ind w:right="0"/>
                    <w:jc w:val="center"/>
                    <w:textAlignment w:val="auto"/>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lang w:val="en-US" w:eastAsia="zh-CN"/>
                      <w14:textFill>
                        <w14:solidFill>
                          <w14:schemeClr w14:val="tx1"/>
                        </w14:solidFill>
                      </w14:textFill>
                    </w:rPr>
                    <w:t>/</w:t>
                  </w:r>
                </w:p>
              </w:tc>
            </w:tr>
          </w:tbl>
          <w:p w14:paraId="37678748">
            <w:pPr>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5</w:t>
            </w:r>
            <w:r>
              <w:rPr>
                <w:b/>
                <w:bCs/>
                <w:color w:val="000000" w:themeColor="text1"/>
                <w14:textFill>
                  <w14:solidFill>
                    <w14:schemeClr w14:val="tx1"/>
                  </w14:solidFill>
                </w14:textFill>
              </w:rPr>
              <w:t>.</w:t>
            </w:r>
            <w:r>
              <w:rPr>
                <w:rFonts w:hint="eastAsia"/>
                <w:b/>
                <w:bCs/>
                <w:color w:val="000000" w:themeColor="text1"/>
                <w14:textFill>
                  <w14:solidFill>
                    <w14:schemeClr w14:val="tx1"/>
                  </w14:solidFill>
                </w14:textFill>
              </w:rPr>
              <w:t>土石方平衡</w:t>
            </w:r>
          </w:p>
          <w:p w14:paraId="10353DBF">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r>
              <w:rPr>
                <w:rFonts w:hint="eastAsia"/>
                <w:color w:val="000000" w:themeColor="text1"/>
                <w14:textFill>
                  <w14:solidFill>
                    <w14:schemeClr w14:val="tx1"/>
                  </w14:solidFill>
                </w14:textFill>
              </w:rPr>
              <w:t>根据现场踏勘与收集到的相关资料，</w:t>
            </w:r>
            <w:r>
              <w:rPr>
                <w:rFonts w:hint="eastAsia"/>
                <w:color w:val="000000" w:themeColor="text1"/>
                <w:lang w:val="en-US" w:eastAsia="zh-CN"/>
                <w14:textFill>
                  <w14:solidFill>
                    <w14:schemeClr w14:val="tx1"/>
                  </w14:solidFill>
                </w14:textFill>
              </w:rPr>
              <w:t>本项目</w:t>
            </w:r>
            <w:r>
              <w:rPr>
                <w:rFonts w:hint="eastAsia"/>
                <w:color w:val="000000" w:themeColor="text1"/>
                <w14:textFill>
                  <w14:solidFill>
                    <w14:schemeClr w14:val="tx1"/>
                  </w14:solidFill>
                </w14:textFill>
              </w:rPr>
              <w:t>升压</w:t>
            </w:r>
            <w:r>
              <w:rPr>
                <w:rFonts w:hint="eastAsia"/>
                <w:color w:val="000000" w:themeColor="text1"/>
                <w:lang w:val="en-US" w:eastAsia="zh-CN"/>
                <w14:textFill>
                  <w14:solidFill>
                    <w14:schemeClr w14:val="tx1"/>
                  </w14:solidFill>
                </w14:textFill>
              </w:rPr>
              <w:t>汇集</w:t>
            </w:r>
            <w:r>
              <w:rPr>
                <w:rFonts w:hint="eastAsia"/>
                <w:color w:val="000000" w:themeColor="text1"/>
                <w14:textFill>
                  <w14:solidFill>
                    <w14:schemeClr w14:val="tx1"/>
                  </w14:solidFill>
                </w14:textFill>
              </w:rPr>
              <w:t>站</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外送线路</w:t>
            </w:r>
            <w:r>
              <w:rPr>
                <w:rFonts w:hint="eastAsia"/>
                <w:color w:val="000000" w:themeColor="text1"/>
                <w14:textFill>
                  <w14:solidFill>
                    <w14:schemeClr w14:val="tx1"/>
                  </w14:solidFill>
                </w14:textFill>
              </w:rPr>
              <w:t>及临时施工生产生活场地</w:t>
            </w:r>
            <w:r>
              <w:rPr>
                <w:rFonts w:hint="eastAsia"/>
                <w:color w:val="000000" w:themeColor="text1"/>
                <w:lang w:val="en-US" w:eastAsia="zh-CN"/>
                <w14:textFill>
                  <w14:solidFill>
                    <w14:schemeClr w14:val="tx1"/>
                  </w14:solidFill>
                </w14:textFill>
              </w:rPr>
              <w:t>现状</w:t>
            </w:r>
            <w:r>
              <w:rPr>
                <w:rFonts w:hint="eastAsia"/>
                <w:color w:val="000000" w:themeColor="text1"/>
                <w14:textFill>
                  <w14:solidFill>
                    <w14:schemeClr w14:val="tx1"/>
                  </w14:solidFill>
                </w14:textFill>
              </w:rPr>
              <w:t>均为</w:t>
            </w:r>
            <w:r>
              <w:rPr>
                <w:rFonts w:hint="eastAsia"/>
                <w:color w:val="000000" w:themeColor="text1"/>
                <w:lang w:val="en-US" w:eastAsia="zh-CN"/>
                <w14:textFill>
                  <w14:solidFill>
                    <w14:schemeClr w14:val="tx1"/>
                  </w14:solidFill>
                </w14:textFill>
              </w:rPr>
              <w:t>未利用地</w:t>
            </w:r>
            <w:r>
              <w:rPr>
                <w:rFonts w:hint="eastAsia"/>
                <w:color w:val="000000" w:themeColor="text1"/>
                <w14:textFill>
                  <w14:solidFill>
                    <w14:schemeClr w14:val="tx1"/>
                  </w14:solidFill>
                </w14:textFill>
              </w:rPr>
              <w:t>，设计时可依据实际情况基本做到土方平衡，</w:t>
            </w:r>
            <w:r>
              <w:rPr>
                <w:rFonts w:hint="default" w:ascii="Times New Roman" w:hAnsi="Times New Roman" w:eastAsia="宋体" w:cs="Times New Roman"/>
                <w:color w:val="000000" w:themeColor="text1"/>
                <w:highlight w:val="none"/>
                <w:lang w:val="en-US" w:eastAsia="zh-CN"/>
                <w14:textFill>
                  <w14:solidFill>
                    <w14:schemeClr w14:val="tx1"/>
                  </w14:solidFill>
                </w14:textFill>
              </w:rPr>
              <w:t>本项目土石方平衡见</w:t>
            </w:r>
            <w:r>
              <w:rPr>
                <w:rFonts w:hint="default" w:ascii="Times New Roman" w:hAnsi="Times New Roman" w:cs="Times New Roman"/>
                <w:color w:val="000000" w:themeColor="text1"/>
                <w:highlight w:val="none"/>
                <w:lang w:val="en-US" w:eastAsia="zh-CN"/>
                <w14:textFill>
                  <w14:solidFill>
                    <w14:schemeClr w14:val="tx1"/>
                  </w14:solidFill>
                </w14:textFill>
              </w:rPr>
              <w:t>表</w:t>
            </w:r>
            <w:r>
              <w:rPr>
                <w:rFonts w:hint="eastAsia" w:cs="Times New Roman"/>
                <w:color w:val="000000" w:themeColor="text1"/>
                <w:highlight w:val="none"/>
                <w:lang w:val="en-US" w:eastAsia="zh-CN"/>
                <w14:textFill>
                  <w14:solidFill>
                    <w14:schemeClr w14:val="tx1"/>
                  </w14:solidFill>
                </w14:textFill>
              </w:rPr>
              <w:t>2-6</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p w14:paraId="6C46FC12">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outlineLvl w:val="9"/>
              <w:rPr>
                <w:rFonts w:hint="eastAsia" w:ascii="黑体" w:hAnsi="黑体" w:eastAsia="黑体" w:cs="黑体"/>
                <w:b w:val="0"/>
                <w:bCs w:val="0"/>
                <w:color w:val="000000" w:themeColor="text1"/>
                <w:sz w:val="21"/>
                <w:szCs w:val="21"/>
                <w:lang w:eastAsia="zh-CN"/>
                <w14:textFill>
                  <w14:solidFill>
                    <w14:schemeClr w14:val="tx1"/>
                  </w14:solidFill>
                </w14:textFill>
              </w:rPr>
            </w:pPr>
          </w:p>
          <w:p w14:paraId="332229E9">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outlineLvl w:val="9"/>
              <w:rPr>
                <w:rFonts w:hint="eastAsia" w:ascii="黑体" w:hAnsi="黑体" w:eastAsia="黑体" w:cs="黑体"/>
                <w:b w:val="0"/>
                <w:bCs w:val="0"/>
                <w:color w:val="000000" w:themeColor="text1"/>
                <w:sz w:val="21"/>
                <w:szCs w:val="21"/>
                <w:lang w:eastAsia="zh-CN"/>
                <w14:textFill>
                  <w14:solidFill>
                    <w14:schemeClr w14:val="tx1"/>
                  </w14:solidFill>
                </w14:textFill>
              </w:rPr>
            </w:pPr>
          </w:p>
          <w:p w14:paraId="41A7F633">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outlineLvl w:val="9"/>
              <w:rPr>
                <w:rFonts w:hint="eastAsia" w:ascii="黑体" w:hAnsi="黑体" w:eastAsia="黑体" w:cs="黑体"/>
                <w:b w:val="0"/>
                <w:bCs w:val="0"/>
                <w:color w:val="000000" w:themeColor="text1"/>
                <w:sz w:val="21"/>
                <w:szCs w:val="21"/>
                <w:lang w:val="en-US" w:eastAsia="zh-CN"/>
                <w14:textFill>
                  <w14:solidFill>
                    <w14:schemeClr w14:val="tx1"/>
                  </w14:solidFill>
                </w14:textFill>
              </w:rPr>
            </w:pPr>
            <w:r>
              <w:rPr>
                <w:rFonts w:hint="eastAsia" w:ascii="黑体" w:hAnsi="黑体" w:eastAsia="黑体" w:cs="黑体"/>
                <w:b w:val="0"/>
                <w:bCs w:val="0"/>
                <w:color w:val="000000" w:themeColor="text1"/>
                <w:sz w:val="21"/>
                <w:szCs w:val="21"/>
                <w:lang w:eastAsia="zh-CN"/>
                <w14:textFill>
                  <w14:solidFill>
                    <w14:schemeClr w14:val="tx1"/>
                  </w14:solidFill>
                </w14:textFill>
              </w:rPr>
              <w:t>表</w:t>
            </w:r>
            <w:r>
              <w:rPr>
                <w:rFonts w:hint="eastAsia" w:ascii="黑体" w:hAnsi="黑体" w:eastAsia="黑体" w:cs="黑体"/>
                <w:b w:val="0"/>
                <w:bCs w:val="0"/>
                <w:color w:val="000000" w:themeColor="text1"/>
                <w:sz w:val="21"/>
                <w:szCs w:val="21"/>
                <w:lang w:val="en-US" w:eastAsia="zh-CN"/>
                <w14:textFill>
                  <w14:solidFill>
                    <w14:schemeClr w14:val="tx1"/>
                  </w14:solidFill>
                </w14:textFill>
              </w:rPr>
              <w:t>2-6    本项目土石方平衡表</w:t>
            </w:r>
          </w:p>
          <w:tbl>
            <w:tblPr>
              <w:tblStyle w:val="2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934"/>
              <w:gridCol w:w="1466"/>
              <w:gridCol w:w="1480"/>
              <w:gridCol w:w="1293"/>
              <w:gridCol w:w="1253"/>
            </w:tblGrid>
            <w:tr w14:paraId="6EC873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91" w:type="pct"/>
                  <w:tcBorders>
                    <w:tl2br w:val="nil"/>
                    <w:tr2bl w:val="nil"/>
                  </w:tcBorders>
                  <w:vAlign w:val="center"/>
                </w:tcPr>
                <w:p w14:paraId="61C8EC9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序号</w:t>
                  </w:r>
                </w:p>
              </w:tc>
              <w:tc>
                <w:tcPr>
                  <w:tcW w:w="1174" w:type="pct"/>
                  <w:tcBorders>
                    <w:tl2br w:val="nil"/>
                    <w:tr2bl w:val="nil"/>
                  </w:tcBorders>
                  <w:vAlign w:val="center"/>
                </w:tcPr>
                <w:p w14:paraId="73C762F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b/>
                      <w:bCs/>
                      <w:color w:val="000000" w:themeColor="text1"/>
                      <w:sz w:val="21"/>
                      <w:szCs w:val="21"/>
                      <w:vertAlign w:val="baseline"/>
                      <w:lang w:eastAsia="zh-CN"/>
                      <w14:textFill>
                        <w14:solidFill>
                          <w14:schemeClr w14:val="tx1"/>
                        </w14:solidFill>
                      </w14:textFill>
                    </w:rPr>
                    <w:t>项目</w:t>
                  </w:r>
                </w:p>
              </w:tc>
              <w:tc>
                <w:tcPr>
                  <w:tcW w:w="890" w:type="pct"/>
                  <w:tcBorders>
                    <w:tl2br w:val="nil"/>
                    <w:tr2bl w:val="nil"/>
                  </w:tcBorders>
                  <w:shd w:val="clear" w:color="auto" w:fill="auto"/>
                  <w:vAlign w:val="center"/>
                </w:tcPr>
                <w:p w14:paraId="0A279DA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挖方量</w:t>
                  </w:r>
                </w:p>
                <w:p w14:paraId="0E250C1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b/>
                      <w:bCs/>
                      <w:i w:val="0"/>
                      <w:iCs w:val="0"/>
                      <w:color w:val="000000" w:themeColor="text1"/>
                      <w:kern w:val="2"/>
                      <w:sz w:val="21"/>
                      <w:szCs w:val="21"/>
                      <w:u w:val="none"/>
                      <w:lang w:val="en-US" w:eastAsia="zh-CN" w:bidi="ar-SA"/>
                      <w14:textFill>
                        <w14:solidFill>
                          <w14:schemeClr w14:val="tx1"/>
                        </w14:solidFill>
                      </w14:textFill>
                    </w:rPr>
                  </w:pPr>
                  <w:r>
                    <w:rPr>
                      <w:rFonts w:hint="eastAsia" w:cs="Times New Roman"/>
                      <w:b/>
                      <w:bCs/>
                      <w:i w:val="0"/>
                      <w:iCs w:val="0"/>
                      <w:color w:val="000000" w:themeColor="text1"/>
                      <w:kern w:val="0"/>
                      <w:sz w:val="21"/>
                      <w:szCs w:val="21"/>
                      <w:u w:val="none"/>
                      <w:lang w:val="en-US" w:eastAsia="zh-CN" w:bidi="ar"/>
                      <w14:textFill>
                        <w14:solidFill>
                          <w14:schemeClr w14:val="tx1"/>
                        </w14:solidFill>
                      </w14:textFill>
                    </w:rPr>
                    <w:t>(</w:t>
                  </w:r>
                  <w:r>
                    <w:rPr>
                      <w:rStyle w:val="84"/>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m</w:t>
                  </w:r>
                  <w:r>
                    <w:rPr>
                      <w:rStyle w:val="85"/>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3</w:t>
                  </w:r>
                  <w:r>
                    <w:rPr>
                      <w:rFonts w:hint="eastAsia" w:cs="Times New Roman"/>
                      <w:b/>
                      <w:bCs/>
                      <w:i w:val="0"/>
                      <w:iCs w:val="0"/>
                      <w:color w:val="000000" w:themeColor="text1"/>
                      <w:kern w:val="0"/>
                      <w:sz w:val="21"/>
                      <w:szCs w:val="21"/>
                      <w:u w:val="none"/>
                      <w:lang w:val="en-US" w:eastAsia="zh-CN" w:bidi="ar"/>
                      <w14:textFill>
                        <w14:solidFill>
                          <w14:schemeClr w14:val="tx1"/>
                        </w14:solidFill>
                      </w14:textFill>
                    </w:rPr>
                    <w:t>)</w:t>
                  </w:r>
                </w:p>
              </w:tc>
              <w:tc>
                <w:tcPr>
                  <w:tcW w:w="898" w:type="pct"/>
                  <w:tcBorders>
                    <w:tl2br w:val="nil"/>
                    <w:tr2bl w:val="nil"/>
                  </w:tcBorders>
                  <w:vAlign w:val="center"/>
                </w:tcPr>
                <w:p w14:paraId="3CCB54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回填量</w:t>
                  </w:r>
                </w:p>
                <w:p w14:paraId="300820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cs="Times New Roman"/>
                      <w:b/>
                      <w:bCs/>
                      <w:color w:val="000000" w:themeColor="text1"/>
                      <w:sz w:val="21"/>
                      <w:szCs w:val="21"/>
                      <w:vertAlign w:val="baseline"/>
                      <w14:textFill>
                        <w14:solidFill>
                          <w14:schemeClr w14:val="tx1"/>
                        </w14:solidFill>
                      </w14:textFill>
                    </w:rPr>
                  </w:pPr>
                  <w:r>
                    <w:rPr>
                      <w:rFonts w:hint="eastAsia" w:cs="Times New Roman"/>
                      <w:b/>
                      <w:bCs/>
                      <w:i w:val="0"/>
                      <w:iCs w:val="0"/>
                      <w:color w:val="000000" w:themeColor="text1"/>
                      <w:kern w:val="0"/>
                      <w:sz w:val="21"/>
                      <w:szCs w:val="21"/>
                      <w:u w:val="none"/>
                      <w:lang w:val="en-US" w:eastAsia="zh-CN" w:bidi="ar"/>
                      <w14:textFill>
                        <w14:solidFill>
                          <w14:schemeClr w14:val="tx1"/>
                        </w14:solidFill>
                      </w14:textFill>
                    </w:rPr>
                    <w:t>(</w:t>
                  </w:r>
                  <w:r>
                    <w:rPr>
                      <w:rStyle w:val="84"/>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m</w:t>
                  </w:r>
                  <w:r>
                    <w:rPr>
                      <w:rStyle w:val="85"/>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3</w:t>
                  </w:r>
                  <w:r>
                    <w:rPr>
                      <w:rFonts w:hint="eastAsia" w:cs="Times New Roman"/>
                      <w:b/>
                      <w:bCs/>
                      <w:i w:val="0"/>
                      <w:iCs w:val="0"/>
                      <w:color w:val="000000" w:themeColor="text1"/>
                      <w:kern w:val="0"/>
                      <w:sz w:val="21"/>
                      <w:szCs w:val="21"/>
                      <w:u w:val="none"/>
                      <w:lang w:val="en-US" w:eastAsia="zh-CN" w:bidi="ar"/>
                      <w14:textFill>
                        <w14:solidFill>
                          <w14:schemeClr w14:val="tx1"/>
                        </w14:solidFill>
                      </w14:textFill>
                    </w:rPr>
                    <w:t>)</w:t>
                  </w:r>
                </w:p>
              </w:tc>
              <w:tc>
                <w:tcPr>
                  <w:tcW w:w="785" w:type="pct"/>
                  <w:tcBorders>
                    <w:tl2br w:val="nil"/>
                    <w:tr2bl w:val="nil"/>
                  </w:tcBorders>
                  <w:vAlign w:val="center"/>
                </w:tcPr>
                <w:p w14:paraId="13A2FA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bCs/>
                      <w:i w:val="0"/>
                      <w:iCs w:val="0"/>
                      <w:color w:val="000000" w:themeColor="text1"/>
                      <w:kern w:val="0"/>
                      <w:sz w:val="21"/>
                      <w:szCs w:val="21"/>
                      <w:u w:val="none"/>
                      <w:lang w:val="en-US" w:eastAsia="zh-CN" w:bidi="ar"/>
                      <w14:textFill>
                        <w14:solidFill>
                          <w14:schemeClr w14:val="tx1"/>
                        </w14:solidFill>
                      </w14:textFill>
                    </w:rPr>
                    <w:t>借方</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量</w:t>
                  </w:r>
                </w:p>
                <w:p w14:paraId="7D5EB63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cs="Times New Roman"/>
                      <w:b/>
                      <w:bCs/>
                      <w:color w:val="000000" w:themeColor="text1"/>
                      <w:sz w:val="21"/>
                      <w:szCs w:val="21"/>
                      <w:vertAlign w:val="baseline"/>
                      <w14:textFill>
                        <w14:solidFill>
                          <w14:schemeClr w14:val="tx1"/>
                        </w14:solidFill>
                      </w14:textFill>
                    </w:rPr>
                  </w:pPr>
                  <w:r>
                    <w:rPr>
                      <w:rFonts w:hint="eastAsia" w:cs="Times New Roman"/>
                      <w:b/>
                      <w:bCs/>
                      <w:i w:val="0"/>
                      <w:iCs w:val="0"/>
                      <w:color w:val="000000" w:themeColor="text1"/>
                      <w:kern w:val="0"/>
                      <w:sz w:val="21"/>
                      <w:szCs w:val="21"/>
                      <w:u w:val="none"/>
                      <w:lang w:val="en-US" w:eastAsia="zh-CN" w:bidi="ar"/>
                      <w14:textFill>
                        <w14:solidFill>
                          <w14:schemeClr w14:val="tx1"/>
                        </w14:solidFill>
                      </w14:textFill>
                    </w:rPr>
                    <w:t>(</w:t>
                  </w:r>
                  <w:r>
                    <w:rPr>
                      <w:rStyle w:val="84"/>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m</w:t>
                  </w:r>
                  <w:r>
                    <w:rPr>
                      <w:rStyle w:val="85"/>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3</w:t>
                  </w:r>
                  <w:r>
                    <w:rPr>
                      <w:rFonts w:hint="eastAsia" w:cs="Times New Roman"/>
                      <w:b/>
                      <w:bCs/>
                      <w:i w:val="0"/>
                      <w:iCs w:val="0"/>
                      <w:color w:val="000000" w:themeColor="text1"/>
                      <w:kern w:val="0"/>
                      <w:sz w:val="21"/>
                      <w:szCs w:val="21"/>
                      <w:u w:val="none"/>
                      <w:lang w:val="en-US" w:eastAsia="zh-CN" w:bidi="ar"/>
                      <w14:textFill>
                        <w14:solidFill>
                          <w14:schemeClr w14:val="tx1"/>
                        </w14:solidFill>
                      </w14:textFill>
                    </w:rPr>
                    <w:t>)</w:t>
                  </w:r>
                </w:p>
              </w:tc>
              <w:tc>
                <w:tcPr>
                  <w:tcW w:w="760" w:type="pct"/>
                  <w:tcBorders>
                    <w:tl2br w:val="nil"/>
                    <w:tr2bl w:val="nil"/>
                  </w:tcBorders>
                  <w:vAlign w:val="center"/>
                </w:tcPr>
                <w:p w14:paraId="2718854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cs="Times New Roman"/>
                      <w:b/>
                      <w:bCs/>
                      <w:i w:val="0"/>
                      <w:iCs w:val="0"/>
                      <w:color w:val="000000" w:themeColor="text1"/>
                      <w:kern w:val="0"/>
                      <w:sz w:val="21"/>
                      <w:szCs w:val="21"/>
                      <w:u w:val="none"/>
                      <w:lang w:val="en-US" w:eastAsia="zh-CN" w:bidi="ar"/>
                      <w14:textFill>
                        <w14:solidFill>
                          <w14:schemeClr w14:val="tx1"/>
                        </w14:solidFill>
                      </w14:textFill>
                    </w:rPr>
                  </w:pPr>
                  <w:r>
                    <w:rPr>
                      <w:rFonts w:hint="eastAsia" w:cs="Times New Roman"/>
                      <w:b/>
                      <w:bCs/>
                      <w:i w:val="0"/>
                      <w:iCs w:val="0"/>
                      <w:color w:val="000000" w:themeColor="text1"/>
                      <w:kern w:val="0"/>
                      <w:sz w:val="21"/>
                      <w:szCs w:val="21"/>
                      <w:u w:val="none"/>
                      <w:lang w:val="en-US" w:eastAsia="zh-CN" w:bidi="ar"/>
                      <w14:textFill>
                        <w14:solidFill>
                          <w14:schemeClr w14:val="tx1"/>
                        </w14:solidFill>
                      </w14:textFill>
                    </w:rPr>
                    <w:t>弃</w:t>
                  </w:r>
                  <w:r>
                    <w:rPr>
                      <w:rFonts w:hint="default" w:ascii="Times New Roman" w:hAnsi="Times New Roman" w:cs="Times New Roman"/>
                      <w:b/>
                      <w:bCs/>
                      <w:i w:val="0"/>
                      <w:iCs w:val="0"/>
                      <w:color w:val="000000" w:themeColor="text1"/>
                      <w:kern w:val="0"/>
                      <w:sz w:val="21"/>
                      <w:szCs w:val="21"/>
                      <w:u w:val="none"/>
                      <w:lang w:val="en-US" w:eastAsia="zh-CN" w:bidi="ar"/>
                      <w14:textFill>
                        <w14:solidFill>
                          <w14:schemeClr w14:val="tx1"/>
                        </w14:solidFill>
                      </w14:textFill>
                    </w:rPr>
                    <w:t>方</w:t>
                  </w: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量</w:t>
                  </w:r>
                </w:p>
                <w:p w14:paraId="61FCF2E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cs="Times New Roman"/>
                      <w:b/>
                      <w:bCs/>
                      <w:i w:val="0"/>
                      <w:iCs w:val="0"/>
                      <w:color w:val="000000" w:themeColor="text1"/>
                      <w:kern w:val="0"/>
                      <w:sz w:val="21"/>
                      <w:szCs w:val="21"/>
                      <w:u w:val="none"/>
                      <w:lang w:val="en-US" w:eastAsia="zh-CN" w:bidi="ar"/>
                      <w14:textFill>
                        <w14:solidFill>
                          <w14:schemeClr w14:val="tx1"/>
                        </w14:solidFill>
                      </w14:textFill>
                    </w:rPr>
                  </w:pPr>
                  <w:r>
                    <w:rPr>
                      <w:rFonts w:hint="eastAsia" w:cs="Times New Roman"/>
                      <w:b/>
                      <w:bCs/>
                      <w:i w:val="0"/>
                      <w:iCs w:val="0"/>
                      <w:color w:val="000000" w:themeColor="text1"/>
                      <w:kern w:val="0"/>
                      <w:sz w:val="21"/>
                      <w:szCs w:val="21"/>
                      <w:u w:val="none"/>
                      <w:lang w:val="en-US" w:eastAsia="zh-CN" w:bidi="ar"/>
                      <w14:textFill>
                        <w14:solidFill>
                          <w14:schemeClr w14:val="tx1"/>
                        </w14:solidFill>
                      </w14:textFill>
                    </w:rPr>
                    <w:t>(</w:t>
                  </w:r>
                  <w:r>
                    <w:rPr>
                      <w:rStyle w:val="84"/>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m</w:t>
                  </w:r>
                  <w:r>
                    <w:rPr>
                      <w:rStyle w:val="85"/>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3</w:t>
                  </w:r>
                  <w:r>
                    <w:rPr>
                      <w:rFonts w:hint="eastAsia" w:cs="Times New Roman"/>
                      <w:b/>
                      <w:bCs/>
                      <w:i w:val="0"/>
                      <w:iCs w:val="0"/>
                      <w:color w:val="000000" w:themeColor="text1"/>
                      <w:kern w:val="0"/>
                      <w:sz w:val="21"/>
                      <w:szCs w:val="21"/>
                      <w:u w:val="none"/>
                      <w:lang w:val="en-US" w:eastAsia="zh-CN" w:bidi="ar"/>
                      <w14:textFill>
                        <w14:solidFill>
                          <w14:schemeClr w14:val="tx1"/>
                        </w14:solidFill>
                      </w14:textFill>
                    </w:rPr>
                    <w:t>)</w:t>
                  </w:r>
                </w:p>
              </w:tc>
            </w:tr>
            <w:tr w14:paraId="59DB82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tcBorders>
                    <w:tl2br w:val="nil"/>
                    <w:tr2bl w:val="nil"/>
                  </w:tcBorders>
                  <w:shd w:val="clear" w:color="auto" w:fill="auto"/>
                  <w:vAlign w:val="center"/>
                </w:tcPr>
                <w:p w14:paraId="6620731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w:t>
                  </w:r>
                </w:p>
              </w:tc>
              <w:tc>
                <w:tcPr>
                  <w:tcW w:w="1174" w:type="pct"/>
                  <w:tcBorders>
                    <w:tl2br w:val="nil"/>
                    <w:tr2bl w:val="nil"/>
                  </w:tcBorders>
                  <w:shd w:val="clear" w:color="auto" w:fill="auto"/>
                  <w:vAlign w:val="center"/>
                </w:tcPr>
                <w:p w14:paraId="73EAE27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升压汇集站</w:t>
                  </w:r>
                </w:p>
              </w:tc>
              <w:tc>
                <w:tcPr>
                  <w:tcW w:w="890" w:type="pct"/>
                  <w:tcBorders>
                    <w:tl2br w:val="nil"/>
                    <w:tr2bl w:val="nil"/>
                  </w:tcBorders>
                  <w:shd w:val="clear" w:color="auto" w:fill="auto"/>
                  <w:vAlign w:val="center"/>
                </w:tcPr>
                <w:p w14:paraId="2A97C96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9450.0</w:t>
                  </w:r>
                </w:p>
              </w:tc>
              <w:tc>
                <w:tcPr>
                  <w:tcW w:w="898" w:type="pct"/>
                  <w:tcBorders>
                    <w:tl2br w:val="nil"/>
                    <w:tr2bl w:val="nil"/>
                  </w:tcBorders>
                  <w:shd w:val="clear" w:color="auto" w:fill="auto"/>
                  <w:vAlign w:val="center"/>
                </w:tcPr>
                <w:p w14:paraId="46D5148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14066.7</w:t>
                  </w:r>
                </w:p>
              </w:tc>
              <w:tc>
                <w:tcPr>
                  <w:tcW w:w="785" w:type="pct"/>
                  <w:tcBorders>
                    <w:tl2br w:val="nil"/>
                    <w:tr2bl w:val="nil"/>
                  </w:tcBorders>
                  <w:shd w:val="clear" w:color="auto" w:fill="auto"/>
                  <w:vAlign w:val="center"/>
                </w:tcPr>
                <w:p w14:paraId="7D555E5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4616.7</w:t>
                  </w:r>
                </w:p>
              </w:tc>
              <w:tc>
                <w:tcPr>
                  <w:tcW w:w="760" w:type="pct"/>
                  <w:tcBorders>
                    <w:tl2br w:val="nil"/>
                    <w:tr2bl w:val="nil"/>
                  </w:tcBorders>
                  <w:shd w:val="clear" w:color="auto" w:fill="auto"/>
                  <w:vAlign w:val="center"/>
                </w:tcPr>
                <w:p w14:paraId="25394F8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0323C7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tcBorders>
                    <w:tl2br w:val="nil"/>
                    <w:tr2bl w:val="nil"/>
                  </w:tcBorders>
                  <w:shd w:val="clear" w:color="auto" w:fill="auto"/>
                  <w:vAlign w:val="center"/>
                </w:tcPr>
                <w:p w14:paraId="63A20AB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w:t>
                  </w:r>
                </w:p>
              </w:tc>
              <w:tc>
                <w:tcPr>
                  <w:tcW w:w="1174" w:type="pct"/>
                  <w:tcBorders>
                    <w:tl2br w:val="nil"/>
                    <w:tr2bl w:val="nil"/>
                  </w:tcBorders>
                  <w:shd w:val="clear" w:color="auto" w:fill="auto"/>
                  <w:vAlign w:val="center"/>
                </w:tcPr>
                <w:p w14:paraId="15BAD08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施工营地</w:t>
                  </w:r>
                </w:p>
              </w:tc>
              <w:tc>
                <w:tcPr>
                  <w:tcW w:w="890" w:type="pct"/>
                  <w:tcBorders>
                    <w:tl2br w:val="nil"/>
                    <w:tr2bl w:val="nil"/>
                  </w:tcBorders>
                  <w:shd w:val="clear" w:color="auto" w:fill="auto"/>
                  <w:vAlign w:val="center"/>
                </w:tcPr>
                <w:p w14:paraId="70BD1CCB">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2808.5</w:t>
                  </w:r>
                </w:p>
              </w:tc>
              <w:tc>
                <w:tcPr>
                  <w:tcW w:w="898" w:type="pct"/>
                  <w:tcBorders>
                    <w:tl2br w:val="nil"/>
                    <w:tr2bl w:val="nil"/>
                  </w:tcBorders>
                  <w:shd w:val="clear" w:color="auto" w:fill="auto"/>
                  <w:vAlign w:val="center"/>
                </w:tcPr>
                <w:p w14:paraId="0FB10DE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2808.5</w:t>
                  </w:r>
                </w:p>
              </w:tc>
              <w:tc>
                <w:tcPr>
                  <w:tcW w:w="785" w:type="pct"/>
                  <w:tcBorders>
                    <w:tl2br w:val="nil"/>
                    <w:tr2bl w:val="nil"/>
                  </w:tcBorders>
                  <w:shd w:val="clear" w:color="auto" w:fill="auto"/>
                  <w:vAlign w:val="center"/>
                </w:tcPr>
                <w:p w14:paraId="15BA21E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p>
              </w:tc>
              <w:tc>
                <w:tcPr>
                  <w:tcW w:w="760" w:type="pct"/>
                  <w:tcBorders>
                    <w:tl2br w:val="nil"/>
                    <w:tr2bl w:val="nil"/>
                  </w:tcBorders>
                  <w:shd w:val="clear" w:color="auto" w:fill="auto"/>
                  <w:vAlign w:val="center"/>
                </w:tcPr>
                <w:p w14:paraId="478AFFB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4A086F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tcBorders>
                    <w:tl2br w:val="nil"/>
                    <w:tr2bl w:val="nil"/>
                  </w:tcBorders>
                  <w:shd w:val="clear" w:color="auto" w:fill="auto"/>
                  <w:vAlign w:val="center"/>
                </w:tcPr>
                <w:p w14:paraId="47374D5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w:t>
                  </w:r>
                </w:p>
              </w:tc>
              <w:tc>
                <w:tcPr>
                  <w:tcW w:w="1174" w:type="pct"/>
                  <w:tcBorders>
                    <w:tl2br w:val="nil"/>
                    <w:tr2bl w:val="nil"/>
                  </w:tcBorders>
                  <w:shd w:val="clear" w:color="auto" w:fill="auto"/>
                  <w:vAlign w:val="center"/>
                </w:tcPr>
                <w:p w14:paraId="1E2D54D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杆塔基础</w:t>
                  </w:r>
                </w:p>
              </w:tc>
              <w:tc>
                <w:tcPr>
                  <w:tcW w:w="890" w:type="pct"/>
                  <w:tcBorders>
                    <w:tl2br w:val="nil"/>
                    <w:tr2bl w:val="nil"/>
                  </w:tcBorders>
                  <w:shd w:val="clear" w:color="auto" w:fill="auto"/>
                  <w:vAlign w:val="center"/>
                </w:tcPr>
                <w:p w14:paraId="7E1C1F1A">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2332.8</w:t>
                  </w:r>
                </w:p>
              </w:tc>
              <w:tc>
                <w:tcPr>
                  <w:tcW w:w="898" w:type="pct"/>
                  <w:tcBorders>
                    <w:tl2br w:val="nil"/>
                    <w:tr2bl w:val="nil"/>
                  </w:tcBorders>
                  <w:shd w:val="clear" w:color="auto" w:fill="auto"/>
                  <w:vAlign w:val="center"/>
                </w:tcPr>
                <w:p w14:paraId="2219951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2332.8</w:t>
                  </w:r>
                </w:p>
              </w:tc>
              <w:tc>
                <w:tcPr>
                  <w:tcW w:w="785" w:type="pct"/>
                  <w:tcBorders>
                    <w:tl2br w:val="nil"/>
                    <w:tr2bl w:val="nil"/>
                  </w:tcBorders>
                  <w:shd w:val="clear" w:color="auto" w:fill="auto"/>
                  <w:vAlign w:val="center"/>
                </w:tcPr>
                <w:p w14:paraId="0ACEAD6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w:t>
                  </w:r>
                </w:p>
              </w:tc>
              <w:tc>
                <w:tcPr>
                  <w:tcW w:w="760" w:type="pct"/>
                  <w:tcBorders>
                    <w:tl2br w:val="nil"/>
                    <w:tr2bl w:val="nil"/>
                  </w:tcBorders>
                  <w:shd w:val="clear" w:color="auto" w:fill="auto"/>
                  <w:vAlign w:val="center"/>
                </w:tcPr>
                <w:p w14:paraId="562CE66E">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098906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tcBorders>
                    <w:tl2br w:val="nil"/>
                    <w:tr2bl w:val="nil"/>
                  </w:tcBorders>
                  <w:shd w:val="clear" w:color="auto" w:fill="auto"/>
                  <w:vAlign w:val="center"/>
                </w:tcPr>
                <w:p w14:paraId="6127616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w:t>
                  </w:r>
                </w:p>
              </w:tc>
              <w:tc>
                <w:tcPr>
                  <w:tcW w:w="1174" w:type="pct"/>
                  <w:tcBorders>
                    <w:tl2br w:val="nil"/>
                    <w:tr2bl w:val="nil"/>
                  </w:tcBorders>
                  <w:shd w:val="clear" w:color="auto" w:fill="auto"/>
                  <w:vAlign w:val="center"/>
                </w:tcPr>
                <w:p w14:paraId="420CB82C">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施工道路</w:t>
                  </w:r>
                </w:p>
              </w:tc>
              <w:tc>
                <w:tcPr>
                  <w:tcW w:w="890" w:type="pct"/>
                  <w:tcBorders>
                    <w:tl2br w:val="nil"/>
                    <w:tr2bl w:val="nil"/>
                  </w:tcBorders>
                  <w:shd w:val="clear" w:color="auto" w:fill="auto"/>
                  <w:vAlign w:val="center"/>
                </w:tcPr>
                <w:p w14:paraId="73AF6081">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865.8</w:t>
                  </w:r>
                </w:p>
              </w:tc>
              <w:tc>
                <w:tcPr>
                  <w:tcW w:w="898" w:type="pct"/>
                  <w:tcBorders>
                    <w:tl2br w:val="nil"/>
                    <w:tr2bl w:val="nil"/>
                  </w:tcBorders>
                  <w:shd w:val="clear" w:color="auto" w:fill="auto"/>
                  <w:vAlign w:val="center"/>
                </w:tcPr>
                <w:p w14:paraId="6731BB5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1082.3</w:t>
                  </w:r>
                </w:p>
              </w:tc>
              <w:tc>
                <w:tcPr>
                  <w:tcW w:w="785" w:type="pct"/>
                  <w:tcBorders>
                    <w:tl2br w:val="nil"/>
                    <w:tr2bl w:val="nil"/>
                  </w:tcBorders>
                  <w:shd w:val="clear" w:color="auto" w:fill="auto"/>
                  <w:vAlign w:val="center"/>
                </w:tcPr>
                <w:p w14:paraId="2E504DF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216.5</w:t>
                  </w:r>
                </w:p>
              </w:tc>
              <w:tc>
                <w:tcPr>
                  <w:tcW w:w="760" w:type="pct"/>
                  <w:tcBorders>
                    <w:tl2br w:val="nil"/>
                    <w:tr2bl w:val="nil"/>
                  </w:tcBorders>
                  <w:shd w:val="clear" w:color="auto" w:fill="auto"/>
                  <w:vAlign w:val="center"/>
                </w:tcPr>
                <w:p w14:paraId="0D12C01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6D3A1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tcBorders>
                    <w:tl2br w:val="nil"/>
                    <w:tr2bl w:val="nil"/>
                  </w:tcBorders>
                  <w:shd w:val="clear" w:color="auto" w:fill="auto"/>
                  <w:vAlign w:val="center"/>
                </w:tcPr>
                <w:p w14:paraId="0AAA4563">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w:t>
                  </w:r>
                </w:p>
              </w:tc>
              <w:tc>
                <w:tcPr>
                  <w:tcW w:w="1174" w:type="pct"/>
                  <w:tcBorders>
                    <w:tl2br w:val="nil"/>
                    <w:tr2bl w:val="nil"/>
                  </w:tcBorders>
                  <w:shd w:val="clear" w:color="auto" w:fill="auto"/>
                  <w:vAlign w:val="center"/>
                </w:tcPr>
                <w:p w14:paraId="2A65023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eastAsia"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塔基施工区</w:t>
                  </w:r>
                </w:p>
              </w:tc>
              <w:tc>
                <w:tcPr>
                  <w:tcW w:w="890" w:type="pct"/>
                  <w:tcBorders>
                    <w:tl2br w:val="nil"/>
                    <w:tr2bl w:val="nil"/>
                  </w:tcBorders>
                  <w:shd w:val="clear" w:color="auto" w:fill="auto"/>
                  <w:vAlign w:val="center"/>
                </w:tcPr>
                <w:p w14:paraId="42B09B24">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216.0</w:t>
                  </w:r>
                </w:p>
              </w:tc>
              <w:tc>
                <w:tcPr>
                  <w:tcW w:w="898" w:type="pct"/>
                  <w:tcBorders>
                    <w:tl2br w:val="nil"/>
                    <w:tr2bl w:val="nil"/>
                  </w:tcBorders>
                  <w:shd w:val="clear" w:color="auto" w:fill="auto"/>
                  <w:vAlign w:val="center"/>
                </w:tcPr>
                <w:p w14:paraId="37C267B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270.0</w:t>
                  </w:r>
                </w:p>
              </w:tc>
              <w:tc>
                <w:tcPr>
                  <w:tcW w:w="785" w:type="pct"/>
                  <w:tcBorders>
                    <w:tl2br w:val="nil"/>
                    <w:tr2bl w:val="nil"/>
                  </w:tcBorders>
                  <w:shd w:val="clear" w:color="auto" w:fill="auto"/>
                  <w:vAlign w:val="center"/>
                </w:tcPr>
                <w:p w14:paraId="38757E38">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54.0</w:t>
                  </w:r>
                </w:p>
              </w:tc>
              <w:tc>
                <w:tcPr>
                  <w:tcW w:w="760" w:type="pct"/>
                  <w:tcBorders>
                    <w:tl2br w:val="nil"/>
                    <w:tr2bl w:val="nil"/>
                  </w:tcBorders>
                  <w:shd w:val="clear" w:color="auto" w:fill="auto"/>
                  <w:vAlign w:val="center"/>
                </w:tcPr>
                <w:p w14:paraId="03BA711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39366F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tcBorders>
                    <w:tl2br w:val="nil"/>
                    <w:tr2bl w:val="nil"/>
                  </w:tcBorders>
                  <w:shd w:val="clear" w:color="auto" w:fill="auto"/>
                  <w:vAlign w:val="center"/>
                </w:tcPr>
                <w:p w14:paraId="19F8D502">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w:t>
                  </w:r>
                </w:p>
              </w:tc>
              <w:tc>
                <w:tcPr>
                  <w:tcW w:w="1174" w:type="pct"/>
                  <w:tcBorders>
                    <w:tl2br w:val="nil"/>
                    <w:tr2bl w:val="nil"/>
                  </w:tcBorders>
                  <w:shd w:val="clear" w:color="auto" w:fill="auto"/>
                  <w:vAlign w:val="center"/>
                </w:tcPr>
                <w:p w14:paraId="60091796">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牵张场</w:t>
                  </w:r>
                </w:p>
              </w:tc>
              <w:tc>
                <w:tcPr>
                  <w:tcW w:w="890" w:type="pct"/>
                  <w:tcBorders>
                    <w:tl2br w:val="nil"/>
                    <w:tr2bl w:val="nil"/>
                  </w:tcBorders>
                  <w:shd w:val="clear" w:color="auto" w:fill="auto"/>
                  <w:vAlign w:val="center"/>
                </w:tcPr>
                <w:p w14:paraId="454DD06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160.0</w:t>
                  </w:r>
                </w:p>
              </w:tc>
              <w:tc>
                <w:tcPr>
                  <w:tcW w:w="898" w:type="pct"/>
                  <w:tcBorders>
                    <w:tl2br w:val="nil"/>
                    <w:tr2bl w:val="nil"/>
                  </w:tcBorders>
                  <w:shd w:val="clear" w:color="auto" w:fill="auto"/>
                  <w:vAlign w:val="center"/>
                </w:tcPr>
                <w:p w14:paraId="71B4155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200.0</w:t>
                  </w:r>
                </w:p>
              </w:tc>
              <w:tc>
                <w:tcPr>
                  <w:tcW w:w="785" w:type="pct"/>
                  <w:tcBorders>
                    <w:tl2br w:val="nil"/>
                    <w:tr2bl w:val="nil"/>
                  </w:tcBorders>
                  <w:shd w:val="clear" w:color="auto" w:fill="auto"/>
                  <w:vAlign w:val="center"/>
                </w:tcPr>
                <w:p w14:paraId="2C561C9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w:t>
                  </w:r>
                </w:p>
              </w:tc>
              <w:tc>
                <w:tcPr>
                  <w:tcW w:w="760" w:type="pct"/>
                  <w:tcBorders>
                    <w:tl2br w:val="nil"/>
                    <w:tr2bl w:val="nil"/>
                  </w:tcBorders>
                  <w:shd w:val="clear" w:color="auto" w:fill="auto"/>
                  <w:vAlign w:val="center"/>
                </w:tcPr>
                <w:p w14:paraId="316B877F">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396939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91" w:type="pct"/>
                  <w:tcBorders>
                    <w:tl2br w:val="nil"/>
                    <w:tr2bl w:val="nil"/>
                  </w:tcBorders>
                  <w:shd w:val="clear" w:color="auto" w:fill="auto"/>
                  <w:vAlign w:val="center"/>
                </w:tcPr>
                <w:p w14:paraId="30881649">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w:t>
                  </w:r>
                </w:p>
              </w:tc>
              <w:tc>
                <w:tcPr>
                  <w:tcW w:w="1174" w:type="pct"/>
                  <w:tcBorders>
                    <w:tl2br w:val="nil"/>
                    <w:tr2bl w:val="nil"/>
                  </w:tcBorders>
                  <w:shd w:val="clear" w:color="auto" w:fill="auto"/>
                  <w:vAlign w:val="center"/>
                </w:tcPr>
                <w:p w14:paraId="576696E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宋体" w:hAnsi="宋体" w:eastAsia="宋体" w:cs="宋体"/>
                      <w:i w:val="0"/>
                      <w:iCs w:val="0"/>
                      <w:color w:val="000000" w:themeColor="text1"/>
                      <w:kern w:val="2"/>
                      <w:sz w:val="21"/>
                      <w:szCs w:val="21"/>
                      <w:u w:val="none"/>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跨越施工场</w:t>
                  </w:r>
                </w:p>
              </w:tc>
              <w:tc>
                <w:tcPr>
                  <w:tcW w:w="890" w:type="pct"/>
                  <w:tcBorders>
                    <w:tl2br w:val="nil"/>
                    <w:tr2bl w:val="nil"/>
                  </w:tcBorders>
                  <w:shd w:val="clear" w:color="auto" w:fill="auto"/>
                  <w:vAlign w:val="center"/>
                </w:tcPr>
                <w:p w14:paraId="72940CBD">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w:t>
                  </w:r>
                </w:p>
              </w:tc>
              <w:tc>
                <w:tcPr>
                  <w:tcW w:w="898" w:type="pct"/>
                  <w:tcBorders>
                    <w:tl2br w:val="nil"/>
                    <w:tr2bl w:val="nil"/>
                  </w:tcBorders>
                  <w:shd w:val="clear" w:color="auto" w:fill="auto"/>
                  <w:vAlign w:val="center"/>
                </w:tcPr>
                <w:p w14:paraId="134C9755">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w:t>
                  </w:r>
                </w:p>
              </w:tc>
              <w:tc>
                <w:tcPr>
                  <w:tcW w:w="785" w:type="pct"/>
                  <w:tcBorders>
                    <w:tl2br w:val="nil"/>
                    <w:tr2bl w:val="nil"/>
                  </w:tcBorders>
                  <w:shd w:val="clear" w:color="auto" w:fill="auto"/>
                  <w:vAlign w:val="center"/>
                </w:tcPr>
                <w:p w14:paraId="79939687">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w:t>
                  </w:r>
                </w:p>
              </w:tc>
              <w:tc>
                <w:tcPr>
                  <w:tcW w:w="760" w:type="pct"/>
                  <w:tcBorders>
                    <w:tl2br w:val="nil"/>
                    <w:tr2bl w:val="nil"/>
                  </w:tcBorders>
                  <w:shd w:val="clear" w:color="auto" w:fill="auto"/>
                  <w:vAlign w:val="center"/>
                </w:tcPr>
                <w:p w14:paraId="3416A630">
                  <w:pPr>
                    <w:keepNext w:val="0"/>
                    <w:keepLines w:val="0"/>
                    <w:pageBreakBefore w:val="0"/>
                    <w:widowControl/>
                    <w:suppressLineNumbers w:val="0"/>
                    <w:kinsoku/>
                    <w:wordWrap/>
                    <w:overflowPunct/>
                    <w:topLinePunct w:val="0"/>
                    <w:autoSpaceDE/>
                    <w:autoSpaceDN/>
                    <w:bidi w:val="0"/>
                    <w:snapToGrid w:val="0"/>
                    <w:spacing w:line="240" w:lineRule="auto"/>
                    <w:jc w:val="center"/>
                    <w:textAlignment w:val="cente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w:t>
                  </w:r>
                </w:p>
              </w:tc>
            </w:tr>
            <w:tr w14:paraId="1306F0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665" w:type="pct"/>
                  <w:gridSpan w:val="2"/>
                  <w:tcBorders>
                    <w:tl2br w:val="nil"/>
                    <w:tr2bl w:val="nil"/>
                  </w:tcBorders>
                  <w:vAlign w:val="center"/>
                </w:tcPr>
                <w:p w14:paraId="523FCEE0">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eastAsia="zh-CN"/>
                      <w14:textFill>
                        <w14:solidFill>
                          <w14:schemeClr w14:val="tx1"/>
                        </w14:solidFill>
                      </w14:textFill>
                    </w:rPr>
                    <w:t>合计</w:t>
                  </w:r>
                </w:p>
              </w:tc>
              <w:tc>
                <w:tcPr>
                  <w:tcW w:w="890" w:type="pct"/>
                  <w:tcBorders>
                    <w:tl2br w:val="nil"/>
                    <w:tr2bl w:val="nil"/>
                  </w:tcBorders>
                  <w:shd w:val="clear" w:color="auto" w:fill="auto"/>
                  <w:vAlign w:val="center"/>
                </w:tcPr>
                <w:p w14:paraId="24A5132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15873.1</w:t>
                  </w:r>
                </w:p>
              </w:tc>
              <w:tc>
                <w:tcPr>
                  <w:tcW w:w="898" w:type="pct"/>
                  <w:tcBorders>
                    <w:tl2br w:val="nil"/>
                    <w:tr2bl w:val="nil"/>
                  </w:tcBorders>
                  <w:shd w:val="clear" w:color="auto" w:fill="auto"/>
                  <w:vAlign w:val="center"/>
                </w:tcPr>
                <w:p w14:paraId="7DEA3D3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20810.</w:t>
                  </w:r>
                  <w:r>
                    <w:rPr>
                      <w:rFonts w:hint="eastAsia" w:cs="Times New Roman"/>
                      <w:i w:val="0"/>
                      <w:iCs w:val="0"/>
                      <w:color w:val="000000" w:themeColor="text1"/>
                      <w:kern w:val="0"/>
                      <w:sz w:val="22"/>
                      <w:szCs w:val="22"/>
                      <w:u w:val="none"/>
                      <w:lang w:val="en-US" w:eastAsia="zh-CN" w:bidi="ar"/>
                      <w14:textFill>
                        <w14:solidFill>
                          <w14:schemeClr w14:val="tx1"/>
                        </w14:solidFill>
                      </w14:textFill>
                    </w:rPr>
                    <w:t>3</w:t>
                  </w:r>
                </w:p>
              </w:tc>
              <w:tc>
                <w:tcPr>
                  <w:tcW w:w="785" w:type="pct"/>
                  <w:tcBorders>
                    <w:tl2br w:val="nil"/>
                    <w:tr2bl w:val="nil"/>
                  </w:tcBorders>
                  <w:shd w:val="clear" w:color="auto" w:fill="auto"/>
                  <w:vAlign w:val="center"/>
                </w:tcPr>
                <w:p w14:paraId="4B337F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4937.</w:t>
                  </w:r>
                  <w:r>
                    <w:rPr>
                      <w:rFonts w:hint="eastAsia" w:cs="Times New Roman"/>
                      <w:i w:val="0"/>
                      <w:iCs w:val="0"/>
                      <w:color w:val="000000" w:themeColor="text1"/>
                      <w:kern w:val="0"/>
                      <w:sz w:val="22"/>
                      <w:szCs w:val="22"/>
                      <w:u w:val="none"/>
                      <w:lang w:val="en-US" w:eastAsia="zh-CN" w:bidi="ar"/>
                      <w14:textFill>
                        <w14:solidFill>
                          <w14:schemeClr w14:val="tx1"/>
                        </w14:solidFill>
                      </w14:textFill>
                    </w:rPr>
                    <w:t>2</w:t>
                  </w:r>
                </w:p>
              </w:tc>
              <w:tc>
                <w:tcPr>
                  <w:tcW w:w="760" w:type="pct"/>
                  <w:tcBorders>
                    <w:tl2br w:val="nil"/>
                    <w:tr2bl w:val="nil"/>
                  </w:tcBorders>
                  <w:vAlign w:val="center"/>
                </w:tcPr>
                <w:p w14:paraId="5268F1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vertAlign w:val="baseline"/>
                      <w:lang w:val="en-US" w:eastAsia="zh-CN"/>
                      <w14:textFill>
                        <w14:solidFill>
                          <w14:schemeClr w14:val="tx1"/>
                        </w14:solidFill>
                      </w14:textFill>
                    </w:rPr>
                    <w:t>0</w:t>
                  </w:r>
                </w:p>
              </w:tc>
            </w:tr>
          </w:tbl>
          <w:p w14:paraId="048C53B6">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eastAsia="宋体" w:cs="Times New Roman"/>
                <w:color w:val="000000" w:themeColor="text1"/>
                <w:lang w:val="en-US" w:eastAsia="zh-CN"/>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项目总土石方</w:t>
            </w:r>
            <w:r>
              <w:rPr>
                <w:rFonts w:hint="eastAsia"/>
                <w:color w:val="000000" w:themeColor="text1"/>
                <w:highlight w:val="none"/>
                <w14:textFill>
                  <w14:solidFill>
                    <w14:schemeClr w14:val="tx1"/>
                  </w14:solidFill>
                </w14:textFill>
              </w:rPr>
              <w:t>开挖量为15873.1</w:t>
            </w:r>
            <w:r>
              <w:rPr>
                <w:rFonts w:hint="eastAsia"/>
                <w:color w:val="000000" w:themeColor="text1"/>
                <w:highlight w:val="none"/>
                <w:lang w:val="en-US" w:eastAsia="zh-CN"/>
                <w14:textFill>
                  <w14:solidFill>
                    <w14:schemeClr w14:val="tx1"/>
                  </w14:solidFill>
                </w14:textFill>
              </w:rPr>
              <w:t>m</w:t>
            </w:r>
            <w:r>
              <w:rPr>
                <w:rFonts w:hint="eastAsia"/>
                <w:color w:val="000000" w:themeColor="text1"/>
                <w:highlight w:val="none"/>
                <w:vertAlign w:val="superscript"/>
                <w:lang w:val="en-US" w:eastAsia="zh-CN"/>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，总</w:t>
            </w:r>
            <w:r>
              <w:rPr>
                <w:rFonts w:hint="eastAsia"/>
                <w:color w:val="000000" w:themeColor="text1"/>
                <w:highlight w:val="none"/>
                <w14:textFill>
                  <w14:solidFill>
                    <w14:schemeClr w14:val="tx1"/>
                  </w14:solidFill>
                </w14:textFill>
              </w:rPr>
              <w:t>回填量为20810.</w:t>
            </w:r>
            <w:r>
              <w:rPr>
                <w:rFonts w:hint="eastAsia"/>
                <w:color w:val="000000" w:themeColor="text1"/>
                <w:highlight w:val="none"/>
                <w:lang w:val="en-US" w:eastAsia="zh-CN"/>
                <w14:textFill>
                  <w14:solidFill>
                    <w14:schemeClr w14:val="tx1"/>
                  </w14:solidFill>
                </w14:textFill>
              </w:rPr>
              <w:t>3m</w:t>
            </w:r>
            <w:r>
              <w:rPr>
                <w:rFonts w:hint="eastAsia"/>
                <w:color w:val="000000" w:themeColor="text1"/>
                <w:highlight w:val="none"/>
                <w:vertAlign w:val="superscript"/>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总借方量为4937.</w:t>
            </w:r>
            <w:r>
              <w:rPr>
                <w:rFonts w:hint="eastAsia"/>
                <w:color w:val="000000" w:themeColor="text1"/>
                <w:highlight w:val="none"/>
                <w:lang w:val="en-US" w:eastAsia="zh-CN"/>
                <w14:textFill>
                  <w14:solidFill>
                    <w14:schemeClr w14:val="tx1"/>
                  </w14:solidFill>
                </w14:textFill>
              </w:rPr>
              <w:t>2m</w:t>
            </w:r>
            <w:r>
              <w:rPr>
                <w:rFonts w:hint="eastAsia"/>
                <w:color w:val="000000" w:themeColor="text1"/>
                <w:highlight w:val="none"/>
                <w:vertAlign w:val="superscript"/>
                <w:lang w:val="en-US" w:eastAsia="zh-CN"/>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，借方属于建筑用土砂石，项目不产生弃土</w:t>
            </w:r>
            <w:r>
              <w:rPr>
                <w:rFonts w:hint="eastAsia"/>
                <w:color w:val="000000" w:themeColor="text1"/>
                <w:highlight w:val="none"/>
                <w14:textFill>
                  <w14:solidFill>
                    <w14:schemeClr w14:val="tx1"/>
                  </w14:solidFill>
                </w14:textFill>
              </w:rPr>
              <w:t>。</w:t>
            </w:r>
          </w:p>
          <w:p w14:paraId="558229BC">
            <w:pPr>
              <w:autoSpaceDE w:val="0"/>
              <w:autoSpaceDN w:val="0"/>
              <w:adjustRightIn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6</w:t>
            </w:r>
            <w:r>
              <w:rPr>
                <w:b/>
                <w:bCs/>
                <w:color w:val="000000" w:themeColor="text1"/>
                <w14:textFill>
                  <w14:solidFill>
                    <w14:schemeClr w14:val="tx1"/>
                  </w14:solidFill>
                </w14:textFill>
              </w:rPr>
              <w:t>.工作定员与工作制度</w:t>
            </w:r>
          </w:p>
          <w:p w14:paraId="0B829CA0">
            <w:pPr>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施工期：本项目施工人数约为</w:t>
            </w:r>
            <w:r>
              <w:rPr>
                <w:rFonts w:hint="eastAsia"/>
                <w:color w:val="000000" w:themeColor="text1"/>
                <w:lang w:val="en-US" w:eastAsia="zh-CN"/>
                <w14:textFill>
                  <w14:solidFill>
                    <w14:schemeClr w14:val="tx1"/>
                  </w14:solidFill>
                </w14:textFill>
              </w:rPr>
              <w:t>1</w:t>
            </w:r>
            <w:r>
              <w:rPr>
                <w:rFonts w:hint="eastAsia" w:eastAsia="宋体"/>
                <w:color w:val="000000" w:themeColor="text1"/>
                <w:lang w:val="en-US" w:eastAsia="zh-CN"/>
                <w14:textFill>
                  <w14:solidFill>
                    <w14:schemeClr w14:val="tx1"/>
                  </w14:solidFill>
                </w14:textFill>
              </w:rPr>
              <w:t>00</w:t>
            </w:r>
            <w:r>
              <w:rPr>
                <w:color w:val="000000" w:themeColor="text1"/>
                <w14:textFill>
                  <w14:solidFill>
                    <w14:schemeClr w14:val="tx1"/>
                  </w14:solidFill>
                </w14:textFill>
              </w:rPr>
              <w:t>人，施工期</w:t>
            </w:r>
            <w:r>
              <w:rPr>
                <w:rFonts w:hint="eastAsia"/>
                <w:color w:val="000000" w:themeColor="text1"/>
                <w:lang w:val="en-US" w:eastAsia="zh-CN"/>
                <w14:textFill>
                  <w14:solidFill>
                    <w14:schemeClr w14:val="tx1"/>
                  </w14:solidFill>
                </w14:textFill>
              </w:rPr>
              <w:t>180</w:t>
            </w:r>
            <w:r>
              <w:rPr>
                <w:color w:val="000000" w:themeColor="text1"/>
                <w14:textFill>
                  <w14:solidFill>
                    <w14:schemeClr w14:val="tx1"/>
                  </w14:solidFill>
                </w14:textFill>
              </w:rPr>
              <w:t>天；运营期：人员</w:t>
            </w:r>
            <w:r>
              <w:rPr>
                <w:rFonts w:hint="eastAsia"/>
                <w:color w:val="000000" w:themeColor="text1"/>
                <w:lang w:val="en-US" w:eastAsia="zh-CN"/>
                <w14:textFill>
                  <w14:solidFill>
                    <w14:schemeClr w14:val="tx1"/>
                  </w14:solidFill>
                </w14:textFill>
              </w:rPr>
              <w:t>18</w:t>
            </w:r>
            <w:r>
              <w:rPr>
                <w:color w:val="000000" w:themeColor="text1"/>
                <w14:textFill>
                  <w14:solidFill>
                    <w14:schemeClr w14:val="tx1"/>
                  </w14:solidFill>
                </w14:textFill>
              </w:rPr>
              <w:t>人，年工作时数为</w:t>
            </w:r>
            <w:r>
              <w:rPr>
                <w:rFonts w:eastAsia="Times New Roman"/>
                <w:color w:val="000000" w:themeColor="text1"/>
                <w14:textFill>
                  <w14:solidFill>
                    <w14:schemeClr w14:val="tx1"/>
                  </w14:solidFill>
                </w14:textFill>
              </w:rPr>
              <w:t>365</w:t>
            </w:r>
            <w:r>
              <w:rPr>
                <w:color w:val="000000" w:themeColor="text1"/>
                <w14:textFill>
                  <w14:solidFill>
                    <w14:schemeClr w14:val="tx1"/>
                  </w14:solidFill>
                </w14:textFill>
              </w:rPr>
              <w:t>天，负责设备巡视、设备定期检查、日常维护。</w:t>
            </w:r>
          </w:p>
          <w:p w14:paraId="338E13D0">
            <w:pPr>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7.</w:t>
            </w:r>
            <w:r>
              <w:rPr>
                <w:b/>
                <w:bCs/>
                <w:color w:val="000000" w:themeColor="text1"/>
                <w14:textFill>
                  <w14:solidFill>
                    <w14:schemeClr w14:val="tx1"/>
                  </w14:solidFill>
                </w14:textFill>
              </w:rPr>
              <w:t>公用工程</w:t>
            </w:r>
          </w:p>
          <w:p w14:paraId="598C4E9E">
            <w:pPr>
              <w:pStyle w:val="53"/>
              <w:adjustRightInd w:val="0"/>
              <w:spacing w:line="500" w:lineRule="exact"/>
              <w:ind w:firstLine="480"/>
              <w:rPr>
                <w:color w:val="000000" w:themeColor="text1"/>
                <w:szCs w:val="24"/>
                <w14:textFill>
                  <w14:solidFill>
                    <w14:schemeClr w14:val="tx1"/>
                  </w14:solidFill>
                </w14:textFill>
              </w:rPr>
            </w:pPr>
            <w:r>
              <w:rPr>
                <w:color w:val="000000" w:themeColor="text1"/>
                <w:szCs w:val="24"/>
                <w14:textFill>
                  <w14:solidFill>
                    <w14:schemeClr w14:val="tx1"/>
                  </w14:solidFill>
                </w14:textFill>
              </w:rPr>
              <w:t>（1）供水</w:t>
            </w:r>
          </w:p>
          <w:p w14:paraId="2BCBE0E8">
            <w:pPr>
              <w:pStyle w:val="53"/>
              <w:adjustRightInd w:val="0"/>
              <w:spacing w:line="500" w:lineRule="exact"/>
              <w:ind w:firstLine="480"/>
              <w:rPr>
                <w:rFonts w:hint="default" w:eastAsia="宋体"/>
                <w:bCs/>
                <w:color w:val="000000" w:themeColor="text1"/>
                <w:vertAlign w:val="baseline"/>
                <w:lang w:val="en-US" w:eastAsia="zh-CN"/>
                <w14:textFill>
                  <w14:solidFill>
                    <w14:schemeClr w14:val="tx1"/>
                  </w14:solidFill>
                </w14:textFill>
              </w:rPr>
            </w:pPr>
            <w:r>
              <w:rPr>
                <w:color w:val="000000" w:themeColor="text1"/>
                <w:szCs w:val="24"/>
                <w14:textFill>
                  <w14:solidFill>
                    <w14:schemeClr w14:val="tx1"/>
                  </w14:solidFill>
                </w14:textFill>
              </w:rPr>
              <w:t>施工期用水包括混凝土养护、降尘、车辆冲洗和施工人员生活用水</w:t>
            </w:r>
            <w:r>
              <w:rPr>
                <w:rFonts w:hint="eastAsia"/>
                <w:color w:val="000000" w:themeColor="text1"/>
                <w:szCs w:val="24"/>
                <w:lang w:eastAsia="zh-CN"/>
                <w14:textFill>
                  <w14:solidFill>
                    <w14:schemeClr w14:val="tx1"/>
                  </w14:solidFill>
                </w14:textFill>
              </w:rPr>
              <w:t>，从项目区</w:t>
            </w:r>
            <w:r>
              <w:rPr>
                <w:rFonts w:hint="eastAsia"/>
                <w:color w:val="000000" w:themeColor="text1"/>
                <w:szCs w:val="24"/>
                <w:lang w:val="en-US" w:eastAsia="zh-CN"/>
                <w14:textFill>
                  <w14:solidFill>
                    <w14:schemeClr w14:val="tx1"/>
                  </w14:solidFill>
                </w14:textFill>
              </w:rPr>
              <w:t>附近</w:t>
            </w:r>
            <w:r>
              <w:rPr>
                <w:rFonts w:hint="eastAsia"/>
                <w:color w:val="000000" w:themeColor="text1"/>
                <w:szCs w:val="24"/>
                <w:lang w:eastAsia="zh-CN"/>
                <w14:textFill>
                  <w14:solidFill>
                    <w14:schemeClr w14:val="tx1"/>
                  </w14:solidFill>
                </w14:textFill>
              </w:rPr>
              <w:t>乡镇拉水</w:t>
            </w:r>
            <w:r>
              <w:rPr>
                <w:color w:val="000000" w:themeColor="text1"/>
                <w:szCs w:val="24"/>
                <w14:textFill>
                  <w14:solidFill>
                    <w14:schemeClr w14:val="tx1"/>
                  </w14:solidFill>
                </w14:textFill>
              </w:rPr>
              <w:t>；运营期用水主要为站场内工作人员生活用水及绿化用水。</w:t>
            </w:r>
            <w:r>
              <w:rPr>
                <w:rFonts w:hint="eastAsia"/>
                <w:color w:val="000000" w:themeColor="text1"/>
                <w:szCs w:val="24"/>
                <w:lang w:eastAsia="zh-CN"/>
                <w14:textFill>
                  <w14:solidFill>
                    <w14:schemeClr w14:val="tx1"/>
                  </w14:solidFill>
                </w14:textFill>
              </w:rPr>
              <w:t>本项目运营期生活用水从项目区</w:t>
            </w:r>
            <w:r>
              <w:rPr>
                <w:rFonts w:hint="eastAsia"/>
                <w:color w:val="000000" w:themeColor="text1"/>
                <w:szCs w:val="24"/>
                <w:lang w:val="en-US" w:eastAsia="zh-CN"/>
                <w14:textFill>
                  <w14:solidFill>
                    <w14:schemeClr w14:val="tx1"/>
                  </w14:solidFill>
                </w14:textFill>
              </w:rPr>
              <w:t>附近</w:t>
            </w:r>
            <w:r>
              <w:rPr>
                <w:rFonts w:hint="eastAsia"/>
                <w:color w:val="000000" w:themeColor="text1"/>
                <w:szCs w:val="24"/>
                <w:lang w:eastAsia="zh-CN"/>
                <w14:textFill>
                  <w14:solidFill>
                    <w14:schemeClr w14:val="tx1"/>
                  </w14:solidFill>
                </w14:textFill>
              </w:rPr>
              <w:t>乡镇拉水，</w:t>
            </w:r>
            <w:r>
              <w:rPr>
                <w:bCs/>
                <w:color w:val="000000" w:themeColor="text1"/>
                <w14:textFill>
                  <w14:solidFill>
                    <w14:schemeClr w14:val="tx1"/>
                  </w14:solidFill>
                </w14:textFill>
              </w:rPr>
              <w:t>站内设1座</w:t>
            </w:r>
            <w:r>
              <w:rPr>
                <w:rFonts w:hint="eastAsia"/>
                <w:bCs/>
                <w:color w:val="000000" w:themeColor="text1"/>
                <w14:textFill>
                  <w14:solidFill>
                    <w14:schemeClr w14:val="tx1"/>
                  </w14:solidFill>
                </w14:textFill>
              </w:rPr>
              <w:t>综合水泵房</w:t>
            </w:r>
            <w:r>
              <w:rPr>
                <w:rFonts w:hint="eastAsia"/>
                <w:bCs/>
                <w:color w:val="000000" w:themeColor="text1"/>
                <w:vertAlign w:val="baseline"/>
                <w:lang w:eastAsia="zh-CN"/>
                <w14:textFill>
                  <w14:solidFill>
                    <w14:schemeClr w14:val="tx1"/>
                  </w14:solidFill>
                </w14:textFill>
              </w:rPr>
              <w:t>。</w:t>
            </w:r>
          </w:p>
          <w:p w14:paraId="13DEAED5">
            <w:pPr>
              <w:adjustRightInd w:val="0"/>
              <w:spacing w:line="500" w:lineRule="exact"/>
              <w:ind w:firstLine="480" w:firstLineChars="200"/>
              <w:rPr>
                <w:rFonts w:hint="default" w:eastAsia="宋体"/>
                <w:bCs/>
                <w:color w:val="000000" w:themeColor="text1"/>
                <w:kern w:val="0"/>
                <w:szCs w:val="20"/>
                <w:lang w:val="en-US" w:eastAsia="zh-CN"/>
                <w14:textFill>
                  <w14:solidFill>
                    <w14:schemeClr w14:val="tx1"/>
                  </w14:solidFill>
                </w14:textFill>
              </w:rPr>
            </w:pPr>
            <w:r>
              <w:rPr>
                <w:bCs/>
                <w:color w:val="000000" w:themeColor="text1"/>
                <w:kern w:val="0"/>
                <w:szCs w:val="20"/>
                <w14:textFill>
                  <w14:solidFill>
                    <w14:schemeClr w14:val="tx1"/>
                  </w14:solidFill>
                </w14:textFill>
              </w:rPr>
              <w:t>①</w:t>
            </w:r>
            <w:r>
              <w:rPr>
                <w:rFonts w:hint="eastAsia"/>
                <w:bCs/>
                <w:color w:val="000000" w:themeColor="text1"/>
                <w:kern w:val="0"/>
                <w:szCs w:val="20"/>
                <w:lang w:val="en-US" w:eastAsia="zh-CN"/>
                <w14:textFill>
                  <w14:solidFill>
                    <w14:schemeClr w14:val="tx1"/>
                  </w14:solidFill>
                </w14:textFill>
              </w:rPr>
              <w:t>施工</w:t>
            </w:r>
            <w:r>
              <w:rPr>
                <w:bCs/>
                <w:color w:val="000000" w:themeColor="text1"/>
                <w:kern w:val="0"/>
                <w:szCs w:val="20"/>
                <w14:textFill>
                  <w14:solidFill>
                    <w14:schemeClr w14:val="tx1"/>
                  </w14:solidFill>
                </w14:textFill>
              </w:rPr>
              <w:t>用水：本工程施工用水</w:t>
            </w:r>
            <w:r>
              <w:rPr>
                <w:rFonts w:hint="eastAsia"/>
                <w:bCs/>
                <w:color w:val="000000" w:themeColor="text1"/>
                <w:kern w:val="0"/>
                <w:szCs w:val="20"/>
                <w14:textFill>
                  <w14:solidFill>
                    <w14:schemeClr w14:val="tx1"/>
                  </w14:solidFill>
                </w14:textFill>
              </w:rPr>
              <w:t>采用</w:t>
            </w:r>
            <w:r>
              <w:rPr>
                <w:bCs/>
                <w:color w:val="000000" w:themeColor="text1"/>
                <w:kern w:val="0"/>
                <w:szCs w:val="20"/>
                <w14:textFill>
                  <w14:solidFill>
                    <w14:schemeClr w14:val="tx1"/>
                  </w14:solidFill>
                </w14:textFill>
              </w:rPr>
              <w:t>拉水车拉水，根据项目设计资料，本</w:t>
            </w:r>
            <w:r>
              <w:rPr>
                <w:rFonts w:hint="eastAsia"/>
                <w:bCs/>
                <w:color w:val="000000" w:themeColor="text1"/>
                <w:kern w:val="0"/>
                <w:szCs w:val="20"/>
                <w:lang w:eastAsia="zh-CN"/>
                <w14:textFill>
                  <w14:solidFill>
                    <w14:schemeClr w14:val="tx1"/>
                  </w14:solidFill>
                </w14:textFill>
              </w:rPr>
              <w:t>工程施工高峰期</w:t>
            </w:r>
            <w:r>
              <w:rPr>
                <w:bCs/>
                <w:color w:val="000000" w:themeColor="text1"/>
                <w:kern w:val="0"/>
                <w:szCs w:val="20"/>
                <w14:textFill>
                  <w14:solidFill>
                    <w14:schemeClr w14:val="tx1"/>
                  </w14:solidFill>
                </w14:textFill>
              </w:rPr>
              <w:t>用水</w:t>
            </w:r>
            <w:r>
              <w:rPr>
                <w:rFonts w:hint="eastAsia"/>
                <w:bCs/>
                <w:color w:val="000000" w:themeColor="text1"/>
                <w:kern w:val="0"/>
                <w:szCs w:val="20"/>
                <w:lang w:eastAsia="zh-CN"/>
                <w14:textFill>
                  <w14:solidFill>
                    <w14:schemeClr w14:val="tx1"/>
                  </w14:solidFill>
                </w14:textFill>
              </w:rPr>
              <w:t>量</w:t>
            </w:r>
            <w:r>
              <w:rPr>
                <w:bCs/>
                <w:color w:val="000000" w:themeColor="text1"/>
                <w:kern w:val="0"/>
                <w:szCs w:val="20"/>
                <w14:textFill>
                  <w14:solidFill>
                    <w14:schemeClr w14:val="tx1"/>
                  </w14:solidFill>
                </w14:textFill>
              </w:rPr>
              <w:t>为</w:t>
            </w:r>
            <w:r>
              <w:rPr>
                <w:rFonts w:hint="eastAsia"/>
                <w:bCs/>
                <w:color w:val="000000" w:themeColor="text1"/>
                <w:kern w:val="0"/>
                <w:szCs w:val="20"/>
                <w:lang w:val="en-US" w:eastAsia="zh-CN"/>
                <w14:textFill>
                  <w14:solidFill>
                    <w14:schemeClr w14:val="tx1"/>
                  </w14:solidFill>
                </w14:textFill>
              </w:rPr>
              <w:t>20</w:t>
            </w:r>
            <w:r>
              <w:rPr>
                <w:bCs/>
                <w:color w:val="000000" w:themeColor="text1"/>
                <w:kern w:val="0"/>
                <w14:textFill>
                  <w14:solidFill>
                    <w14:schemeClr w14:val="tx1"/>
                  </w14:solidFill>
                </w14:textFill>
              </w:rPr>
              <w:t>m</w:t>
            </w:r>
            <w:r>
              <w:rPr>
                <w:bCs/>
                <w:color w:val="000000" w:themeColor="text1"/>
                <w:kern w:val="0"/>
                <w:vertAlign w:val="superscript"/>
                <w14:textFill>
                  <w14:solidFill>
                    <w14:schemeClr w14:val="tx1"/>
                  </w14:solidFill>
                </w14:textFill>
              </w:rPr>
              <w:t>3</w:t>
            </w:r>
            <w:r>
              <w:rPr>
                <w:bCs/>
                <w:color w:val="000000" w:themeColor="text1"/>
                <w:kern w:val="0"/>
                <w:szCs w:val="20"/>
                <w14:textFill>
                  <w14:solidFill>
                    <w14:schemeClr w14:val="tx1"/>
                  </w14:solidFill>
                </w14:textFill>
              </w:rPr>
              <w:t>/</w:t>
            </w:r>
            <w:r>
              <w:rPr>
                <w:rFonts w:hint="eastAsia"/>
                <w:bCs/>
                <w:color w:val="000000" w:themeColor="text1"/>
                <w:kern w:val="0"/>
                <w:szCs w:val="20"/>
                <w14:textFill>
                  <w14:solidFill>
                    <w14:schemeClr w14:val="tx1"/>
                  </w14:solidFill>
                </w14:textFill>
              </w:rPr>
              <w:t>d</w:t>
            </w:r>
            <w:r>
              <w:rPr>
                <w:bCs/>
                <w:color w:val="000000" w:themeColor="text1"/>
                <w:kern w:val="0"/>
                <w:szCs w:val="20"/>
                <w14:textFill>
                  <w14:solidFill>
                    <w14:schemeClr w14:val="tx1"/>
                  </w14:solidFill>
                </w14:textFill>
              </w:rPr>
              <w:t>，施工期为</w:t>
            </w:r>
            <w:r>
              <w:rPr>
                <w:rFonts w:hint="eastAsia"/>
                <w:bCs/>
                <w:color w:val="000000" w:themeColor="text1"/>
                <w:kern w:val="0"/>
                <w:szCs w:val="20"/>
                <w:lang w:val="en-US" w:eastAsia="zh-CN"/>
                <w14:textFill>
                  <w14:solidFill>
                    <w14:schemeClr w14:val="tx1"/>
                  </w14:solidFill>
                </w14:textFill>
              </w:rPr>
              <w:t>6</w:t>
            </w:r>
            <w:r>
              <w:rPr>
                <w:bCs/>
                <w:color w:val="000000" w:themeColor="text1"/>
                <w:kern w:val="0"/>
                <w:szCs w:val="20"/>
                <w14:textFill>
                  <w14:solidFill>
                    <w14:schemeClr w14:val="tx1"/>
                  </w14:solidFill>
                </w14:textFill>
              </w:rPr>
              <w:t>个月</w:t>
            </w:r>
            <w:r>
              <w:rPr>
                <w:rFonts w:hint="eastAsia"/>
                <w:bCs/>
                <w:color w:val="000000" w:themeColor="text1"/>
                <w:kern w:val="0"/>
                <w:szCs w:val="20"/>
                <w:lang w:eastAsia="zh-CN"/>
                <w14:textFill>
                  <w14:solidFill>
                    <w14:schemeClr w14:val="tx1"/>
                  </w14:solidFill>
                </w14:textFill>
              </w:rPr>
              <w:t>（</w:t>
            </w:r>
            <w:r>
              <w:rPr>
                <w:rFonts w:hint="eastAsia"/>
                <w:bCs/>
                <w:color w:val="000000" w:themeColor="text1"/>
                <w:kern w:val="0"/>
                <w:szCs w:val="20"/>
                <w:lang w:val="en-US" w:eastAsia="zh-CN"/>
                <w14:textFill>
                  <w14:solidFill>
                    <w14:schemeClr w14:val="tx1"/>
                  </w14:solidFill>
                </w14:textFill>
              </w:rPr>
              <w:t>180天</w:t>
            </w:r>
            <w:r>
              <w:rPr>
                <w:rFonts w:hint="eastAsia"/>
                <w:bCs/>
                <w:color w:val="000000" w:themeColor="text1"/>
                <w:kern w:val="0"/>
                <w:szCs w:val="20"/>
                <w:lang w:eastAsia="zh-CN"/>
                <w14:textFill>
                  <w14:solidFill>
                    <w14:schemeClr w14:val="tx1"/>
                  </w14:solidFill>
                </w14:textFill>
              </w:rPr>
              <w:t>）</w:t>
            </w:r>
            <w:r>
              <w:rPr>
                <w:bCs/>
                <w:color w:val="000000" w:themeColor="text1"/>
                <w:kern w:val="0"/>
                <w:szCs w:val="20"/>
                <w14:textFill>
                  <w14:solidFill>
                    <w14:schemeClr w14:val="tx1"/>
                  </w14:solidFill>
                </w14:textFill>
              </w:rPr>
              <w:t>，则整个施工期施工用水为</w:t>
            </w:r>
            <w:r>
              <w:rPr>
                <w:rFonts w:hint="eastAsia"/>
                <w:bCs/>
                <w:color w:val="000000" w:themeColor="text1"/>
                <w:kern w:val="0"/>
                <w:szCs w:val="20"/>
                <w:lang w:val="en-US" w:eastAsia="zh-CN"/>
                <w14:textFill>
                  <w14:solidFill>
                    <w14:schemeClr w14:val="tx1"/>
                  </w14:solidFill>
                </w14:textFill>
              </w:rPr>
              <w:t>3600</w:t>
            </w:r>
            <w:r>
              <w:rPr>
                <w:bCs/>
                <w:color w:val="000000" w:themeColor="text1"/>
                <w:kern w:val="0"/>
                <w14:textFill>
                  <w14:solidFill>
                    <w14:schemeClr w14:val="tx1"/>
                  </w14:solidFill>
                </w14:textFill>
              </w:rPr>
              <w:t>m</w:t>
            </w:r>
            <w:r>
              <w:rPr>
                <w:bCs/>
                <w:color w:val="000000" w:themeColor="text1"/>
                <w:kern w:val="0"/>
                <w:vertAlign w:val="superscript"/>
                <w14:textFill>
                  <w14:solidFill>
                    <w14:schemeClr w14:val="tx1"/>
                  </w14:solidFill>
                </w14:textFill>
              </w:rPr>
              <w:t>3</w:t>
            </w:r>
            <w:r>
              <w:rPr>
                <w:rFonts w:hint="eastAsia"/>
                <w:bCs/>
                <w:color w:val="000000" w:themeColor="text1"/>
                <w:kern w:val="0"/>
                <w:szCs w:val="20"/>
                <w:lang w:val="en-US" w:eastAsia="zh-CN"/>
                <w14:textFill>
                  <w14:solidFill>
                    <w14:schemeClr w14:val="tx1"/>
                  </w14:solidFill>
                </w14:textFill>
              </w:rPr>
              <w:t>。</w:t>
            </w:r>
          </w:p>
          <w:p w14:paraId="37DA11C5">
            <w:pPr>
              <w:adjustRightInd w:val="0"/>
              <w:spacing w:line="500" w:lineRule="exact"/>
              <w:ind w:firstLine="512" w:firstLineChars="200"/>
              <w:rPr>
                <w:bCs/>
                <w:color w:val="000000" w:themeColor="text1"/>
                <w:kern w:val="0"/>
                <w:szCs w:val="20"/>
                <w14:textFill>
                  <w14:solidFill>
                    <w14:schemeClr w14:val="tx1"/>
                  </w14:solidFill>
                </w14:textFill>
              </w:rPr>
            </w:pPr>
            <w:r>
              <w:rPr>
                <w:color w:val="000000" w:themeColor="text1"/>
                <w:spacing w:val="8"/>
                <w14:textFill>
                  <w14:solidFill>
                    <w14:schemeClr w14:val="tx1"/>
                  </w14:solidFill>
                </w14:textFill>
              </w:rPr>
              <w:t>②</w:t>
            </w:r>
            <w:r>
              <w:rPr>
                <w:rFonts w:hint="eastAsia"/>
                <w:color w:val="000000" w:themeColor="text1"/>
                <w:spacing w:val="8"/>
                <w:lang w:val="en-US" w:eastAsia="zh-CN"/>
                <w14:textFill>
                  <w14:solidFill>
                    <w14:schemeClr w14:val="tx1"/>
                  </w14:solidFill>
                </w14:textFill>
              </w:rPr>
              <w:t>生活用水：</w:t>
            </w:r>
            <w:r>
              <w:rPr>
                <w:bCs/>
                <w:color w:val="000000" w:themeColor="text1"/>
                <w:kern w:val="0"/>
                <w:szCs w:val="20"/>
                <w14:textFill>
                  <w14:solidFill>
                    <w14:schemeClr w14:val="tx1"/>
                  </w14:solidFill>
                </w14:textFill>
              </w:rPr>
              <w:t>本工程施工</w:t>
            </w:r>
            <w:r>
              <w:rPr>
                <w:rFonts w:hint="eastAsia"/>
                <w:bCs/>
                <w:color w:val="000000" w:themeColor="text1"/>
                <w:kern w:val="0"/>
                <w:szCs w:val="20"/>
                <w:lang w:eastAsia="zh-CN"/>
                <w14:textFill>
                  <w14:solidFill>
                    <w14:schemeClr w14:val="tx1"/>
                  </w14:solidFill>
                </w14:textFill>
              </w:rPr>
              <w:t>期间高峰人数</w:t>
            </w:r>
            <w:r>
              <w:rPr>
                <w:bCs/>
                <w:color w:val="000000" w:themeColor="text1"/>
                <w:kern w:val="0"/>
                <w:szCs w:val="20"/>
                <w14:textFill>
                  <w14:solidFill>
                    <w14:schemeClr w14:val="tx1"/>
                  </w14:solidFill>
                </w14:textFill>
              </w:rPr>
              <w:t>约</w:t>
            </w:r>
            <w:r>
              <w:rPr>
                <w:rFonts w:hint="eastAsia"/>
                <w:bCs/>
                <w:color w:val="000000" w:themeColor="text1"/>
                <w:kern w:val="0"/>
                <w:szCs w:val="20"/>
                <w:lang w:val="en-US" w:eastAsia="zh-CN"/>
                <w14:textFill>
                  <w14:solidFill>
                    <w14:schemeClr w14:val="tx1"/>
                  </w14:solidFill>
                </w14:textFill>
              </w:rPr>
              <w:t>100</w:t>
            </w:r>
            <w:r>
              <w:rPr>
                <w:bCs/>
                <w:color w:val="000000" w:themeColor="text1"/>
                <w:kern w:val="0"/>
                <w:szCs w:val="20"/>
                <w14:textFill>
                  <w14:solidFill>
                    <w14:schemeClr w14:val="tx1"/>
                  </w14:solidFill>
                </w14:textFill>
              </w:rPr>
              <w:t>人，生活用水按0.02</w:t>
            </w:r>
            <w:r>
              <w:rPr>
                <w:rFonts w:hint="eastAsia"/>
                <w:bCs/>
                <w:color w:val="000000" w:themeColor="text1"/>
                <w:kern w:val="0"/>
                <w:szCs w:val="20"/>
                <w:lang w:val="en-US" w:eastAsia="zh-CN"/>
                <w14:textFill>
                  <w14:solidFill>
                    <w14:schemeClr w14:val="tx1"/>
                  </w14:solidFill>
                </w14:textFill>
              </w:rPr>
              <w:t>m</w:t>
            </w:r>
            <w:r>
              <w:rPr>
                <w:rFonts w:hint="eastAsia"/>
                <w:bCs/>
                <w:color w:val="000000" w:themeColor="text1"/>
                <w:kern w:val="0"/>
                <w:szCs w:val="20"/>
                <w:vertAlign w:val="baseline"/>
                <w:lang w:val="en-US" w:eastAsia="zh-CN"/>
                <w14:textFill>
                  <w14:solidFill>
                    <w14:schemeClr w14:val="tx1"/>
                  </w14:solidFill>
                </w14:textFill>
              </w:rPr>
              <w:t>³</w:t>
            </w:r>
            <w:r>
              <w:rPr>
                <w:bCs/>
                <w:color w:val="000000" w:themeColor="text1"/>
                <w:kern w:val="0"/>
                <w:szCs w:val="20"/>
                <w14:textFill>
                  <w14:solidFill>
                    <w14:schemeClr w14:val="tx1"/>
                  </w14:solidFill>
                </w14:textFill>
              </w:rPr>
              <w:t>/人</w:t>
            </w:r>
            <w:r>
              <w:rPr>
                <w:rFonts w:hint="eastAsia"/>
                <w:bCs/>
                <w:color w:val="000000" w:themeColor="text1"/>
                <w:kern w:val="0"/>
                <w:szCs w:val="20"/>
                <w:lang w:eastAsia="zh-CN"/>
                <w14:textFill>
                  <w14:solidFill>
                    <w14:schemeClr w14:val="tx1"/>
                  </w14:solidFill>
                </w14:textFill>
              </w:rPr>
              <w:t>·</w:t>
            </w:r>
            <w:r>
              <w:rPr>
                <w:rFonts w:hint="eastAsia"/>
                <w:bCs/>
                <w:color w:val="000000" w:themeColor="text1"/>
                <w:kern w:val="0"/>
                <w:szCs w:val="20"/>
                <w:lang w:val="en-US" w:eastAsia="zh-CN"/>
                <w14:textFill>
                  <w14:solidFill>
                    <w14:schemeClr w14:val="tx1"/>
                  </w14:solidFill>
                </w14:textFill>
              </w:rPr>
              <w:t>日</w:t>
            </w:r>
            <w:r>
              <w:rPr>
                <w:bCs/>
                <w:color w:val="000000" w:themeColor="text1"/>
                <w:kern w:val="0"/>
                <w:szCs w:val="20"/>
                <w14:textFill>
                  <w14:solidFill>
                    <w14:schemeClr w14:val="tx1"/>
                  </w14:solidFill>
                </w14:textFill>
              </w:rPr>
              <w:t>计算，施工期生活用水</w:t>
            </w:r>
            <w:r>
              <w:rPr>
                <w:rFonts w:hint="eastAsia"/>
                <w:bCs/>
                <w:color w:val="000000" w:themeColor="text1"/>
                <w:kern w:val="0"/>
                <w:szCs w:val="20"/>
                <w:lang w:eastAsia="zh-CN"/>
                <w14:textFill>
                  <w14:solidFill>
                    <w14:schemeClr w14:val="tx1"/>
                  </w14:solidFill>
                </w14:textFill>
              </w:rPr>
              <w:t>为</w:t>
            </w:r>
            <w:r>
              <w:rPr>
                <w:rFonts w:hint="eastAsia"/>
                <w:bCs/>
                <w:color w:val="000000" w:themeColor="text1"/>
                <w:kern w:val="0"/>
                <w:szCs w:val="20"/>
                <w:lang w:val="en-US" w:eastAsia="zh-CN"/>
                <w14:textFill>
                  <w14:solidFill>
                    <w14:schemeClr w14:val="tx1"/>
                  </w14:solidFill>
                </w14:textFill>
              </w:rPr>
              <w:t>360</w:t>
            </w:r>
            <w:r>
              <w:rPr>
                <w:bCs/>
                <w:color w:val="000000" w:themeColor="text1"/>
                <w:kern w:val="0"/>
                <w14:textFill>
                  <w14:solidFill>
                    <w14:schemeClr w14:val="tx1"/>
                  </w14:solidFill>
                </w14:textFill>
              </w:rPr>
              <w:t>m</w:t>
            </w:r>
            <w:r>
              <w:rPr>
                <w:bCs/>
                <w:color w:val="000000" w:themeColor="text1"/>
                <w:kern w:val="0"/>
                <w:vertAlign w:val="superscript"/>
                <w14:textFill>
                  <w14:solidFill>
                    <w14:schemeClr w14:val="tx1"/>
                  </w14:solidFill>
                </w14:textFill>
              </w:rPr>
              <w:t>3</w:t>
            </w:r>
            <w:r>
              <w:rPr>
                <w:rFonts w:hint="eastAsia"/>
                <w:bCs/>
                <w:color w:val="000000" w:themeColor="text1"/>
                <w:kern w:val="0"/>
                <w:szCs w:val="20"/>
                <w:lang w:eastAsia="zh-CN"/>
                <w14:textFill>
                  <w14:solidFill>
                    <w14:schemeClr w14:val="tx1"/>
                  </w14:solidFill>
                </w14:textFill>
              </w:rPr>
              <w:t>（</w:t>
            </w:r>
            <w:r>
              <w:rPr>
                <w:rFonts w:hint="eastAsia"/>
                <w:bCs/>
                <w:color w:val="000000" w:themeColor="text1"/>
                <w:kern w:val="0"/>
                <w:szCs w:val="20"/>
                <w:lang w:val="en-US" w:eastAsia="zh-CN"/>
                <w14:textFill>
                  <w14:solidFill>
                    <w14:schemeClr w14:val="tx1"/>
                  </w14:solidFill>
                </w14:textFill>
              </w:rPr>
              <w:t>2.0</w:t>
            </w:r>
            <w:r>
              <w:rPr>
                <w:bCs/>
                <w:color w:val="000000" w:themeColor="text1"/>
                <w:kern w:val="0"/>
                <w14:textFill>
                  <w14:solidFill>
                    <w14:schemeClr w14:val="tx1"/>
                  </w14:solidFill>
                </w14:textFill>
              </w:rPr>
              <w:t>m</w:t>
            </w:r>
            <w:r>
              <w:rPr>
                <w:bCs/>
                <w:color w:val="000000" w:themeColor="text1"/>
                <w:kern w:val="0"/>
                <w:vertAlign w:val="superscript"/>
                <w14:textFill>
                  <w14:solidFill>
                    <w14:schemeClr w14:val="tx1"/>
                  </w14:solidFill>
                </w14:textFill>
              </w:rPr>
              <w:t>3</w:t>
            </w:r>
            <w:r>
              <w:rPr>
                <w:bCs/>
                <w:color w:val="000000" w:themeColor="text1"/>
                <w:kern w:val="0"/>
                <w:szCs w:val="20"/>
                <w14:textFill>
                  <w14:solidFill>
                    <w14:schemeClr w14:val="tx1"/>
                  </w14:solidFill>
                </w14:textFill>
              </w:rPr>
              <w:t>/</w:t>
            </w:r>
            <w:r>
              <w:rPr>
                <w:rFonts w:hint="eastAsia"/>
                <w:bCs/>
                <w:color w:val="000000" w:themeColor="text1"/>
                <w:kern w:val="0"/>
                <w:szCs w:val="20"/>
                <w14:textFill>
                  <w14:solidFill>
                    <w14:schemeClr w14:val="tx1"/>
                  </w14:solidFill>
                </w14:textFill>
              </w:rPr>
              <w:t>d</w:t>
            </w:r>
            <w:r>
              <w:rPr>
                <w:rFonts w:hint="eastAsia"/>
                <w:bCs/>
                <w:color w:val="000000" w:themeColor="text1"/>
                <w:kern w:val="0"/>
                <w:szCs w:val="20"/>
                <w:lang w:eastAsia="zh-CN"/>
                <w14:textFill>
                  <w14:solidFill>
                    <w14:schemeClr w14:val="tx1"/>
                  </w14:solidFill>
                </w14:textFill>
              </w:rPr>
              <w:t>）</w:t>
            </w:r>
            <w:r>
              <w:rPr>
                <w:bCs/>
                <w:color w:val="000000" w:themeColor="text1"/>
                <w:kern w:val="0"/>
                <w:szCs w:val="20"/>
                <w14:textFill>
                  <w14:solidFill>
                    <w14:schemeClr w14:val="tx1"/>
                  </w14:solidFill>
                </w14:textFill>
              </w:rPr>
              <w:t>。</w:t>
            </w:r>
          </w:p>
          <w:p w14:paraId="24A31E04">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项目运营期用水使用拉水车进行拉水</w:t>
            </w:r>
            <w:r>
              <w:rPr>
                <w:color w:val="000000" w:themeColor="text1"/>
                <w:spacing w:val="8"/>
                <w14:textFill>
                  <w14:solidFill>
                    <w14:schemeClr w14:val="tx1"/>
                  </w14:solidFill>
                </w14:textFill>
              </w:rPr>
              <w:t>。项目运营期</w:t>
            </w:r>
            <w:r>
              <w:rPr>
                <w:color w:val="000000" w:themeColor="text1"/>
                <w14:textFill>
                  <w14:solidFill>
                    <w14:schemeClr w14:val="tx1"/>
                  </w14:solidFill>
                </w14:textFill>
              </w:rPr>
              <w:t>劳动定员</w:t>
            </w:r>
            <w:r>
              <w:rPr>
                <w:rFonts w:hint="eastAsia"/>
                <w:color w:val="000000" w:themeColor="text1"/>
                <w14:textFill>
                  <w14:solidFill>
                    <w14:schemeClr w14:val="tx1"/>
                  </w14:solidFill>
                </w14:textFill>
              </w:rPr>
              <w:t>1</w:t>
            </w:r>
            <w:r>
              <w:rPr>
                <w:rFonts w:hint="eastAsia"/>
                <w:color w:val="000000" w:themeColor="text1"/>
                <w:lang w:val="en-US" w:eastAsia="zh-CN"/>
                <w14:textFill>
                  <w14:solidFill>
                    <w14:schemeClr w14:val="tx1"/>
                  </w14:solidFill>
                </w14:textFill>
              </w:rPr>
              <w:t>8</w:t>
            </w:r>
            <w:r>
              <w:rPr>
                <w:color w:val="000000" w:themeColor="text1"/>
                <w14:textFill>
                  <w14:solidFill>
                    <w14:schemeClr w14:val="tx1"/>
                  </w14:solidFill>
                </w14:textFill>
              </w:rPr>
              <w:t>人，根据《新疆维吾尔</w:t>
            </w:r>
            <w:r>
              <w:rPr>
                <w:rFonts w:hint="eastAsia"/>
                <w:color w:val="000000" w:themeColor="text1"/>
                <w:lang w:eastAsia="zh-CN"/>
                <w14:textFill>
                  <w14:solidFill>
                    <w14:schemeClr w14:val="tx1"/>
                  </w14:solidFill>
                </w14:textFill>
              </w:rPr>
              <w:t>自治区</w:t>
            </w:r>
            <w:r>
              <w:rPr>
                <w:color w:val="000000" w:themeColor="text1"/>
                <w14:textFill>
                  <w14:solidFill>
                    <w14:schemeClr w14:val="tx1"/>
                  </w14:solidFill>
                </w14:textFill>
              </w:rPr>
              <w:t>生活用水定额》，生活用水量</w:t>
            </w:r>
            <w:r>
              <w:rPr>
                <w:rFonts w:hint="eastAsia"/>
                <w:color w:val="000000" w:themeColor="text1"/>
                <w14:textFill>
                  <w14:solidFill>
                    <w14:schemeClr w14:val="tx1"/>
                  </w14:solidFill>
                </w14:textFill>
              </w:rPr>
              <w:t>按</w:t>
            </w:r>
            <w:r>
              <w:rPr>
                <w:color w:val="000000" w:themeColor="text1"/>
                <w14:textFill>
                  <w14:solidFill>
                    <w14:schemeClr w14:val="tx1"/>
                  </w14:solidFill>
                </w14:textFill>
              </w:rPr>
              <w:t>60</w:t>
            </w:r>
            <w:r>
              <w:rPr>
                <w:rFonts w:hint="eastAsia"/>
                <w:color w:val="000000" w:themeColor="text1"/>
                <w14:textFill>
                  <w14:solidFill>
                    <w14:schemeClr w14:val="tx1"/>
                  </w14:solidFill>
                </w14:textFill>
              </w:rPr>
              <w:t>L</w:t>
            </w:r>
            <w:r>
              <w:rPr>
                <w:color w:val="000000" w:themeColor="text1"/>
                <w14:textFill>
                  <w14:solidFill>
                    <w14:schemeClr w14:val="tx1"/>
                  </w14:solidFill>
                </w14:textFill>
              </w:rPr>
              <w:t>/人</w:t>
            </w: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日</w:t>
            </w:r>
            <w:r>
              <w:rPr>
                <w:rFonts w:hint="eastAsia"/>
                <w:color w:val="000000" w:themeColor="text1"/>
                <w14:textFill>
                  <w14:solidFill>
                    <w14:schemeClr w14:val="tx1"/>
                  </w14:solidFill>
                </w14:textFill>
              </w:rPr>
              <w:t>计</w:t>
            </w:r>
            <w:r>
              <w:rPr>
                <w:color w:val="000000" w:themeColor="text1"/>
                <w14:textFill>
                  <w14:solidFill>
                    <w14:schemeClr w14:val="tx1"/>
                  </w14:solidFill>
                </w14:textFill>
              </w:rPr>
              <w:t>，则生活用水量为</w:t>
            </w:r>
            <w:r>
              <w:rPr>
                <w:rFonts w:hint="eastAsia"/>
                <w:color w:val="000000" w:themeColor="text1"/>
                <w:lang w:val="en-US" w:eastAsia="zh-CN"/>
                <w14:textFill>
                  <w14:solidFill>
                    <w14:schemeClr w14:val="tx1"/>
                  </w14:solidFill>
                </w14:textFill>
              </w:rPr>
              <w:t>1.08</w:t>
            </w:r>
            <w:r>
              <w:rPr>
                <w:bCs/>
                <w:color w:val="000000" w:themeColor="text1"/>
                <w:kern w:val="0"/>
                <w14:textFill>
                  <w14:solidFill>
                    <w14:schemeClr w14:val="tx1"/>
                  </w14:solidFill>
                </w14:textFill>
              </w:rPr>
              <w:t>m</w:t>
            </w:r>
            <w:r>
              <w:rPr>
                <w:bCs/>
                <w:color w:val="000000" w:themeColor="text1"/>
                <w:kern w:val="0"/>
                <w:vertAlign w:val="superscript"/>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d</w:t>
            </w: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394.2</w:t>
            </w:r>
            <w:r>
              <w:rPr>
                <w:bCs/>
                <w:color w:val="000000" w:themeColor="text1"/>
                <w:kern w:val="0"/>
                <w14:textFill>
                  <w14:solidFill>
                    <w14:schemeClr w14:val="tx1"/>
                  </w14:solidFill>
                </w14:textFill>
              </w:rPr>
              <w:t>m</w:t>
            </w:r>
            <w:r>
              <w:rPr>
                <w:bCs/>
                <w:color w:val="000000" w:themeColor="text1"/>
                <w:kern w:val="0"/>
                <w:vertAlign w:val="superscript"/>
                <w14:textFill>
                  <w14:solidFill>
                    <w14:schemeClr w14:val="tx1"/>
                  </w14:solidFill>
                </w14:textFill>
              </w:rPr>
              <w:t>3</w:t>
            </w:r>
            <w:r>
              <w:rPr>
                <w:rFonts w:hint="eastAsia"/>
                <w:color w:val="000000" w:themeColor="text1"/>
                <w14:textFill>
                  <w14:solidFill>
                    <w14:schemeClr w14:val="tx1"/>
                  </w14:solidFill>
                </w14:textFill>
              </w:rPr>
              <w:t>/a。</w:t>
            </w:r>
          </w:p>
          <w:p w14:paraId="63102783">
            <w:pPr>
              <w:adjustRightInd w:val="0"/>
              <w:spacing w:line="500" w:lineRule="exact"/>
              <w:ind w:firstLine="512" w:firstLineChars="200"/>
              <w:rPr>
                <w:bCs/>
                <w:color w:val="000000" w:themeColor="text1"/>
                <w14:textFill>
                  <w14:solidFill>
                    <w14:schemeClr w14:val="tx1"/>
                  </w14:solidFill>
                </w14:textFill>
              </w:rPr>
            </w:pPr>
            <w:r>
              <w:rPr>
                <w:rFonts w:hint="eastAsia" w:ascii="宋体" w:hAnsi="宋体" w:eastAsia="宋体" w:cs="宋体"/>
                <w:color w:val="000000" w:themeColor="text1"/>
                <w:spacing w:val="8"/>
                <w14:textFill>
                  <w14:solidFill>
                    <w14:schemeClr w14:val="tx1"/>
                  </w14:solidFill>
                </w14:textFill>
              </w:rPr>
              <w:t>③</w:t>
            </w:r>
            <w:r>
              <w:rPr>
                <w:bCs/>
                <w:color w:val="000000" w:themeColor="text1"/>
                <w14:textFill>
                  <w14:solidFill>
                    <w14:schemeClr w14:val="tx1"/>
                  </w14:solidFill>
                </w14:textFill>
              </w:rPr>
              <w:t>绿化用水：根据《新疆维吾尔自治区生活用水定额》，</w:t>
            </w:r>
            <w:r>
              <w:rPr>
                <w:rFonts w:hint="eastAsia"/>
                <w:bCs/>
                <w:color w:val="000000" w:themeColor="text1"/>
                <w:lang w:eastAsia="zh-CN"/>
                <w14:textFill>
                  <w14:solidFill>
                    <w14:schemeClr w14:val="tx1"/>
                  </w14:solidFill>
                </w14:textFill>
              </w:rPr>
              <w:t>南</w:t>
            </w:r>
            <w:r>
              <w:rPr>
                <w:bCs/>
                <w:color w:val="000000" w:themeColor="text1"/>
                <w14:textFill>
                  <w14:solidFill>
                    <w14:schemeClr w14:val="tx1"/>
                  </w14:solidFill>
                </w14:textFill>
              </w:rPr>
              <w:t>疆地区绿化用水定额为</w:t>
            </w:r>
            <w:r>
              <w:rPr>
                <w:rFonts w:hint="eastAsia"/>
                <w:bCs/>
                <w:color w:val="000000" w:themeColor="text1"/>
                <w:lang w:val="en-US" w:eastAsia="zh-CN"/>
                <w14:textFill>
                  <w14:solidFill>
                    <w14:schemeClr w14:val="tx1"/>
                  </w14:solidFill>
                </w14:textFill>
              </w:rPr>
              <w:t>500-60</w:t>
            </w:r>
            <w:r>
              <w:rPr>
                <w:bCs/>
                <w:color w:val="000000" w:themeColor="text1"/>
                <w14:textFill>
                  <w14:solidFill>
                    <w14:schemeClr w14:val="tx1"/>
                  </w14:solidFill>
                </w14:textFill>
              </w:rPr>
              <w:t>0</w:t>
            </w:r>
            <w:r>
              <w:rPr>
                <w:rFonts w:hint="eastAsia"/>
                <w:bCs/>
                <w:color w:val="000000" w:themeColor="text1"/>
                <w:kern w:val="0"/>
                <w:szCs w:val="20"/>
                <w:lang w:val="en-US" w:eastAsia="zh-CN"/>
                <w14:textFill>
                  <w14:solidFill>
                    <w14:schemeClr w14:val="tx1"/>
                  </w14:solidFill>
                </w14:textFill>
              </w:rPr>
              <w:t>m</w:t>
            </w:r>
            <w:r>
              <w:rPr>
                <w:rFonts w:hint="eastAsia"/>
                <w:bCs/>
                <w:color w:val="000000" w:themeColor="text1"/>
                <w:kern w:val="0"/>
                <w:szCs w:val="20"/>
                <w:vertAlign w:val="baseline"/>
                <w:lang w:val="en-US" w:eastAsia="zh-CN"/>
                <w14:textFill>
                  <w14:solidFill>
                    <w14:schemeClr w14:val="tx1"/>
                  </w14:solidFill>
                </w14:textFill>
              </w:rPr>
              <w:t>³</w:t>
            </w:r>
            <w:r>
              <w:rPr>
                <w:bCs/>
                <w:color w:val="000000" w:themeColor="text1"/>
                <w14:textFill>
                  <w14:solidFill>
                    <w14:schemeClr w14:val="tx1"/>
                  </w14:solidFill>
                </w14:textFill>
              </w:rPr>
              <w:t>/亩</w:t>
            </w:r>
            <w:r>
              <w:rPr>
                <w:rFonts w:hint="eastAsia"/>
                <w:bCs/>
                <w:color w:val="000000" w:themeColor="text1"/>
                <w:lang w:val="en-US" w:eastAsia="zh-CN"/>
                <w14:textFill>
                  <w14:solidFill>
                    <w14:schemeClr w14:val="tx1"/>
                  </w14:solidFill>
                </w14:textFill>
              </w:rPr>
              <w:t>·</w:t>
            </w:r>
            <w:r>
              <w:rPr>
                <w:bCs/>
                <w:color w:val="000000" w:themeColor="text1"/>
                <w14:textFill>
                  <w14:solidFill>
                    <w14:schemeClr w14:val="tx1"/>
                  </w14:solidFill>
                </w14:textFill>
              </w:rPr>
              <w:t>年，本项目取</w:t>
            </w:r>
            <w:r>
              <w:rPr>
                <w:rFonts w:hint="eastAsia"/>
                <w:bCs/>
                <w:color w:val="000000" w:themeColor="text1"/>
                <w:lang w:val="en-US" w:eastAsia="zh-CN"/>
                <w14:textFill>
                  <w14:solidFill>
                    <w14:schemeClr w14:val="tx1"/>
                  </w14:solidFill>
                </w14:textFill>
              </w:rPr>
              <w:t>5</w:t>
            </w:r>
            <w:r>
              <w:rPr>
                <w:bCs/>
                <w:color w:val="000000" w:themeColor="text1"/>
                <w14:textFill>
                  <w14:solidFill>
                    <w14:schemeClr w14:val="tx1"/>
                  </w14:solidFill>
                </w14:textFill>
              </w:rPr>
              <w:t>00</w:t>
            </w:r>
            <w:r>
              <w:rPr>
                <w:rFonts w:hint="eastAsia"/>
                <w:bCs/>
                <w:color w:val="000000" w:themeColor="text1"/>
                <w:kern w:val="0"/>
                <w:szCs w:val="20"/>
                <w:lang w:val="en-US" w:eastAsia="zh-CN"/>
                <w14:textFill>
                  <w14:solidFill>
                    <w14:schemeClr w14:val="tx1"/>
                  </w14:solidFill>
                </w14:textFill>
              </w:rPr>
              <w:t>m</w:t>
            </w:r>
            <w:r>
              <w:rPr>
                <w:rFonts w:hint="eastAsia"/>
                <w:bCs/>
                <w:color w:val="000000" w:themeColor="text1"/>
                <w:kern w:val="0"/>
                <w:szCs w:val="20"/>
                <w:vertAlign w:val="baseline"/>
                <w:lang w:val="en-US" w:eastAsia="zh-CN"/>
                <w14:textFill>
                  <w14:solidFill>
                    <w14:schemeClr w14:val="tx1"/>
                  </w14:solidFill>
                </w14:textFill>
              </w:rPr>
              <w:t>³</w:t>
            </w:r>
            <w:r>
              <w:rPr>
                <w:bCs/>
                <w:color w:val="000000" w:themeColor="text1"/>
                <w14:textFill>
                  <w14:solidFill>
                    <w14:schemeClr w14:val="tx1"/>
                  </w14:solidFill>
                </w14:textFill>
              </w:rPr>
              <w:t>/亩</w:t>
            </w:r>
            <w:r>
              <w:rPr>
                <w:rFonts w:hint="eastAsia"/>
                <w:bCs/>
                <w:color w:val="000000" w:themeColor="text1"/>
                <w:lang w:val="en-US" w:eastAsia="zh-CN"/>
                <w14:textFill>
                  <w14:solidFill>
                    <w14:schemeClr w14:val="tx1"/>
                  </w14:solidFill>
                </w14:textFill>
              </w:rPr>
              <w:t>·</w:t>
            </w:r>
            <w:r>
              <w:rPr>
                <w:bCs/>
                <w:color w:val="000000" w:themeColor="text1"/>
                <w14:textFill>
                  <w14:solidFill>
                    <w14:schemeClr w14:val="tx1"/>
                  </w14:solidFill>
                </w14:textFill>
              </w:rPr>
              <w:t>年，本项目</w:t>
            </w:r>
            <w:r>
              <w:rPr>
                <w:rFonts w:hint="eastAsia"/>
                <w:bCs/>
                <w:color w:val="000000" w:themeColor="text1"/>
                <w:lang w:val="en-US" w:eastAsia="zh-CN"/>
                <w14:textFill>
                  <w14:solidFill>
                    <w14:schemeClr w14:val="tx1"/>
                  </w14:solidFill>
                </w14:textFill>
              </w:rPr>
              <w:t>220kV</w:t>
            </w:r>
            <w:r>
              <w:rPr>
                <w:bCs/>
                <w:color w:val="000000" w:themeColor="text1"/>
                <w14:textFill>
                  <w14:solidFill>
                    <w14:schemeClr w14:val="tx1"/>
                  </w14:solidFill>
                </w14:textFill>
              </w:rPr>
              <w:t>升压</w:t>
            </w:r>
            <w:r>
              <w:rPr>
                <w:rFonts w:hint="eastAsia"/>
                <w:bCs/>
                <w:color w:val="000000" w:themeColor="text1"/>
                <w:lang w:eastAsia="zh-CN"/>
                <w14:textFill>
                  <w14:solidFill>
                    <w14:schemeClr w14:val="tx1"/>
                  </w14:solidFill>
                </w14:textFill>
              </w:rPr>
              <w:t>汇集</w:t>
            </w:r>
            <w:r>
              <w:rPr>
                <w:bCs/>
                <w:color w:val="000000" w:themeColor="text1"/>
                <w14:textFill>
                  <w14:solidFill>
                    <w14:schemeClr w14:val="tx1"/>
                  </w14:solidFill>
                </w14:textFill>
              </w:rPr>
              <w:t>站</w:t>
            </w:r>
            <w:r>
              <w:rPr>
                <w:rFonts w:hint="eastAsia"/>
                <w:bCs/>
                <w:color w:val="000000" w:themeColor="text1"/>
                <w:lang w:val="en-US" w:eastAsia="zh-CN"/>
                <w14:textFill>
                  <w14:solidFill>
                    <w14:schemeClr w14:val="tx1"/>
                  </w14:solidFill>
                </w14:textFill>
              </w:rPr>
              <w:t>办公生活区</w:t>
            </w:r>
            <w:r>
              <w:rPr>
                <w:bCs/>
                <w:color w:val="000000" w:themeColor="text1"/>
                <w14:textFill>
                  <w14:solidFill>
                    <w14:schemeClr w14:val="tx1"/>
                  </w14:solidFill>
                </w14:textFill>
              </w:rPr>
              <w:t>绿化面积为</w:t>
            </w:r>
            <w:r>
              <w:rPr>
                <w:rFonts w:hint="eastAsia"/>
                <w:bCs/>
                <w:color w:val="000000" w:themeColor="text1"/>
                <w14:textFill>
                  <w14:solidFill>
                    <w14:schemeClr w14:val="tx1"/>
                  </w14:solidFill>
                </w14:textFill>
              </w:rPr>
              <w:t>1693.95</w:t>
            </w:r>
            <w:r>
              <w:rPr>
                <w:bCs/>
                <w:color w:val="000000" w:themeColor="text1"/>
                <w:kern w:val="0"/>
                <w14:textFill>
                  <w14:solidFill>
                    <w14:schemeClr w14:val="tx1"/>
                  </w14:solidFill>
                </w14:textFill>
              </w:rPr>
              <w:t>m</w:t>
            </w:r>
            <w:r>
              <w:rPr>
                <w:rFonts w:hint="eastAsia"/>
                <w:bCs/>
                <w:color w:val="000000" w:themeColor="text1"/>
                <w:kern w:val="0"/>
                <w:vertAlign w:val="superscript"/>
                <w:lang w:val="en-US" w:eastAsia="zh-CN"/>
                <w14:textFill>
                  <w14:solidFill>
                    <w14:schemeClr w14:val="tx1"/>
                  </w14:solidFill>
                </w14:textFill>
              </w:rPr>
              <w:t>2</w:t>
            </w:r>
            <w:r>
              <w:rPr>
                <w:bCs/>
                <w:color w:val="000000" w:themeColor="text1"/>
                <w14:textFill>
                  <w14:solidFill>
                    <w14:schemeClr w14:val="tx1"/>
                  </w14:solidFill>
                </w14:textFill>
              </w:rPr>
              <w:t>，则绿化用水量为</w:t>
            </w:r>
            <w:r>
              <w:rPr>
                <w:rFonts w:hint="eastAsia"/>
                <w:bCs/>
                <w:color w:val="000000" w:themeColor="text1"/>
                <w:lang w:val="en-US" w:eastAsia="zh-CN"/>
                <w14:textFill>
                  <w14:solidFill>
                    <w14:schemeClr w14:val="tx1"/>
                  </w14:solidFill>
                </w14:textFill>
              </w:rPr>
              <w:t>1270.5</w:t>
            </w:r>
            <w:r>
              <w:rPr>
                <w:rFonts w:hint="eastAsia"/>
                <w:bCs/>
                <w:color w:val="000000" w:themeColor="text1"/>
                <w:kern w:val="0"/>
                <w:szCs w:val="20"/>
                <w:lang w:val="en-US" w:eastAsia="zh-CN"/>
                <w14:textFill>
                  <w14:solidFill>
                    <w14:schemeClr w14:val="tx1"/>
                  </w14:solidFill>
                </w14:textFill>
              </w:rPr>
              <w:t>m</w:t>
            </w:r>
            <w:r>
              <w:rPr>
                <w:rFonts w:hint="eastAsia"/>
                <w:bCs/>
                <w:color w:val="000000" w:themeColor="text1"/>
                <w:kern w:val="0"/>
                <w:szCs w:val="20"/>
                <w:vertAlign w:val="baseline"/>
                <w:lang w:val="en-US" w:eastAsia="zh-CN"/>
                <w14:textFill>
                  <w14:solidFill>
                    <w14:schemeClr w14:val="tx1"/>
                  </w14:solidFill>
                </w14:textFill>
              </w:rPr>
              <w:t>³</w:t>
            </w:r>
            <w:r>
              <w:rPr>
                <w:rFonts w:hint="eastAsia"/>
                <w:bCs/>
                <w:color w:val="000000" w:themeColor="text1"/>
                <w14:textFill>
                  <w14:solidFill>
                    <w14:schemeClr w14:val="tx1"/>
                  </w14:solidFill>
                </w14:textFill>
              </w:rPr>
              <w:t>/a</w:t>
            </w:r>
            <w:r>
              <w:rPr>
                <w:bCs/>
                <w:color w:val="000000" w:themeColor="text1"/>
                <w14:textFill>
                  <w14:solidFill>
                    <w14:schemeClr w14:val="tx1"/>
                  </w14:solidFill>
                </w14:textFill>
              </w:rPr>
              <w:t>。</w:t>
            </w:r>
          </w:p>
          <w:p w14:paraId="2BF0223C">
            <w:pPr>
              <w:adjustRightInd w:val="0"/>
              <w:spacing w:line="500" w:lineRule="exact"/>
              <w:ind w:firstLine="480" w:firstLineChars="200"/>
              <w:rPr>
                <w:bCs/>
                <w:color w:val="000000" w:themeColor="text1"/>
                <w:kern w:val="0"/>
                <w:szCs w:val="20"/>
                <w14:textFill>
                  <w14:solidFill>
                    <w14:schemeClr w14:val="tx1"/>
                  </w14:solidFill>
                </w14:textFill>
              </w:rPr>
            </w:pPr>
            <w:r>
              <w:rPr>
                <w:rFonts w:hint="eastAsia"/>
                <w:bCs/>
                <w:color w:val="000000" w:themeColor="text1"/>
                <w:kern w:val="0"/>
                <w:szCs w:val="20"/>
                <w14:textFill>
                  <w14:solidFill>
                    <w14:schemeClr w14:val="tx1"/>
                  </w14:solidFill>
                </w14:textFill>
              </w:rPr>
              <w:t>（2）排水</w:t>
            </w:r>
          </w:p>
          <w:p w14:paraId="1A55D0FB">
            <w:pPr>
              <w:adjustRightInd w:val="0"/>
              <w:spacing w:line="500" w:lineRule="exact"/>
              <w:ind w:firstLine="480" w:firstLineChars="200"/>
              <w:rPr>
                <w:bCs/>
                <w:color w:val="000000" w:themeColor="text1"/>
                <w:kern w:val="0"/>
                <w:szCs w:val="20"/>
                <w14:textFill>
                  <w14:solidFill>
                    <w14:schemeClr w14:val="tx1"/>
                  </w14:solidFill>
                </w14:textFill>
              </w:rPr>
            </w:pPr>
            <w:r>
              <w:rPr>
                <w:rFonts w:hint="eastAsia"/>
                <w:bCs/>
                <w:color w:val="000000" w:themeColor="text1"/>
                <w:kern w:val="0"/>
                <w:szCs w:val="20"/>
                <w14:textFill>
                  <w14:solidFill>
                    <w14:schemeClr w14:val="tx1"/>
                  </w14:solidFill>
                </w14:textFill>
              </w:rPr>
              <w:t>施工期混凝土养护废水自然蒸发，车辆冲洗废水经沉淀后回用于施工场地洒水降尘；</w:t>
            </w:r>
            <w:r>
              <w:rPr>
                <w:bCs/>
                <w:color w:val="000000" w:themeColor="text1"/>
                <w:kern w:val="0"/>
                <w:szCs w:val="20"/>
                <w14:textFill>
                  <w14:solidFill>
                    <w14:schemeClr w14:val="tx1"/>
                  </w14:solidFill>
                </w14:textFill>
              </w:rPr>
              <w:t>施工营地内</w:t>
            </w:r>
            <w:r>
              <w:rPr>
                <w:rFonts w:hint="eastAsia"/>
                <w:bCs/>
                <w:color w:val="000000" w:themeColor="text1"/>
                <w:kern w:val="0"/>
                <w:szCs w:val="20"/>
                <w14:textFill>
                  <w14:solidFill>
                    <w14:schemeClr w14:val="tx1"/>
                  </w14:solidFill>
                </w14:textFill>
              </w:rPr>
              <w:t>设置环保厕所</w:t>
            </w:r>
            <w:r>
              <w:rPr>
                <w:rFonts w:hint="eastAsia"/>
                <w:bCs/>
                <w:color w:val="000000" w:themeColor="text1"/>
                <w:kern w:val="0"/>
                <w:szCs w:val="20"/>
                <w:lang w:eastAsia="zh-CN"/>
                <w14:textFill>
                  <w14:solidFill>
                    <w14:schemeClr w14:val="tx1"/>
                  </w14:solidFill>
                </w14:textFill>
              </w:rPr>
              <w:t>及防渗废水收集池</w:t>
            </w:r>
            <w:r>
              <w:rPr>
                <w:rFonts w:hint="eastAsia"/>
                <w:bCs/>
                <w:color w:val="000000" w:themeColor="text1"/>
                <w:kern w:val="0"/>
                <w:szCs w:val="20"/>
                <w14:textFill>
                  <w14:solidFill>
                    <w14:schemeClr w14:val="tx1"/>
                  </w14:solidFill>
                </w14:textFill>
              </w:rPr>
              <w:t>，施工人员生活污水</w:t>
            </w:r>
            <w:r>
              <w:rPr>
                <w:rFonts w:hint="eastAsia"/>
                <w:bCs/>
                <w:color w:val="000000" w:themeColor="text1"/>
                <w:kern w:val="0"/>
                <w:szCs w:val="20"/>
                <w:lang w:eastAsia="zh-CN"/>
                <w14:textFill>
                  <w14:solidFill>
                    <w14:schemeClr w14:val="tx1"/>
                  </w14:solidFill>
                </w14:textFill>
              </w:rPr>
              <w:t>经收集后</w:t>
            </w:r>
            <w:r>
              <w:rPr>
                <w:rFonts w:hint="eastAsia"/>
                <w:bCs/>
                <w:color w:val="000000" w:themeColor="text1"/>
                <w:kern w:val="0"/>
                <w:szCs w:val="20"/>
                <w14:textFill>
                  <w14:solidFill>
                    <w14:schemeClr w14:val="tx1"/>
                  </w14:solidFill>
                </w14:textFill>
              </w:rPr>
              <w:t>定期清运至</w:t>
            </w:r>
            <w:r>
              <w:rPr>
                <w:rFonts w:hint="eastAsia"/>
                <w:bCs/>
                <w:color w:val="000000" w:themeColor="text1"/>
                <w:kern w:val="0"/>
                <w:szCs w:val="20"/>
                <w:lang w:eastAsia="zh-CN"/>
                <w14:textFill>
                  <w14:solidFill>
                    <w14:schemeClr w14:val="tx1"/>
                  </w14:solidFill>
                </w14:textFill>
              </w:rPr>
              <w:t>巴州且末县</w:t>
            </w:r>
            <w:r>
              <w:rPr>
                <w:rFonts w:hint="eastAsia"/>
                <w:bCs/>
                <w:color w:val="000000" w:themeColor="text1"/>
                <w:kern w:val="0"/>
                <w:szCs w:val="20"/>
                <w14:textFill>
                  <w14:solidFill>
                    <w14:schemeClr w14:val="tx1"/>
                  </w14:solidFill>
                </w14:textFill>
              </w:rPr>
              <w:t>污水处理厂</w:t>
            </w:r>
            <w:r>
              <w:rPr>
                <w:rFonts w:hint="eastAsia"/>
                <w:bCs/>
                <w:color w:val="000000" w:themeColor="text1"/>
                <w:kern w:val="0"/>
                <w:szCs w:val="20"/>
                <w:lang w:eastAsia="zh-CN"/>
                <w14:textFill>
                  <w14:solidFill>
                    <w14:schemeClr w14:val="tx1"/>
                  </w14:solidFill>
                </w14:textFill>
              </w:rPr>
              <w:t>处理</w:t>
            </w:r>
            <w:r>
              <w:rPr>
                <w:bCs/>
                <w:color w:val="000000" w:themeColor="text1"/>
                <w:kern w:val="0"/>
                <w:szCs w:val="20"/>
                <w14:textFill>
                  <w14:solidFill>
                    <w14:schemeClr w14:val="tx1"/>
                  </w14:solidFill>
                </w14:textFill>
              </w:rPr>
              <w:t>，施工结束后</w:t>
            </w:r>
            <w:r>
              <w:rPr>
                <w:rFonts w:hint="eastAsia"/>
                <w:bCs/>
                <w:color w:val="000000" w:themeColor="text1"/>
                <w:kern w:val="0"/>
                <w:szCs w:val="20"/>
                <w14:textFill>
                  <w14:solidFill>
                    <w14:schemeClr w14:val="tx1"/>
                  </w14:solidFill>
                </w14:textFill>
              </w:rPr>
              <w:t>对环保厕所</w:t>
            </w:r>
            <w:r>
              <w:rPr>
                <w:rFonts w:hint="eastAsia"/>
                <w:bCs/>
                <w:color w:val="000000" w:themeColor="text1"/>
                <w:kern w:val="0"/>
                <w:szCs w:val="20"/>
                <w:lang w:eastAsia="zh-CN"/>
                <w14:textFill>
                  <w14:solidFill>
                    <w14:schemeClr w14:val="tx1"/>
                  </w14:solidFill>
                </w14:textFill>
              </w:rPr>
              <w:t>及防渗废水收集池</w:t>
            </w:r>
            <w:r>
              <w:rPr>
                <w:rFonts w:hint="eastAsia"/>
                <w:bCs/>
                <w:color w:val="000000" w:themeColor="text1"/>
                <w:kern w:val="0"/>
                <w:szCs w:val="20"/>
                <w14:textFill>
                  <w14:solidFill>
                    <w14:schemeClr w14:val="tx1"/>
                  </w14:solidFill>
                </w14:textFill>
              </w:rPr>
              <w:t>进行</w:t>
            </w:r>
            <w:r>
              <w:rPr>
                <w:bCs/>
                <w:color w:val="000000" w:themeColor="text1"/>
                <w:kern w:val="0"/>
                <w:szCs w:val="20"/>
                <w14:textFill>
                  <w14:solidFill>
                    <w14:schemeClr w14:val="tx1"/>
                  </w14:solidFill>
                </w14:textFill>
              </w:rPr>
              <w:t>拆除</w:t>
            </w:r>
            <w:r>
              <w:rPr>
                <w:rFonts w:hint="eastAsia"/>
                <w:bCs/>
                <w:color w:val="000000" w:themeColor="text1"/>
                <w:kern w:val="0"/>
                <w:szCs w:val="20"/>
                <w14:textFill>
                  <w14:solidFill>
                    <w14:schemeClr w14:val="tx1"/>
                  </w14:solidFill>
                </w14:textFill>
              </w:rPr>
              <w:t>。</w:t>
            </w:r>
          </w:p>
          <w:p w14:paraId="79701E41">
            <w:pPr>
              <w:adjustRightInd w:val="0"/>
              <w:spacing w:line="500" w:lineRule="exact"/>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bCs/>
                <w:color w:val="000000" w:themeColor="text1"/>
                <w:kern w:val="0"/>
                <w:sz w:val="24"/>
                <w:szCs w:val="24"/>
                <w14:textFill>
                  <w14:solidFill>
                    <w14:schemeClr w14:val="tx1"/>
                  </w14:solidFill>
                </w14:textFill>
              </w:rPr>
              <w:t>运营期排放废水主要包括生活污水，</w:t>
            </w:r>
            <w:r>
              <w:rPr>
                <w:color w:val="000000" w:themeColor="text1"/>
                <w:sz w:val="24"/>
                <w:szCs w:val="24"/>
                <w14:textFill>
                  <w14:solidFill>
                    <w14:schemeClr w14:val="tx1"/>
                  </w14:solidFill>
                </w14:textFill>
              </w:rPr>
              <w:t>本项目生活污水产生量按用水量的80%计，则生活污水排放量为</w:t>
            </w:r>
            <w:r>
              <w:rPr>
                <w:rFonts w:hint="eastAsia"/>
                <w:color w:val="000000" w:themeColor="text1"/>
                <w:sz w:val="24"/>
                <w:szCs w:val="24"/>
                <w14:textFill>
                  <w14:solidFill>
                    <w14:schemeClr w14:val="tx1"/>
                  </w14:solidFill>
                </w14:textFill>
              </w:rPr>
              <w:t>0.</w:t>
            </w:r>
            <w:r>
              <w:rPr>
                <w:rFonts w:hint="eastAsia"/>
                <w:color w:val="000000" w:themeColor="text1"/>
                <w:sz w:val="24"/>
                <w:szCs w:val="24"/>
                <w:lang w:val="en-US" w:eastAsia="zh-CN"/>
                <w14:textFill>
                  <w14:solidFill>
                    <w14:schemeClr w14:val="tx1"/>
                  </w14:solidFill>
                </w14:textFill>
              </w:rPr>
              <w:t>86</w:t>
            </w:r>
            <w:r>
              <w:rPr>
                <w:bCs/>
                <w:color w:val="000000" w:themeColor="text1"/>
                <w:kern w:val="0"/>
                <w:sz w:val="24"/>
                <w:szCs w:val="24"/>
                <w14:textFill>
                  <w14:solidFill>
                    <w14:schemeClr w14:val="tx1"/>
                  </w14:solidFill>
                </w14:textFill>
              </w:rPr>
              <w:t>m</w:t>
            </w:r>
            <w:r>
              <w:rPr>
                <w:bCs/>
                <w:color w:val="000000" w:themeColor="text1"/>
                <w:kern w:val="0"/>
                <w:sz w:val="24"/>
                <w:szCs w:val="24"/>
                <w:vertAlign w:val="superscript"/>
                <w14:textFill>
                  <w14:solidFill>
                    <w14:schemeClr w14:val="tx1"/>
                  </w14:solidFill>
                </w14:textFill>
              </w:rPr>
              <w:t>3</w:t>
            </w:r>
            <w:r>
              <w:rPr>
                <w:color w:val="000000" w:themeColor="text1"/>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d</w:t>
            </w:r>
            <w:r>
              <w:rPr>
                <w:color w:val="000000" w:themeColor="text1"/>
                <w:sz w:val="24"/>
                <w:szCs w:val="24"/>
                <w14:textFill>
                  <w14:solidFill>
                    <w14:schemeClr w14:val="tx1"/>
                  </w14:solidFill>
                </w14:textFill>
              </w:rPr>
              <w:t>，</w:t>
            </w:r>
            <w:r>
              <w:rPr>
                <w:rFonts w:hint="eastAsia"/>
                <w:color w:val="000000" w:themeColor="text1"/>
                <w:sz w:val="24"/>
                <w:szCs w:val="24"/>
                <w:lang w:val="en-US" w:eastAsia="zh-CN"/>
                <w14:textFill>
                  <w14:solidFill>
                    <w14:schemeClr w14:val="tx1"/>
                  </w14:solidFill>
                </w14:textFill>
              </w:rPr>
              <w:t>315.4</w:t>
            </w:r>
            <w:r>
              <w:rPr>
                <w:bCs/>
                <w:color w:val="000000" w:themeColor="text1"/>
                <w:kern w:val="0"/>
                <w:sz w:val="24"/>
                <w:szCs w:val="24"/>
                <w14:textFill>
                  <w14:solidFill>
                    <w14:schemeClr w14:val="tx1"/>
                  </w14:solidFill>
                </w14:textFill>
              </w:rPr>
              <w:t>m</w:t>
            </w:r>
            <w:r>
              <w:rPr>
                <w:bCs/>
                <w:color w:val="000000" w:themeColor="text1"/>
                <w:kern w:val="0"/>
                <w:sz w:val="24"/>
                <w:szCs w:val="24"/>
                <w:vertAlign w:val="superscript"/>
                <w14:textFill>
                  <w14:solidFill>
                    <w14:schemeClr w14:val="tx1"/>
                  </w14:solidFill>
                </w14:textFill>
              </w:rPr>
              <w:t>3</w:t>
            </w:r>
            <w:r>
              <w:rPr>
                <w:rFonts w:hint="eastAsia"/>
                <w:color w:val="000000" w:themeColor="text1"/>
                <w:sz w:val="24"/>
                <w:szCs w:val="24"/>
                <w14:textFill>
                  <w14:solidFill>
                    <w14:schemeClr w14:val="tx1"/>
                  </w14:solidFill>
                </w14:textFill>
              </w:rPr>
              <w:t>/a</w:t>
            </w:r>
            <w:r>
              <w:rPr>
                <w:rFonts w:hint="eastAsia"/>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lang w:eastAsia="zh-CN"/>
                <w14:textFill>
                  <w14:solidFill>
                    <w14:schemeClr w14:val="tx1"/>
                  </w14:solidFill>
                </w14:textFill>
              </w:rPr>
              <w:t>运营期生活污水经地埋式一体化污水处理设施处理后冬储夏灌。</w:t>
            </w:r>
          </w:p>
          <w:p w14:paraId="2688562F">
            <w:pPr>
              <w:adjustRightInd w:val="0"/>
              <w:spacing w:line="500" w:lineRule="exact"/>
              <w:ind w:firstLine="480" w:firstLineChars="200"/>
              <w:rPr>
                <w:bCs/>
                <w:color w:val="000000" w:themeColor="text1"/>
                <w:kern w:val="0"/>
                <w:sz w:val="24"/>
                <w:szCs w:val="24"/>
                <w:highlight w:val="none"/>
                <w14:textFill>
                  <w14:solidFill>
                    <w14:schemeClr w14:val="tx1"/>
                  </w14:solidFill>
                </w14:textFill>
              </w:rPr>
            </w:pPr>
            <w:r>
              <w:rPr>
                <w:bCs/>
                <w:color w:val="000000" w:themeColor="text1"/>
                <w:kern w:val="0"/>
                <w:sz w:val="24"/>
                <w:szCs w:val="24"/>
                <w:highlight w:val="none"/>
                <w14:textFill>
                  <w14:solidFill>
                    <w14:schemeClr w14:val="tx1"/>
                  </w14:solidFill>
                </w14:textFill>
              </w:rPr>
              <w:t>（3）供电</w:t>
            </w:r>
          </w:p>
          <w:p w14:paraId="6F678613">
            <w:pPr>
              <w:adjustRightInd w:val="0"/>
              <w:spacing w:line="500" w:lineRule="exact"/>
              <w:ind w:firstLine="480" w:firstLineChars="200"/>
              <w:rPr>
                <w:rFonts w:hint="eastAsia"/>
                <w:bCs/>
                <w:color w:val="000000" w:themeColor="text1"/>
                <w:kern w:val="0"/>
                <w:szCs w:val="20"/>
                <w:lang w:eastAsia="zh-CN"/>
                <w14:textFill>
                  <w14:solidFill>
                    <w14:schemeClr w14:val="tx1"/>
                  </w14:solidFill>
                </w14:textFill>
              </w:rPr>
            </w:pPr>
            <w:r>
              <w:rPr>
                <w:rFonts w:hint="eastAsia"/>
                <w:bCs/>
                <w:color w:val="000000" w:themeColor="text1"/>
                <w:kern w:val="0"/>
                <w:szCs w:val="20"/>
                <w:lang w:eastAsia="zh-CN"/>
                <w14:textFill>
                  <w14:solidFill>
                    <w14:schemeClr w14:val="tx1"/>
                  </w14:solidFill>
                </w14:textFill>
              </w:rPr>
              <w:t>施工期：</w:t>
            </w:r>
            <w:r>
              <w:rPr>
                <w:rFonts w:hint="eastAsia"/>
                <w:bCs/>
                <w:color w:val="000000" w:themeColor="text1"/>
                <w:kern w:val="0"/>
                <w:szCs w:val="20"/>
                <w:lang w:val="en-US" w:eastAsia="zh-CN"/>
                <w14:textFill>
                  <w14:solidFill>
                    <w14:schemeClr w14:val="tx1"/>
                  </w14:solidFill>
                </w14:textFill>
              </w:rPr>
              <w:t>项目外送线路</w:t>
            </w:r>
            <w:r>
              <w:rPr>
                <w:rFonts w:hint="eastAsia"/>
                <w:bCs/>
                <w:color w:val="000000" w:themeColor="text1"/>
                <w:kern w:val="0"/>
                <w:szCs w:val="20"/>
                <w:lang w:eastAsia="zh-CN"/>
                <w14:textFill>
                  <w14:solidFill>
                    <w14:schemeClr w14:val="tx1"/>
                  </w14:solidFill>
                </w14:textFill>
              </w:rPr>
              <w:t>采用柴油发电机作为施工电源；</w:t>
            </w:r>
            <w:r>
              <w:rPr>
                <w:rFonts w:hint="eastAsia"/>
                <w:bCs/>
                <w:color w:val="000000" w:themeColor="text1"/>
                <w:kern w:val="0"/>
                <w:szCs w:val="20"/>
                <w:lang w:val="en-US" w:eastAsia="zh-CN"/>
                <w14:textFill>
                  <w14:solidFill>
                    <w14:schemeClr w14:val="tx1"/>
                  </w14:solidFill>
                </w14:textFill>
              </w:rPr>
              <w:t>升压汇集站</w:t>
            </w:r>
            <w:r>
              <w:rPr>
                <w:rFonts w:hint="eastAsia"/>
                <w:bCs/>
                <w:color w:val="000000" w:themeColor="text1"/>
                <w:kern w:val="0"/>
                <w:szCs w:val="20"/>
                <w:lang w:eastAsia="zh-CN"/>
                <w14:textFill>
                  <w14:solidFill>
                    <w14:schemeClr w14:val="tx1"/>
                  </w14:solidFill>
                </w14:textFill>
              </w:rPr>
              <w:t>建筑工程施工电源采用“T”接方式就近接入场站附近10kV线路，通过动力控制箱、照明箱和施工电缆送到施工现场的用电设备上。</w:t>
            </w:r>
          </w:p>
          <w:p w14:paraId="1C3206A8">
            <w:pPr>
              <w:adjustRightInd w:val="0"/>
              <w:spacing w:line="500" w:lineRule="exact"/>
              <w:ind w:firstLine="480" w:firstLineChars="200"/>
              <w:rPr>
                <w:rFonts w:hint="eastAsia"/>
                <w:bCs/>
                <w:color w:val="000000" w:themeColor="text1"/>
                <w:kern w:val="0"/>
                <w:szCs w:val="20"/>
                <w:lang w:eastAsia="zh-CN"/>
                <w14:textFill>
                  <w14:solidFill>
                    <w14:schemeClr w14:val="tx1"/>
                  </w14:solidFill>
                </w14:textFill>
              </w:rPr>
            </w:pPr>
            <w:r>
              <w:rPr>
                <w:rFonts w:hint="eastAsia"/>
                <w:bCs/>
                <w:color w:val="000000" w:themeColor="text1"/>
                <w:kern w:val="0"/>
                <w:szCs w:val="20"/>
                <w:lang w:eastAsia="zh-CN"/>
                <w14:textFill>
                  <w14:solidFill>
                    <w14:schemeClr w14:val="tx1"/>
                  </w14:solidFill>
                </w14:textFill>
              </w:rPr>
              <w:t>运营期：</w:t>
            </w:r>
            <w:r>
              <w:rPr>
                <w:rFonts w:hint="eastAsia"/>
                <w:bCs/>
                <w:color w:val="000000" w:themeColor="text1"/>
                <w:kern w:val="0"/>
                <w:szCs w:val="20"/>
                <w:lang w:val="en-US" w:eastAsia="zh-CN"/>
                <w14:textFill>
                  <w14:solidFill>
                    <w14:schemeClr w14:val="tx1"/>
                  </w14:solidFill>
                </w14:textFill>
              </w:rPr>
              <w:t>220kV</w:t>
            </w:r>
            <w:r>
              <w:rPr>
                <w:rFonts w:hint="eastAsia"/>
                <w:bCs/>
                <w:color w:val="000000" w:themeColor="text1"/>
                <w:kern w:val="0"/>
                <w:szCs w:val="20"/>
                <w:lang w:eastAsia="zh-CN"/>
                <w14:textFill>
                  <w14:solidFill>
                    <w14:schemeClr w14:val="tx1"/>
                  </w14:solidFill>
                </w14:textFill>
              </w:rPr>
              <w:t>升压汇集站用电由站用电屏供电。</w:t>
            </w:r>
          </w:p>
          <w:p w14:paraId="313260AF">
            <w:pPr>
              <w:adjustRightInd w:val="0"/>
              <w:spacing w:line="500" w:lineRule="exact"/>
              <w:ind w:firstLine="480" w:firstLineChars="200"/>
              <w:rPr>
                <w:bCs/>
                <w:color w:val="000000" w:themeColor="text1"/>
                <w:kern w:val="0"/>
                <w:szCs w:val="20"/>
                <w14:textFill>
                  <w14:solidFill>
                    <w14:schemeClr w14:val="tx1"/>
                  </w14:solidFill>
                </w14:textFill>
              </w:rPr>
            </w:pPr>
            <w:r>
              <w:rPr>
                <w:bCs/>
                <w:color w:val="000000" w:themeColor="text1"/>
                <w:kern w:val="0"/>
                <w:szCs w:val="20"/>
                <w14:textFill>
                  <w14:solidFill>
                    <w14:schemeClr w14:val="tx1"/>
                  </w14:solidFill>
                </w14:textFill>
              </w:rPr>
              <w:t>（4）供热</w:t>
            </w:r>
          </w:p>
          <w:p w14:paraId="498A889E">
            <w:pPr>
              <w:adjustRightInd w:val="0"/>
              <w:spacing w:line="500" w:lineRule="exact"/>
              <w:ind w:firstLine="480" w:firstLineChars="200"/>
              <w:rPr>
                <w:bCs/>
                <w:color w:val="000000" w:themeColor="text1"/>
                <w:kern w:val="0"/>
                <w:szCs w:val="20"/>
                <w14:textFill>
                  <w14:solidFill>
                    <w14:schemeClr w14:val="tx1"/>
                  </w14:solidFill>
                </w14:textFill>
              </w:rPr>
            </w:pPr>
            <w:r>
              <w:rPr>
                <w:rFonts w:hint="eastAsia"/>
                <w:bCs/>
                <w:color w:val="000000" w:themeColor="text1"/>
                <w:kern w:val="0"/>
                <w:szCs w:val="20"/>
                <w:lang w:val="en-US" w:eastAsia="zh-CN"/>
                <w14:textFill>
                  <w14:solidFill>
                    <w14:schemeClr w14:val="tx1"/>
                  </w14:solidFill>
                </w14:textFill>
              </w:rPr>
              <w:t>220kV</w:t>
            </w:r>
            <w:r>
              <w:rPr>
                <w:bCs/>
                <w:color w:val="000000" w:themeColor="text1"/>
                <w:kern w:val="0"/>
                <w:szCs w:val="20"/>
                <w14:textFill>
                  <w14:solidFill>
                    <w14:schemeClr w14:val="tx1"/>
                  </w14:solidFill>
                </w14:textFill>
              </w:rPr>
              <w:t>升压</w:t>
            </w:r>
            <w:r>
              <w:rPr>
                <w:rFonts w:hint="eastAsia"/>
                <w:bCs/>
                <w:color w:val="000000" w:themeColor="text1"/>
                <w:kern w:val="0"/>
                <w:szCs w:val="20"/>
                <w:lang w:eastAsia="zh-CN"/>
                <w14:textFill>
                  <w14:solidFill>
                    <w14:schemeClr w14:val="tx1"/>
                  </w14:solidFill>
                </w14:textFill>
              </w:rPr>
              <w:t>汇集站</w:t>
            </w:r>
            <w:r>
              <w:rPr>
                <w:bCs/>
                <w:color w:val="000000" w:themeColor="text1"/>
                <w:kern w:val="0"/>
                <w:szCs w:val="20"/>
                <w14:textFill>
                  <w14:solidFill>
                    <w14:schemeClr w14:val="tx1"/>
                  </w14:solidFill>
                </w14:textFill>
              </w:rPr>
              <w:t>内</w:t>
            </w:r>
            <w:r>
              <w:rPr>
                <w:rFonts w:hint="eastAsia"/>
                <w:bCs/>
                <w:color w:val="000000" w:themeColor="text1"/>
                <w:kern w:val="0"/>
                <w:szCs w:val="20"/>
                <w14:textFill>
                  <w14:solidFill>
                    <w14:schemeClr w14:val="tx1"/>
                  </w14:solidFill>
                </w14:textFill>
              </w:rPr>
              <w:t>冬季</w:t>
            </w:r>
            <w:r>
              <w:rPr>
                <w:bCs/>
                <w:color w:val="000000" w:themeColor="text1"/>
                <w:kern w:val="0"/>
                <w:szCs w:val="20"/>
                <w14:textFill>
                  <w14:solidFill>
                    <w14:schemeClr w14:val="tx1"/>
                  </w14:solidFill>
                </w14:textFill>
              </w:rPr>
              <w:t>供暖采用电采暖</w:t>
            </w:r>
            <w:r>
              <w:rPr>
                <w:rFonts w:hint="eastAsia"/>
                <w:bCs/>
                <w:color w:val="000000" w:themeColor="text1"/>
                <w:kern w:val="0"/>
                <w:szCs w:val="20"/>
                <w14:textFill>
                  <w14:solidFill>
                    <w14:schemeClr w14:val="tx1"/>
                  </w14:solidFill>
                </w14:textFill>
              </w:rPr>
              <w:t>。</w:t>
            </w:r>
          </w:p>
          <w:p w14:paraId="2DC7C50C">
            <w:pPr>
              <w:adjustRightInd w:val="0"/>
              <w:spacing w:line="500" w:lineRule="exact"/>
              <w:ind w:firstLine="480" w:firstLineChars="200"/>
              <w:rPr>
                <w:bCs/>
                <w:color w:val="000000" w:themeColor="text1"/>
                <w:kern w:val="0"/>
                <w:szCs w:val="20"/>
                <w14:textFill>
                  <w14:solidFill>
                    <w14:schemeClr w14:val="tx1"/>
                  </w14:solidFill>
                </w14:textFill>
              </w:rPr>
            </w:pPr>
            <w:r>
              <w:rPr>
                <w:rFonts w:hint="eastAsia"/>
                <w:bCs/>
                <w:color w:val="000000" w:themeColor="text1"/>
                <w:kern w:val="0"/>
                <w:szCs w:val="20"/>
                <w14:textFill>
                  <w14:solidFill>
                    <w14:schemeClr w14:val="tx1"/>
                  </w14:solidFill>
                </w14:textFill>
              </w:rPr>
              <w:t>（5）消防</w:t>
            </w:r>
          </w:p>
          <w:p w14:paraId="4FA2E223">
            <w:pPr>
              <w:adjustRightInd w:val="0"/>
              <w:spacing w:line="500" w:lineRule="exact"/>
              <w:ind w:firstLine="480" w:firstLineChars="200"/>
              <w:rPr>
                <w:rFonts w:hint="default" w:eastAsia="宋体"/>
                <w:bCs/>
                <w:color w:val="000000" w:themeColor="text1"/>
                <w:kern w:val="0"/>
                <w:szCs w:val="20"/>
                <w:lang w:val="en-US" w:eastAsia="zh-CN"/>
                <w14:textFill>
                  <w14:solidFill>
                    <w14:schemeClr w14:val="tx1"/>
                  </w14:solidFill>
                </w14:textFill>
              </w:rPr>
            </w:pPr>
            <w:r>
              <w:rPr>
                <w:rFonts w:hint="eastAsia"/>
                <w:bCs/>
                <w:color w:val="000000" w:themeColor="text1"/>
                <w:kern w:val="0"/>
                <w:szCs w:val="20"/>
                <w14:textFill>
                  <w14:solidFill>
                    <w14:schemeClr w14:val="tx1"/>
                  </w14:solidFill>
                </w14:textFill>
              </w:rPr>
              <w:t>本项目</w:t>
            </w:r>
            <w:r>
              <w:rPr>
                <w:rFonts w:hint="eastAsia"/>
                <w:bCs/>
                <w:color w:val="000000" w:themeColor="text1"/>
                <w:kern w:val="0"/>
                <w:szCs w:val="20"/>
                <w:lang w:val="en-US" w:eastAsia="zh-CN"/>
                <w14:textFill>
                  <w14:solidFill>
                    <w14:schemeClr w14:val="tx1"/>
                  </w14:solidFill>
                </w14:textFill>
              </w:rPr>
              <w:t>220kV</w:t>
            </w:r>
            <w:r>
              <w:rPr>
                <w:rFonts w:hint="eastAsia"/>
                <w:bCs/>
                <w:color w:val="000000" w:themeColor="text1"/>
                <w:kern w:val="0"/>
                <w:szCs w:val="20"/>
                <w:lang w:eastAsia="zh-CN"/>
                <w14:textFill>
                  <w14:solidFill>
                    <w14:schemeClr w14:val="tx1"/>
                  </w14:solidFill>
                </w14:textFill>
              </w:rPr>
              <w:t>升压汇集</w:t>
            </w:r>
            <w:r>
              <w:rPr>
                <w:rFonts w:hint="eastAsia"/>
                <w:bCs/>
                <w:color w:val="000000" w:themeColor="text1"/>
                <w:kern w:val="0"/>
                <w:szCs w:val="20"/>
                <w14:textFill>
                  <w14:solidFill>
                    <w14:schemeClr w14:val="tx1"/>
                  </w14:solidFill>
                </w14:textFill>
              </w:rPr>
              <w:t>站内设置一座地埋式一体化消防泵房，内设消防泵房及消防水池</w:t>
            </w:r>
            <w:r>
              <w:rPr>
                <w:rFonts w:hint="eastAsia"/>
                <w:bCs/>
                <w:color w:val="000000" w:themeColor="text1"/>
                <w:kern w:val="0"/>
                <w:szCs w:val="20"/>
                <w:lang w:eastAsia="zh-CN"/>
                <w14:textFill>
                  <w14:solidFill>
                    <w14:schemeClr w14:val="tx1"/>
                  </w14:solidFill>
                </w14:textFill>
              </w:rPr>
              <w:t>，</w:t>
            </w:r>
            <w:r>
              <w:rPr>
                <w:rFonts w:hint="eastAsia"/>
                <w:bCs/>
                <w:color w:val="000000" w:themeColor="text1"/>
                <w:kern w:val="0"/>
                <w:szCs w:val="20"/>
                <w14:textFill>
                  <w14:solidFill>
                    <w14:schemeClr w14:val="tx1"/>
                  </w14:solidFill>
                </w14:textFill>
              </w:rPr>
              <w:t>消防水池有效容积220m</w:t>
            </w:r>
            <w:r>
              <w:rPr>
                <w:rFonts w:hint="eastAsia"/>
                <w:bCs/>
                <w:color w:val="000000" w:themeColor="text1"/>
                <w:kern w:val="0"/>
                <w:szCs w:val="20"/>
                <w:vertAlign w:val="superscript"/>
                <w14:textFill>
                  <w14:solidFill>
                    <w14:schemeClr w14:val="tx1"/>
                  </w14:solidFill>
                </w14:textFill>
              </w:rPr>
              <w:t>3</w:t>
            </w:r>
            <w:r>
              <w:rPr>
                <w:rFonts w:hint="eastAsia"/>
                <w:bCs/>
                <w:color w:val="000000" w:themeColor="text1"/>
                <w:kern w:val="0"/>
                <w:szCs w:val="20"/>
                <w:lang w:eastAsia="zh-CN"/>
                <w14:textFill>
                  <w14:solidFill>
                    <w14:schemeClr w14:val="tx1"/>
                  </w14:solidFill>
                </w14:textFill>
              </w:rPr>
              <w:t>，</w:t>
            </w:r>
            <w:r>
              <w:rPr>
                <w:rFonts w:hint="eastAsia"/>
                <w:bCs/>
                <w:color w:val="000000" w:themeColor="text1"/>
                <w:kern w:val="0"/>
                <w:szCs w:val="20"/>
                <w14:textFill>
                  <w14:solidFill>
                    <w14:schemeClr w14:val="tx1"/>
                  </w14:solidFill>
                </w14:textFill>
              </w:rPr>
              <w:t>消防水源为拉水取水</w:t>
            </w:r>
            <w:r>
              <w:rPr>
                <w:rFonts w:hint="eastAsia"/>
                <w:bCs/>
                <w:color w:val="000000" w:themeColor="text1"/>
                <w:kern w:val="0"/>
                <w:szCs w:val="20"/>
                <w:lang w:eastAsia="zh-CN"/>
                <w14:textFill>
                  <w14:solidFill>
                    <w14:schemeClr w14:val="tx1"/>
                  </w14:solidFill>
                </w14:textFill>
              </w:rPr>
              <w:t>，</w:t>
            </w:r>
            <w:r>
              <w:rPr>
                <w:rFonts w:hint="eastAsia"/>
                <w:bCs/>
                <w:color w:val="000000" w:themeColor="text1"/>
                <w:kern w:val="0"/>
                <w:szCs w:val="20"/>
                <w14:textFill>
                  <w14:solidFill>
                    <w14:schemeClr w14:val="tx1"/>
                  </w14:solidFill>
                </w14:textFill>
              </w:rPr>
              <w:t>消防供水由</w:t>
            </w:r>
            <w:r>
              <w:rPr>
                <w:rFonts w:hint="eastAsia"/>
                <w:bCs/>
                <w:color w:val="000000" w:themeColor="text1"/>
                <w:kern w:val="0"/>
                <w:szCs w:val="20"/>
                <w:lang w:val="en-US" w:eastAsia="zh-CN"/>
                <w14:textFill>
                  <w14:solidFill>
                    <w14:schemeClr w14:val="tx1"/>
                  </w14:solidFill>
                </w14:textFill>
              </w:rPr>
              <w:t>220kV升压</w:t>
            </w:r>
            <w:r>
              <w:rPr>
                <w:rFonts w:hint="eastAsia"/>
                <w:bCs/>
                <w:color w:val="000000" w:themeColor="text1"/>
                <w:kern w:val="0"/>
                <w:szCs w:val="20"/>
                <w14:textFill>
                  <w14:solidFill>
                    <w14:schemeClr w14:val="tx1"/>
                  </w14:solidFill>
                </w14:textFill>
              </w:rPr>
              <w:t>汇集站消防泵房供给</w:t>
            </w:r>
            <w:r>
              <w:rPr>
                <w:rFonts w:hint="eastAsia"/>
                <w:bCs/>
                <w:color w:val="000000" w:themeColor="text1"/>
                <w:kern w:val="0"/>
                <w:szCs w:val="20"/>
                <w:lang w:eastAsia="zh-CN"/>
                <w14:textFill>
                  <w14:solidFill>
                    <w14:schemeClr w14:val="tx1"/>
                  </w14:solidFill>
                </w14:textFill>
              </w:rPr>
              <w:t>；各建筑物室内均配置手提式磷酸铵盐干粉灭火器；</w:t>
            </w:r>
            <w:r>
              <w:rPr>
                <w:rFonts w:hint="eastAsia"/>
                <w:bCs/>
                <w:color w:val="000000" w:themeColor="text1"/>
                <w:kern w:val="0"/>
                <w:szCs w:val="20"/>
                <w:lang w:val="en-US" w:eastAsia="zh-CN"/>
                <w14:textFill>
                  <w14:solidFill>
                    <w14:schemeClr w14:val="tx1"/>
                  </w14:solidFill>
                </w14:textFill>
              </w:rPr>
              <w:t>站区</w:t>
            </w:r>
            <w:r>
              <w:rPr>
                <w:rFonts w:hint="eastAsia"/>
                <w:bCs/>
                <w:color w:val="000000" w:themeColor="text1"/>
                <w:kern w:val="0"/>
                <w:szCs w:val="20"/>
                <w:lang w:eastAsia="zh-CN"/>
                <w14:textFill>
                  <w14:solidFill>
                    <w14:schemeClr w14:val="tx1"/>
                  </w14:solidFill>
                </w14:textFill>
              </w:rPr>
              <w:t>主变压器消防采用排油充氮灭火装置；室外配置手推车式灭火器，</w:t>
            </w:r>
            <w:r>
              <w:rPr>
                <w:rFonts w:hint="eastAsia"/>
                <w:bCs/>
                <w:color w:val="000000" w:themeColor="text1"/>
                <w:kern w:val="0"/>
                <w:szCs w:val="20"/>
                <w:lang w:val="en-US" w:eastAsia="zh-CN"/>
                <w14:textFill>
                  <w14:solidFill>
                    <w14:schemeClr w14:val="tx1"/>
                  </w14:solidFill>
                </w14:textFill>
              </w:rPr>
              <w:t>1m</w:t>
            </w:r>
            <w:r>
              <w:rPr>
                <w:rFonts w:hint="eastAsia"/>
                <w:bCs/>
                <w:color w:val="000000" w:themeColor="text1"/>
                <w:kern w:val="0"/>
                <w:szCs w:val="20"/>
                <w:vertAlign w:val="superscript"/>
                <w:lang w:val="en-US" w:eastAsia="zh-CN"/>
                <w14:textFill>
                  <w14:solidFill>
                    <w14:schemeClr w14:val="tx1"/>
                  </w14:solidFill>
                </w14:textFill>
              </w:rPr>
              <w:t>3</w:t>
            </w:r>
            <w:r>
              <w:rPr>
                <w:rFonts w:hint="eastAsia"/>
                <w:bCs/>
                <w:color w:val="000000" w:themeColor="text1"/>
                <w:kern w:val="0"/>
                <w:szCs w:val="20"/>
                <w:lang w:val="en-US" w:eastAsia="zh-CN"/>
                <w14:textFill>
                  <w14:solidFill>
                    <w14:schemeClr w14:val="tx1"/>
                  </w14:solidFill>
                </w14:textFill>
              </w:rPr>
              <w:t>砂箱，沙袋，砂桶及铁锹等消防工具，以备站内发现火灾及时灭火使用。</w:t>
            </w:r>
          </w:p>
          <w:p w14:paraId="4FD47CD8">
            <w:pPr>
              <w:adjustRightInd w:val="0"/>
              <w:spacing w:line="500" w:lineRule="exact"/>
              <w:ind w:firstLine="480" w:firstLineChars="200"/>
              <w:rPr>
                <w:bCs/>
                <w:color w:val="000000" w:themeColor="text1"/>
                <w:kern w:val="0"/>
                <w:szCs w:val="20"/>
                <w14:textFill>
                  <w14:solidFill>
                    <w14:schemeClr w14:val="tx1"/>
                  </w14:solidFill>
                </w14:textFill>
              </w:rPr>
            </w:pPr>
            <w:r>
              <w:rPr>
                <w:bCs/>
                <w:color w:val="000000" w:themeColor="text1"/>
                <w:kern w:val="0"/>
                <w:szCs w:val="20"/>
                <w14:textFill>
                  <w14:solidFill>
                    <w14:schemeClr w14:val="tx1"/>
                  </w14:solidFill>
                </w14:textFill>
              </w:rPr>
              <w:t>（6）防洪</w:t>
            </w:r>
          </w:p>
          <w:p w14:paraId="71DA24CA">
            <w:pPr>
              <w:adjustRightInd w:val="0"/>
              <w:spacing w:line="500" w:lineRule="exact"/>
              <w:ind w:firstLine="480" w:firstLineChars="200"/>
              <w:rPr>
                <w:rFonts w:hint="eastAsia"/>
                <w:snapToGrid w:val="0"/>
                <w:color w:val="000000" w:themeColor="text1"/>
                <w:kern w:val="0"/>
                <w:lang w:val="en-US" w:eastAsia="zh-CN"/>
                <w14:textFill>
                  <w14:solidFill>
                    <w14:schemeClr w14:val="tx1"/>
                  </w14:solidFill>
                </w14:textFill>
              </w:rPr>
            </w:pPr>
            <w:r>
              <w:rPr>
                <w:rFonts w:hint="eastAsia"/>
                <w:snapToGrid w:val="0"/>
                <w:color w:val="000000" w:themeColor="text1"/>
                <w:kern w:val="0"/>
                <w:lang w:val="en-US" w:eastAsia="zh-CN"/>
                <w14:textFill>
                  <w14:solidFill>
                    <w14:schemeClr w14:val="tx1"/>
                  </w14:solidFill>
                </w14:textFill>
              </w:rPr>
              <w:t>本项目在升压汇集站周边建设排水沟进行防洪，排水沟进行护坡施工。</w:t>
            </w:r>
          </w:p>
          <w:p w14:paraId="1D95F258">
            <w:pPr>
              <w:adjustRightInd w:val="0"/>
              <w:spacing w:line="500" w:lineRule="exact"/>
              <w:ind w:firstLine="480" w:firstLineChars="200"/>
              <w:rPr>
                <w:rFonts w:hint="eastAsia"/>
                <w:snapToGrid w:val="0"/>
                <w:color w:val="000000" w:themeColor="text1"/>
                <w:kern w:val="0"/>
                <w:lang w:val="en-US" w:eastAsia="zh-CN"/>
                <w14:textFill>
                  <w14:solidFill>
                    <w14:schemeClr w14:val="tx1"/>
                  </w14:solidFill>
                </w14:textFill>
              </w:rPr>
            </w:pPr>
          </w:p>
          <w:p w14:paraId="65EC105D">
            <w:pPr>
              <w:adjustRightInd w:val="0"/>
              <w:spacing w:line="500" w:lineRule="exact"/>
              <w:ind w:firstLine="480" w:firstLineChars="200"/>
              <w:rPr>
                <w:rFonts w:hint="eastAsia"/>
                <w:color w:val="000000" w:themeColor="text1"/>
                <w:lang w:eastAsia="zh-CN"/>
                <w14:textFill>
                  <w14:solidFill>
                    <w14:schemeClr w14:val="tx1"/>
                  </w14:solidFill>
                </w14:textFill>
              </w:rPr>
            </w:pPr>
          </w:p>
          <w:p w14:paraId="6542EF16">
            <w:pPr>
              <w:adjustRightInd w:val="0"/>
              <w:spacing w:line="500" w:lineRule="exact"/>
              <w:ind w:firstLine="480" w:firstLineChars="200"/>
              <w:rPr>
                <w:rFonts w:hint="eastAsia" w:eastAsia="宋体"/>
                <w:color w:val="000000" w:themeColor="text1"/>
                <w:lang w:eastAsia="zh-CN"/>
                <w14:textFill>
                  <w14:solidFill>
                    <w14:schemeClr w14:val="tx1"/>
                  </w14:solidFill>
                </w14:textFill>
              </w:rPr>
            </w:pPr>
          </w:p>
        </w:tc>
      </w:tr>
      <w:tr w14:paraId="1E8DAD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0" w:type="pct"/>
            <w:vAlign w:val="center"/>
          </w:tcPr>
          <w:p w14:paraId="29A5769A">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总平面及现场布置</w:t>
            </w:r>
          </w:p>
        </w:tc>
        <w:tc>
          <w:tcPr>
            <w:tcW w:w="4679" w:type="pct"/>
            <w:vAlign w:val="center"/>
          </w:tcPr>
          <w:p w14:paraId="4B0E1DFC">
            <w:pPr>
              <w:pStyle w:val="10"/>
              <w:keepNext w:val="0"/>
              <w:keepLines w:val="0"/>
              <w:pageBreakBefore w:val="0"/>
              <w:kinsoku/>
              <w:wordWrap/>
              <w:overflowPunct w:val="0"/>
              <w:topLinePunct w:val="0"/>
              <w:autoSpaceDE w:val="0"/>
              <w:autoSpaceDN w:val="0"/>
              <w:bidi w:val="0"/>
              <w:snapToGrid w:val="0"/>
              <w:spacing w:before="0" w:after="0" w:line="500" w:lineRule="exact"/>
              <w:ind w:right="0" w:firstLine="482" w:firstLineChars="200"/>
              <w:rPr>
                <w:rFonts w:hint="default" w:eastAsia="宋体"/>
                <w:b/>
                <w:bCs/>
                <w:snapToGrid w:val="0"/>
                <w:color w:val="000000" w:themeColor="text1"/>
                <w:sz w:val="24"/>
                <w:szCs w:val="24"/>
                <w:lang w:val="en-US" w:eastAsia="zh-CN"/>
                <w14:textFill>
                  <w14:solidFill>
                    <w14:schemeClr w14:val="tx1"/>
                  </w14:solidFill>
                </w14:textFill>
              </w:rPr>
            </w:pPr>
            <w:r>
              <w:rPr>
                <w:rFonts w:hint="eastAsia"/>
                <w:b/>
                <w:bCs/>
                <w:snapToGrid w:val="0"/>
                <w:color w:val="000000" w:themeColor="text1"/>
                <w:sz w:val="24"/>
                <w:szCs w:val="24"/>
                <w:lang w:val="en-US" w:eastAsia="zh-CN"/>
                <w14:textFill>
                  <w14:solidFill>
                    <w14:schemeClr w14:val="tx1"/>
                  </w14:solidFill>
                </w14:textFill>
              </w:rPr>
              <w:t>1</w:t>
            </w:r>
            <w:r>
              <w:rPr>
                <w:b/>
                <w:bCs/>
                <w:snapToGrid w:val="0"/>
                <w:color w:val="000000" w:themeColor="text1"/>
                <w:sz w:val="24"/>
                <w:szCs w:val="24"/>
                <w14:textFill>
                  <w14:solidFill>
                    <w14:schemeClr w14:val="tx1"/>
                  </w14:solidFill>
                </w14:textFill>
              </w:rPr>
              <w:t>.</w:t>
            </w:r>
            <w:r>
              <w:rPr>
                <w:rFonts w:hint="eastAsia"/>
                <w:b/>
                <w:bCs/>
                <w:snapToGrid w:val="0"/>
                <w:color w:val="000000" w:themeColor="text1"/>
                <w:sz w:val="24"/>
                <w:szCs w:val="24"/>
                <w:lang w:val="en-US" w:eastAsia="zh-CN"/>
                <w14:textFill>
                  <w14:solidFill>
                    <w14:schemeClr w14:val="tx1"/>
                  </w14:solidFill>
                </w14:textFill>
              </w:rPr>
              <w:t>总体布置</w:t>
            </w:r>
          </w:p>
          <w:p w14:paraId="51CAB4A2">
            <w:pPr>
              <w:pStyle w:val="10"/>
              <w:keepNext w:val="0"/>
              <w:keepLines w:val="0"/>
              <w:pageBreakBefore w:val="0"/>
              <w:kinsoku/>
              <w:wordWrap/>
              <w:overflowPunct w:val="0"/>
              <w:topLinePunct w:val="0"/>
              <w:autoSpaceDE w:val="0"/>
              <w:autoSpaceDN w:val="0"/>
              <w:bidi w:val="0"/>
              <w:snapToGrid w:val="0"/>
              <w:spacing w:before="0" w:after="0" w:line="500" w:lineRule="exact"/>
              <w:ind w:right="0" w:firstLine="480" w:firstLineChars="200"/>
              <w:rPr>
                <w:rFonts w:hint="eastAsia" w:ascii="Times New Roman" w:hAnsi="Times New Roman" w:eastAsia="宋体" w:cs="Times New Roman"/>
                <w:snapToGrid w:val="0"/>
                <w:color w:val="000000" w:themeColor="text1"/>
                <w:sz w:val="24"/>
                <w:szCs w:val="24"/>
                <w14:textFill>
                  <w14:solidFill>
                    <w14:schemeClr w14:val="tx1"/>
                  </w14:solidFill>
                </w14:textFill>
              </w:rPr>
            </w:pPr>
            <w:r>
              <w:rPr>
                <w:rFonts w:hint="eastAsia"/>
                <w:snapToGrid w:val="0"/>
                <w:color w:val="000000" w:themeColor="text1"/>
                <w:sz w:val="24"/>
                <w:szCs w:val="24"/>
                <w:lang w:eastAsia="zh-CN"/>
                <w14:textFill>
                  <w14:solidFill>
                    <w14:schemeClr w14:val="tx1"/>
                  </w14:solidFill>
                </w14:textFill>
              </w:rPr>
              <w:t>升压汇集站区域的生产区和生活区分开布置，生产区位于汇集站区域</w:t>
            </w:r>
            <w:r>
              <w:rPr>
                <w:rFonts w:hint="eastAsia"/>
                <w:snapToGrid w:val="0"/>
                <w:color w:val="000000" w:themeColor="text1"/>
                <w:sz w:val="24"/>
                <w:szCs w:val="24"/>
                <w:lang w:val="en-US" w:eastAsia="zh-CN"/>
                <w14:textFill>
                  <w14:solidFill>
                    <w14:schemeClr w14:val="tx1"/>
                  </w14:solidFill>
                </w14:textFill>
              </w:rPr>
              <w:t>南</w:t>
            </w:r>
            <w:r>
              <w:rPr>
                <w:rFonts w:hint="eastAsia"/>
                <w:snapToGrid w:val="0"/>
                <w:color w:val="000000" w:themeColor="text1"/>
                <w:sz w:val="24"/>
                <w:szCs w:val="24"/>
                <w:lang w:eastAsia="zh-CN"/>
                <w14:textFill>
                  <w14:solidFill>
                    <w14:schemeClr w14:val="tx1"/>
                  </w14:solidFill>
                </w14:textFill>
              </w:rPr>
              <w:t>侧，</w:t>
            </w:r>
            <w:r>
              <w:rPr>
                <w:rFonts w:hint="eastAsia"/>
                <w:snapToGrid w:val="0"/>
                <w:color w:val="000000" w:themeColor="text1"/>
                <w:sz w:val="24"/>
                <w:szCs w:val="24"/>
                <w:lang w:val="en-US" w:eastAsia="zh-CN"/>
                <w14:textFill>
                  <w14:solidFill>
                    <w14:schemeClr w14:val="tx1"/>
                  </w14:solidFill>
                </w14:textFill>
              </w:rPr>
              <w:t>其中</w:t>
            </w:r>
            <w:r>
              <w:rPr>
                <w:rFonts w:hint="eastAsia"/>
                <w:snapToGrid w:val="0"/>
                <w:color w:val="000000" w:themeColor="text1"/>
                <w:sz w:val="24"/>
                <w:szCs w:val="24"/>
                <w:lang w:eastAsia="zh-CN"/>
                <w14:textFill>
                  <w14:solidFill>
                    <w14:schemeClr w14:val="tx1"/>
                  </w14:solidFill>
                </w14:textFill>
              </w:rPr>
              <w:t>生产区东部环形道路内侧布置户外HGIS、独立避雷针；西部的环形道路内侧由南向北依次布置有事故油池、接地变、主变压器、电气一二次联合预制舱、站用变、备用变、SVG装置；生活区位于汇集站区域东南侧，其中环形道路内侧由东向西依次布置有门卫室、车库、综合楼，另在生产区的西部环形道路内侧由西向东布置有污水处理</w:t>
            </w:r>
            <w:r>
              <w:rPr>
                <w:rFonts w:hint="eastAsia"/>
                <w:snapToGrid w:val="0"/>
                <w:color w:val="000000" w:themeColor="text1"/>
                <w:sz w:val="24"/>
                <w:szCs w:val="24"/>
                <w:lang w:val="en-US" w:eastAsia="zh-CN"/>
                <w14:textFill>
                  <w14:solidFill>
                    <w14:schemeClr w14:val="tx1"/>
                  </w14:solidFill>
                </w14:textFill>
              </w:rPr>
              <w:t>设施</w:t>
            </w:r>
            <w:r>
              <w:rPr>
                <w:rFonts w:hint="eastAsia"/>
                <w:snapToGrid w:val="0"/>
                <w:color w:val="000000" w:themeColor="text1"/>
                <w:sz w:val="24"/>
                <w:szCs w:val="24"/>
                <w:lang w:eastAsia="zh-CN"/>
                <w14:textFill>
                  <w14:solidFill>
                    <w14:schemeClr w14:val="tx1"/>
                  </w14:solidFill>
                </w14:textFill>
              </w:rPr>
              <w:t>、危废</w:t>
            </w:r>
            <w:r>
              <w:rPr>
                <w:rFonts w:hint="eastAsia"/>
                <w:snapToGrid w:val="0"/>
                <w:color w:val="000000" w:themeColor="text1"/>
                <w:sz w:val="24"/>
                <w:szCs w:val="24"/>
                <w:lang w:val="en-US" w:eastAsia="zh-CN"/>
                <w14:textFill>
                  <w14:solidFill>
                    <w14:schemeClr w14:val="tx1"/>
                  </w14:solidFill>
                </w14:textFill>
              </w:rPr>
              <w:t>贮存点</w:t>
            </w:r>
            <w:r>
              <w:rPr>
                <w:rFonts w:hint="eastAsia"/>
                <w:snapToGrid w:val="0"/>
                <w:color w:val="000000" w:themeColor="text1"/>
                <w:sz w:val="24"/>
                <w:szCs w:val="24"/>
                <w:lang w:eastAsia="zh-CN"/>
                <w14:textFill>
                  <w14:solidFill>
                    <w14:schemeClr w14:val="tx1"/>
                  </w14:solidFill>
                </w14:textFill>
              </w:rPr>
              <w:t>、综合水泵房。</w:t>
            </w:r>
            <w:r>
              <w:rPr>
                <w:rFonts w:hint="eastAsia"/>
                <w:snapToGrid w:val="0"/>
                <w:color w:val="000000" w:themeColor="text1"/>
                <w:sz w:val="24"/>
                <w:szCs w:val="24"/>
                <w14:textFill>
                  <w14:solidFill>
                    <w14:schemeClr w14:val="tx1"/>
                  </w14:solidFill>
                </w14:textFill>
              </w:rPr>
              <w:t>220kV升压汇集站</w:t>
            </w:r>
            <w:r>
              <w:rPr>
                <w:rFonts w:hint="eastAsia" w:ascii="Times New Roman" w:hAnsi="Times New Roman" w:eastAsia="宋体" w:cs="Times New Roman"/>
                <w:snapToGrid w:val="0"/>
                <w:color w:val="000000" w:themeColor="text1"/>
                <w:sz w:val="24"/>
                <w:szCs w:val="24"/>
                <w14:textFill>
                  <w14:solidFill>
                    <w14:schemeClr w14:val="tx1"/>
                  </w14:solidFill>
                </w14:textFill>
              </w:rPr>
              <w:t>区上下水管线采用直埋方式铺设，电缆采用电缆沟道铺设。</w:t>
            </w:r>
          </w:p>
          <w:p w14:paraId="5EEDD4B1">
            <w:pPr>
              <w:pStyle w:val="10"/>
              <w:keepNext w:val="0"/>
              <w:keepLines w:val="0"/>
              <w:pageBreakBefore w:val="0"/>
              <w:kinsoku/>
              <w:wordWrap/>
              <w:overflowPunct w:val="0"/>
              <w:topLinePunct w:val="0"/>
              <w:autoSpaceDE w:val="0"/>
              <w:autoSpaceDN w:val="0"/>
              <w:bidi w:val="0"/>
              <w:snapToGrid w:val="0"/>
              <w:spacing w:before="0" w:after="0" w:line="500" w:lineRule="exact"/>
              <w:ind w:right="0" w:firstLine="480" w:firstLineChars="200"/>
              <w:rPr>
                <w:rFonts w:hint="default"/>
                <w:b/>
                <w:bCs/>
                <w:snapToGrid w:val="0"/>
                <w:color w:val="000000" w:themeColor="text1"/>
                <w:sz w:val="24"/>
                <w:szCs w:val="24"/>
                <w:lang w:val="en-US" w:eastAsia="zh-CN"/>
                <w14:textFill>
                  <w14:solidFill>
                    <w14:schemeClr w14:val="tx1"/>
                  </w14:solidFill>
                </w14:textFill>
              </w:rPr>
            </w:pPr>
            <w:r>
              <w:rPr>
                <w:rFonts w:hint="eastAsia"/>
                <w:b w:val="0"/>
                <w:bCs w:val="0"/>
                <w:snapToGrid w:val="0"/>
                <w:color w:val="000000" w:themeColor="text1"/>
                <w:sz w:val="24"/>
                <w:szCs w:val="24"/>
                <w:lang w:val="en-US" w:eastAsia="zh-CN"/>
                <w14:textFill>
                  <w14:solidFill>
                    <w14:schemeClr w14:val="tx1"/>
                  </w14:solidFill>
                </w14:textFill>
              </w:rPr>
              <w:t>本项目新建2.88km的220kV外送线路接入且末750kV变电站。线路自本项目</w:t>
            </w:r>
            <w:r>
              <w:rPr>
                <w:rFonts w:hint="eastAsia"/>
                <w:snapToGrid w:val="0"/>
                <w:color w:val="000000" w:themeColor="text1"/>
                <w:sz w:val="24"/>
                <w:szCs w:val="24"/>
                <w14:textFill>
                  <w14:solidFill>
                    <w14:schemeClr w14:val="tx1"/>
                  </w14:solidFill>
                </w14:textFill>
              </w:rPr>
              <w:t>升压汇集站</w:t>
            </w:r>
            <w:r>
              <w:rPr>
                <w:rFonts w:hint="eastAsia"/>
                <w:b w:val="0"/>
                <w:bCs w:val="0"/>
                <w:snapToGrid w:val="0"/>
                <w:color w:val="000000" w:themeColor="text1"/>
                <w:sz w:val="24"/>
                <w:szCs w:val="24"/>
                <w:lang w:val="en-US" w:eastAsia="zh-CN"/>
                <w14:textFill>
                  <w14:solidFill>
                    <w14:schemeClr w14:val="tx1"/>
                  </w14:solidFill>
                </w14:textFill>
              </w:rPr>
              <w:t>向东出线后向北架设，跨越110kV瓦屯线，至已建220kV金塔一线南约50米处向东北架设，跨越现状土渠，接入220kV金塔一线001号塔，与220kV金塔一线同塔接入且末750kV变电站由西往东第四个间隔。</w:t>
            </w:r>
          </w:p>
          <w:p w14:paraId="11D8EA5E">
            <w:pPr>
              <w:pStyle w:val="10"/>
              <w:keepNext w:val="0"/>
              <w:keepLines w:val="0"/>
              <w:pageBreakBefore w:val="0"/>
              <w:kinsoku/>
              <w:wordWrap/>
              <w:overflowPunct w:val="0"/>
              <w:topLinePunct w:val="0"/>
              <w:autoSpaceDE w:val="0"/>
              <w:autoSpaceDN w:val="0"/>
              <w:bidi w:val="0"/>
              <w:snapToGrid w:val="0"/>
              <w:spacing w:before="0" w:after="0" w:line="500" w:lineRule="exact"/>
              <w:ind w:right="0" w:firstLine="482" w:firstLineChars="200"/>
              <w:rPr>
                <w:rFonts w:hint="eastAsia"/>
                <w:b/>
                <w:bCs/>
                <w:snapToGrid w:val="0"/>
                <w:color w:val="000000" w:themeColor="text1"/>
                <w:sz w:val="24"/>
                <w:szCs w:val="24"/>
                <w:lang w:val="en-US" w:eastAsia="zh-CN"/>
                <w14:textFill>
                  <w14:solidFill>
                    <w14:schemeClr w14:val="tx1"/>
                  </w14:solidFill>
                </w14:textFill>
              </w:rPr>
            </w:pPr>
            <w:r>
              <w:rPr>
                <w:rFonts w:hint="eastAsia"/>
                <w:b/>
                <w:bCs/>
                <w:snapToGrid w:val="0"/>
                <w:color w:val="000000" w:themeColor="text1"/>
                <w:sz w:val="24"/>
                <w:szCs w:val="24"/>
                <w:lang w:val="en-US" w:eastAsia="zh-CN"/>
                <w14:textFill>
                  <w14:solidFill>
                    <w14:schemeClr w14:val="tx1"/>
                  </w14:solidFill>
                </w14:textFill>
              </w:rPr>
              <w:t>2.施工布置</w:t>
            </w:r>
          </w:p>
          <w:p w14:paraId="7DE3A379">
            <w:pPr>
              <w:pStyle w:val="10"/>
              <w:keepNext w:val="0"/>
              <w:keepLines w:val="0"/>
              <w:pageBreakBefore w:val="0"/>
              <w:widowControl/>
              <w:kinsoku/>
              <w:wordWrap/>
              <w:overflowPunct w:val="0"/>
              <w:topLinePunct w:val="0"/>
              <w:autoSpaceDE w:val="0"/>
              <w:autoSpaceDN w:val="0"/>
              <w:bidi w:val="0"/>
              <w:adjustRightInd/>
              <w:snapToGrid w:val="0"/>
              <w:spacing w:before="0" w:after="0" w:line="500" w:lineRule="exact"/>
              <w:ind w:right="0"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eastAsia="宋体"/>
                <w:color w:val="000000" w:themeColor="text1"/>
                <w:sz w:val="24"/>
                <w:lang w:val="en-US" w:eastAsia="zh-CN"/>
                <w14:textFill>
                  <w14:solidFill>
                    <w14:schemeClr w14:val="tx1"/>
                  </w14:solidFill>
                </w14:textFill>
              </w:rPr>
              <w:t>本项目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施工临时营地位于升压汇集站东侧</w:t>
            </w:r>
            <w:r>
              <w:rPr>
                <w:rFonts w:hint="eastAsia" w:eastAsia="宋体"/>
                <w:color w:val="000000" w:themeColor="text1"/>
                <w:sz w:val="24"/>
                <w:lang w:val="en-US" w:eastAsia="zh-CN"/>
                <w14:textFill>
                  <w14:solidFill>
                    <w14:schemeClr w14:val="tx1"/>
                  </w14:solidFill>
                </w14:textFill>
              </w:rPr>
              <w:t>，临时占地面积为</w:t>
            </w:r>
            <w:r>
              <w:rPr>
                <w:rFonts w:hint="eastAsia"/>
                <w:color w:val="000000" w:themeColor="text1"/>
                <w:sz w:val="24"/>
                <w:lang w:val="en-US" w:eastAsia="zh-CN"/>
                <w14:textFill>
                  <w14:solidFill>
                    <w14:schemeClr w14:val="tx1"/>
                  </w14:solidFill>
                </w14:textFill>
              </w:rPr>
              <w:t>5617</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m</w:t>
            </w:r>
            <w:r>
              <w:rPr>
                <w:rFonts w:hint="eastAsia" w:ascii="Times New Roman" w:hAnsi="Times New Roman" w:eastAsia="宋体" w:cs="Times New Roman"/>
                <w:color w:val="000000" w:themeColor="text1"/>
                <w:sz w:val="24"/>
                <w:szCs w:val="24"/>
                <w:vertAlign w:val="superscript"/>
                <w:lang w:val="en-US" w:eastAsia="zh-CN"/>
                <w14:textFill>
                  <w14:solidFill>
                    <w14:schemeClr w14:val="tx1"/>
                  </w14:solidFill>
                </w14:textFill>
              </w:rPr>
              <w:t>2</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，占地性质为沙地。包括办公生活区，综合加工区（钢筋加工、木材加工等），仓库区，材料堆放区等。线路杆塔施工临时占地均位于杆塔永久占地两侧；施工设置两处牵张场，分别位于</w:t>
            </w:r>
            <w:r>
              <w:rPr>
                <w:rFonts w:hint="eastAsia" w:cs="Times New Roman"/>
                <w:color w:val="000000" w:themeColor="text1"/>
                <w:sz w:val="24"/>
                <w:szCs w:val="24"/>
                <w:lang w:val="en-US" w:eastAsia="zh-CN"/>
                <w14:textFill>
                  <w14:solidFill>
                    <w14:schemeClr w14:val="tx1"/>
                  </w14:solidFill>
                </w14:textFill>
              </w:rPr>
              <w:t>JT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JT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9杆塔旁，设置两处跨越施工场，分别位于</w:t>
            </w:r>
            <w:r>
              <w:rPr>
                <w:rFonts w:hint="eastAsia" w:cs="Times New Roman"/>
                <w:color w:val="000000" w:themeColor="text1"/>
                <w:sz w:val="24"/>
                <w:szCs w:val="24"/>
                <w:lang w:val="en-US" w:eastAsia="zh-CN"/>
                <w14:textFill>
                  <w14:solidFill>
                    <w14:schemeClr w14:val="tx1"/>
                  </w14:solidFill>
                </w14:textFill>
              </w:rPr>
              <w:t>JT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4、</w:t>
            </w:r>
            <w:r>
              <w:rPr>
                <w:rFonts w:hint="eastAsia" w:cs="Times New Roman"/>
                <w:color w:val="000000" w:themeColor="text1"/>
                <w:sz w:val="24"/>
                <w:szCs w:val="24"/>
                <w:lang w:val="en-US" w:eastAsia="zh-CN"/>
                <w14:textFill>
                  <w14:solidFill>
                    <w14:schemeClr w14:val="tx1"/>
                  </w14:solidFill>
                </w14:textFill>
              </w:rPr>
              <w:t>JT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5杆塔旁；</w:t>
            </w:r>
            <w:r>
              <w:rPr>
                <w:rFonts w:hint="eastAsia" w:cs="Times New Roman"/>
                <w:color w:val="000000" w:themeColor="text1"/>
                <w:sz w:val="24"/>
                <w:szCs w:val="24"/>
                <w:lang w:val="en-US" w:eastAsia="zh-CN"/>
                <w14:textFill>
                  <w14:solidFill>
                    <w14:schemeClr w14:val="tx1"/>
                  </w14:solidFill>
                </w14:textFill>
              </w:rPr>
              <w:t>外送线路</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施工临时道路主要沿线路设置，靠近既有土路的部分杆塔设置临时道路就近连接土路。</w:t>
            </w:r>
          </w:p>
        </w:tc>
      </w:tr>
      <w:tr w14:paraId="4C889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0" w:type="pct"/>
            <w:vAlign w:val="center"/>
          </w:tcPr>
          <w:p w14:paraId="56890B38">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施工方案</w:t>
            </w:r>
          </w:p>
        </w:tc>
        <w:tc>
          <w:tcPr>
            <w:tcW w:w="4679" w:type="pct"/>
            <w:vAlign w:val="center"/>
          </w:tcPr>
          <w:p w14:paraId="73EEB33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14:textFill>
                  <w14:solidFill>
                    <w14:schemeClr w14:val="tx1"/>
                  </w14:solidFill>
                </w14:textFill>
              </w:rPr>
              <w:t>1.升压汇集站施工工艺流程</w:t>
            </w:r>
          </w:p>
          <w:p w14:paraId="610DBA5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（1）施工准备</w:t>
            </w:r>
          </w:p>
          <w:p w14:paraId="2486926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升压汇集站</w:t>
            </w:r>
            <w:r>
              <w:rPr>
                <w:color w:val="000000" w:themeColor="text1"/>
                <w14:textFill>
                  <w14:solidFill>
                    <w14:schemeClr w14:val="tx1"/>
                  </w14:solidFill>
                </w14:textFill>
              </w:rPr>
              <w:t>施工所需要的建筑材料拟向</w:t>
            </w:r>
            <w:r>
              <w:rPr>
                <w:rFonts w:hint="eastAsia"/>
                <w:color w:val="000000" w:themeColor="text1"/>
                <w:lang w:eastAsia="zh-CN"/>
                <w14:textFill>
                  <w14:solidFill>
                    <w14:schemeClr w14:val="tx1"/>
                  </w14:solidFill>
                </w14:textFill>
              </w:rPr>
              <w:t>周边</w:t>
            </w:r>
            <w:r>
              <w:rPr>
                <w:color w:val="000000" w:themeColor="text1"/>
                <w14:textFill>
                  <w14:solidFill>
                    <w14:schemeClr w14:val="tx1"/>
                  </w14:solidFill>
                </w14:textFill>
              </w:rPr>
              <w:t>的正规建材单位购买，</w:t>
            </w:r>
            <w:r>
              <w:rPr>
                <w:rFonts w:hint="eastAsia"/>
                <w:color w:val="000000" w:themeColor="text1"/>
                <w14:textFill>
                  <w14:solidFill>
                    <w14:schemeClr w14:val="tx1"/>
                  </w14:solidFill>
                </w14:textFill>
              </w:rPr>
              <w:t>施工准备包括</w:t>
            </w:r>
            <w:r>
              <w:rPr>
                <w:color w:val="000000" w:themeColor="text1"/>
                <w14:textFill>
                  <w14:solidFill>
                    <w14:schemeClr w14:val="tx1"/>
                  </w14:solidFill>
                </w14:textFill>
              </w:rPr>
              <w:t>施工区布置、场地</w:t>
            </w:r>
            <w:r>
              <w:rPr>
                <w:rFonts w:hint="eastAsia"/>
                <w:color w:val="000000" w:themeColor="text1"/>
                <w:lang w:eastAsia="zh-CN"/>
                <w14:textFill>
                  <w14:solidFill>
                    <w14:schemeClr w14:val="tx1"/>
                  </w14:solidFill>
                </w14:textFill>
              </w:rPr>
              <w:t>开挖及</w:t>
            </w:r>
            <w:r>
              <w:rPr>
                <w:color w:val="000000" w:themeColor="text1"/>
                <w14:textFill>
                  <w14:solidFill>
                    <w14:schemeClr w14:val="tx1"/>
                  </w14:solidFill>
                </w14:textFill>
              </w:rPr>
              <w:t>平整等。</w:t>
            </w:r>
          </w:p>
          <w:p w14:paraId="62D3346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（2）基础开挖</w:t>
            </w:r>
          </w:p>
          <w:p w14:paraId="67515A8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基础开挖包括升压汇集站基础开挖、</w:t>
            </w:r>
            <w:r>
              <w:rPr>
                <w:color w:val="000000" w:themeColor="text1"/>
                <w14:textFill>
                  <w14:solidFill>
                    <w14:schemeClr w14:val="tx1"/>
                  </w14:solidFill>
                </w14:textFill>
              </w:rPr>
              <w:t>电气设备基础、</w:t>
            </w:r>
            <w:r>
              <w:rPr>
                <w:rFonts w:hint="eastAsia"/>
                <w:color w:val="000000" w:themeColor="text1"/>
                <w:lang w:val="en-US" w:eastAsia="zh-CN"/>
                <w14:textFill>
                  <w14:solidFill>
                    <w14:schemeClr w14:val="tx1"/>
                  </w14:solidFill>
                </w14:textFill>
              </w:rPr>
              <w:t>生产</w:t>
            </w:r>
            <w:r>
              <w:rPr>
                <w:rFonts w:hint="eastAsia"/>
                <w:color w:val="000000" w:themeColor="text1"/>
                <w:lang w:eastAsia="zh-CN"/>
                <w14:textFill>
                  <w14:solidFill>
                    <w14:schemeClr w14:val="tx1"/>
                  </w14:solidFill>
                </w14:textFill>
              </w:rPr>
              <w:t>综合楼及</w:t>
            </w:r>
            <w:r>
              <w:rPr>
                <w:rFonts w:hint="eastAsia"/>
                <w:color w:val="000000" w:themeColor="text1"/>
                <w:lang w:val="en-US" w:eastAsia="zh-CN"/>
                <w14:textFill>
                  <w14:solidFill>
                    <w14:schemeClr w14:val="tx1"/>
                  </w14:solidFill>
                </w14:textFill>
              </w:rPr>
              <w:t>综合水泵房</w:t>
            </w:r>
            <w:r>
              <w:rPr>
                <w:color w:val="000000" w:themeColor="text1"/>
                <w14:textFill>
                  <w14:solidFill>
                    <w14:schemeClr w14:val="tx1"/>
                  </w14:solidFill>
                </w14:textFill>
              </w:rPr>
              <w:t>等地表构筑物基础的开挖，</w:t>
            </w:r>
            <w:r>
              <w:rPr>
                <w:rFonts w:hint="eastAsia"/>
                <w:color w:val="000000" w:themeColor="text1"/>
                <w:lang w:eastAsia="zh-CN"/>
                <w14:textFill>
                  <w14:solidFill>
                    <w14:schemeClr w14:val="tx1"/>
                  </w14:solidFill>
                </w14:textFill>
              </w:rPr>
              <w:t>污水处理设施、</w:t>
            </w:r>
            <w:r>
              <w:rPr>
                <w:color w:val="000000" w:themeColor="text1"/>
                <w14:textFill>
                  <w14:solidFill>
                    <w14:schemeClr w14:val="tx1"/>
                  </w14:solidFill>
                </w14:textFill>
              </w:rPr>
              <w:t>事故油池、</w:t>
            </w:r>
            <w:r>
              <w:rPr>
                <w:rFonts w:hint="eastAsia"/>
                <w:color w:val="000000" w:themeColor="text1"/>
                <w14:textFill>
                  <w14:solidFill>
                    <w14:schemeClr w14:val="tx1"/>
                  </w14:solidFill>
                </w14:textFill>
              </w:rPr>
              <w:t>站内</w:t>
            </w:r>
            <w:r>
              <w:rPr>
                <w:color w:val="000000" w:themeColor="text1"/>
                <w14:textFill>
                  <w14:solidFill>
                    <w14:schemeClr w14:val="tx1"/>
                  </w14:solidFill>
                </w14:textFill>
              </w:rPr>
              <w:t>电缆沟等地下构筑物的开挖。</w:t>
            </w:r>
          </w:p>
          <w:p w14:paraId="559DD30B">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土建施工</w:t>
            </w:r>
          </w:p>
          <w:p w14:paraId="6F0FB42A">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firstLine="480" w:firstLineChars="200"/>
              <w:textAlignment w:val="auto"/>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lang w:val="zh-CN"/>
                <w14:textFill>
                  <w14:solidFill>
                    <w14:schemeClr w14:val="tx1"/>
                  </w14:solidFill>
                </w14:textFill>
              </w:rPr>
              <w:t>项目</w:t>
            </w:r>
            <w:r>
              <w:rPr>
                <w:rFonts w:hint="eastAsia"/>
                <w:color w:val="000000" w:themeColor="text1"/>
                <w14:textFill>
                  <w14:solidFill>
                    <w14:schemeClr w14:val="tx1"/>
                  </w14:solidFill>
                </w14:textFill>
              </w:rPr>
              <w:t>升压汇集站</w:t>
            </w:r>
            <w:r>
              <w:rPr>
                <w:color w:val="000000" w:themeColor="text1"/>
                <w:sz w:val="24"/>
                <w:highlight w:val="none"/>
                <w:lang w:val="zh-CN"/>
                <w14:textFill>
                  <w14:solidFill>
                    <w14:schemeClr w14:val="tx1"/>
                  </w14:solidFill>
                </w14:textFill>
              </w:rPr>
              <w:t>区的主要</w:t>
            </w:r>
            <w:r>
              <w:rPr>
                <w:rFonts w:hint="eastAsia"/>
                <w:color w:val="000000" w:themeColor="text1"/>
                <w:sz w:val="24"/>
                <w:highlight w:val="none"/>
                <w:lang w:val="zh-CN"/>
                <w14:textFill>
                  <w14:solidFill>
                    <w14:schemeClr w14:val="tx1"/>
                  </w14:solidFill>
                </w14:textFill>
              </w:rPr>
              <w:t>土建工程</w:t>
            </w:r>
            <w:r>
              <w:rPr>
                <w:rFonts w:hint="eastAsia"/>
                <w:color w:val="000000" w:themeColor="text1"/>
                <w:sz w:val="24"/>
                <w:highlight w:val="none"/>
                <w:lang w:eastAsia="zh-CN"/>
                <w14:textFill>
                  <w14:solidFill>
                    <w14:schemeClr w14:val="tx1"/>
                  </w14:solidFill>
                </w14:textFill>
              </w:rPr>
              <w:t>包括主变基础、</w:t>
            </w:r>
            <w:r>
              <w:rPr>
                <w:rFonts w:ascii="宋体" w:hAnsi="宋体" w:eastAsia="宋体" w:cs="宋体"/>
                <w:color w:val="000000" w:themeColor="text1"/>
                <w:spacing w:val="-9"/>
                <w:sz w:val="24"/>
                <w:szCs w:val="24"/>
                <w14:textFill>
                  <w14:solidFill>
                    <w14:schemeClr w14:val="tx1"/>
                  </w14:solidFill>
                </w14:textFill>
              </w:rPr>
              <w:t>配电装置</w:t>
            </w:r>
            <w:r>
              <w:rPr>
                <w:rFonts w:hint="eastAsia" w:ascii="宋体" w:hAnsi="宋体" w:cs="宋体"/>
                <w:color w:val="000000" w:themeColor="text1"/>
                <w:spacing w:val="-9"/>
                <w:sz w:val="24"/>
                <w:szCs w:val="24"/>
                <w:lang w:eastAsia="zh-CN"/>
                <w14:textFill>
                  <w14:solidFill>
                    <w14:schemeClr w14:val="tx1"/>
                  </w14:solidFill>
                </w14:textFill>
              </w:rPr>
              <w:t>基础</w:t>
            </w:r>
            <w:r>
              <w:rPr>
                <w:rFonts w:hint="eastAsia"/>
                <w:color w:val="000000" w:themeColor="text1"/>
                <w:sz w:val="24"/>
                <w:highlight w:val="none"/>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生产</w:t>
            </w:r>
            <w:r>
              <w:rPr>
                <w:rFonts w:hint="eastAsia"/>
                <w:color w:val="000000" w:themeColor="text1"/>
                <w:lang w:eastAsia="zh-CN"/>
                <w14:textFill>
                  <w14:solidFill>
                    <w14:schemeClr w14:val="tx1"/>
                  </w14:solidFill>
                </w14:textFill>
              </w:rPr>
              <w:t>综合楼</w:t>
            </w:r>
            <w:r>
              <w:rPr>
                <w:rFonts w:hint="eastAsia"/>
                <w:color w:val="000000" w:themeColor="text1"/>
                <w:sz w:val="24"/>
                <w:highlight w:val="none"/>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综合水泵房</w:t>
            </w:r>
            <w:r>
              <w:rPr>
                <w:rFonts w:hint="eastAsia"/>
                <w:color w:val="000000" w:themeColor="text1"/>
                <w:sz w:val="24"/>
                <w:highlight w:val="none"/>
                <w:lang w:eastAsia="zh-CN"/>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车库</w:t>
            </w:r>
            <w:r>
              <w:rPr>
                <w:rFonts w:hint="eastAsia"/>
                <w:color w:val="000000" w:themeColor="text1"/>
                <w:sz w:val="24"/>
                <w:highlight w:val="none"/>
                <w:lang w:eastAsia="zh-CN"/>
                <w14:textFill>
                  <w14:solidFill>
                    <w14:schemeClr w14:val="tx1"/>
                  </w14:solidFill>
                </w14:textFill>
              </w:rPr>
              <w:t>、辅助设施等，土建施工</w:t>
            </w:r>
            <w:r>
              <w:rPr>
                <w:rFonts w:ascii="宋体" w:hAnsi="宋体" w:eastAsia="宋体" w:cs="宋体"/>
                <w:color w:val="000000" w:themeColor="text1"/>
                <w:spacing w:val="-9"/>
                <w:sz w:val="24"/>
                <w:szCs w:val="24"/>
                <w14:textFill>
                  <w14:solidFill>
                    <w14:schemeClr w14:val="tx1"/>
                  </w14:solidFill>
                </w14:textFill>
              </w:rPr>
              <w:t>采用常规</w:t>
            </w:r>
            <w:r>
              <w:rPr>
                <w:rFonts w:hint="eastAsia" w:ascii="宋体" w:hAnsi="宋体" w:cs="宋体"/>
                <w:color w:val="000000" w:themeColor="text1"/>
                <w:spacing w:val="-9"/>
                <w:sz w:val="24"/>
                <w:szCs w:val="24"/>
                <w:lang w:eastAsia="zh-CN"/>
                <w14:textFill>
                  <w14:solidFill>
                    <w14:schemeClr w14:val="tx1"/>
                  </w14:solidFill>
                </w14:textFill>
              </w:rPr>
              <w:t>施工</w:t>
            </w:r>
            <w:r>
              <w:rPr>
                <w:rFonts w:ascii="宋体" w:hAnsi="宋体" w:eastAsia="宋体" w:cs="宋体"/>
                <w:color w:val="000000" w:themeColor="text1"/>
                <w:spacing w:val="-9"/>
                <w:sz w:val="24"/>
                <w:szCs w:val="24"/>
                <w14:textFill>
                  <w14:solidFill>
                    <w14:schemeClr w14:val="tx1"/>
                  </w14:solidFill>
                </w14:textFill>
              </w:rPr>
              <w:t>方法</w:t>
            </w:r>
            <w:r>
              <w:rPr>
                <w:rFonts w:hint="eastAsia" w:ascii="宋体" w:hAnsi="宋体" w:eastAsia="宋体" w:cs="宋体"/>
                <w:color w:val="000000" w:themeColor="text1"/>
                <w:spacing w:val="-9"/>
                <w:sz w:val="24"/>
                <w:szCs w:val="24"/>
                <w:lang w:eastAsia="zh-CN"/>
                <w14:textFill>
                  <w14:solidFill>
                    <w14:schemeClr w14:val="tx1"/>
                  </w14:solidFill>
                </w14:textFill>
              </w:rPr>
              <w:t>。</w:t>
            </w:r>
          </w:p>
          <w:p w14:paraId="3C30CDA0">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olor w:val="000000" w:themeColor="text1"/>
                <w:kern w:val="0"/>
                <w:sz w:val="24"/>
                <w:lang w:val="en-US" w:eastAsia="zh-CN"/>
                <w14:textFill>
                  <w14:solidFill>
                    <w14:schemeClr w14:val="tx1"/>
                  </w14:solidFill>
                </w14:textFill>
              </w:rPr>
              <w:t>电气</w:t>
            </w:r>
            <w:r>
              <w:rPr>
                <w:color w:val="000000" w:themeColor="text1"/>
                <w:kern w:val="0"/>
                <w:sz w:val="24"/>
                <w14:textFill>
                  <w14:solidFill>
                    <w14:schemeClr w14:val="tx1"/>
                  </w14:solidFill>
                </w14:textFill>
              </w:rPr>
              <w:t>设备</w:t>
            </w:r>
            <w:r>
              <w:rPr>
                <w:rFonts w:hint="eastAsia"/>
                <w:color w:val="000000" w:themeColor="text1"/>
                <w:kern w:val="0"/>
                <w:sz w:val="24"/>
                <w:lang w:val="en-US" w:eastAsia="zh-CN"/>
                <w14:textFill>
                  <w14:solidFill>
                    <w14:schemeClr w14:val="tx1"/>
                  </w14:solidFill>
                </w14:textFill>
              </w:rPr>
              <w:t>支架</w:t>
            </w:r>
            <w:r>
              <w:rPr>
                <w:color w:val="000000" w:themeColor="text1"/>
                <w:kern w:val="0"/>
                <w:sz w:val="24"/>
                <w14:textFill>
                  <w14:solidFill>
                    <w14:schemeClr w14:val="tx1"/>
                  </w14:solidFill>
                </w14:textFill>
              </w:rPr>
              <w:t>安装</w:t>
            </w:r>
            <w:r>
              <w:rPr>
                <w:rFonts w:hint="eastAsia"/>
                <w:color w:val="000000" w:themeColor="text1"/>
                <w:kern w:val="0"/>
                <w:sz w:val="24"/>
                <w:lang w:eastAsia="zh-CN"/>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设备安装调试和电气设备验收</w:t>
            </w:r>
          </w:p>
          <w:p w14:paraId="60BA9C00">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color w:val="000000" w:themeColor="text1"/>
                <w:lang w:eastAsia="zh-CN"/>
                <w14:textFill>
                  <w14:solidFill>
                    <w14:schemeClr w14:val="tx1"/>
                  </w14:solidFill>
                </w14:textFill>
              </w:rPr>
            </w:pPr>
            <w:r>
              <w:rPr>
                <w:rFonts w:hint="eastAsia"/>
                <w:color w:val="000000" w:themeColor="text1"/>
                <w:kern w:val="0"/>
                <w:sz w:val="24"/>
                <w:lang w:val="en-US" w:eastAsia="zh-CN"/>
                <w14:textFill>
                  <w14:solidFill>
                    <w14:schemeClr w14:val="tx1"/>
                  </w14:solidFill>
                </w14:textFill>
              </w:rPr>
              <w:t>安装电气设备支架，</w:t>
            </w:r>
            <w:r>
              <w:rPr>
                <w:color w:val="000000" w:themeColor="text1"/>
                <w:kern w:val="0"/>
                <w:sz w:val="24"/>
                <w14:textFill>
                  <w14:solidFill>
                    <w14:schemeClr w14:val="tx1"/>
                  </w14:solidFill>
                </w14:textFill>
              </w:rPr>
              <w:t>安装断路器、隔离开关、电压互感器、高压带电显示装置等</w:t>
            </w:r>
            <w:r>
              <w:rPr>
                <w:rFonts w:hint="eastAsia"/>
                <w:color w:val="000000" w:themeColor="text1"/>
                <w:kern w:val="0"/>
                <w:sz w:val="24"/>
                <w:lang w:val="en-US" w:eastAsia="zh-CN"/>
                <w14:textFill>
                  <w14:solidFill>
                    <w14:schemeClr w14:val="tx1"/>
                  </w14:solidFill>
                </w14:textFill>
              </w:rPr>
              <w:t>电气</w:t>
            </w:r>
            <w:r>
              <w:rPr>
                <w:color w:val="000000" w:themeColor="text1"/>
                <w:kern w:val="0"/>
                <w:sz w:val="24"/>
                <w14:textFill>
                  <w14:solidFill>
                    <w14:schemeClr w14:val="tx1"/>
                  </w14:solidFill>
                </w14:textFill>
              </w:rPr>
              <w:t>设备</w:t>
            </w:r>
            <w:r>
              <w:rPr>
                <w:rFonts w:hint="eastAsia"/>
                <w:color w:val="000000" w:themeColor="text1"/>
                <w:kern w:val="0"/>
                <w:sz w:val="24"/>
                <w:lang w:eastAsia="zh-CN"/>
                <w14:textFill>
                  <w14:solidFill>
                    <w14:schemeClr w14:val="tx1"/>
                  </w14:solidFill>
                </w14:textFill>
              </w:rPr>
              <w:t>，</w:t>
            </w:r>
            <w:r>
              <w:rPr>
                <w:color w:val="000000" w:themeColor="text1"/>
                <w14:textFill>
                  <w14:solidFill>
                    <w14:schemeClr w14:val="tx1"/>
                  </w14:solidFill>
                </w14:textFill>
              </w:rPr>
              <w:t>大型电气设备</w:t>
            </w:r>
            <w:r>
              <w:rPr>
                <w:rFonts w:hint="eastAsia"/>
                <w:color w:val="000000" w:themeColor="text1"/>
                <w:lang w:eastAsia="zh-CN"/>
                <w14:textFill>
                  <w14:solidFill>
                    <w14:schemeClr w14:val="tx1"/>
                  </w14:solidFill>
                </w14:textFill>
              </w:rPr>
              <w:t>如主变压器</w:t>
            </w:r>
            <w:r>
              <w:rPr>
                <w:color w:val="000000" w:themeColor="text1"/>
                <w14:textFill>
                  <w14:solidFill>
                    <w14:schemeClr w14:val="tx1"/>
                  </w14:solidFill>
                </w14:textFill>
              </w:rPr>
              <w:t>一般采用吊车施工</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安装完成后</w:t>
            </w:r>
            <w:r>
              <w:rPr>
                <w:rFonts w:hint="eastAsia"/>
                <w:color w:val="000000" w:themeColor="text1"/>
                <w:kern w:val="0"/>
                <w:sz w:val="24"/>
                <w:lang w:val="en-US" w:eastAsia="zh-CN"/>
                <w14:textFill>
                  <w14:solidFill>
                    <w14:schemeClr w14:val="tx1"/>
                  </w14:solidFill>
                </w14:textFill>
              </w:rPr>
              <w:t>对电气设备进行验收。</w:t>
            </w:r>
          </w:p>
          <w:p w14:paraId="02220891">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（5）施工清理及恢复</w:t>
            </w:r>
          </w:p>
          <w:p w14:paraId="581AFDA4">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14:textFill>
                  <w14:solidFill>
                    <w14:schemeClr w14:val="tx1"/>
                  </w14:solidFill>
                </w14:textFill>
              </w:rPr>
              <w:t>升压汇集站</w:t>
            </w:r>
            <w:r>
              <w:rPr>
                <w:color w:val="000000" w:themeColor="text1"/>
                <w14:textFill>
                  <w14:solidFill>
                    <w14:schemeClr w14:val="tx1"/>
                  </w14:solidFill>
                </w14:textFill>
              </w:rPr>
              <w:t>施工完毕，需</w:t>
            </w:r>
            <w:r>
              <w:rPr>
                <w:rFonts w:hint="eastAsia"/>
                <w:color w:val="000000" w:themeColor="text1"/>
                <w:lang w:val="en-US" w:eastAsia="zh-CN"/>
                <w14:textFill>
                  <w14:solidFill>
                    <w14:schemeClr w14:val="tx1"/>
                  </w14:solidFill>
                </w14:textFill>
              </w:rPr>
              <w:t>清理</w:t>
            </w:r>
            <w:r>
              <w:rPr>
                <w:color w:val="000000" w:themeColor="text1"/>
                <w14:textFill>
                  <w14:solidFill>
                    <w14:schemeClr w14:val="tx1"/>
                  </w14:solidFill>
                </w14:textFill>
              </w:rPr>
              <w:t>建筑及生活垃圾，并对场地平整，临时占地恢复原貌。</w:t>
            </w:r>
          </w:p>
          <w:p w14:paraId="74CC1F46">
            <w:pPr>
              <w:keepNext w:val="0"/>
              <w:keepLines w:val="0"/>
              <w:pageBreakBefore w:val="0"/>
              <w:widowControl w:val="0"/>
              <w:kinsoku/>
              <w:wordWrap/>
              <w:overflowPunct/>
              <w:topLinePunct w:val="0"/>
              <w:autoSpaceDE/>
              <w:autoSpaceDN/>
              <w:bidi w:val="0"/>
              <w:adjustRightInd w:val="0"/>
              <w:snapToGrid/>
              <w:spacing w:line="500" w:lineRule="exact"/>
              <w:ind w:firstLine="482" w:firstLineChars="200"/>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w:t>
            </w:r>
            <w:r>
              <w:rPr>
                <w:rFonts w:hint="eastAsia" w:cs="Times New Roman"/>
                <w:b/>
                <w:bCs/>
                <w:color w:val="000000" w:themeColor="text1"/>
                <w:kern w:val="0"/>
                <w:sz w:val="24"/>
                <w:szCs w:val="24"/>
                <w:lang w:val="en-US" w:eastAsia="zh-CN"/>
                <w14:textFill>
                  <w14:solidFill>
                    <w14:schemeClr w14:val="tx1"/>
                  </w14:solidFill>
                </w14:textFill>
              </w:rPr>
              <w:t>外送线路</w:t>
            </w:r>
            <w:r>
              <w:rPr>
                <w:rFonts w:hint="eastAsia" w:ascii="Times New Roman" w:hAnsi="Times New Roman" w:cs="Times New Roman"/>
                <w:b/>
                <w:bCs/>
                <w:color w:val="000000" w:themeColor="text1"/>
                <w:kern w:val="0"/>
                <w:sz w:val="24"/>
                <w:szCs w:val="24"/>
                <w:lang w:val="en-US" w:eastAsia="zh-CN"/>
                <w14:textFill>
                  <w14:solidFill>
                    <w14:schemeClr w14:val="tx1"/>
                  </w14:solidFill>
                </w14:textFill>
              </w:rPr>
              <w:t>工程施工</w:t>
            </w:r>
          </w:p>
          <w:p w14:paraId="208611D0">
            <w:pPr>
              <w:keepNext w:val="0"/>
              <w:keepLines w:val="0"/>
              <w:pageBreakBefore w:val="0"/>
              <w:widowControl w:val="0"/>
              <w:numPr>
                <w:ilvl w:val="0"/>
                <w:numId w:val="0"/>
              </w:numPr>
              <w:kinsoku/>
              <w:wordWrap/>
              <w:overflowPunct/>
              <w:topLinePunct w:val="0"/>
              <w:autoSpaceDE/>
              <w:autoSpaceDN/>
              <w:bidi w:val="0"/>
              <w:adjustRightInd/>
              <w:snapToGrid/>
              <w:spacing w:line="500" w:lineRule="atLeast"/>
              <w:ind w:firstLine="480" w:firstLineChars="200"/>
              <w:jc w:val="both"/>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cs="Times New Roman"/>
                <w:color w:val="000000" w:themeColor="text1"/>
                <w:kern w:val="0"/>
                <w:sz w:val="24"/>
                <w:szCs w:val="24"/>
                <w:lang w:val="en-US" w:eastAsia="zh-CN"/>
                <w14:textFill>
                  <w14:solidFill>
                    <w14:schemeClr w14:val="tx1"/>
                  </w14:solidFill>
                </w14:textFill>
              </w:rPr>
              <w:t>外送线路</w:t>
            </w:r>
            <w:r>
              <w:rPr>
                <w:rFonts w:hint="eastAsia" w:ascii="Times New Roman" w:hAnsi="Times New Roman" w:cs="Times New Roman"/>
                <w:color w:val="000000" w:themeColor="text1"/>
                <w:kern w:val="0"/>
                <w:sz w:val="24"/>
                <w:szCs w:val="24"/>
                <w:lang w:val="en-US" w:eastAsia="zh-CN"/>
                <w14:textFill>
                  <w14:solidFill>
                    <w14:schemeClr w14:val="tx1"/>
                  </w14:solidFill>
                </w14:textFill>
              </w:rPr>
              <w:t>工程施工主要有：施工准备、杆塔基础施工、杆塔组立、线路架设、接地施工、场地清理等。采用机械施工与人工施工相结合的方法进行。</w:t>
            </w:r>
          </w:p>
          <w:p w14:paraId="0D714E9E">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bookmarkStart w:id="8" w:name="_Toc2100"/>
            <w:bookmarkStart w:id="9" w:name="_Toc23873"/>
            <w:r>
              <w:rPr>
                <w:rFonts w:hint="eastAsia" w:ascii="Times New Roman" w:hAnsi="Times New Roman" w:cs="Times New Roman"/>
                <w:color w:val="000000" w:themeColor="text1"/>
                <w:kern w:val="0"/>
                <w:sz w:val="24"/>
                <w:szCs w:val="24"/>
                <w:lang w:val="en-US" w:eastAsia="zh-CN"/>
                <w14:textFill>
                  <w14:solidFill>
                    <w14:schemeClr w14:val="tx1"/>
                  </w14:solidFill>
                </w14:textFill>
              </w:rPr>
              <w:t>（1）施工准备</w:t>
            </w:r>
            <w:bookmarkEnd w:id="8"/>
            <w:bookmarkEnd w:id="9"/>
          </w:p>
          <w:p w14:paraId="3A47223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对施工场地进行清理、平整。采用GPS卫星定位系统、全站仪及经纬仪进行复测，确定施工位置并放线。施工设备和材料进场。</w:t>
            </w:r>
          </w:p>
          <w:p w14:paraId="31FFA47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bookmarkStart w:id="10" w:name="_Toc14358"/>
            <w:bookmarkStart w:id="11" w:name="_Toc8547"/>
            <w:r>
              <w:rPr>
                <w:rFonts w:hint="eastAsia" w:ascii="Times New Roman" w:hAnsi="Times New Roman" w:cs="Times New Roman"/>
                <w:color w:val="000000" w:themeColor="text1"/>
                <w:kern w:val="0"/>
                <w:sz w:val="24"/>
                <w:szCs w:val="24"/>
                <w:lang w:val="en-US" w:eastAsia="zh-CN"/>
                <w14:textFill>
                  <w14:solidFill>
                    <w14:schemeClr w14:val="tx1"/>
                  </w14:solidFill>
                </w14:textFill>
              </w:rPr>
              <w:t>（2）杆塔基础施工</w:t>
            </w:r>
            <w:bookmarkEnd w:id="10"/>
          </w:p>
          <w:p w14:paraId="2D3C180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杆塔基础施工主要包括基坑开挖、钢筋混凝土基础制作、土方回填等工序。杆塔基础施工使用的主要工程设备为挖掘机、装载机和载重卡车。</w:t>
            </w:r>
          </w:p>
          <w:p w14:paraId="6EAD4E3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①基坑开挖土方堆放在基坑附近，使用防尘网苫盖，然后对基坑底部进行处理，铺设砂砾石垫层，处理满足施工要求后进行钢筋混凝土基础施工。</w:t>
            </w:r>
          </w:p>
          <w:p w14:paraId="6BFA765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②混凝土基础施工流程为：搭设模板→绑扎钢筋→设置预埋连接件→浇筑混凝土→振捣→养护。</w:t>
            </w:r>
          </w:p>
          <w:p w14:paraId="4E708A3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③混凝土施工结束，使用开挖土方对基坑进行回填，剩余土方拉运至当地市政主管部门指定建筑垃圾填埋场填埋处置，场地清理平整，土方工程设备撤离。</w:t>
            </w:r>
          </w:p>
          <w:p w14:paraId="72B3933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bookmarkStart w:id="12" w:name="_Toc13518"/>
            <w:r>
              <w:rPr>
                <w:rFonts w:hint="eastAsia" w:ascii="Times New Roman" w:hAnsi="Times New Roman" w:cs="Times New Roman"/>
                <w:color w:val="000000" w:themeColor="text1"/>
                <w:kern w:val="0"/>
                <w:sz w:val="24"/>
                <w:szCs w:val="24"/>
                <w:lang w:val="en-US" w:eastAsia="zh-CN"/>
                <w14:textFill>
                  <w14:solidFill>
                    <w14:schemeClr w14:val="tx1"/>
                  </w14:solidFill>
                </w14:textFill>
              </w:rPr>
              <w:t>（3）杆塔组立</w:t>
            </w:r>
            <w:bookmarkEnd w:id="12"/>
          </w:p>
          <w:p w14:paraId="1473A96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杆塔采用人工配合起重机的方式组立。具体流程为：</w:t>
            </w:r>
            <w:r>
              <w:rPr>
                <w:rFonts w:hint="eastAsia" w:cs="Times New Roman"/>
                <w:color w:val="000000" w:themeColor="text1"/>
                <w:kern w:val="0"/>
                <w:sz w:val="24"/>
                <w:szCs w:val="24"/>
                <w:lang w:val="en-US" w:eastAsia="zh-CN"/>
                <w14:textFill>
                  <w14:solidFill>
                    <w14:schemeClr w14:val="tx1"/>
                  </w14:solidFill>
                </w14:textFill>
              </w:rPr>
              <w:t>杆塔</w:t>
            </w:r>
            <w:r>
              <w:rPr>
                <w:rFonts w:hint="eastAsia" w:ascii="Times New Roman" w:hAnsi="Times New Roman" w:cs="Times New Roman"/>
                <w:color w:val="000000" w:themeColor="text1"/>
                <w:kern w:val="0"/>
                <w:sz w:val="24"/>
                <w:szCs w:val="24"/>
                <w:lang w:val="en-US" w:eastAsia="zh-CN"/>
                <w14:textFill>
                  <w14:solidFill>
                    <w14:schemeClr w14:val="tx1"/>
                  </w14:solidFill>
                </w14:textFill>
              </w:rPr>
              <w:t>和吊装设备进场→杆塔组装→吊装→连接。杆塔组装施工时将塔身组装成塔片或塔段，按吊装的顺序叠放，横担部分组装成整体，以提高起重机吊装的使用效率。</w:t>
            </w:r>
          </w:p>
          <w:p w14:paraId="37F5565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bookmarkStart w:id="13" w:name="_Toc17211"/>
            <w:r>
              <w:rPr>
                <w:rFonts w:hint="eastAsia" w:ascii="Times New Roman" w:hAnsi="Times New Roman" w:cs="Times New Roman"/>
                <w:color w:val="000000" w:themeColor="text1"/>
                <w:kern w:val="0"/>
                <w:sz w:val="24"/>
                <w:szCs w:val="24"/>
                <w:lang w:val="en-US" w:eastAsia="zh-CN"/>
                <w14:textFill>
                  <w14:solidFill>
                    <w14:schemeClr w14:val="tx1"/>
                  </w14:solidFill>
                </w14:textFill>
              </w:rPr>
              <w:t>（4）线路架设、接地施工</w:t>
            </w:r>
            <w:bookmarkEnd w:id="13"/>
          </w:p>
          <w:p w14:paraId="678700B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杆塔组立完成后进行输电线路、地线和通讯线路的架设。由于项目线路转角角度较大，从安全和施工便利的角度考虑，需要设置两处牵张场地。施工工序为：牵张场地清理、平整→安装牵张设备→安装绝缘子、金具等装置→牵拉架线→安装附属装置。</w:t>
            </w:r>
          </w:p>
          <w:p w14:paraId="48F2804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牵拉架线过程各级引绳带张力逐级牵引，导引绳转换采用小张力机、小牵引机“一牵一”张力展放，导线连接采用液压机压接。地线安装采用人力展放、液压机压接。</w:t>
            </w:r>
          </w:p>
          <w:bookmarkEnd w:id="11"/>
          <w:p w14:paraId="2FAA0F7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cs="Times New Roman"/>
                <w:color w:val="000000" w:themeColor="text1"/>
                <w:kern w:val="0"/>
                <w:sz w:val="24"/>
                <w:szCs w:val="24"/>
                <w:lang w:val="en-US" w:eastAsia="zh-CN"/>
                <w14:textFill>
                  <w14:solidFill>
                    <w14:schemeClr w14:val="tx1"/>
                  </w14:solidFill>
                </w14:textFill>
              </w:rPr>
            </w:pPr>
            <w:bookmarkStart w:id="14" w:name="_Toc1779"/>
            <w:bookmarkStart w:id="15" w:name="_Toc989"/>
            <w:r>
              <w:rPr>
                <w:rFonts w:hint="eastAsia" w:ascii="Times New Roman" w:hAnsi="Times New Roman" w:cs="Times New Roman"/>
                <w:color w:val="000000" w:themeColor="text1"/>
                <w:kern w:val="0"/>
                <w:sz w:val="24"/>
                <w:szCs w:val="24"/>
                <w:lang w:val="en-US" w:eastAsia="zh-CN"/>
                <w14:textFill>
                  <w14:solidFill>
                    <w14:schemeClr w14:val="tx1"/>
                  </w14:solidFill>
                </w14:textFill>
              </w:rPr>
              <w:t>（5）</w:t>
            </w:r>
            <w:bookmarkEnd w:id="14"/>
            <w:r>
              <w:rPr>
                <w:rFonts w:hint="eastAsia" w:ascii="Times New Roman" w:hAnsi="Times New Roman" w:cs="Times New Roman"/>
                <w:color w:val="000000" w:themeColor="text1"/>
                <w:kern w:val="0"/>
                <w:sz w:val="24"/>
                <w:szCs w:val="24"/>
                <w:lang w:val="en-US" w:eastAsia="zh-CN"/>
                <w14:textFill>
                  <w14:solidFill>
                    <w14:schemeClr w14:val="tx1"/>
                  </w14:solidFill>
                </w14:textFill>
              </w:rPr>
              <w:t>场地清理</w:t>
            </w:r>
          </w:p>
          <w:p w14:paraId="58C53145">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color w:val="000000" w:themeColor="text1"/>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施工结束后，对施工场地进行清理，对地面进行平整</w:t>
            </w:r>
            <w:bookmarkEnd w:id="15"/>
            <w:r>
              <w:rPr>
                <w:rFonts w:hint="eastAsia" w:ascii="Times New Roman" w:hAnsi="Times New Roman" w:cs="Times New Roman"/>
                <w:color w:val="000000" w:themeColor="text1"/>
                <w:kern w:val="0"/>
                <w:sz w:val="24"/>
                <w:szCs w:val="24"/>
                <w:lang w:val="en-US" w:eastAsia="zh-CN"/>
                <w14:textFill>
                  <w14:solidFill>
                    <w14:schemeClr w14:val="tx1"/>
                  </w14:solidFill>
                </w14:textFill>
              </w:rPr>
              <w:t>，</w:t>
            </w:r>
            <w:r>
              <w:rPr>
                <w:rFonts w:hint="eastAsia" w:cs="Times New Roman"/>
                <w:color w:val="000000" w:themeColor="text1"/>
                <w:kern w:val="0"/>
                <w:sz w:val="24"/>
                <w:szCs w:val="24"/>
                <w:lang w:val="en-US" w:eastAsia="zh-CN"/>
                <w14:textFill>
                  <w14:solidFill>
                    <w14:schemeClr w14:val="tx1"/>
                  </w14:solidFill>
                </w14:textFill>
              </w:rPr>
              <w:t>建筑垃圾</w:t>
            </w:r>
            <w:r>
              <w:rPr>
                <w:rFonts w:hint="eastAsia" w:ascii="Times New Roman" w:hAnsi="Times New Roman" w:cs="Times New Roman"/>
                <w:color w:val="000000" w:themeColor="text1"/>
                <w:kern w:val="0"/>
                <w:sz w:val="24"/>
                <w:szCs w:val="24"/>
                <w:lang w:val="en-US" w:eastAsia="zh-CN"/>
                <w14:textFill>
                  <w14:solidFill>
                    <w14:schemeClr w14:val="tx1"/>
                  </w14:solidFill>
                </w14:textFill>
              </w:rPr>
              <w:t>清运至住建部门指定地点填埋处置</w:t>
            </w:r>
            <w:r>
              <w:rPr>
                <w:rFonts w:hint="eastAsia" w:cs="Times New Roman"/>
                <w:color w:val="000000" w:themeColor="text1"/>
                <w:kern w:val="0"/>
                <w:sz w:val="24"/>
                <w:szCs w:val="24"/>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lang w:val="en-US" w:eastAsia="zh-CN"/>
                <w14:textFill>
                  <w14:solidFill>
                    <w14:schemeClr w14:val="tx1"/>
                  </w14:solidFill>
                </w14:textFill>
              </w:rPr>
              <w:t>可回收建筑垃圾进行回收。</w:t>
            </w:r>
          </w:p>
          <w:p w14:paraId="157B0A80">
            <w:pPr>
              <w:keepNext w:val="0"/>
              <w:keepLines w:val="0"/>
              <w:pageBreakBefore w:val="0"/>
              <w:widowControl w:val="0"/>
              <w:kinsoku/>
              <w:wordWrap/>
              <w:overflowPunct/>
              <w:topLinePunct w:val="0"/>
              <w:autoSpaceDE/>
              <w:autoSpaceDN/>
              <w:bidi w:val="0"/>
              <w:adjustRightInd w:val="0"/>
              <w:snapToGrid/>
              <w:spacing w:line="500" w:lineRule="exact"/>
              <w:ind w:firstLine="482" w:firstLineChars="200"/>
              <w:textAlignment w:val="auto"/>
              <w:rPr>
                <w:rFonts w:hint="eastAsia" w:ascii="Times New Roman" w:hAnsi="Times New Roman" w:eastAsia="宋体" w:cs="Times New Roman"/>
                <w:b/>
                <w:color w:val="000000" w:themeColor="text1"/>
                <w:lang w:val="en-US" w:eastAsia="zh-CN"/>
                <w14:textFill>
                  <w14:solidFill>
                    <w14:schemeClr w14:val="tx1"/>
                  </w14:solidFill>
                </w14:textFill>
              </w:rPr>
            </w:pPr>
            <w:r>
              <w:rPr>
                <w:rFonts w:hint="eastAsia" w:cs="Times New Roman"/>
                <w:b/>
                <w:color w:val="000000" w:themeColor="text1"/>
                <w:lang w:val="en-US" w:eastAsia="zh-CN"/>
                <w14:textFill>
                  <w14:solidFill>
                    <w14:schemeClr w14:val="tx1"/>
                  </w14:solidFill>
                </w14:textFill>
              </w:rPr>
              <w:t>3.</w:t>
            </w:r>
            <w:r>
              <w:rPr>
                <w:rFonts w:hint="eastAsia" w:ascii="Times New Roman" w:hAnsi="Times New Roman" w:eastAsia="宋体" w:cs="Times New Roman"/>
                <w:b/>
                <w:color w:val="000000" w:themeColor="text1"/>
                <w:lang w:val="en-US" w:eastAsia="zh-CN"/>
                <w14:textFill>
                  <w14:solidFill>
                    <w14:schemeClr w14:val="tx1"/>
                  </w14:solidFill>
                </w14:textFill>
              </w:rPr>
              <w:t>运营期工艺流程</w:t>
            </w:r>
          </w:p>
          <w:p w14:paraId="0362EA5C">
            <w:pPr>
              <w:pStyle w:val="19"/>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jc w:val="both"/>
              <w:textAlignment w:val="auto"/>
              <w:outlineLvl w:val="9"/>
              <w:rPr>
                <w:rFonts w:hint="default" w:cs="Times New Roman"/>
                <w:color w:val="000000" w:themeColor="text1"/>
                <w:kern w:val="0"/>
                <w:highlight w:val="none"/>
                <w:lang w:val="en-US" w:eastAsia="zh-CN"/>
                <w14:textFill>
                  <w14:solidFill>
                    <w14:schemeClr w14:val="tx1"/>
                  </w14:solidFill>
                </w14:textFill>
              </w:rPr>
            </w:pPr>
            <w:r>
              <w:rPr>
                <w:rFonts w:hint="eastAsia" w:cs="Times New Roman"/>
                <w:color w:val="000000" w:themeColor="text1"/>
                <w:kern w:val="0"/>
                <w:highlight w:val="none"/>
                <w:lang w:val="en-US" w:eastAsia="zh-CN"/>
                <w14:textFill>
                  <w14:solidFill>
                    <w14:schemeClr w14:val="tx1"/>
                  </w14:solidFill>
                </w14:textFill>
              </w:rPr>
              <w:t>本项目升压汇集站</w:t>
            </w:r>
            <w:r>
              <w:rPr>
                <w:rFonts w:hint="eastAsia" w:cs="Times New Roman"/>
                <w:color w:val="000000" w:themeColor="text1"/>
                <w:kern w:val="0"/>
                <w:highlight w:val="none"/>
                <w:lang w:eastAsia="zh-CN"/>
                <w14:textFill>
                  <w14:solidFill>
                    <w14:schemeClr w14:val="tx1"/>
                  </w14:solidFill>
                </w14:textFill>
              </w:rPr>
              <w:t>运行方式以平滑新能源电厂出力和调峰为主，兼顾一定的调频调压能力，平滑新能源电厂出力时以调度计划为准，调频运行方式根据电网辅助服务市场相关要求进行。</w:t>
            </w:r>
            <w:r>
              <w:rPr>
                <w:rFonts w:hint="eastAsia" w:cs="Times New Roman"/>
                <w:color w:val="000000" w:themeColor="text1"/>
                <w:kern w:val="0"/>
                <w:highlight w:val="none"/>
                <w:lang w:val="en-US" w:eastAsia="zh-CN"/>
                <w14:textFill>
                  <w14:solidFill>
                    <w14:schemeClr w14:val="tx1"/>
                  </w14:solidFill>
                </w14:textFill>
              </w:rPr>
              <w:t>项目运行过程中接收且末750千伏变电站富余电能，经降压后将电量储存在拟建储能电站（不包含在本项目）内；</w:t>
            </w:r>
            <w:r>
              <w:rPr>
                <w:rFonts w:hint="eastAsia" w:cs="Times New Roman"/>
                <w:color w:val="000000" w:themeColor="text1"/>
                <w:kern w:val="0"/>
                <w:highlight w:val="none"/>
                <w:lang w:eastAsia="zh-CN"/>
                <w14:textFill>
                  <w14:solidFill>
                    <w14:schemeClr w14:val="tx1"/>
                  </w14:solidFill>
                </w14:textFill>
              </w:rPr>
              <w:t>电网</w:t>
            </w:r>
            <w:r>
              <w:rPr>
                <w:rFonts w:hint="eastAsia" w:cs="Times New Roman"/>
                <w:color w:val="000000" w:themeColor="text1"/>
                <w:kern w:val="0"/>
                <w:highlight w:val="none"/>
                <w:lang w:val="en-US" w:eastAsia="zh-CN"/>
                <w14:textFill>
                  <w14:solidFill>
                    <w14:schemeClr w14:val="tx1"/>
                  </w14:solidFill>
                </w14:textFill>
              </w:rPr>
              <w:t>电能不足时，本项目从储能电站调取电能，经升压后输送至且末750千伏变电站。</w:t>
            </w:r>
          </w:p>
          <w:p w14:paraId="4D4C7CC4">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4</w:t>
            </w:r>
            <w:r>
              <w:rPr>
                <w:rFonts w:hint="eastAsia"/>
                <w:b/>
                <w:color w:val="000000" w:themeColor="text1"/>
                <w14:textFill>
                  <w14:solidFill>
                    <w14:schemeClr w14:val="tx1"/>
                  </w14:solidFill>
                </w14:textFill>
              </w:rPr>
              <w:t>.</w:t>
            </w:r>
            <w:r>
              <w:rPr>
                <w:b/>
                <w:color w:val="000000" w:themeColor="text1"/>
                <w14:textFill>
                  <w14:solidFill>
                    <w14:schemeClr w14:val="tx1"/>
                  </w14:solidFill>
                </w14:textFill>
              </w:rPr>
              <w:t>建设周期</w:t>
            </w:r>
          </w:p>
          <w:p w14:paraId="27344936">
            <w:pPr>
              <w:adjustRightInd w:val="0"/>
              <w:spacing w:line="500" w:lineRule="exact"/>
              <w:ind w:firstLine="480" w:firstLineChars="200"/>
              <w:rPr>
                <w:rFonts w:hint="eastAsia"/>
                <w:bCs/>
                <w:color w:val="000000" w:themeColor="text1"/>
                <w14:textFill>
                  <w14:solidFill>
                    <w14:schemeClr w14:val="tx1"/>
                  </w14:solidFill>
                </w14:textFill>
              </w:rPr>
            </w:pPr>
            <w:r>
              <w:rPr>
                <w:bCs/>
                <w:color w:val="000000" w:themeColor="text1"/>
                <w14:textFill>
                  <w14:solidFill>
                    <w14:schemeClr w14:val="tx1"/>
                  </w14:solidFill>
                </w14:textFill>
              </w:rPr>
              <w:t>本项目预计</w:t>
            </w:r>
            <w:r>
              <w:rPr>
                <w:bCs/>
                <w:color w:val="000000" w:themeColor="text1"/>
                <w:highlight w:val="none"/>
                <w14:textFill>
                  <w14:solidFill>
                    <w14:schemeClr w14:val="tx1"/>
                  </w14:solidFill>
                </w14:textFill>
              </w:rPr>
              <w:t>202</w:t>
            </w:r>
            <w:r>
              <w:rPr>
                <w:rFonts w:hint="eastAsia"/>
                <w:bCs/>
                <w:color w:val="000000" w:themeColor="text1"/>
                <w:highlight w:val="none"/>
                <w:lang w:val="en-US" w:eastAsia="zh-CN"/>
                <w14:textFill>
                  <w14:solidFill>
                    <w14:schemeClr w14:val="tx1"/>
                  </w14:solidFill>
                </w14:textFill>
              </w:rPr>
              <w:t>6</w:t>
            </w:r>
            <w:r>
              <w:rPr>
                <w:bCs/>
                <w:color w:val="000000" w:themeColor="text1"/>
                <w:highlight w:val="none"/>
                <w14:textFill>
                  <w14:solidFill>
                    <w14:schemeClr w14:val="tx1"/>
                  </w14:solidFill>
                </w14:textFill>
              </w:rPr>
              <w:t>年</w:t>
            </w:r>
            <w:r>
              <w:rPr>
                <w:rFonts w:hint="eastAsia"/>
                <w:bCs/>
                <w:color w:val="000000" w:themeColor="text1"/>
                <w:highlight w:val="none"/>
                <w:lang w:val="en-US" w:eastAsia="zh-CN"/>
                <w14:textFill>
                  <w14:solidFill>
                    <w14:schemeClr w14:val="tx1"/>
                  </w14:solidFill>
                </w14:textFill>
              </w:rPr>
              <w:t>10</w:t>
            </w:r>
            <w:r>
              <w:rPr>
                <w:bCs/>
                <w:color w:val="000000" w:themeColor="text1"/>
                <w:highlight w:val="none"/>
                <w14:textFill>
                  <w14:solidFill>
                    <w14:schemeClr w14:val="tx1"/>
                  </w14:solidFill>
                </w14:textFill>
              </w:rPr>
              <w:t>月</w:t>
            </w:r>
            <w:r>
              <w:rPr>
                <w:bCs/>
                <w:color w:val="000000" w:themeColor="text1"/>
                <w14:textFill>
                  <w14:solidFill>
                    <w14:schemeClr w14:val="tx1"/>
                  </w14:solidFill>
                </w14:textFill>
              </w:rPr>
              <w:t>开工建设</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202</w:t>
            </w:r>
            <w:r>
              <w:rPr>
                <w:rFonts w:hint="eastAsia"/>
                <w:bCs/>
                <w:color w:val="000000" w:themeColor="text1"/>
                <w:lang w:val="en-US" w:eastAsia="zh-CN"/>
                <w14:textFill>
                  <w14:solidFill>
                    <w14:schemeClr w14:val="tx1"/>
                  </w14:solidFill>
                </w14:textFill>
              </w:rPr>
              <w:t>7</w:t>
            </w:r>
            <w:r>
              <w:rPr>
                <w:bCs/>
                <w:color w:val="000000" w:themeColor="text1"/>
                <w14:textFill>
                  <w14:solidFill>
                    <w14:schemeClr w14:val="tx1"/>
                  </w14:solidFill>
                </w14:textFill>
              </w:rPr>
              <w:t>年</w:t>
            </w:r>
            <w:r>
              <w:rPr>
                <w:rFonts w:hint="eastAsia"/>
                <w:bCs/>
                <w:color w:val="000000" w:themeColor="text1"/>
                <w:lang w:val="en-US" w:eastAsia="zh-CN"/>
                <w14:textFill>
                  <w14:solidFill>
                    <w14:schemeClr w14:val="tx1"/>
                  </w14:solidFill>
                </w14:textFill>
              </w:rPr>
              <w:t>7</w:t>
            </w:r>
            <w:r>
              <w:rPr>
                <w:bCs/>
                <w:color w:val="000000" w:themeColor="text1"/>
                <w14:textFill>
                  <w14:solidFill>
                    <w14:schemeClr w14:val="tx1"/>
                  </w14:solidFill>
                </w14:textFill>
              </w:rPr>
              <w:t>月完工，建设期</w:t>
            </w:r>
            <w:r>
              <w:rPr>
                <w:rFonts w:hint="eastAsia"/>
                <w:bCs/>
                <w:color w:val="000000" w:themeColor="text1"/>
                <w:lang w:val="en-US" w:eastAsia="zh-CN"/>
                <w14:textFill>
                  <w14:solidFill>
                    <w14:schemeClr w14:val="tx1"/>
                  </w14:solidFill>
                </w14:textFill>
              </w:rPr>
              <w:t>6</w:t>
            </w:r>
            <w:r>
              <w:rPr>
                <w:bCs/>
                <w:color w:val="000000" w:themeColor="text1"/>
                <w14:textFill>
                  <w14:solidFill>
                    <w14:schemeClr w14:val="tx1"/>
                  </w14:solidFill>
                </w14:textFill>
              </w:rPr>
              <w:t>个月</w:t>
            </w:r>
            <w:r>
              <w:rPr>
                <w:rFonts w:hint="eastAsia"/>
                <w:bCs/>
                <w:color w:val="000000" w:themeColor="text1"/>
                <w14:textFill>
                  <w14:solidFill>
                    <w14:schemeClr w14:val="tx1"/>
                  </w14:solidFill>
                </w14:textFill>
              </w:rPr>
              <w:t>。</w:t>
            </w:r>
          </w:p>
          <w:p w14:paraId="203EEA19">
            <w:pPr>
              <w:adjustRightInd w:val="0"/>
              <w:spacing w:line="500" w:lineRule="exact"/>
              <w:ind w:firstLine="480" w:firstLineChars="200"/>
              <w:rPr>
                <w:rFonts w:hint="eastAsia" w:eastAsia="宋体"/>
                <w:bCs/>
                <w:color w:val="000000" w:themeColor="text1"/>
                <w:lang w:eastAsia="zh-CN"/>
                <w14:textFill>
                  <w14:solidFill>
                    <w14:schemeClr w14:val="tx1"/>
                  </w14:solidFill>
                </w14:textFill>
              </w:rPr>
            </w:pPr>
          </w:p>
        </w:tc>
      </w:tr>
      <w:tr w14:paraId="524F1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320" w:type="pct"/>
            <w:vAlign w:val="center"/>
          </w:tcPr>
          <w:p w14:paraId="25AE6880">
            <w:pPr>
              <w:adjustRightInd w:val="0"/>
              <w:snapToGrid w:val="0"/>
              <w:jc w:val="center"/>
              <w:rPr>
                <w:color w:val="000000" w:themeColor="text1"/>
                <w:kern w:val="0"/>
                <w14:textFill>
                  <w14:solidFill>
                    <w14:schemeClr w14:val="tx1"/>
                  </w14:solidFill>
                </w14:textFill>
              </w:rPr>
            </w:pPr>
            <w:r>
              <w:rPr>
                <w:color w:val="000000" w:themeColor="text1"/>
                <w:kern w:val="0"/>
                <w14:textFill>
                  <w14:solidFill>
                    <w14:schemeClr w14:val="tx1"/>
                  </w14:solidFill>
                </w14:textFill>
              </w:rPr>
              <w:t>其他</w:t>
            </w:r>
          </w:p>
        </w:tc>
        <w:tc>
          <w:tcPr>
            <w:tcW w:w="4679" w:type="pct"/>
            <w:vAlign w:val="center"/>
          </w:tcPr>
          <w:p w14:paraId="26469CB2">
            <w:pPr>
              <w:pStyle w:val="19"/>
              <w:ind w:left="480" w:leftChars="200" w:firstLine="0" w:firstLineChars="0"/>
              <w:rPr>
                <w:color w:val="000000" w:themeColor="text1"/>
                <w14:textFill>
                  <w14:solidFill>
                    <w14:schemeClr w14:val="tx1"/>
                  </w14:solidFill>
                </w14:textFill>
              </w:rPr>
            </w:pPr>
            <w:r>
              <w:rPr>
                <w:color w:val="000000" w:themeColor="text1"/>
                <w14:textFill>
                  <w14:solidFill>
                    <w14:schemeClr w14:val="tx1"/>
                  </w14:solidFill>
                </w14:textFill>
              </w:rPr>
              <w:t>无</w:t>
            </w:r>
          </w:p>
        </w:tc>
      </w:tr>
    </w:tbl>
    <w:p w14:paraId="5B9FE067">
      <w:pPr>
        <w:pStyle w:val="22"/>
        <w:adjustRightInd w:val="0"/>
        <w:snapToGrid w:val="0"/>
        <w:spacing w:before="0" w:beforeAutospacing="0" w:after="0" w:afterAutospacing="0" w:line="360" w:lineRule="auto"/>
        <w:jc w:val="center"/>
        <w:outlineLvl w:val="0"/>
        <w:rPr>
          <w:rFonts w:ascii="Times New Roman" w:hAnsi="Times New Roman"/>
          <w:snapToGrid w:val="0"/>
          <w:color w:val="000000" w:themeColor="text1"/>
          <w:sz w:val="30"/>
          <w:szCs w:val="30"/>
          <w14:textFill>
            <w14:solidFill>
              <w14:schemeClr w14:val="tx1"/>
            </w14:solidFill>
          </w14:textFill>
        </w:rPr>
      </w:pPr>
      <w:r>
        <w:rPr>
          <w:b/>
          <w:bCs/>
          <w:color w:val="000000" w:themeColor="text1"/>
          <w14:textFill>
            <w14:solidFill>
              <w14:schemeClr w14:val="tx1"/>
            </w14:solidFill>
          </w14:textFill>
        </w:rPr>
        <w:br w:type="page"/>
      </w:r>
      <w:bookmarkStart w:id="16" w:name="_Toc26104"/>
      <w:bookmarkStart w:id="17" w:name="_Toc10759"/>
      <w:bookmarkStart w:id="18" w:name="_Toc25980"/>
      <w:bookmarkStart w:id="19" w:name="_Toc17783"/>
      <w:r>
        <w:rPr>
          <w:rFonts w:ascii="Times New Roman" w:hAnsi="Times New Roman"/>
          <w:b/>
          <w:bCs/>
          <w:snapToGrid w:val="0"/>
          <w:color w:val="000000" w:themeColor="text1"/>
          <w:sz w:val="30"/>
          <w:szCs w:val="30"/>
          <w14:textFill>
            <w14:solidFill>
              <w14:schemeClr w14:val="tx1"/>
            </w14:solidFill>
          </w14:textFill>
        </w:rPr>
        <w:t>三、生态环境现状、保护目标及评价标准</w:t>
      </w:r>
      <w:bookmarkEnd w:id="16"/>
      <w:bookmarkEnd w:id="17"/>
      <w:bookmarkEnd w:id="18"/>
      <w:bookmarkEnd w:id="19"/>
    </w:p>
    <w:tbl>
      <w:tblPr>
        <w:tblStyle w:val="2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1"/>
        <w:gridCol w:w="8250"/>
      </w:tblGrid>
      <w:tr w14:paraId="0614B7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68" w:hRule="atLeast"/>
          <w:jc w:val="center"/>
        </w:trPr>
        <w:tc>
          <w:tcPr>
            <w:tcW w:w="821" w:type="dxa"/>
            <w:vAlign w:val="center"/>
          </w:tcPr>
          <w:p w14:paraId="20900A62">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生态环境现状</w:t>
            </w:r>
          </w:p>
        </w:tc>
        <w:tc>
          <w:tcPr>
            <w:tcW w:w="8250" w:type="dxa"/>
            <w:vAlign w:val="center"/>
          </w:tcPr>
          <w:p w14:paraId="30D7A144">
            <w:pPr>
              <w:pStyle w:val="56"/>
              <w:keepNext w:val="0"/>
              <w:keepLines w:val="0"/>
              <w:pageBreakBefore w:val="0"/>
              <w:kinsoku/>
              <w:wordWrap/>
              <w:overflowPunct/>
              <w:topLinePunct w:val="0"/>
              <w:autoSpaceDE/>
              <w:autoSpaceDN/>
              <w:bidi w:val="0"/>
              <w:spacing w:line="500" w:lineRule="exact"/>
              <w:ind w:firstLine="482"/>
              <w:textAlignment w:val="auto"/>
              <w:rPr>
                <w:color w:val="000000" w:themeColor="text1"/>
                <w14:textFill>
                  <w14:solidFill>
                    <w14:schemeClr w14:val="tx1"/>
                  </w14:solidFill>
                </w14:textFill>
              </w:rPr>
            </w:pPr>
            <w:r>
              <w:rPr>
                <w:rFonts w:hint="eastAsia"/>
                <w:b/>
                <w:bCs/>
                <w:color w:val="000000" w:themeColor="text1"/>
                <w14:textFill>
                  <w14:solidFill>
                    <w14:schemeClr w14:val="tx1"/>
                  </w14:solidFill>
                </w14:textFill>
              </w:rPr>
              <w:t>1.新疆维吾尔自治区主体功能区规划情况</w:t>
            </w:r>
          </w:p>
          <w:p w14:paraId="62C9C562">
            <w:pPr>
              <w:pStyle w:val="56"/>
              <w:keepNext w:val="0"/>
              <w:keepLines w:val="0"/>
              <w:pageBreakBefore w:val="0"/>
              <w:kinsoku/>
              <w:wordWrap/>
              <w:overflowPunct/>
              <w:topLinePunct w:val="0"/>
              <w:autoSpaceDE/>
              <w:autoSpaceDN/>
              <w:bidi w:val="0"/>
              <w:snapToGrid/>
              <w:spacing w:line="500" w:lineRule="exact"/>
              <w:jc w:val="both"/>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根据《新疆维吾尔自治区主体功能区规划》，新疆主体功能区按开发方式，分为重点开发区域、限制开发区域和禁止开发区域；按开发内容，分为城市化地区、农产品主产区</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重点生态功能区三类；按层级，分为国家和自治区级两个层面。</w:t>
            </w:r>
          </w:p>
          <w:p w14:paraId="5271C004">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本项目位于新疆维吾尔自治区巴音郭楞蒙古自治州且末县，不属于主体功能区划中确定的国家和自治区层面的禁止开发区域。对照《新疆维吾尔自治区主体功能区规划》的划分，属于国家级新疆重点生态功能区中的阿尔金草原荒漠化防治生态功能区，为限制开发区域，其主要特征见表3-1。</w:t>
            </w:r>
          </w:p>
          <w:p w14:paraId="7F854BC8">
            <w:pPr>
              <w:pStyle w:val="56"/>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default" w:ascii="黑体" w:hAnsi="黑体" w:eastAsia="黑体" w:cs="黑体"/>
                <w:color w:val="000000" w:themeColor="text1"/>
                <w:kern w:val="2"/>
                <w:sz w:val="21"/>
                <w:szCs w:val="21"/>
                <w:lang w:val="en-US" w:eastAsia="zh-CN" w:bidi="ar-SA"/>
                <w14:textFill>
                  <w14:solidFill>
                    <w14:schemeClr w14:val="tx1"/>
                  </w14:solidFill>
                </w14:textFill>
              </w:rPr>
            </w:pPr>
            <w:r>
              <w:rPr>
                <w:rFonts w:hint="eastAsia" w:ascii="黑体" w:hAnsi="黑体" w:eastAsia="黑体" w:cs="黑体"/>
                <w:color w:val="000000" w:themeColor="text1"/>
                <w:kern w:val="2"/>
                <w:sz w:val="21"/>
                <w:szCs w:val="21"/>
                <w:lang w:val="en-US" w:eastAsia="zh-CN" w:bidi="ar-SA"/>
                <w14:textFill>
                  <w14:solidFill>
                    <w14:schemeClr w14:val="tx1"/>
                  </w14:solidFill>
                </w14:textFill>
              </w:rPr>
              <w:t>表3-1   本项目所属生态功能区的类型和发展方向</w:t>
            </w:r>
          </w:p>
          <w:tbl>
            <w:tblPr>
              <w:tblStyle w:val="28"/>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6968"/>
            </w:tblGrid>
            <w:tr w14:paraId="69F245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vAlign w:val="center"/>
                </w:tcPr>
                <w:p w14:paraId="43929F23">
                  <w:pPr>
                    <w:pStyle w:val="5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000000" w:themeColor="text1"/>
                      <w:sz w:val="21"/>
                      <w:szCs w:val="21"/>
                      <w:vertAlign w:val="baseline"/>
                      <w:lang w:eastAsia="zh-CN"/>
                      <w14:textFill>
                        <w14:solidFill>
                          <w14:schemeClr w14:val="tx1"/>
                        </w14:solidFill>
                      </w14:textFill>
                    </w:rPr>
                  </w:pPr>
                  <w:r>
                    <w:rPr>
                      <w:rFonts w:hint="eastAsia"/>
                      <w:b/>
                      <w:bCs/>
                      <w:color w:val="000000" w:themeColor="text1"/>
                      <w:sz w:val="21"/>
                      <w:szCs w:val="21"/>
                      <w:vertAlign w:val="baseline"/>
                      <w:lang w:eastAsia="zh-CN"/>
                      <w14:textFill>
                        <w14:solidFill>
                          <w14:schemeClr w14:val="tx1"/>
                        </w14:solidFill>
                      </w14:textFill>
                    </w:rPr>
                    <w:t>重点生态功能区</w:t>
                  </w:r>
                </w:p>
              </w:tc>
              <w:tc>
                <w:tcPr>
                  <w:tcW w:w="6968" w:type="dxa"/>
                  <w:tcBorders>
                    <w:tl2br w:val="nil"/>
                    <w:tr2bl w:val="nil"/>
                  </w:tcBorders>
                  <w:vAlign w:val="center"/>
                </w:tcPr>
                <w:p w14:paraId="4E68A456">
                  <w:pPr>
                    <w:pStyle w:val="5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themeColor="text1"/>
                      <w:sz w:val="21"/>
                      <w:szCs w:val="21"/>
                      <w:vertAlign w:val="baseline"/>
                      <w:lang w:eastAsia="zh-CN"/>
                      <w14:textFill>
                        <w14:solidFill>
                          <w14:schemeClr w14:val="tx1"/>
                        </w14:solidFill>
                      </w14:textFill>
                    </w:rPr>
                  </w:pPr>
                  <w:r>
                    <w:rPr>
                      <w:rFonts w:hint="eastAsia"/>
                      <w:color w:val="000000" w:themeColor="text1"/>
                      <w:sz w:val="21"/>
                      <w:szCs w:val="21"/>
                      <w:vertAlign w:val="baseline"/>
                      <w:lang w:eastAsia="zh-CN"/>
                      <w14:textFill>
                        <w14:solidFill>
                          <w14:schemeClr w14:val="tx1"/>
                        </w14:solidFill>
                      </w14:textFill>
                    </w:rPr>
                    <w:t>阿尔金草原荒漠化防治生态功能区</w:t>
                  </w:r>
                </w:p>
              </w:tc>
            </w:tr>
            <w:tr w14:paraId="1DBE06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vAlign w:val="center"/>
                </w:tcPr>
                <w:p w14:paraId="69C3A150">
                  <w:pPr>
                    <w:pStyle w:val="5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000000" w:themeColor="text1"/>
                      <w:sz w:val="21"/>
                      <w:szCs w:val="21"/>
                      <w:vertAlign w:val="baseline"/>
                      <w:lang w:eastAsia="zh-CN"/>
                      <w14:textFill>
                        <w14:solidFill>
                          <w14:schemeClr w14:val="tx1"/>
                        </w14:solidFill>
                      </w14:textFill>
                    </w:rPr>
                  </w:pPr>
                  <w:r>
                    <w:rPr>
                      <w:rFonts w:hint="eastAsia"/>
                      <w:b/>
                      <w:bCs/>
                      <w:color w:val="000000" w:themeColor="text1"/>
                      <w:sz w:val="21"/>
                      <w:szCs w:val="21"/>
                      <w:vertAlign w:val="baseline"/>
                      <w:lang w:eastAsia="zh-CN"/>
                      <w14:textFill>
                        <w14:solidFill>
                          <w14:schemeClr w14:val="tx1"/>
                        </w14:solidFill>
                      </w14:textFill>
                    </w:rPr>
                    <w:t>类型</w:t>
                  </w:r>
                </w:p>
              </w:tc>
              <w:tc>
                <w:tcPr>
                  <w:tcW w:w="6968" w:type="dxa"/>
                  <w:tcBorders>
                    <w:tl2br w:val="nil"/>
                    <w:tr2bl w:val="nil"/>
                  </w:tcBorders>
                  <w:vAlign w:val="center"/>
                </w:tcPr>
                <w:p w14:paraId="53FF3BCF">
                  <w:pPr>
                    <w:pStyle w:val="5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00" w:themeColor="text1"/>
                      <w:sz w:val="21"/>
                      <w:szCs w:val="21"/>
                      <w:vertAlign w:val="baseline"/>
                      <w:lang w:eastAsia="zh-CN"/>
                      <w14:textFill>
                        <w14:solidFill>
                          <w14:schemeClr w14:val="tx1"/>
                        </w14:solidFill>
                      </w14:textFill>
                    </w:rPr>
                  </w:pPr>
                  <w:r>
                    <w:rPr>
                      <w:rFonts w:hint="eastAsia"/>
                      <w:color w:val="000000" w:themeColor="text1"/>
                      <w:sz w:val="21"/>
                      <w:szCs w:val="21"/>
                      <w:vertAlign w:val="baseline"/>
                      <w:lang w:eastAsia="zh-CN"/>
                      <w14:textFill>
                        <w14:solidFill>
                          <w14:schemeClr w14:val="tx1"/>
                        </w14:solidFill>
                      </w14:textFill>
                    </w:rPr>
                    <w:t>防风固沙</w:t>
                  </w:r>
                </w:p>
              </w:tc>
            </w:tr>
            <w:tr w14:paraId="70CA71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vAlign w:val="center"/>
                </w:tcPr>
                <w:p w14:paraId="06059877">
                  <w:pPr>
                    <w:pStyle w:val="5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000000" w:themeColor="text1"/>
                      <w:sz w:val="21"/>
                      <w:szCs w:val="21"/>
                      <w:vertAlign w:val="baseline"/>
                      <w:lang w:eastAsia="zh-CN"/>
                      <w14:textFill>
                        <w14:solidFill>
                          <w14:schemeClr w14:val="tx1"/>
                        </w14:solidFill>
                      </w14:textFill>
                    </w:rPr>
                  </w:pPr>
                  <w:r>
                    <w:rPr>
                      <w:rFonts w:hint="eastAsia"/>
                      <w:b/>
                      <w:bCs/>
                      <w:color w:val="000000" w:themeColor="text1"/>
                      <w:sz w:val="21"/>
                      <w:szCs w:val="21"/>
                      <w:vertAlign w:val="baseline"/>
                      <w:lang w:eastAsia="zh-CN"/>
                      <w14:textFill>
                        <w14:solidFill>
                          <w14:schemeClr w14:val="tx1"/>
                        </w14:solidFill>
                      </w14:textFill>
                    </w:rPr>
                    <w:t>综合评价</w:t>
                  </w:r>
                </w:p>
              </w:tc>
              <w:tc>
                <w:tcPr>
                  <w:tcW w:w="6968" w:type="dxa"/>
                  <w:tcBorders>
                    <w:tl2br w:val="nil"/>
                    <w:tr2bl w:val="nil"/>
                  </w:tcBorders>
                  <w:vAlign w:val="center"/>
                </w:tcPr>
                <w:p w14:paraId="3833B095">
                  <w:pPr>
                    <w:pStyle w:val="5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000000" w:themeColor="text1"/>
                      <w:sz w:val="21"/>
                      <w:szCs w:val="21"/>
                      <w:vertAlign w:val="baseline"/>
                      <w:lang w:eastAsia="zh-CN"/>
                      <w14:textFill>
                        <w14:solidFill>
                          <w14:schemeClr w14:val="tx1"/>
                        </w14:solidFill>
                      </w14:textFill>
                    </w:rPr>
                  </w:pPr>
                  <w:r>
                    <w:rPr>
                      <w:rFonts w:hint="eastAsia"/>
                      <w:color w:val="000000" w:themeColor="text1"/>
                      <w:sz w:val="21"/>
                      <w:szCs w:val="21"/>
                      <w:vertAlign w:val="baseline"/>
                      <w:lang w:eastAsia="zh-CN"/>
                      <w14:textFill>
                        <w14:solidFill>
                          <w14:schemeClr w14:val="tx1"/>
                        </w14:solidFill>
                      </w14:textFill>
                    </w:rPr>
                    <w:t>气候极为干旱，地表植被稀少，保存着完整的高原自然生态系统，拥有许多极为珍贵的特有物种，土地沙漠化敏感程度极高。目前鼠害肆虐，土地荒漠化加剧，珍稀动植物的生存受到威胁。</w:t>
                  </w:r>
                </w:p>
              </w:tc>
            </w:tr>
            <w:tr w14:paraId="34FD0B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66" w:type="dxa"/>
                  <w:tcBorders>
                    <w:tl2br w:val="nil"/>
                    <w:tr2bl w:val="nil"/>
                  </w:tcBorders>
                  <w:vAlign w:val="center"/>
                </w:tcPr>
                <w:p w14:paraId="2D16C065">
                  <w:pPr>
                    <w:pStyle w:val="5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000000" w:themeColor="text1"/>
                      <w:sz w:val="21"/>
                      <w:szCs w:val="21"/>
                      <w:vertAlign w:val="baseline"/>
                      <w:lang w:eastAsia="zh-CN"/>
                      <w14:textFill>
                        <w14:solidFill>
                          <w14:schemeClr w14:val="tx1"/>
                        </w14:solidFill>
                      </w14:textFill>
                    </w:rPr>
                  </w:pPr>
                  <w:r>
                    <w:rPr>
                      <w:rFonts w:hint="eastAsia"/>
                      <w:b/>
                      <w:bCs/>
                      <w:color w:val="000000" w:themeColor="text1"/>
                      <w:sz w:val="21"/>
                      <w:szCs w:val="21"/>
                      <w:vertAlign w:val="baseline"/>
                      <w:lang w:eastAsia="zh-CN"/>
                      <w14:textFill>
                        <w14:solidFill>
                          <w14:schemeClr w14:val="tx1"/>
                        </w14:solidFill>
                      </w14:textFill>
                    </w:rPr>
                    <w:t>发展方向</w:t>
                  </w:r>
                </w:p>
              </w:tc>
              <w:tc>
                <w:tcPr>
                  <w:tcW w:w="6968" w:type="dxa"/>
                  <w:tcBorders>
                    <w:tl2br w:val="nil"/>
                    <w:tr2bl w:val="nil"/>
                  </w:tcBorders>
                  <w:vAlign w:val="center"/>
                </w:tcPr>
                <w:p w14:paraId="795CBF6C">
                  <w:pPr>
                    <w:pStyle w:val="5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color w:val="000000" w:themeColor="text1"/>
                      <w:sz w:val="21"/>
                      <w:szCs w:val="21"/>
                      <w:vertAlign w:val="baseline"/>
                      <w:lang w:eastAsia="zh-CN"/>
                      <w14:textFill>
                        <w14:solidFill>
                          <w14:schemeClr w14:val="tx1"/>
                        </w14:solidFill>
                      </w14:textFill>
                    </w:rPr>
                  </w:pPr>
                  <w:r>
                    <w:rPr>
                      <w:rFonts w:hint="eastAsia"/>
                      <w:color w:val="000000" w:themeColor="text1"/>
                      <w:sz w:val="21"/>
                      <w:szCs w:val="21"/>
                      <w:vertAlign w:val="baseline"/>
                      <w:lang w:eastAsia="zh-CN"/>
                      <w14:textFill>
                        <w14:solidFill>
                          <w14:schemeClr w14:val="tx1"/>
                        </w14:solidFill>
                      </w14:textFill>
                    </w:rPr>
                    <w:t>控制放牧和旅游区范围，防范盗猎，减少人类活动干扰。</w:t>
                  </w:r>
                </w:p>
              </w:tc>
            </w:tr>
          </w:tbl>
          <w:p w14:paraId="001C025A">
            <w:pPr>
              <w:pStyle w:val="56"/>
              <w:keepNext w:val="0"/>
              <w:keepLines w:val="0"/>
              <w:pageBreakBefore w:val="0"/>
              <w:kinsoku/>
              <w:wordWrap/>
              <w:overflowPunct/>
              <w:topLinePunct w:val="0"/>
              <w:autoSpaceDE/>
              <w:autoSpaceDN/>
              <w:bidi w:val="0"/>
              <w:snapToGrid/>
              <w:spacing w:line="500" w:lineRule="exact"/>
              <w:jc w:val="both"/>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开发原则：</w:t>
            </w:r>
          </w:p>
          <w:p w14:paraId="6B76D7C3">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建设基础设施控制在尽可能小的空间范围之内；根据资源环境承载能力合理布局能源基地和矿产基地，尽可能减少对农业空间、生态空间的占用并同步修复生态环境；加强县城和中心镇的基础设施建设；积极推广新能源，努力解决农村、山区能源需求</w:t>
            </w:r>
            <w:r>
              <w:rPr>
                <w:rFonts w:hint="eastAsia" w:cs="Times New Roman"/>
                <w:color w:val="000000" w:themeColor="text1"/>
                <w:kern w:val="0"/>
                <w:sz w:val="24"/>
                <w:szCs w:val="24"/>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提高公共服务供给能力和水平。</w:t>
            </w:r>
          </w:p>
          <w:p w14:paraId="608143C1">
            <w:pPr>
              <w:pStyle w:val="56"/>
              <w:keepNext w:val="0"/>
              <w:keepLines w:val="0"/>
              <w:pageBreakBefore w:val="0"/>
              <w:kinsoku/>
              <w:wordWrap/>
              <w:overflowPunct/>
              <w:topLinePunct w:val="0"/>
              <w:autoSpaceDE/>
              <w:autoSpaceDN/>
              <w:bidi w:val="0"/>
              <w:snapToGrid/>
              <w:spacing w:line="500" w:lineRule="exact"/>
              <w:jc w:val="both"/>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相符性分析：</w:t>
            </w:r>
          </w:p>
          <w:p w14:paraId="43D8CA21">
            <w:pPr>
              <w:keepNext w:val="0"/>
              <w:keepLines w:val="0"/>
              <w:pageBreakBefore w:val="0"/>
              <w:widowControl/>
              <w:suppressLineNumbers w:val="0"/>
              <w:kinsoku/>
              <w:wordWrap/>
              <w:overflowPunct/>
              <w:topLinePunct w:val="0"/>
              <w:autoSpaceDE/>
              <w:autoSpaceDN/>
              <w:bidi w:val="0"/>
              <w:adjustRightInd/>
              <w:snapToGrid/>
              <w:spacing w:line="500" w:lineRule="exact"/>
              <w:ind w:firstLine="480" w:firstLineChars="200"/>
              <w:jc w:val="both"/>
              <w:textAlignment w:val="auto"/>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本项目为新能源项目，符合以上“加强县城和中心镇的基础设施建设；积极推广新能源”的开发原则；本项目所占土地类型主要为</w:t>
            </w:r>
            <w:r>
              <w:rPr>
                <w:rFonts w:hint="eastAsia" w:cs="Times New Roman"/>
                <w:color w:val="000000" w:themeColor="text1"/>
                <w:kern w:val="0"/>
                <w:sz w:val="24"/>
                <w:szCs w:val="24"/>
                <w:lang w:val="en-US" w:eastAsia="zh-CN" w:bidi="ar-SA"/>
                <w14:textFill>
                  <w14:solidFill>
                    <w14:schemeClr w14:val="tx1"/>
                  </w14:solidFill>
                </w14:textFill>
              </w:rPr>
              <w:t>沙地及后备耕地（现状为其他草地）</w:t>
            </w:r>
            <w:r>
              <w:rPr>
                <w:rFonts w:hint="eastAsia" w:ascii="Times New Roman" w:hAnsi="Times New Roman" w:eastAsia="宋体" w:cs="Times New Roman"/>
                <w:color w:val="000000" w:themeColor="text1"/>
                <w:kern w:val="0"/>
                <w:sz w:val="24"/>
                <w:szCs w:val="24"/>
                <w:lang w:val="en-US" w:eastAsia="zh-CN" w:bidi="ar-SA"/>
                <w14:textFill>
                  <w14:solidFill>
                    <w14:schemeClr w14:val="tx1"/>
                  </w14:solidFill>
                </w14:textFill>
              </w:rPr>
              <w:t>，本环评已提出尽量少占用土地及施工后的生态恢复相关要求，同时要求建设单位需对开发活动严格控制，尽可能减少对生态系统的干扰；在项目实施过程中积极采取生态保护措施，注意保护野生动物，保护地貌，维护自然生态环境，积极落实本环评提出的各项生态环境保护措施，因此，本项目建设符合《新疆维吾尔自治区主体功能区规划》对于工程区块的限制开发原则，与区域生态功能的保护是协调的。</w:t>
            </w:r>
          </w:p>
          <w:p w14:paraId="0721D173">
            <w:pPr>
              <w:pStyle w:val="56"/>
              <w:keepNext w:val="0"/>
              <w:keepLines w:val="0"/>
              <w:pageBreakBefore w:val="0"/>
              <w:kinsoku/>
              <w:wordWrap/>
              <w:overflowPunct/>
              <w:topLinePunct w:val="0"/>
              <w:autoSpaceDE/>
              <w:autoSpaceDN/>
              <w:bidi w:val="0"/>
              <w:spacing w:line="500" w:lineRule="exact"/>
              <w:ind w:firstLine="482"/>
              <w:textAlignment w:val="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2.新疆维吾尔自治区生态功能区划情况</w:t>
            </w:r>
          </w:p>
          <w:p w14:paraId="3A04C76D">
            <w:pPr>
              <w:keepNext w:val="0"/>
              <w:keepLines w:val="0"/>
              <w:pageBreakBefore w:val="0"/>
              <w:kinsoku/>
              <w:wordWrap/>
              <w:overflowPunct/>
              <w:topLinePunct w:val="0"/>
              <w:autoSpaceDE/>
              <w:autoSpaceDN/>
              <w:bidi w:val="0"/>
              <w:spacing w:line="500" w:lineRule="exact"/>
              <w:ind w:firstLine="480" w:firstLineChars="200"/>
              <w:textAlignment w:val="auto"/>
              <w:rPr>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根据《新疆生态功能区划》，本项目所在区域属于</w:t>
            </w:r>
            <w:r>
              <w:rPr>
                <w:rFonts w:hint="eastAsia"/>
                <w:color w:val="000000" w:themeColor="text1"/>
                <w:kern w:val="0"/>
                <w:lang w:eastAsia="zh-CN"/>
                <w14:textFill>
                  <w14:solidFill>
                    <w14:schemeClr w14:val="tx1"/>
                  </w14:solidFill>
                </w14:textFill>
              </w:rPr>
              <w:t>塔里木盆地暖温荒漠及绿洲农业生态区</w:t>
            </w:r>
            <w:r>
              <w:rPr>
                <w:rFonts w:hint="eastAsia"/>
                <w:color w:val="000000" w:themeColor="text1"/>
                <w:kern w:val="0"/>
                <w14:textFill>
                  <w14:solidFill>
                    <w14:schemeClr w14:val="tx1"/>
                  </w14:solidFill>
                </w14:textFill>
              </w:rPr>
              <w:t>（Ⅳ）—</w:t>
            </w:r>
            <w:r>
              <w:rPr>
                <w:rFonts w:hint="default"/>
                <w:color w:val="000000" w:themeColor="text1"/>
                <w:kern w:val="0"/>
                <w:lang w:eastAsia="zh-CN"/>
                <w14:textFill>
                  <w14:solidFill>
                    <w14:schemeClr w14:val="tx1"/>
                  </w14:solidFill>
                </w14:textFill>
              </w:rPr>
              <w:t>塔里木盆地</w:t>
            </w:r>
            <w:r>
              <w:rPr>
                <w:rFonts w:hint="eastAsia"/>
                <w:color w:val="000000" w:themeColor="text1"/>
                <w:kern w:val="0"/>
                <w:lang w:eastAsia="zh-CN"/>
                <w14:textFill>
                  <w14:solidFill>
                    <w14:schemeClr w14:val="tx1"/>
                  </w14:solidFill>
                </w14:textFill>
              </w:rPr>
              <w:t>中部塔克拉玛干流动沙漠生态亚区</w:t>
            </w:r>
            <w:r>
              <w:rPr>
                <w:rFonts w:hint="eastAsia"/>
                <w:color w:val="000000" w:themeColor="text1"/>
                <w:kern w:val="0"/>
                <w14:textFill>
                  <w14:solidFill>
                    <w14:schemeClr w14:val="tx1"/>
                  </w14:solidFill>
                </w14:textFill>
              </w:rPr>
              <w:t>（Ⅳ</w:t>
            </w:r>
            <w:r>
              <w:rPr>
                <w:rFonts w:hint="eastAsia"/>
                <w:color w:val="000000" w:themeColor="text1"/>
                <w:kern w:val="0"/>
                <w:lang w:val="en-US" w:eastAsia="zh-CN"/>
                <w14:textFill>
                  <w14:solidFill>
                    <w14:schemeClr w14:val="tx1"/>
                  </w14:solidFill>
                </w14:textFill>
              </w:rPr>
              <w:t>3</w:t>
            </w:r>
            <w:r>
              <w:rPr>
                <w:rFonts w:hint="eastAsia"/>
                <w:color w:val="000000" w:themeColor="text1"/>
                <w:kern w:val="0"/>
                <w14:textFill>
                  <w14:solidFill>
                    <w14:schemeClr w14:val="tx1"/>
                  </w14:solidFill>
                </w14:textFill>
              </w:rPr>
              <w:t>）—</w:t>
            </w:r>
            <w:r>
              <w:rPr>
                <w:rFonts w:hint="eastAsia"/>
                <w:color w:val="000000" w:themeColor="text1"/>
                <w:kern w:val="0"/>
                <w:lang w:val="en-US" w:eastAsia="zh-CN"/>
                <w14:textFill>
                  <w14:solidFill>
                    <w14:schemeClr w14:val="tx1"/>
                  </w14:solidFill>
                </w14:textFill>
              </w:rPr>
              <w:t>塔克拉玛干东部流动沙漠景观与油田开发生态功能区</w:t>
            </w:r>
            <w:r>
              <w:rPr>
                <w:rFonts w:hint="eastAsia"/>
                <w:color w:val="000000" w:themeColor="text1"/>
                <w:kern w:val="0"/>
                <w14:textFill>
                  <w14:solidFill>
                    <w14:schemeClr w14:val="tx1"/>
                  </w14:solidFill>
                </w14:textFill>
              </w:rPr>
              <w:t>（</w:t>
            </w:r>
            <w:r>
              <w:rPr>
                <w:rFonts w:hint="eastAsia"/>
                <w:color w:val="000000" w:themeColor="text1"/>
                <w:kern w:val="0"/>
                <w:lang w:val="en-US" w:eastAsia="zh-CN"/>
                <w14:textFill>
                  <w14:solidFill>
                    <w14:schemeClr w14:val="tx1"/>
                  </w14:solidFill>
                </w14:textFill>
              </w:rPr>
              <w:t>71</w:t>
            </w:r>
            <w:r>
              <w:rPr>
                <w:rFonts w:hint="eastAsia"/>
                <w:color w:val="000000" w:themeColor="text1"/>
                <w:kern w:val="0"/>
                <w14:textFill>
                  <w14:solidFill>
                    <w14:schemeClr w14:val="tx1"/>
                  </w14:solidFill>
                </w14:textFill>
              </w:rPr>
              <w:t>），该功能区主要的特征详见表3-</w:t>
            </w:r>
            <w:r>
              <w:rPr>
                <w:rFonts w:hint="eastAsia"/>
                <w:color w:val="000000" w:themeColor="text1"/>
                <w:kern w:val="0"/>
                <w:lang w:val="en-US" w:eastAsia="zh-CN"/>
                <w14:textFill>
                  <w14:solidFill>
                    <w14:schemeClr w14:val="tx1"/>
                  </w14:solidFill>
                </w14:textFill>
              </w:rPr>
              <w:t>2</w:t>
            </w:r>
            <w:r>
              <w:rPr>
                <w:rFonts w:hint="eastAsia"/>
                <w:color w:val="000000" w:themeColor="text1"/>
                <w:kern w:val="0"/>
                <w14:textFill>
                  <w14:solidFill>
                    <w14:schemeClr w14:val="tx1"/>
                  </w14:solidFill>
                </w14:textFill>
              </w:rPr>
              <w:t>。</w:t>
            </w:r>
          </w:p>
          <w:p w14:paraId="7F7531B1">
            <w:pPr>
              <w:tabs>
                <w:tab w:val="left" w:pos="4586"/>
                <w:tab w:val="left" w:pos="5786"/>
              </w:tabs>
              <w:autoSpaceDE w:val="0"/>
              <w:autoSpaceDN w:val="0"/>
              <w:adjustRightInd w:val="0"/>
              <w:snapToGrid w:val="0"/>
              <w:spacing w:line="500" w:lineRule="exact"/>
              <w:jc w:val="center"/>
              <w:rPr>
                <w:rFonts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表3-</w:t>
            </w:r>
            <w:r>
              <w:rPr>
                <w:rFonts w:hint="eastAsia" w:ascii="黑体" w:hAnsi="黑体" w:eastAsia="黑体" w:cs="黑体"/>
                <w:color w:val="000000" w:themeColor="text1"/>
                <w:sz w:val="21"/>
                <w:szCs w:val="21"/>
                <w:lang w:val="en-US" w:eastAsia="zh-CN"/>
                <w14:textFill>
                  <w14:solidFill>
                    <w14:schemeClr w14:val="tx1"/>
                  </w14:solidFill>
                </w14:textFill>
              </w:rPr>
              <w:t>2</w:t>
            </w:r>
            <w:r>
              <w:rPr>
                <w:rFonts w:hint="eastAsia" w:ascii="黑体" w:hAnsi="黑体" w:eastAsia="黑体" w:cs="黑体"/>
                <w:color w:val="000000" w:themeColor="text1"/>
                <w:sz w:val="21"/>
                <w:szCs w:val="21"/>
                <w14:textFill>
                  <w14:solidFill>
                    <w14:schemeClr w14:val="tx1"/>
                  </w14:solidFill>
                </w14:textFill>
              </w:rPr>
              <w:t xml:space="preserve">   生态功能区主要特征</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6"/>
              <w:gridCol w:w="1428"/>
              <w:gridCol w:w="5907"/>
            </w:tblGrid>
            <w:tr w14:paraId="783ADC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33" w:type="pct"/>
                  <w:vMerge w:val="restart"/>
                  <w:tcBorders>
                    <w:tl2br w:val="nil"/>
                    <w:tr2bl w:val="nil"/>
                  </w:tcBorders>
                  <w:vAlign w:val="center"/>
                </w:tcPr>
                <w:p w14:paraId="0138E078">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t>生态功能分区单元</w:t>
                  </w:r>
                </w:p>
              </w:tc>
              <w:tc>
                <w:tcPr>
                  <w:tcW w:w="888" w:type="pct"/>
                  <w:tcBorders>
                    <w:tl2br w:val="nil"/>
                    <w:tr2bl w:val="nil"/>
                  </w:tcBorders>
                  <w:vAlign w:val="center"/>
                </w:tcPr>
                <w:p w14:paraId="1A7C9B66">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t>生态区</w:t>
                  </w:r>
                </w:p>
              </w:tc>
              <w:tc>
                <w:tcPr>
                  <w:tcW w:w="3677" w:type="pct"/>
                  <w:tcBorders>
                    <w:tl2br w:val="nil"/>
                    <w:tr2bl w:val="nil"/>
                  </w:tcBorders>
                  <w:vAlign w:val="center"/>
                </w:tcPr>
                <w:p w14:paraId="55A0732A">
                  <w:pPr>
                    <w:widowControl/>
                    <w:kinsoku w:val="0"/>
                    <w:autoSpaceDE w:val="0"/>
                    <w:autoSpaceDN w:val="0"/>
                    <w:adjustRightInd w:val="0"/>
                    <w:snapToGrid w:val="0"/>
                    <w:spacing w:line="240" w:lineRule="auto"/>
                    <w:textAlignment w:val="baseline"/>
                    <w:rPr>
                      <w:rFonts w:hint="default" w:ascii="Times New Roman" w:hAnsi="Times New Roman" w:eastAsia="宋体" w:cs="Times New Roman"/>
                      <w:color w:val="000000" w:themeColor="text1"/>
                      <w:spacing w:val="11"/>
                      <w:sz w:val="21"/>
                      <w:szCs w:val="21"/>
                      <w14:textFill>
                        <w14:solidFill>
                          <w14:schemeClr w14:val="tx1"/>
                        </w14:solidFill>
                      </w14:textFill>
                    </w:rPr>
                  </w:pPr>
                  <w:r>
                    <w:rPr>
                      <w:rFonts w:hint="default" w:ascii="Times New Roman" w:hAnsi="Times New Roman" w:eastAsia="宋体" w:cs="Times New Roman"/>
                      <w:color w:val="000000" w:themeColor="text1"/>
                      <w:spacing w:val="11"/>
                      <w:sz w:val="21"/>
                      <w:szCs w:val="21"/>
                      <w14:textFill>
                        <w14:solidFill>
                          <w14:schemeClr w14:val="tx1"/>
                        </w14:solidFill>
                      </w14:textFill>
                    </w:rPr>
                    <w:t>Ⅳ</w:t>
                  </w:r>
                  <w:r>
                    <w:rPr>
                      <w:rFonts w:hint="default" w:ascii="Times New Roman" w:hAnsi="Times New Roman" w:eastAsia="宋体" w:cs="Times New Roman"/>
                      <w:color w:val="000000" w:themeColor="text1"/>
                      <w:spacing w:val="11"/>
                      <w:sz w:val="21"/>
                      <w:szCs w:val="21"/>
                      <w:lang w:eastAsia="zh-CN"/>
                      <w14:textFill>
                        <w14:solidFill>
                          <w14:schemeClr w14:val="tx1"/>
                        </w14:solidFill>
                      </w14:textFill>
                    </w:rPr>
                    <w:t>塔里木盆地暖温荒漠及绿洲农业生态区</w:t>
                  </w:r>
                </w:p>
              </w:tc>
            </w:tr>
            <w:tr w14:paraId="4C1739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33" w:type="pct"/>
                  <w:vMerge w:val="continue"/>
                  <w:tcBorders>
                    <w:tl2br w:val="nil"/>
                    <w:tr2bl w:val="nil"/>
                  </w:tcBorders>
                  <w:vAlign w:val="center"/>
                </w:tcPr>
                <w:p w14:paraId="5D72CC60">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pPr>
                </w:p>
              </w:tc>
              <w:tc>
                <w:tcPr>
                  <w:tcW w:w="888" w:type="pct"/>
                  <w:tcBorders>
                    <w:tl2br w:val="nil"/>
                    <w:tr2bl w:val="nil"/>
                  </w:tcBorders>
                  <w:vAlign w:val="center"/>
                </w:tcPr>
                <w:p w14:paraId="6E985460">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t>生态亚区</w:t>
                  </w:r>
                </w:p>
              </w:tc>
              <w:tc>
                <w:tcPr>
                  <w:tcW w:w="3677" w:type="pct"/>
                  <w:tcBorders>
                    <w:tl2br w:val="nil"/>
                    <w:tr2bl w:val="nil"/>
                  </w:tcBorders>
                  <w:vAlign w:val="center"/>
                </w:tcPr>
                <w:p w14:paraId="033F3F87">
                  <w:pPr>
                    <w:widowControl/>
                    <w:kinsoku w:val="0"/>
                    <w:autoSpaceDE w:val="0"/>
                    <w:autoSpaceDN w:val="0"/>
                    <w:adjustRightInd w:val="0"/>
                    <w:snapToGrid w:val="0"/>
                    <w:spacing w:line="240" w:lineRule="auto"/>
                    <w:textAlignment w:val="baseline"/>
                    <w:rPr>
                      <w:rFonts w:hint="default" w:ascii="Times New Roman" w:hAnsi="Times New Roman" w:eastAsia="宋体" w:cs="Times New Roman"/>
                      <w:color w:val="000000" w:themeColor="text1"/>
                      <w:spacing w:val="11"/>
                      <w:sz w:val="21"/>
                      <w:szCs w:val="21"/>
                      <w14:textFill>
                        <w14:solidFill>
                          <w14:schemeClr w14:val="tx1"/>
                        </w14:solidFill>
                      </w14:textFill>
                    </w:rPr>
                  </w:pPr>
                  <w:r>
                    <w:rPr>
                      <w:rFonts w:hint="default" w:ascii="Times New Roman" w:hAnsi="Times New Roman" w:eastAsia="宋体" w:cs="Times New Roman"/>
                      <w:color w:val="000000" w:themeColor="text1"/>
                      <w:spacing w:val="11"/>
                      <w:sz w:val="21"/>
                      <w:szCs w:val="21"/>
                      <w14:textFill>
                        <w14:solidFill>
                          <w14:schemeClr w14:val="tx1"/>
                        </w14:solidFill>
                      </w14:textFill>
                    </w:rPr>
                    <w:t>Ⅳ</w:t>
                  </w:r>
                  <w:r>
                    <w:rPr>
                      <w:rFonts w:hint="eastAsia" w:cs="Times New Roman"/>
                      <w:color w:val="000000" w:themeColor="text1"/>
                      <w:spacing w:val="11"/>
                      <w:sz w:val="21"/>
                      <w:szCs w:val="21"/>
                      <w:vertAlign w:val="subscript"/>
                      <w:lang w:val="en-US" w:eastAsia="zh-CN"/>
                      <w14:textFill>
                        <w14:solidFill>
                          <w14:schemeClr w14:val="tx1"/>
                        </w14:solidFill>
                      </w14:textFill>
                    </w:rPr>
                    <w:t>3</w:t>
                  </w:r>
                  <w:r>
                    <w:rPr>
                      <w:rFonts w:hint="default" w:ascii="Times New Roman" w:hAnsi="Times New Roman" w:eastAsia="宋体" w:cs="Times New Roman"/>
                      <w:color w:val="000000" w:themeColor="text1"/>
                      <w:spacing w:val="11"/>
                      <w:sz w:val="21"/>
                      <w:szCs w:val="21"/>
                      <w:lang w:eastAsia="zh-CN"/>
                      <w14:textFill>
                        <w14:solidFill>
                          <w14:schemeClr w14:val="tx1"/>
                        </w14:solidFill>
                      </w14:textFill>
                    </w:rPr>
                    <w:t>塔里木盆地</w:t>
                  </w:r>
                  <w:r>
                    <w:rPr>
                      <w:rFonts w:hint="eastAsia" w:cs="Times New Roman"/>
                      <w:color w:val="000000" w:themeColor="text1"/>
                      <w:spacing w:val="11"/>
                      <w:sz w:val="21"/>
                      <w:szCs w:val="21"/>
                      <w:lang w:eastAsia="zh-CN"/>
                      <w14:textFill>
                        <w14:solidFill>
                          <w14:schemeClr w14:val="tx1"/>
                        </w14:solidFill>
                      </w14:textFill>
                    </w:rPr>
                    <w:t>中部塔克拉玛干流动沙漠生态亚区</w:t>
                  </w:r>
                </w:p>
              </w:tc>
            </w:tr>
            <w:tr w14:paraId="54B3A1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433" w:type="pct"/>
                  <w:vMerge w:val="continue"/>
                  <w:tcBorders>
                    <w:tl2br w:val="nil"/>
                    <w:tr2bl w:val="nil"/>
                  </w:tcBorders>
                  <w:vAlign w:val="center"/>
                </w:tcPr>
                <w:p w14:paraId="0CC5EB80">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pPr>
                </w:p>
              </w:tc>
              <w:tc>
                <w:tcPr>
                  <w:tcW w:w="888" w:type="pct"/>
                  <w:tcBorders>
                    <w:tl2br w:val="nil"/>
                    <w:tr2bl w:val="nil"/>
                  </w:tcBorders>
                  <w:vAlign w:val="center"/>
                </w:tcPr>
                <w:p w14:paraId="6EE3285B">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t>生态功能区</w:t>
                  </w:r>
                </w:p>
              </w:tc>
              <w:tc>
                <w:tcPr>
                  <w:tcW w:w="3677" w:type="pct"/>
                  <w:tcBorders>
                    <w:tl2br w:val="nil"/>
                    <w:tr2bl w:val="nil"/>
                  </w:tcBorders>
                  <w:vAlign w:val="center"/>
                </w:tcPr>
                <w:p w14:paraId="1922B323">
                  <w:pPr>
                    <w:widowControl/>
                    <w:kinsoku w:val="0"/>
                    <w:autoSpaceDE w:val="0"/>
                    <w:autoSpaceDN w:val="0"/>
                    <w:adjustRightInd w:val="0"/>
                    <w:snapToGrid w:val="0"/>
                    <w:spacing w:line="240" w:lineRule="auto"/>
                    <w:textAlignment w:val="baseline"/>
                    <w:rPr>
                      <w:rFonts w:hint="default" w:ascii="Times New Roman" w:hAnsi="Times New Roman" w:eastAsia="宋体" w:cs="Times New Roman"/>
                      <w:color w:val="000000" w:themeColor="text1"/>
                      <w:spacing w:val="11"/>
                      <w:sz w:val="21"/>
                      <w:szCs w:val="21"/>
                      <w:lang w:val="en-US" w:eastAsia="zh-CN"/>
                      <w14:textFill>
                        <w14:solidFill>
                          <w14:schemeClr w14:val="tx1"/>
                        </w14:solidFill>
                      </w14:textFill>
                    </w:rPr>
                  </w:pPr>
                  <w:r>
                    <w:rPr>
                      <w:rFonts w:hint="eastAsia" w:cs="Times New Roman"/>
                      <w:color w:val="000000" w:themeColor="text1"/>
                      <w:spacing w:val="11"/>
                      <w:sz w:val="21"/>
                      <w:szCs w:val="21"/>
                      <w:lang w:val="en-US" w:eastAsia="zh-CN"/>
                      <w14:textFill>
                        <w14:solidFill>
                          <w14:schemeClr w14:val="tx1"/>
                        </w14:solidFill>
                      </w14:textFill>
                    </w:rPr>
                    <w:t>71.塔克拉玛干东部流动沙漠景观与油田开发生态功能区</w:t>
                  </w:r>
                </w:p>
              </w:tc>
            </w:tr>
            <w:tr w14:paraId="04B975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322" w:type="pct"/>
                  <w:gridSpan w:val="2"/>
                  <w:tcBorders>
                    <w:tl2br w:val="nil"/>
                    <w:tr2bl w:val="nil"/>
                  </w:tcBorders>
                  <w:vAlign w:val="center"/>
                </w:tcPr>
                <w:p w14:paraId="7625DCB0">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t>主</w:t>
                  </w:r>
                  <w:r>
                    <w:rPr>
                      <w:rFonts w:hint="default" w:ascii="Times New Roman" w:hAnsi="Times New Roman" w:eastAsia="宋体" w:cs="Times New Roman"/>
                      <w:b w:val="0"/>
                      <w:bCs w:val="0"/>
                      <w:color w:val="000000" w:themeColor="text1"/>
                      <w:spacing w:val="8"/>
                      <w:sz w:val="21"/>
                      <w:szCs w:val="21"/>
                      <w14:textFill>
                        <w14:solidFill>
                          <w14:schemeClr w14:val="tx1"/>
                        </w14:solidFill>
                      </w14:textFill>
                    </w:rPr>
                    <w:t>要生态服务功能</w:t>
                  </w:r>
                </w:p>
              </w:tc>
              <w:tc>
                <w:tcPr>
                  <w:tcW w:w="3677" w:type="pct"/>
                  <w:tcBorders>
                    <w:tl2br w:val="nil"/>
                    <w:tr2bl w:val="nil"/>
                  </w:tcBorders>
                  <w:vAlign w:val="center"/>
                </w:tcPr>
                <w:p w14:paraId="195B8F03">
                  <w:pPr>
                    <w:widowControl/>
                    <w:kinsoku w:val="0"/>
                    <w:autoSpaceDE w:val="0"/>
                    <w:autoSpaceDN w:val="0"/>
                    <w:adjustRightInd w:val="0"/>
                    <w:snapToGrid w:val="0"/>
                    <w:spacing w:line="240" w:lineRule="auto"/>
                    <w:textAlignment w:val="baseline"/>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沙漠</w:t>
                  </w:r>
                  <w:r>
                    <w:rPr>
                      <w:rFonts w:hint="eastAsia" w:cs="Times New Roman"/>
                      <w:color w:val="000000" w:themeColor="text1"/>
                      <w:sz w:val="21"/>
                      <w:szCs w:val="21"/>
                      <w:lang w:eastAsia="zh-CN"/>
                      <w14:textFill>
                        <w14:solidFill>
                          <w14:schemeClr w14:val="tx1"/>
                        </w14:solidFill>
                      </w14:textFill>
                    </w:rPr>
                    <w:t>景观、风沙源地、油气资源开发</w:t>
                  </w:r>
                </w:p>
              </w:tc>
            </w:tr>
            <w:tr w14:paraId="018A42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322" w:type="pct"/>
                  <w:gridSpan w:val="2"/>
                  <w:tcBorders>
                    <w:tl2br w:val="nil"/>
                    <w:tr2bl w:val="nil"/>
                  </w:tcBorders>
                  <w:vAlign w:val="center"/>
                </w:tcPr>
                <w:p w14:paraId="17D0EA01">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11"/>
                      <w:sz w:val="21"/>
                      <w:szCs w:val="21"/>
                      <w14:textFill>
                        <w14:solidFill>
                          <w14:schemeClr w14:val="tx1"/>
                        </w14:solidFill>
                      </w14:textFill>
                    </w:rPr>
                    <w:t>主</w:t>
                  </w:r>
                  <w:r>
                    <w:rPr>
                      <w:rFonts w:hint="default" w:ascii="Times New Roman" w:hAnsi="Times New Roman" w:eastAsia="宋体" w:cs="Times New Roman"/>
                      <w:b w:val="0"/>
                      <w:bCs w:val="0"/>
                      <w:color w:val="000000" w:themeColor="text1"/>
                      <w:spacing w:val="8"/>
                      <w:sz w:val="21"/>
                      <w:szCs w:val="21"/>
                      <w14:textFill>
                        <w14:solidFill>
                          <w14:schemeClr w14:val="tx1"/>
                        </w14:solidFill>
                      </w14:textFill>
                    </w:rPr>
                    <w:t>要生态环境问题</w:t>
                  </w:r>
                </w:p>
              </w:tc>
              <w:tc>
                <w:tcPr>
                  <w:tcW w:w="3677" w:type="pct"/>
                  <w:tcBorders>
                    <w:tl2br w:val="nil"/>
                    <w:tr2bl w:val="nil"/>
                  </w:tcBorders>
                  <w:vAlign w:val="center"/>
                </w:tcPr>
                <w:p w14:paraId="734FCDE2">
                  <w:pPr>
                    <w:widowControl/>
                    <w:kinsoku w:val="0"/>
                    <w:autoSpaceDE w:val="0"/>
                    <w:autoSpaceDN w:val="0"/>
                    <w:adjustRightInd w:val="0"/>
                    <w:snapToGrid w:val="0"/>
                    <w:spacing w:line="240" w:lineRule="auto"/>
                    <w:textAlignment w:val="baseline"/>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风沙威胁绿洲和公路以及油田设施、石油开发区环境污染</w:t>
                  </w:r>
                </w:p>
              </w:tc>
            </w:tr>
            <w:tr w14:paraId="2D0CF0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 w:hRule="atLeast"/>
                <w:jc w:val="center"/>
              </w:trPr>
              <w:tc>
                <w:tcPr>
                  <w:tcW w:w="1322" w:type="pct"/>
                  <w:gridSpan w:val="2"/>
                  <w:tcBorders>
                    <w:tl2br w:val="nil"/>
                    <w:tr2bl w:val="nil"/>
                  </w:tcBorders>
                  <w:vAlign w:val="center"/>
                </w:tcPr>
                <w:p w14:paraId="659A6816">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15"/>
                      <w:sz w:val="21"/>
                      <w:szCs w:val="21"/>
                      <w14:textFill>
                        <w14:solidFill>
                          <w14:schemeClr w14:val="tx1"/>
                        </w14:solidFill>
                      </w14:textFill>
                    </w:rPr>
                    <w:t>主</w:t>
                  </w:r>
                  <w:r>
                    <w:rPr>
                      <w:rFonts w:hint="default" w:ascii="Times New Roman" w:hAnsi="Times New Roman" w:eastAsia="宋体" w:cs="Times New Roman"/>
                      <w:b w:val="0"/>
                      <w:bCs w:val="0"/>
                      <w:color w:val="000000" w:themeColor="text1"/>
                      <w:spacing w:val="8"/>
                      <w:sz w:val="21"/>
                      <w:szCs w:val="21"/>
                      <w14:textFill>
                        <w14:solidFill>
                          <w14:schemeClr w14:val="tx1"/>
                        </w14:solidFill>
                      </w14:textFill>
                    </w:rPr>
                    <w:t>要生态敏感因子敏感</w:t>
                  </w:r>
                  <w:r>
                    <w:rPr>
                      <w:rFonts w:hint="default" w:ascii="Times New Roman" w:hAnsi="Times New Roman" w:eastAsia="宋体" w:cs="Times New Roman"/>
                      <w:b w:val="0"/>
                      <w:bCs w:val="0"/>
                      <w:color w:val="000000" w:themeColor="text1"/>
                      <w:spacing w:val="5"/>
                      <w:sz w:val="21"/>
                      <w:szCs w:val="21"/>
                      <w14:textFill>
                        <w14:solidFill>
                          <w14:schemeClr w14:val="tx1"/>
                        </w14:solidFill>
                      </w14:textFill>
                    </w:rPr>
                    <w:t>程度</w:t>
                  </w:r>
                </w:p>
              </w:tc>
              <w:tc>
                <w:tcPr>
                  <w:tcW w:w="3677" w:type="pct"/>
                  <w:tcBorders>
                    <w:tl2br w:val="nil"/>
                    <w:tr2bl w:val="nil"/>
                  </w:tcBorders>
                  <w:vAlign w:val="center"/>
                </w:tcPr>
                <w:p w14:paraId="7B67FB0F">
                  <w:pPr>
                    <w:widowControl/>
                    <w:kinsoku w:val="0"/>
                    <w:autoSpaceDE w:val="0"/>
                    <w:autoSpaceDN w:val="0"/>
                    <w:adjustRightInd w:val="0"/>
                    <w:snapToGrid w:val="0"/>
                    <w:spacing w:line="240" w:lineRule="auto"/>
                    <w:textAlignment w:val="baseline"/>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土壤侵蚀高度敏感</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土地沙漠化极度敏感，土壤盐渍化轻度敏感</w:t>
                  </w:r>
                </w:p>
              </w:tc>
            </w:tr>
            <w:tr w14:paraId="7651A4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322" w:type="pct"/>
                  <w:gridSpan w:val="2"/>
                  <w:tcBorders>
                    <w:tl2br w:val="nil"/>
                    <w:tr2bl w:val="nil"/>
                  </w:tcBorders>
                  <w:vAlign w:val="center"/>
                </w:tcPr>
                <w:p w14:paraId="4E6CBCBD">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8"/>
                      <w:sz w:val="21"/>
                      <w:szCs w:val="21"/>
                      <w14:textFill>
                        <w14:solidFill>
                          <w14:schemeClr w14:val="tx1"/>
                        </w14:solidFill>
                      </w14:textFill>
                    </w:rPr>
                    <w:t>主要保护目</w:t>
                  </w:r>
                  <w:r>
                    <w:rPr>
                      <w:rFonts w:hint="default" w:ascii="Times New Roman" w:hAnsi="Times New Roman" w:eastAsia="宋体" w:cs="Times New Roman"/>
                      <w:b w:val="0"/>
                      <w:bCs w:val="0"/>
                      <w:color w:val="000000" w:themeColor="text1"/>
                      <w:spacing w:val="7"/>
                      <w:sz w:val="21"/>
                      <w:szCs w:val="21"/>
                      <w14:textFill>
                        <w14:solidFill>
                          <w14:schemeClr w14:val="tx1"/>
                        </w14:solidFill>
                      </w14:textFill>
                    </w:rPr>
                    <w:t>标</w:t>
                  </w:r>
                </w:p>
              </w:tc>
              <w:tc>
                <w:tcPr>
                  <w:tcW w:w="3677" w:type="pct"/>
                  <w:tcBorders>
                    <w:tl2br w:val="nil"/>
                    <w:tr2bl w:val="nil"/>
                  </w:tcBorders>
                  <w:vAlign w:val="center"/>
                </w:tcPr>
                <w:p w14:paraId="6990FB1D">
                  <w:pPr>
                    <w:widowControl/>
                    <w:kinsoku w:val="0"/>
                    <w:autoSpaceDE w:val="0"/>
                    <w:autoSpaceDN w:val="0"/>
                    <w:adjustRightInd w:val="0"/>
                    <w:snapToGrid w:val="0"/>
                    <w:spacing w:line="240" w:lineRule="auto"/>
                    <w:textAlignment w:val="baseline"/>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保护</w:t>
                  </w:r>
                  <w:r>
                    <w:rPr>
                      <w:rFonts w:hint="eastAsia" w:cs="Times New Roman"/>
                      <w:color w:val="000000" w:themeColor="text1"/>
                      <w:sz w:val="21"/>
                      <w:szCs w:val="21"/>
                      <w:lang w:val="en-US" w:eastAsia="zh-CN"/>
                      <w14:textFill>
                        <w14:solidFill>
                          <w14:schemeClr w14:val="tx1"/>
                        </w14:solidFill>
                      </w14:textFill>
                    </w:rPr>
                    <w:t>油田设施和沙漠公路、保护文物古迹</w:t>
                  </w:r>
                </w:p>
              </w:tc>
            </w:tr>
            <w:tr w14:paraId="34DE0C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322" w:type="pct"/>
                  <w:gridSpan w:val="2"/>
                  <w:tcBorders>
                    <w:tl2br w:val="nil"/>
                    <w:tr2bl w:val="nil"/>
                  </w:tcBorders>
                  <w:vAlign w:val="center"/>
                </w:tcPr>
                <w:p w14:paraId="670F92BA">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8"/>
                      <w:sz w:val="21"/>
                      <w:szCs w:val="21"/>
                      <w14:textFill>
                        <w14:solidFill>
                          <w14:schemeClr w14:val="tx1"/>
                        </w14:solidFill>
                      </w14:textFill>
                    </w:rPr>
                    <w:t>主要保护措</w:t>
                  </w:r>
                  <w:r>
                    <w:rPr>
                      <w:rFonts w:hint="default" w:ascii="Times New Roman" w:hAnsi="Times New Roman" w:eastAsia="宋体" w:cs="Times New Roman"/>
                      <w:b w:val="0"/>
                      <w:bCs w:val="0"/>
                      <w:color w:val="000000" w:themeColor="text1"/>
                      <w:spacing w:val="7"/>
                      <w:sz w:val="21"/>
                      <w:szCs w:val="21"/>
                      <w14:textFill>
                        <w14:solidFill>
                          <w14:schemeClr w14:val="tx1"/>
                        </w14:solidFill>
                      </w14:textFill>
                    </w:rPr>
                    <w:t>施</w:t>
                  </w:r>
                </w:p>
              </w:tc>
              <w:tc>
                <w:tcPr>
                  <w:tcW w:w="3677" w:type="pct"/>
                  <w:tcBorders>
                    <w:tl2br w:val="nil"/>
                    <w:tr2bl w:val="nil"/>
                  </w:tcBorders>
                  <w:vAlign w:val="center"/>
                </w:tcPr>
                <w:p w14:paraId="3C983267">
                  <w:pPr>
                    <w:widowControl/>
                    <w:kinsoku w:val="0"/>
                    <w:autoSpaceDE w:val="0"/>
                    <w:autoSpaceDN w:val="0"/>
                    <w:adjustRightInd w:val="0"/>
                    <w:snapToGrid w:val="0"/>
                    <w:spacing w:line="240" w:lineRule="auto"/>
                    <w:textAlignment w:val="baseline"/>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建立机械与生物相结合的油田和公路防风固沙体系、规范油气勘探开发作业、清洁化生产、防止油气污染和窜层、在沙漠南缘建设生态防护林</w:t>
                  </w:r>
                </w:p>
              </w:tc>
            </w:tr>
            <w:tr w14:paraId="5CE555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1322" w:type="pct"/>
                  <w:gridSpan w:val="2"/>
                  <w:tcBorders>
                    <w:tl2br w:val="nil"/>
                    <w:tr2bl w:val="nil"/>
                  </w:tcBorders>
                  <w:vAlign w:val="center"/>
                </w:tcPr>
                <w:p w14:paraId="77CE6DF3">
                  <w:pPr>
                    <w:widowControl/>
                    <w:kinsoku w:val="0"/>
                    <w:autoSpaceDE w:val="0"/>
                    <w:autoSpaceDN w:val="0"/>
                    <w:adjustRightInd w:val="0"/>
                    <w:snapToGrid w:val="0"/>
                    <w:spacing w:line="240" w:lineRule="auto"/>
                    <w:jc w:val="center"/>
                    <w:textAlignment w:val="baseline"/>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pacing w:val="9"/>
                      <w:sz w:val="21"/>
                      <w:szCs w:val="21"/>
                      <w14:textFill>
                        <w14:solidFill>
                          <w14:schemeClr w14:val="tx1"/>
                        </w14:solidFill>
                      </w14:textFill>
                    </w:rPr>
                    <w:t>适</w:t>
                  </w:r>
                  <w:r>
                    <w:rPr>
                      <w:rFonts w:hint="default" w:ascii="Times New Roman" w:hAnsi="Times New Roman" w:eastAsia="宋体" w:cs="Times New Roman"/>
                      <w:b w:val="0"/>
                      <w:bCs w:val="0"/>
                      <w:color w:val="000000" w:themeColor="text1"/>
                      <w:spacing w:val="8"/>
                      <w:sz w:val="21"/>
                      <w:szCs w:val="21"/>
                      <w14:textFill>
                        <w14:solidFill>
                          <w14:schemeClr w14:val="tx1"/>
                        </w14:solidFill>
                      </w14:textFill>
                    </w:rPr>
                    <w:t>宜发展方向</w:t>
                  </w:r>
                </w:p>
              </w:tc>
              <w:tc>
                <w:tcPr>
                  <w:tcW w:w="3677" w:type="pct"/>
                  <w:tcBorders>
                    <w:tl2br w:val="nil"/>
                    <w:tr2bl w:val="nil"/>
                  </w:tcBorders>
                  <w:vAlign w:val="center"/>
                </w:tcPr>
                <w:p w14:paraId="5812E270">
                  <w:pPr>
                    <w:widowControl/>
                    <w:kinsoku w:val="0"/>
                    <w:autoSpaceDE w:val="0"/>
                    <w:autoSpaceDN w:val="0"/>
                    <w:adjustRightInd w:val="0"/>
                    <w:snapToGrid w:val="0"/>
                    <w:spacing w:line="240" w:lineRule="auto"/>
                    <w:textAlignment w:val="baseline"/>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加强沙漠油气资源勘探开发，适度开发地下水进行油田区和公路绿化，发展沙漠探险旅游</w:t>
                  </w:r>
                </w:p>
              </w:tc>
            </w:tr>
          </w:tbl>
          <w:p w14:paraId="361FEE6D">
            <w:pPr>
              <w:keepNext w:val="0"/>
              <w:keepLines w:val="0"/>
              <w:pageBreakBefore w:val="0"/>
              <w:widowControl w:val="0"/>
              <w:kinsoku/>
              <w:wordWrap/>
              <w:overflowPunct/>
              <w:topLinePunct w:val="0"/>
              <w:autoSpaceDE/>
              <w:autoSpaceDN/>
              <w:bidi w:val="0"/>
              <w:adjustRightInd w:val="0"/>
              <w:snapToGrid/>
              <w:spacing w:line="500" w:lineRule="exact"/>
              <w:ind w:firstLine="482" w:firstLineChars="200"/>
              <w:textAlignment w:val="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3.生态环境现状</w:t>
            </w:r>
          </w:p>
          <w:p w14:paraId="3DEDFA1F">
            <w:pPr>
              <w:keepNext w:val="0"/>
              <w:keepLines w:val="0"/>
              <w:pageBreakBefore w:val="0"/>
              <w:widowControl w:val="0"/>
              <w:kinsoku/>
              <w:wordWrap/>
              <w:overflowPunct/>
              <w:topLinePunct w:val="0"/>
              <w:autoSpaceDE/>
              <w:autoSpaceDN/>
              <w:bidi w:val="0"/>
              <w:adjustRightInd w:val="0"/>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土地利用现状评价</w:t>
            </w:r>
          </w:p>
          <w:p w14:paraId="5B2B2672">
            <w:pPr>
              <w:pStyle w:val="19"/>
              <w:keepNext w:val="0"/>
              <w:keepLines w:val="0"/>
              <w:pageBreakBefore w:val="0"/>
              <w:widowControl w:val="0"/>
              <w:kinsoku/>
              <w:wordWrap/>
              <w:overflowPunct/>
              <w:topLinePunct w:val="0"/>
              <w:autoSpaceDE/>
              <w:autoSpaceDN/>
              <w:bidi w:val="0"/>
              <w:spacing w:line="500" w:lineRule="exact"/>
              <w:ind w:left="0" w:firstLine="480" w:firstLineChars="200"/>
              <w:textAlignment w:val="auto"/>
              <w:rPr>
                <w:color w:val="000000" w:themeColor="text1"/>
                <w14:textFill>
                  <w14:solidFill>
                    <w14:schemeClr w14:val="tx1"/>
                  </w14:solidFill>
                </w14:textFill>
              </w:rPr>
            </w:pPr>
            <w:r>
              <w:rPr>
                <w:rFonts w:hint="default" w:ascii="Times New Roman" w:hAnsi="Times New Roman" w:cs="Times New Roman"/>
                <w:snapToGrid w:val="0"/>
                <w:color w:val="000000" w:themeColor="text1"/>
                <w:sz w:val="24"/>
                <w:lang w:val="en-US" w:eastAsia="zh-CN"/>
                <w14:textFill>
                  <w14:solidFill>
                    <w14:schemeClr w14:val="tx1"/>
                  </w14:solidFill>
                </w14:textFill>
              </w:rPr>
              <w:t>按照《土地利用现状分类》（GB/T21010-2017）</w:t>
            </w:r>
            <w:r>
              <w:rPr>
                <w:rFonts w:hint="eastAsia" w:cs="Times New Roman"/>
                <w:snapToGrid w:val="0"/>
                <w:color w:val="000000" w:themeColor="text1"/>
                <w:sz w:val="24"/>
                <w:lang w:val="en-US" w:eastAsia="zh-CN"/>
                <w14:textFill>
                  <w14:solidFill>
                    <w14:schemeClr w14:val="tx1"/>
                  </w14:solidFill>
                </w14:textFill>
              </w:rPr>
              <w:t>和</w:t>
            </w:r>
            <w:r>
              <w:rPr>
                <w:rFonts w:hint="eastAsia" w:ascii="Times New Roman" w:hAnsi="Times New Roman" w:cs="Times New Roman"/>
                <w:color w:val="000000" w:themeColor="text1"/>
                <w:sz w:val="24"/>
                <w:szCs w:val="24"/>
                <w:lang w:val="en-US" w:eastAsia="zh-CN"/>
                <w14:textFill>
                  <w14:solidFill>
                    <w14:schemeClr w14:val="tx1"/>
                  </w14:solidFill>
                </w14:textFill>
              </w:rPr>
              <w:t>第三次全国国土调查</w:t>
            </w:r>
            <w:r>
              <w:rPr>
                <w:color w:val="000000" w:themeColor="text1"/>
                <w14:textFill>
                  <w14:solidFill>
                    <w14:schemeClr w14:val="tx1"/>
                  </w14:solidFill>
                </w14:textFill>
              </w:rPr>
              <w:t>，本项目</w:t>
            </w:r>
            <w:r>
              <w:rPr>
                <w:rFonts w:hint="eastAsia"/>
                <w:color w:val="000000" w:themeColor="text1"/>
                <w:lang w:val="en-US" w:eastAsia="zh-CN"/>
                <w14:textFill>
                  <w14:solidFill>
                    <w14:schemeClr w14:val="tx1"/>
                  </w14:solidFill>
                </w14:textFill>
              </w:rPr>
              <w:t>占用</w:t>
            </w:r>
            <w:r>
              <w:rPr>
                <w:color w:val="000000" w:themeColor="text1"/>
                <w14:textFill>
                  <w14:solidFill>
                    <w14:schemeClr w14:val="tx1"/>
                  </w14:solidFill>
                </w14:textFill>
              </w:rPr>
              <w:t>土地利用类型为</w:t>
            </w:r>
            <w:r>
              <w:rPr>
                <w:rFonts w:hint="eastAsia"/>
                <w:color w:val="000000" w:themeColor="text1"/>
                <w:lang w:eastAsia="zh-CN"/>
                <w14:textFill>
                  <w14:solidFill>
                    <w14:schemeClr w14:val="tx1"/>
                  </w14:solidFill>
                </w14:textFill>
              </w:rPr>
              <w:t>沙地</w:t>
            </w:r>
            <w:r>
              <w:rPr>
                <w:rFonts w:hint="eastAsia"/>
                <w:color w:val="000000" w:themeColor="text1"/>
                <w:lang w:val="en-US" w:eastAsia="zh-CN"/>
                <w14:textFill>
                  <w14:solidFill>
                    <w14:schemeClr w14:val="tx1"/>
                  </w14:solidFill>
                </w14:textFill>
              </w:rPr>
              <w:t>、后备耕地（现状为其他草地）</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区内土地利用结构比较单一。</w:t>
            </w:r>
          </w:p>
          <w:p w14:paraId="1DA785B9">
            <w:pPr>
              <w:keepNext w:val="0"/>
              <w:keepLines w:val="0"/>
              <w:pageBreakBefore w:val="0"/>
              <w:widowControl w:val="0"/>
              <w:kinsoku/>
              <w:wordWrap/>
              <w:overflowPunct/>
              <w:topLinePunct w:val="0"/>
              <w:autoSpaceDE/>
              <w:autoSpaceDN/>
              <w:bidi w:val="0"/>
              <w:adjustRightInd w:val="0"/>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野生</w:t>
            </w:r>
            <w:r>
              <w:rPr>
                <w:color w:val="000000" w:themeColor="text1"/>
                <w14:textFill>
                  <w14:solidFill>
                    <w14:schemeClr w14:val="tx1"/>
                  </w14:solidFill>
                </w14:textFill>
              </w:rPr>
              <w:t>植被</w:t>
            </w:r>
          </w:p>
          <w:p w14:paraId="4A02E220">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eastAsia" w:eastAsia="宋体"/>
                <w:snapToGrid w:val="0"/>
                <w:color w:val="000000" w:themeColor="text1"/>
                <w:kern w:val="0"/>
                <w:lang w:eastAsia="zh-CN"/>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根据资料收集及现场调查，</w:t>
            </w:r>
            <w:r>
              <w:rPr>
                <w:rFonts w:hint="default" w:ascii="Times New Roman" w:hAnsi="Times New Roman" w:cs="Times New Roman"/>
                <w:b w:val="0"/>
                <w:bCs w:val="0"/>
                <w:color w:val="000000" w:themeColor="text1"/>
                <w:lang w:val="en-US" w:eastAsia="zh-CN"/>
                <w14:textFill>
                  <w14:solidFill>
                    <w14:schemeClr w14:val="tx1"/>
                  </w14:solidFill>
                </w14:textFill>
              </w:rPr>
              <w:t>项目所在</w:t>
            </w:r>
            <w:r>
              <w:rPr>
                <w:rFonts w:hint="default" w:ascii="Times New Roman" w:hAnsi="Times New Roman" w:cs="Times New Roman"/>
                <w:b w:val="0"/>
                <w:bCs w:val="0"/>
                <w:color w:val="000000" w:themeColor="text1"/>
                <w14:textFill>
                  <w14:solidFill>
                    <w14:schemeClr w14:val="tx1"/>
                  </w14:solidFill>
                </w14:textFill>
              </w:rPr>
              <w:t>区域主要植被类型为</w:t>
            </w:r>
            <w:r>
              <w:rPr>
                <w:rFonts w:hint="eastAsia" w:ascii="Times New Roman" w:hAnsi="Times New Roman" w:cs="Times New Roman"/>
                <w:b w:val="0"/>
                <w:bCs w:val="0"/>
                <w:color w:val="000000" w:themeColor="text1"/>
                <w:lang w:val="en-US" w:eastAsia="zh-CN"/>
                <w14:textFill>
                  <w14:solidFill>
                    <w14:schemeClr w14:val="tx1"/>
                  </w14:solidFill>
                </w14:textFill>
              </w:rPr>
              <w:t>芦苇、疏叶骆驼刺，</w:t>
            </w:r>
            <w:r>
              <w:rPr>
                <w:rFonts w:hint="default" w:ascii="Times New Roman" w:hAnsi="Times New Roman" w:cs="Times New Roman"/>
                <w:b w:val="0"/>
                <w:bCs w:val="0"/>
                <w:color w:val="000000" w:themeColor="text1"/>
                <w:lang w:val="en-US" w:eastAsia="zh-CN"/>
                <w14:textFill>
                  <w14:solidFill>
                    <w14:schemeClr w14:val="tx1"/>
                  </w14:solidFill>
                </w14:textFill>
              </w:rPr>
              <w:t>植被</w:t>
            </w:r>
            <w:r>
              <w:rPr>
                <w:rFonts w:hint="eastAsia" w:ascii="Times New Roman" w:hAnsi="Times New Roman" w:cs="Times New Roman"/>
                <w:b w:val="0"/>
                <w:bCs w:val="0"/>
                <w:color w:val="000000" w:themeColor="text1"/>
                <w:lang w:val="en-US" w:eastAsia="zh-CN"/>
                <w14:textFill>
                  <w14:solidFill>
                    <w14:schemeClr w14:val="tx1"/>
                  </w14:solidFill>
                </w14:textFill>
              </w:rPr>
              <w:t>综合</w:t>
            </w:r>
            <w:r>
              <w:rPr>
                <w:rFonts w:hint="default" w:ascii="Times New Roman" w:hAnsi="Times New Roman" w:cs="Times New Roman"/>
                <w:b w:val="0"/>
                <w:bCs w:val="0"/>
                <w:color w:val="000000" w:themeColor="text1"/>
                <w:lang w:val="en-US" w:eastAsia="zh-CN"/>
                <w14:textFill>
                  <w14:solidFill>
                    <w14:schemeClr w14:val="tx1"/>
                  </w14:solidFill>
                </w14:textFill>
              </w:rPr>
              <w:t>覆盖度</w:t>
            </w:r>
            <w:r>
              <w:rPr>
                <w:rFonts w:hint="eastAsia" w:ascii="Times New Roman" w:hAnsi="Times New Roman" w:cs="Times New Roman"/>
                <w:b w:val="0"/>
                <w:bCs w:val="0"/>
                <w:color w:val="000000" w:themeColor="text1"/>
                <w:lang w:val="en-US" w:eastAsia="zh-CN"/>
                <w14:textFill>
                  <w14:solidFill>
                    <w14:schemeClr w14:val="tx1"/>
                  </w14:solidFill>
                </w14:textFill>
              </w:rPr>
              <w:t>小于10</w:t>
            </w:r>
            <w:r>
              <w:rPr>
                <w:rFonts w:hint="default" w:ascii="Times New Roman" w:hAnsi="Times New Roman" w:eastAsia="宋体" w:cs="Times New Roman"/>
                <w:b w:val="0"/>
                <w:bCs w:val="0"/>
                <w:color w:val="000000" w:themeColor="text1"/>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根据《新疆国家重点保护野生植物名录》（2022年</w:t>
            </w:r>
            <w:r>
              <w:rPr>
                <w:rFonts w:hint="eastAsia" w:ascii="Times New Roman" w:hAnsi="Times New Roman" w:cs="Times New Roman"/>
                <w:b w:val="0"/>
                <w:bCs w:val="0"/>
                <w:color w:val="000000" w:themeColor="text1"/>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14:textFill>
                  <w14:solidFill>
                    <w14:schemeClr w14:val="tx1"/>
                  </w14:solidFill>
                </w14:textFill>
              </w:rPr>
              <w:t>月</w:t>
            </w:r>
            <w:r>
              <w:rPr>
                <w:rFonts w:hint="eastAsia" w:ascii="Times New Roman" w:hAnsi="Times New Roman" w:cs="Times New Roman"/>
                <w:b w:val="0"/>
                <w:bCs w:val="0"/>
                <w:color w:val="000000" w:themeColor="text1"/>
                <w:lang w:val="en-US" w:eastAsia="zh-CN"/>
                <w14:textFill>
                  <w14:solidFill>
                    <w14:schemeClr w14:val="tx1"/>
                  </w14:solidFill>
                </w14:textFill>
              </w:rPr>
              <w:t>28</w:t>
            </w:r>
            <w:r>
              <w:rPr>
                <w:rFonts w:hint="default" w:ascii="Times New Roman" w:hAnsi="Times New Roman" w:eastAsia="宋体" w:cs="Times New Roman"/>
                <w:b w:val="0"/>
                <w:bCs w:val="0"/>
                <w:color w:val="000000" w:themeColor="text1"/>
                <w14:textFill>
                  <w14:solidFill>
                    <w14:schemeClr w14:val="tx1"/>
                  </w14:solidFill>
                </w14:textFill>
              </w:rPr>
              <w:t>日）和《新疆维吾尔自治区重点保护野生植物名录》（202</w:t>
            </w:r>
            <w:r>
              <w:rPr>
                <w:rFonts w:hint="eastAsia" w:ascii="Times New Roman" w:hAnsi="Times New Roman" w:cs="Times New Roman"/>
                <w:b w:val="0"/>
                <w:bCs w:val="0"/>
                <w:color w:val="000000" w:themeColor="text1"/>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14:textFill>
                  <w14:solidFill>
                    <w14:schemeClr w14:val="tx1"/>
                  </w14:solidFill>
                </w14:textFill>
              </w:rPr>
              <w:t>年1月</w:t>
            </w:r>
            <w:r>
              <w:rPr>
                <w:rFonts w:hint="eastAsia" w:ascii="Times New Roman" w:hAnsi="Times New Roman" w:cs="Times New Roman"/>
                <w:b w:val="0"/>
                <w:bCs w:val="0"/>
                <w:color w:val="000000" w:themeColor="text1"/>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14:textFill>
                  <w14:solidFill>
                    <w14:schemeClr w14:val="tx1"/>
                  </w14:solidFill>
                </w14:textFill>
              </w:rPr>
              <w:t>日），</w:t>
            </w:r>
            <w:r>
              <w:rPr>
                <w:rFonts w:hint="eastAsia" w:ascii="Times New Roman" w:hAnsi="Times New Roman" w:cs="Times New Roman"/>
                <w:b w:val="0"/>
                <w:bCs w:val="0"/>
                <w:color w:val="000000" w:themeColor="text1"/>
                <w:lang w:val="en-US" w:eastAsia="zh-CN"/>
                <w14:textFill>
                  <w14:solidFill>
                    <w14:schemeClr w14:val="tx1"/>
                  </w14:solidFill>
                </w14:textFill>
              </w:rPr>
              <w:t>本</w:t>
            </w:r>
            <w:r>
              <w:rPr>
                <w:rFonts w:hint="eastAsia" w:ascii="Times New Roman" w:hAnsi="Times New Roman" w:eastAsia="宋体" w:cs="Times New Roman"/>
                <w:b w:val="0"/>
                <w:bCs w:val="0"/>
                <w:color w:val="000000" w:themeColor="text1"/>
                <w:lang w:val="en-US" w:eastAsia="zh-CN"/>
                <w14:textFill>
                  <w14:solidFill>
                    <w14:schemeClr w14:val="tx1"/>
                  </w14:solidFill>
                </w14:textFill>
              </w:rPr>
              <w:t>项目</w:t>
            </w:r>
            <w:r>
              <w:rPr>
                <w:rFonts w:hint="default" w:ascii="Times New Roman" w:hAnsi="Times New Roman" w:eastAsia="宋体" w:cs="Times New Roman"/>
                <w:b w:val="0"/>
                <w:bCs w:val="0"/>
                <w:color w:val="000000" w:themeColor="text1"/>
                <w14:textFill>
                  <w14:solidFill>
                    <w14:schemeClr w14:val="tx1"/>
                  </w14:solidFill>
                </w14:textFill>
              </w:rPr>
              <w:t>评价范围内无国家及自治区级保护</w:t>
            </w:r>
            <w:r>
              <w:rPr>
                <w:rFonts w:hint="eastAsia" w:cs="Times New Roman"/>
                <w:b w:val="0"/>
                <w:bCs w:val="0"/>
                <w:color w:val="000000" w:themeColor="text1"/>
                <w:lang w:val="en-US" w:eastAsia="zh-CN"/>
                <w14:textFill>
                  <w14:solidFill>
                    <w14:schemeClr w14:val="tx1"/>
                  </w14:solidFill>
                </w14:textFill>
              </w:rPr>
              <w:t>野生</w:t>
            </w:r>
            <w:r>
              <w:rPr>
                <w:rFonts w:hint="default" w:ascii="Times New Roman" w:hAnsi="Times New Roman" w:eastAsia="宋体" w:cs="Times New Roman"/>
                <w:b w:val="0"/>
                <w:bCs w:val="0"/>
                <w:color w:val="000000" w:themeColor="text1"/>
                <w14:textFill>
                  <w14:solidFill>
                    <w14:schemeClr w14:val="tx1"/>
                  </w14:solidFill>
                </w14:textFill>
              </w:rPr>
              <w:t>植物分布。</w:t>
            </w:r>
          </w:p>
          <w:p w14:paraId="6E9BF902">
            <w:pPr>
              <w:keepNext w:val="0"/>
              <w:keepLines w:val="0"/>
              <w:pageBreakBefore w:val="0"/>
              <w:widowControl w:val="0"/>
              <w:kinsoku/>
              <w:wordWrap/>
              <w:overflowPunct/>
              <w:topLinePunct w:val="0"/>
              <w:autoSpaceDE/>
              <w:autoSpaceDN/>
              <w:bidi w:val="0"/>
              <w:adjustRightInd w:val="0"/>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土壤</w:t>
            </w:r>
          </w:p>
          <w:p w14:paraId="662B2BAC">
            <w:pPr>
              <w:keepNext w:val="0"/>
              <w:keepLines w:val="0"/>
              <w:pageBreakBefore w:val="0"/>
              <w:widowControl w:val="0"/>
              <w:kinsoku/>
              <w:wordWrap/>
              <w:overflowPunct/>
              <w:topLinePunct w:val="0"/>
              <w:autoSpaceDE/>
              <w:autoSpaceDN/>
              <w:bidi w:val="0"/>
              <w:adjustRightInd w:val="0"/>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所在区域</w:t>
            </w:r>
            <w:r>
              <w:rPr>
                <w:color w:val="000000" w:themeColor="text1"/>
                <w14:textFill>
                  <w14:solidFill>
                    <w14:schemeClr w14:val="tx1"/>
                  </w14:solidFill>
                </w14:textFill>
              </w:rPr>
              <w:t>土壤类型为</w:t>
            </w:r>
            <w:r>
              <w:rPr>
                <w:rFonts w:hint="eastAsia"/>
                <w:color w:val="000000" w:themeColor="text1"/>
                <w:lang w:val="en-US" w:eastAsia="zh-CN"/>
                <w14:textFill>
                  <w14:solidFill>
                    <w14:schemeClr w14:val="tx1"/>
                  </w14:solidFill>
                </w14:textFill>
              </w:rPr>
              <w:t>盐土</w:t>
            </w:r>
            <w:r>
              <w:rPr>
                <w:color w:val="000000" w:themeColor="text1"/>
                <w14:textFill>
                  <w14:solidFill>
                    <w14:schemeClr w14:val="tx1"/>
                  </w14:solidFill>
                </w14:textFill>
              </w:rPr>
              <w:t>。</w:t>
            </w:r>
          </w:p>
          <w:p w14:paraId="1EDAD36A">
            <w:pPr>
              <w:keepNext w:val="0"/>
              <w:keepLines w:val="0"/>
              <w:pageBreakBefore w:val="0"/>
              <w:widowControl w:val="0"/>
              <w:kinsoku/>
              <w:wordWrap/>
              <w:overflowPunct/>
              <w:topLinePunct w:val="0"/>
              <w:autoSpaceDE/>
              <w:autoSpaceDN/>
              <w:bidi w:val="0"/>
              <w:adjustRightInd w:val="0"/>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野生动物</w:t>
            </w:r>
          </w:p>
          <w:p w14:paraId="77B4E288">
            <w:pPr>
              <w:keepNext w:val="0"/>
              <w:keepLines w:val="0"/>
              <w:pageBreakBefore w:val="0"/>
              <w:widowControl w:val="0"/>
              <w:kinsoku/>
              <w:wordWrap/>
              <w:overflowPunct/>
              <w:topLinePunct w:val="0"/>
              <w:autoSpaceDE/>
              <w:autoSpaceDN/>
              <w:bidi w:val="0"/>
              <w:adjustRightInd w:val="0"/>
              <w:spacing w:line="500" w:lineRule="exact"/>
              <w:ind w:firstLine="480" w:firstLineChars="200"/>
              <w:textAlignment w:val="auto"/>
              <w:rPr>
                <w:bCs/>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本项目所在区域</w:t>
            </w:r>
            <w:r>
              <w:rPr>
                <w:rFonts w:hint="default" w:ascii="Times New Roman" w:hAnsi="Times New Roman" w:cs="Times New Roman"/>
                <w:b w:val="0"/>
                <w:bCs w:val="0"/>
                <w:color w:val="000000" w:themeColor="text1"/>
                <w:lang w:val="en-US" w:eastAsia="zh-CN"/>
                <w14:textFill>
                  <w14:solidFill>
                    <w14:schemeClr w14:val="tx1"/>
                  </w14:solidFill>
                </w14:textFill>
              </w:rPr>
              <w:t>气候干燥少雨，昼夜温差大，植被稀疏，野生动物生存的饮水、食物及栖息条件非常有限。因此种类和数量较少，主要是常见的沙蜥和沙鼠等小型动物，还有一些麻雀等常见鸟类活动</w:t>
            </w:r>
            <w:r>
              <w:rPr>
                <w:rFonts w:hint="eastAsia"/>
                <w:color w:val="000000" w:themeColor="text1"/>
                <w14:textFill>
                  <w14:solidFill>
                    <w14:schemeClr w14:val="tx1"/>
                  </w14:solidFill>
                </w14:textFill>
              </w:rPr>
              <w:t>，</w:t>
            </w:r>
            <w:r>
              <w:rPr>
                <w:bCs/>
                <w:color w:val="000000" w:themeColor="text1"/>
                <w14:textFill>
                  <w14:solidFill>
                    <w14:schemeClr w14:val="tx1"/>
                  </w14:solidFill>
                </w14:textFill>
              </w:rPr>
              <w:t>根据《国家重点保护野生动物名录》（</w:t>
            </w:r>
            <w:r>
              <w:rPr>
                <w:rFonts w:hint="eastAsia" w:ascii="Times New Roman" w:hAnsi="Times New Roman" w:cs="Times New Roman"/>
                <w:b w:val="0"/>
                <w:bCs w:val="0"/>
                <w:color w:val="000000" w:themeColor="text1"/>
                <w:lang w:val="en-US" w:eastAsia="zh-CN"/>
                <w14:textFill>
                  <w14:solidFill>
                    <w14:schemeClr w14:val="tx1"/>
                  </w14:solidFill>
                </w14:textFill>
              </w:rPr>
              <w:t>2021年8</w:t>
            </w:r>
            <w:r>
              <w:rPr>
                <w:rFonts w:hint="default" w:ascii="Times New Roman" w:hAnsi="Times New Roman" w:eastAsia="宋体" w:cs="Times New Roman"/>
                <w:b w:val="0"/>
                <w:bCs w:val="0"/>
                <w:color w:val="000000" w:themeColor="text1"/>
                <w14:textFill>
                  <w14:solidFill>
                    <w14:schemeClr w14:val="tx1"/>
                  </w14:solidFill>
                </w14:textFill>
              </w:rPr>
              <w:t>月</w:t>
            </w:r>
            <w:r>
              <w:rPr>
                <w:rFonts w:hint="eastAsia" w:ascii="Times New Roman" w:hAnsi="Times New Roman" w:cs="Times New Roman"/>
                <w:b w:val="0"/>
                <w:bCs w:val="0"/>
                <w:color w:val="000000" w:themeColor="text1"/>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14:textFill>
                  <w14:solidFill>
                    <w14:schemeClr w14:val="tx1"/>
                  </w14:solidFill>
                </w14:textFill>
              </w:rPr>
              <w:t>日</w:t>
            </w:r>
            <w:r>
              <w:rPr>
                <w:bCs/>
                <w:color w:val="000000" w:themeColor="text1"/>
                <w14:textFill>
                  <w14:solidFill>
                    <w14:schemeClr w14:val="tx1"/>
                  </w14:solidFill>
                </w14:textFill>
              </w:rPr>
              <w:t>）及《新疆维吾尔自治区重点保护野生动物名录（修订）》（新政发〔2022〕75号），项目区域内未发现国家</w:t>
            </w:r>
            <w:r>
              <w:rPr>
                <w:rFonts w:hint="eastAsia"/>
                <w:bCs/>
                <w:color w:val="000000" w:themeColor="text1"/>
                <w14:textFill>
                  <w14:solidFill>
                    <w14:schemeClr w14:val="tx1"/>
                  </w14:solidFill>
                </w14:textFill>
              </w:rPr>
              <w:t>级及新疆维吾尔自治区级</w:t>
            </w:r>
            <w:r>
              <w:rPr>
                <w:bCs/>
                <w:color w:val="000000" w:themeColor="text1"/>
                <w14:textFill>
                  <w14:solidFill>
                    <w14:schemeClr w14:val="tx1"/>
                  </w14:solidFill>
                </w14:textFill>
              </w:rPr>
              <w:t>重点保护野生动物</w:t>
            </w:r>
            <w:r>
              <w:rPr>
                <w:rFonts w:hint="eastAsia"/>
                <w:bCs/>
                <w:color w:val="000000" w:themeColor="text1"/>
                <w14:textFill>
                  <w14:solidFill>
                    <w14:schemeClr w14:val="tx1"/>
                  </w14:solidFill>
                </w14:textFill>
              </w:rPr>
              <w:t>。</w:t>
            </w:r>
          </w:p>
          <w:p w14:paraId="6AB66D2B">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eastAsia" w:eastAsia="宋体"/>
                <w:bCs/>
                <w:color w:val="000000" w:themeColor="text1"/>
                <w:lang w:eastAsia="zh-CN"/>
                <w14:textFill>
                  <w14:solidFill>
                    <w14:schemeClr w14:val="tx1"/>
                  </w14:solidFill>
                </w14:textFill>
              </w:rPr>
            </w:pPr>
            <w:r>
              <w:rPr>
                <w:rFonts w:hint="eastAsia"/>
                <w:bCs/>
                <w:color w:val="000000" w:themeColor="text1"/>
                <w:lang w:eastAsia="zh-CN"/>
                <w14:textFill>
                  <w14:solidFill>
                    <w14:schemeClr w14:val="tx1"/>
                  </w14:solidFill>
                </w14:textFill>
              </w:rPr>
              <w:t>（</w:t>
            </w:r>
            <w:r>
              <w:rPr>
                <w:rFonts w:hint="eastAsia"/>
                <w:bCs/>
                <w:color w:val="000000" w:themeColor="text1"/>
                <w:lang w:val="en-US" w:eastAsia="zh-CN"/>
                <w14:textFill>
                  <w14:solidFill>
                    <w14:schemeClr w14:val="tx1"/>
                  </w14:solidFill>
                </w14:textFill>
              </w:rPr>
              <w:t>5</w:t>
            </w:r>
            <w:r>
              <w:rPr>
                <w:rFonts w:hint="eastAsia"/>
                <w:bCs/>
                <w:color w:val="000000" w:themeColor="text1"/>
                <w:lang w:eastAsia="zh-CN"/>
                <w14:textFill>
                  <w14:solidFill>
                    <w14:schemeClr w14:val="tx1"/>
                  </w14:solidFill>
                </w14:textFill>
              </w:rPr>
              <w:t>）水土流失现状</w:t>
            </w:r>
          </w:p>
          <w:p w14:paraId="1D62785D">
            <w:pPr>
              <w:keepNext w:val="0"/>
              <w:keepLines w:val="0"/>
              <w:pageBreakBefore w:val="0"/>
              <w:widowControl w:val="0"/>
              <w:kinsoku/>
              <w:wordWrap/>
              <w:overflowPunct/>
              <w:topLinePunct w:val="0"/>
              <w:autoSpaceDE/>
              <w:autoSpaceDN/>
              <w:bidi w:val="0"/>
              <w:spacing w:line="500" w:lineRule="exact"/>
              <w:ind w:firstLine="480" w:firstLineChars="200"/>
              <w:textAlignment w:val="auto"/>
              <w:rPr>
                <w:rFonts w:hint="eastAsia"/>
                <w:bCs/>
                <w:color w:val="000000" w:themeColor="text1"/>
                <w:lang w:val="en-US" w:eastAsia="zh-CN"/>
                <w14:textFill>
                  <w14:solidFill>
                    <w14:schemeClr w14:val="tx1"/>
                  </w14:solidFill>
                </w14:textFill>
              </w:rPr>
            </w:pPr>
            <w:r>
              <w:rPr>
                <w:rFonts w:hint="eastAsia"/>
                <w:bCs/>
                <w:color w:val="000000" w:themeColor="text1"/>
                <w14:textFill>
                  <w14:solidFill>
                    <w14:schemeClr w14:val="tx1"/>
                  </w14:solidFill>
                </w14:textFill>
              </w:rPr>
              <w:t>根据《</w:t>
            </w:r>
            <w:r>
              <w:rPr>
                <w:rFonts w:hint="eastAsia"/>
                <w:bCs/>
                <w:color w:val="000000" w:themeColor="text1"/>
                <w:lang w:eastAsia="zh-CN"/>
                <w14:textFill>
                  <w14:solidFill>
                    <w14:schemeClr w14:val="tx1"/>
                  </w14:solidFill>
                </w14:textFill>
              </w:rPr>
              <w:t>巴音郭楞蒙古自治州</w:t>
            </w:r>
            <w:r>
              <w:rPr>
                <w:rFonts w:hint="eastAsia"/>
                <w:bCs/>
                <w:color w:val="000000" w:themeColor="text1"/>
                <w14:textFill>
                  <w14:solidFill>
                    <w14:schemeClr w14:val="tx1"/>
                  </w14:solidFill>
                </w14:textFill>
              </w:rPr>
              <w:t>水土保持规划（202</w:t>
            </w:r>
            <w:r>
              <w:rPr>
                <w:rFonts w:hint="eastAsia"/>
                <w:bCs/>
                <w:color w:val="000000" w:themeColor="text1"/>
                <w:lang w:val="en-US" w:eastAsia="zh-CN"/>
                <w14:textFill>
                  <w14:solidFill>
                    <w14:schemeClr w14:val="tx1"/>
                  </w14:solidFill>
                </w14:textFill>
              </w:rPr>
              <w:t>0—</w:t>
            </w:r>
            <w:r>
              <w:rPr>
                <w:rFonts w:hint="eastAsia"/>
                <w:bCs/>
                <w:color w:val="000000" w:themeColor="text1"/>
                <w14:textFill>
                  <w14:solidFill>
                    <w14:schemeClr w14:val="tx1"/>
                  </w14:solidFill>
                </w14:textFill>
              </w:rPr>
              <w:t>2030年）》，本项目所在区域属于</w:t>
            </w:r>
            <w:r>
              <w:rPr>
                <w:rFonts w:hint="eastAsia"/>
                <w:bCs/>
                <w:color w:val="000000" w:themeColor="text1"/>
                <w:lang w:val="en-US" w:eastAsia="zh-CN"/>
                <w14:textFill>
                  <w14:solidFill>
                    <w14:schemeClr w14:val="tx1"/>
                  </w14:solidFill>
                </w14:textFill>
              </w:rPr>
              <w:t>阿尔金山国家级水土流失重点预防区。</w:t>
            </w:r>
          </w:p>
          <w:p w14:paraId="3D69270C">
            <w:pPr>
              <w:keepNext w:val="0"/>
              <w:keepLines w:val="0"/>
              <w:pageBreakBefore w:val="0"/>
              <w:widowControl w:val="0"/>
              <w:kinsoku/>
              <w:wordWrap/>
              <w:overflowPunct/>
              <w:topLinePunct w:val="0"/>
              <w:autoSpaceDE/>
              <w:autoSpaceDN/>
              <w:bidi w:val="0"/>
              <w:spacing w:line="500" w:lineRule="exact"/>
              <w:ind w:firstLine="480" w:firstLineChars="200"/>
              <w:textAlignment w:val="auto"/>
              <w:rPr>
                <w:color w:val="000000" w:themeColor="text1"/>
                <w14:textFill>
                  <w14:solidFill>
                    <w14:schemeClr w14:val="tx1"/>
                  </w14:solidFill>
                </w14:textFill>
              </w:rPr>
            </w:pPr>
            <w:r>
              <w:rPr>
                <w:rFonts w:hint="eastAsia"/>
                <w:bCs/>
                <w:color w:val="000000" w:themeColor="text1"/>
                <w14:textFill>
                  <w14:solidFill>
                    <w14:schemeClr w14:val="tx1"/>
                  </w14:solidFill>
                </w14:textFill>
              </w:rPr>
              <w:t>（</w:t>
            </w:r>
            <w:r>
              <w:rPr>
                <w:rFonts w:hint="eastAsia"/>
                <w:bCs/>
                <w:color w:val="000000" w:themeColor="text1"/>
                <w:lang w:val="en-US" w:eastAsia="zh-CN"/>
                <w14:textFill>
                  <w14:solidFill>
                    <w14:schemeClr w14:val="tx1"/>
                  </w14:solidFill>
                </w14:textFill>
              </w:rPr>
              <w:t>6</w:t>
            </w:r>
            <w:r>
              <w:rPr>
                <w:rFonts w:hint="eastAsia"/>
                <w:bCs/>
                <w:color w:val="000000" w:themeColor="text1"/>
                <w14:textFill>
                  <w14:solidFill>
                    <w14:schemeClr w14:val="tx1"/>
                  </w14:solidFill>
                </w14:textFill>
              </w:rPr>
              <w:t>）沙化土地现状</w:t>
            </w:r>
          </w:p>
          <w:p w14:paraId="59CCAAA4">
            <w:pPr>
              <w:pStyle w:val="52"/>
              <w:keepNext w:val="0"/>
              <w:keepLines w:val="0"/>
              <w:pageBreakBefore w:val="0"/>
              <w:widowControl w:val="0"/>
              <w:kinsoku/>
              <w:wordWrap/>
              <w:overflowPunct/>
              <w:topLinePunct w:val="0"/>
              <w:autoSpaceDE/>
              <w:autoSpaceDN/>
              <w:bidi w:val="0"/>
              <w:spacing w:line="500" w:lineRule="exact"/>
              <w:textAlignment w:val="auto"/>
              <w:rPr>
                <w:rFonts w:hint="eastAsia" w:cs="Times New Roman"/>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根据《新疆第六次沙化监测报告》，第六次沙化土地监测区类别分</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沙化土地、具有明显沙化趋势的土地以及非沙化土地。</w:t>
            </w:r>
            <w:r>
              <w:rPr>
                <w:rFonts w:hint="eastAsia" w:cs="Times New Roman"/>
                <w:b w:val="0"/>
                <w:bCs w:val="0"/>
                <w:color w:val="000000" w:themeColor="text1"/>
                <w:highlight w:val="none"/>
                <w:lang w:val="en-US" w:eastAsia="zh-CN"/>
                <w14:textFill>
                  <w14:solidFill>
                    <w14:schemeClr w14:val="tx1"/>
                  </w14:solidFill>
                </w14:textFill>
              </w:rPr>
              <w:t>根据《新疆第六次沙化监测：沙化土地类型分布图》，</w:t>
            </w:r>
            <w:r>
              <w:rPr>
                <w:rFonts w:hint="eastAsia" w:ascii="Times New Roman" w:hAnsi="Times New Roman" w:eastAsia="宋体" w:cs="Times New Roman"/>
                <w:b w:val="0"/>
                <w:bCs w:val="0"/>
                <w:color w:val="000000" w:themeColor="text1"/>
                <w:highlight w:val="none"/>
                <w:lang w:val="en-US" w:eastAsia="zh-CN"/>
                <w14:textFill>
                  <w14:solidFill>
                    <w14:schemeClr w14:val="tx1"/>
                  </w14:solidFill>
                </w14:textFill>
              </w:rPr>
              <w:t>本项目所在区域属于</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具有明显沙化趋势的土地。</w:t>
            </w:r>
          </w:p>
          <w:p w14:paraId="147AF81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b/>
                <w:bCs/>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根据《新疆第六次沙化监测报告》</w:t>
            </w:r>
            <w:r>
              <w:rPr>
                <w:rFonts w:hint="eastAsia" w:cs="Times New Roman"/>
                <w:b w:val="0"/>
                <w:bCs w:val="0"/>
                <w:color w:val="000000" w:themeColor="text1"/>
                <w:highlight w:val="none"/>
                <w:lang w:val="en-US"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新疆维吾尔自治区</w:t>
            </w:r>
            <w:r>
              <w:rPr>
                <w:rFonts w:hint="default" w:ascii="Times New Roman" w:hAnsi="Times New Roman" w:cs="Times New Roman"/>
                <w:color w:val="000000" w:themeColor="text1"/>
                <w:highlight w:val="none"/>
                <w14:textFill>
                  <w14:solidFill>
                    <w14:schemeClr w14:val="tx1"/>
                  </w14:solidFill>
                </w14:textFill>
              </w:rPr>
              <w:t>有明显沙化趋势的土地面积为437</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96</w:t>
            </w:r>
            <w:r>
              <w:rPr>
                <w:rFonts w:hint="eastAsia" w:cs="Times New Roman"/>
                <w:color w:val="000000" w:themeColor="text1"/>
                <w:highlight w:val="none"/>
                <w:lang w:val="en-US" w:eastAsia="zh-CN"/>
                <w14:textFill>
                  <w14:solidFill>
                    <w14:schemeClr w14:val="tx1"/>
                  </w14:solidFill>
                </w14:textFill>
              </w:rPr>
              <w:t>万</w:t>
            </w:r>
            <w:r>
              <w:rPr>
                <w:rFonts w:hint="default" w:ascii="Times New Roman" w:hAnsi="Times New Roman" w:cs="Times New Roman"/>
                <w:color w:val="000000" w:themeColor="text1"/>
                <w:highlight w:val="none"/>
                <w14:textFill>
                  <w14:solidFill>
                    <w14:schemeClr w14:val="tx1"/>
                  </w14:solidFill>
                </w14:textFill>
              </w:rPr>
              <w:t>公顷，其中喀什地区、阿克苏地区、</w:t>
            </w:r>
            <w:r>
              <w:rPr>
                <w:rFonts w:hint="eastAsia" w:cs="Times New Roman"/>
                <w:color w:val="000000" w:themeColor="text1"/>
                <w:highlight w:val="none"/>
                <w:lang w:val="en-US" w:eastAsia="zh-CN"/>
                <w14:textFill>
                  <w14:solidFill>
                    <w14:schemeClr w14:val="tx1"/>
                  </w14:solidFill>
                </w14:textFill>
              </w:rPr>
              <w:t>巴音郭楞蒙古自治州</w:t>
            </w:r>
            <w:r>
              <w:rPr>
                <w:rFonts w:hint="default" w:ascii="Times New Roman" w:hAnsi="Times New Roman" w:cs="Times New Roman"/>
                <w:color w:val="000000" w:themeColor="text1"/>
                <w:highlight w:val="none"/>
                <w14:textFill>
                  <w14:solidFill>
                    <w14:schemeClr w14:val="tx1"/>
                  </w14:solidFill>
                </w14:textFill>
              </w:rPr>
              <w:t>具有明显沙化趋势的土地分布面积较大，</w:t>
            </w:r>
            <w:r>
              <w:rPr>
                <w:rFonts w:hint="eastAsia" w:cs="Times New Roman"/>
                <w:color w:val="000000" w:themeColor="text1"/>
                <w:highlight w:val="none"/>
                <w:lang w:val="en-US" w:eastAsia="zh-CN"/>
                <w14:textFill>
                  <w14:solidFill>
                    <w14:schemeClr w14:val="tx1"/>
                  </w14:solidFill>
                </w14:textFill>
              </w:rPr>
              <w:t>巴音郭楞蒙古自治州</w:t>
            </w:r>
            <w:r>
              <w:rPr>
                <w:rFonts w:hint="default" w:ascii="Times New Roman" w:hAnsi="Times New Roman" w:cs="Times New Roman"/>
                <w:color w:val="000000" w:themeColor="text1"/>
                <w:highlight w:val="none"/>
                <w14:textFill>
                  <w14:solidFill>
                    <w14:schemeClr w14:val="tx1"/>
                  </w14:solidFill>
                </w14:textFill>
              </w:rPr>
              <w:t>有明显沙化趋势的土地面积为69</w:t>
            </w:r>
            <w:r>
              <w:rPr>
                <w:rFonts w:hint="eastAsia"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1</w:t>
            </w:r>
            <w:r>
              <w:rPr>
                <w:rFonts w:hint="eastAsia" w:cs="Times New Roman"/>
                <w:color w:val="000000" w:themeColor="text1"/>
                <w:highlight w:val="none"/>
                <w:lang w:val="en-US" w:eastAsia="zh-CN"/>
                <w14:textFill>
                  <w14:solidFill>
                    <w14:schemeClr w14:val="tx1"/>
                  </w14:solidFill>
                </w14:textFill>
              </w:rPr>
              <w:t>9万</w:t>
            </w:r>
            <w:r>
              <w:rPr>
                <w:rFonts w:hint="default" w:ascii="Times New Roman" w:hAnsi="Times New Roman" w:cs="Times New Roman"/>
                <w:color w:val="000000" w:themeColor="text1"/>
                <w:highlight w:val="none"/>
                <w14:textFill>
                  <w14:solidFill>
                    <w14:schemeClr w14:val="tx1"/>
                  </w14:solidFill>
                </w14:textFill>
              </w:rPr>
              <w:t>公顷，占具有明显沙化趋势土地面积的15.8</w:t>
            </w:r>
            <w:r>
              <w:rPr>
                <w:rFonts w:hint="eastAsia" w:cs="Times New Roman"/>
                <w:color w:val="000000" w:themeColor="text1"/>
                <w:highlight w:val="none"/>
                <w:lang w:val="en-US" w:eastAsia="zh-CN"/>
                <w14:textFill>
                  <w14:solidFill>
                    <w14:schemeClr w14:val="tx1"/>
                  </w14:solidFill>
                </w14:textFill>
              </w:rPr>
              <w:t>0</w:t>
            </w:r>
            <w:r>
              <w:rPr>
                <w:rFonts w:hint="default" w:ascii="Times New Roman" w:hAnsi="Times New Roman" w:cs="Times New Roman"/>
                <w:color w:val="000000" w:themeColor="text1"/>
                <w:highlight w:val="none"/>
                <w14:textFill>
                  <w14:solidFill>
                    <w14:schemeClr w14:val="tx1"/>
                  </w14:solidFill>
                </w14:textFill>
              </w:rPr>
              <w:t>%。</w:t>
            </w:r>
          </w:p>
          <w:p w14:paraId="610C456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olor w:val="000000" w:themeColor="text1"/>
                <w:highlight w:val="none"/>
                <w:vertAlign w:val="baseline"/>
                <w:lang w:val="en-US" w:eastAsia="zh-CN"/>
                <w14:textFill>
                  <w14:solidFill>
                    <w14:schemeClr w14:val="tx1"/>
                  </w14:solidFill>
                </w14:textFill>
              </w:rPr>
            </w:pPr>
            <w:r>
              <w:rPr>
                <w:rFonts w:hint="eastAsia"/>
                <w:color w:val="000000" w:themeColor="text1"/>
                <w:lang w:eastAsia="zh-CN"/>
                <w14:textFill>
                  <w14:solidFill>
                    <w14:schemeClr w14:val="tx1"/>
                  </w14:solidFill>
                </w14:textFill>
              </w:rPr>
              <w:t>项目区位于塔克拉玛干沙漠</w:t>
            </w:r>
            <w:r>
              <w:rPr>
                <w:rFonts w:hint="eastAsia"/>
                <w:color w:val="000000" w:themeColor="text1"/>
                <w:lang w:val="en-US" w:eastAsia="zh-CN"/>
                <w14:textFill>
                  <w14:solidFill>
                    <w14:schemeClr w14:val="tx1"/>
                  </w14:solidFill>
                </w14:textFill>
              </w:rPr>
              <w:t>边缘，已采取的防沙治沙措施包括：铺设高立式芦苇沙障，草方格固沙，种植梭梭、柽柳等沙生植物，区域</w:t>
            </w:r>
            <w:r>
              <w:rPr>
                <w:rFonts w:hint="eastAsia"/>
                <w:color w:val="000000" w:themeColor="text1"/>
                <w:highlight w:val="none"/>
                <w14:textFill>
                  <w14:solidFill>
                    <w14:schemeClr w14:val="tx1"/>
                  </w14:solidFill>
                </w14:textFill>
              </w:rPr>
              <w:t>沙化土地扩展态势已得到基本遏制，扩展速度逐步扭转为回缩态势</w:t>
            </w:r>
            <w:r>
              <w:rPr>
                <w:rFonts w:hint="eastAsia"/>
                <w:color w:val="000000" w:themeColor="text1"/>
                <w:highlight w:val="none"/>
                <w:lang w:eastAsia="zh-CN"/>
                <w14:textFill>
                  <w14:solidFill>
                    <w14:schemeClr w14:val="tx1"/>
                  </w14:solidFill>
                </w14:textFill>
              </w:rPr>
              <w:t>。</w:t>
            </w:r>
          </w:p>
          <w:p w14:paraId="4068CE41">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w:t>
            </w:r>
            <w:r>
              <w:rPr>
                <w:b/>
                <w:bCs/>
                <w:color w:val="000000" w:themeColor="text1"/>
                <w:highlight w:val="none"/>
                <w14:textFill>
                  <w14:solidFill>
                    <w14:schemeClr w14:val="tx1"/>
                  </w14:solidFill>
                </w14:textFill>
              </w:rPr>
              <w:t>大气现状调查与评价</w:t>
            </w:r>
          </w:p>
          <w:p w14:paraId="5FE59C51">
            <w:pPr>
              <w:pStyle w:val="60"/>
              <w:keepNext w:val="0"/>
              <w:keepLines w:val="0"/>
              <w:pageBreakBefore w:val="0"/>
              <w:widowControl w:val="0"/>
              <w:kinsoku/>
              <w:wordWrap/>
              <w:overflowPunct/>
              <w:topLinePunct w:val="0"/>
              <w:autoSpaceDE/>
              <w:autoSpaceDN/>
              <w:bidi w:val="0"/>
              <w:spacing w:line="500" w:lineRule="exact"/>
              <w:ind w:firstLine="48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根据《建设项目环境影响报告表编制技术指南（生态影响类）（试行）》，不开展大气环境影响专项评价的项目应引用与项目距离近的有效数据和调查资料说明环境质量现状，</w:t>
            </w:r>
            <w:r>
              <w:rPr>
                <w:rFonts w:hint="eastAsia" w:ascii="Times New Roman" w:hAnsi="Times New Roman" w:cs="Times New Roman"/>
                <w:color w:val="000000" w:themeColor="text1"/>
                <w:lang w:eastAsia="zh-CN"/>
                <w14:textFill>
                  <w14:solidFill>
                    <w14:schemeClr w14:val="tx1"/>
                  </w14:solidFill>
                </w14:textFill>
              </w:rPr>
              <w:t>本次收集了</w:t>
            </w:r>
            <w:r>
              <w:rPr>
                <w:rFonts w:hint="eastAsia" w:ascii="Times New Roman" w:hAnsi="Times New Roman" w:cs="Times New Roman"/>
                <w:color w:val="000000" w:themeColor="text1"/>
                <w:lang w:val="en-US" w:eastAsia="zh-CN"/>
                <w14:textFill>
                  <w14:solidFill>
                    <w14:schemeClr w14:val="tx1"/>
                  </w14:solidFill>
                </w14:textFill>
              </w:rPr>
              <w:t>且末县2024年</w:t>
            </w:r>
            <w:r>
              <w:rPr>
                <w:rFonts w:hint="eastAsia" w:ascii="Times New Roman" w:hAnsi="Times New Roman" w:cs="Times New Roman"/>
                <w:color w:val="000000" w:themeColor="text1"/>
                <w:lang w:eastAsia="zh-CN"/>
                <w14:textFill>
                  <w14:solidFill>
                    <w14:schemeClr w14:val="tx1"/>
                  </w14:solidFill>
                </w14:textFill>
              </w:rPr>
              <w:t>的基本污染物环境质量现状数据</w:t>
            </w:r>
            <w:r>
              <w:rPr>
                <w:rFonts w:hint="default" w:ascii="Times New Roman" w:hAnsi="Times New Roman" w:cs="Times New Roman"/>
                <w:color w:val="000000" w:themeColor="text1"/>
                <w14:textFill>
                  <w14:solidFill>
                    <w14:schemeClr w14:val="tx1"/>
                  </w14:solidFill>
                </w14:textFill>
              </w:rPr>
              <w:t>，作为本工程环境空气现状评价基本污染物的数据来源。</w:t>
            </w:r>
          </w:p>
          <w:p w14:paraId="4DAF337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本项目区域空气质量现状评价见表</w:t>
            </w:r>
            <w:r>
              <w:rPr>
                <w:rFonts w:hint="eastAsia"/>
                <w:color w:val="000000" w:themeColor="text1"/>
                <w14:textFill>
                  <w14:solidFill>
                    <w14:schemeClr w14:val="tx1"/>
                  </w14:solidFill>
                </w14:textFill>
              </w:rPr>
              <w:t>3-</w:t>
            </w: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w:t>
            </w:r>
          </w:p>
          <w:p w14:paraId="31118CC0">
            <w:pPr>
              <w:keepNext w:val="0"/>
              <w:keepLines w:val="0"/>
              <w:pageBreakBefore w:val="0"/>
              <w:widowControl w:val="0"/>
              <w:tabs>
                <w:tab w:val="left" w:pos="4586"/>
                <w:tab w:val="left" w:pos="5786"/>
              </w:tabs>
              <w:kinsoku/>
              <w:wordWrap/>
              <w:overflowPunct/>
              <w:topLinePunct w:val="0"/>
              <w:autoSpaceDE w:val="0"/>
              <w:autoSpaceDN w:val="0"/>
              <w:bidi w:val="0"/>
              <w:adjustRightInd w:val="0"/>
              <w:snapToGrid w:val="0"/>
              <w:jc w:val="center"/>
              <w:textAlignment w:val="auto"/>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表3-</w:t>
            </w:r>
            <w:r>
              <w:rPr>
                <w:rFonts w:hint="eastAsia" w:ascii="黑体" w:hAnsi="黑体" w:eastAsia="黑体" w:cs="黑体"/>
                <w:color w:val="000000" w:themeColor="text1"/>
                <w:sz w:val="21"/>
                <w:szCs w:val="21"/>
                <w:lang w:val="en-US" w:eastAsia="zh-CN"/>
                <w14:textFill>
                  <w14:solidFill>
                    <w14:schemeClr w14:val="tx1"/>
                  </w14:solidFill>
                </w14:textFill>
              </w:rPr>
              <w:t>3</w:t>
            </w:r>
            <w:r>
              <w:rPr>
                <w:rFonts w:hint="eastAsia" w:ascii="黑体" w:hAnsi="黑体" w:eastAsia="黑体" w:cs="黑体"/>
                <w:color w:val="000000" w:themeColor="text1"/>
                <w:sz w:val="21"/>
                <w:szCs w:val="21"/>
                <w14:textFill>
                  <w14:solidFill>
                    <w14:schemeClr w14:val="tx1"/>
                  </w14:solidFill>
                </w14:textFill>
              </w:rPr>
              <w:t xml:space="preserve">   </w:t>
            </w:r>
            <w:r>
              <w:rPr>
                <w:rFonts w:hint="eastAsia" w:ascii="黑体" w:hAnsi="黑体" w:eastAsia="黑体" w:cs="黑体"/>
                <w:color w:val="000000" w:themeColor="text1"/>
                <w:sz w:val="21"/>
                <w:szCs w:val="21"/>
                <w:lang w:eastAsia="zh-CN"/>
                <w14:textFill>
                  <w14:solidFill>
                    <w14:schemeClr w14:val="tx1"/>
                  </w14:solidFill>
                </w14:textFill>
              </w:rPr>
              <w:t>基本</w:t>
            </w:r>
            <w:r>
              <w:rPr>
                <w:rFonts w:hint="eastAsia" w:ascii="黑体" w:hAnsi="黑体" w:eastAsia="黑体" w:cs="黑体"/>
                <w:color w:val="000000" w:themeColor="text1"/>
                <w:sz w:val="21"/>
                <w:szCs w:val="21"/>
                <w14:textFill>
                  <w14:solidFill>
                    <w14:schemeClr w14:val="tx1"/>
                  </w14:solidFill>
                </w14:textFill>
              </w:rPr>
              <w:t>污染物大气质量及评价结果一览表</w:t>
            </w:r>
          </w:p>
          <w:tbl>
            <w:tblPr>
              <w:tblStyle w:val="28"/>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875"/>
              <w:gridCol w:w="1380"/>
              <w:gridCol w:w="1605"/>
              <w:gridCol w:w="1065"/>
              <w:gridCol w:w="925"/>
            </w:tblGrid>
            <w:tr w14:paraId="5E6333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733" w:type="pct"/>
                  <w:tcBorders>
                    <w:tl2br w:val="nil"/>
                    <w:tr2bl w:val="nil"/>
                  </w:tcBorders>
                  <w:noWrap w:val="0"/>
                  <w:vAlign w:val="center"/>
                </w:tcPr>
                <w:p w14:paraId="39776B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污染物</w:t>
                  </w:r>
                </w:p>
              </w:tc>
              <w:tc>
                <w:tcPr>
                  <w:tcW w:w="1167" w:type="pct"/>
                  <w:tcBorders>
                    <w:tl2br w:val="nil"/>
                    <w:tr2bl w:val="nil"/>
                  </w:tcBorders>
                  <w:noWrap w:val="0"/>
                  <w:vAlign w:val="center"/>
                </w:tcPr>
                <w:p w14:paraId="25840B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评价项目</w:t>
                  </w:r>
                </w:p>
              </w:tc>
              <w:tc>
                <w:tcPr>
                  <w:tcW w:w="859" w:type="pct"/>
                  <w:tcBorders>
                    <w:tl2br w:val="nil"/>
                    <w:tr2bl w:val="nil"/>
                  </w:tcBorders>
                  <w:noWrap w:val="0"/>
                  <w:vAlign w:val="center"/>
                </w:tcPr>
                <w:p w14:paraId="249A7F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浓度（μ</w:t>
                  </w:r>
                  <w:r>
                    <w:rPr>
                      <w:rFonts w:hint="default" w:ascii="Times New Roman" w:hAnsi="Times New Roman" w:cs="Times New Roman"/>
                      <w:color w:val="000000" w:themeColor="text1"/>
                      <w:sz w:val="21"/>
                      <w:szCs w:val="21"/>
                      <w:lang w:val="en-US" w:eastAsia="zh-CN"/>
                      <w14:textFill>
                        <w14:solidFill>
                          <w14:schemeClr w14:val="tx1"/>
                        </w14:solidFill>
                      </w14:textFill>
                    </w:rPr>
                    <w:t>g</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w:t>
                  </w:r>
                </w:p>
              </w:tc>
              <w:tc>
                <w:tcPr>
                  <w:tcW w:w="999" w:type="pct"/>
                  <w:tcBorders>
                    <w:tl2br w:val="nil"/>
                    <w:tr2bl w:val="nil"/>
                  </w:tcBorders>
                  <w:noWrap w:val="0"/>
                  <w:vAlign w:val="center"/>
                </w:tcPr>
                <w:p w14:paraId="0E06AE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标准（二级）（μ</w:t>
                  </w:r>
                  <w:r>
                    <w:rPr>
                      <w:rFonts w:hint="default" w:ascii="Times New Roman" w:hAnsi="Times New Roman" w:cs="Times New Roman"/>
                      <w:color w:val="000000" w:themeColor="text1"/>
                      <w:sz w:val="21"/>
                      <w:szCs w:val="21"/>
                      <w:lang w:val="en-US" w:eastAsia="zh-CN"/>
                      <w14:textFill>
                        <w14:solidFill>
                          <w14:schemeClr w14:val="tx1"/>
                        </w14:solidFill>
                      </w14:textFill>
                    </w:rPr>
                    <w:t>g</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w:t>
                  </w:r>
                </w:p>
              </w:tc>
              <w:tc>
                <w:tcPr>
                  <w:tcW w:w="663" w:type="pct"/>
                  <w:tcBorders>
                    <w:tl2br w:val="nil"/>
                    <w:tr2bl w:val="nil"/>
                  </w:tcBorders>
                  <w:noWrap w:val="0"/>
                  <w:vAlign w:val="center"/>
                </w:tcPr>
                <w:p w14:paraId="4E8892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占标率</w:t>
                  </w:r>
                  <w:r>
                    <w:rPr>
                      <w:rFonts w:hint="default" w:ascii="Times New Roman" w:hAnsi="Times New Roman" w:cs="Times New Roman"/>
                      <w:color w:val="000000" w:themeColor="text1"/>
                      <w:sz w:val="21"/>
                      <w:szCs w:val="21"/>
                      <w:lang w:val="en-US" w:eastAsia="zh-CN"/>
                      <w14:textFill>
                        <w14:solidFill>
                          <w14:schemeClr w14:val="tx1"/>
                        </w14:solidFill>
                      </w14:textFill>
                    </w:rPr>
                    <w:t>%</w:t>
                  </w:r>
                </w:p>
              </w:tc>
              <w:tc>
                <w:tcPr>
                  <w:tcW w:w="576" w:type="pct"/>
                  <w:tcBorders>
                    <w:tl2br w:val="nil"/>
                    <w:tr2bl w:val="nil"/>
                  </w:tcBorders>
                  <w:noWrap w:val="0"/>
                  <w:vAlign w:val="center"/>
                </w:tcPr>
                <w:p w14:paraId="50127C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达标情况</w:t>
                  </w:r>
                </w:p>
              </w:tc>
            </w:tr>
            <w:tr w14:paraId="010FA7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restart"/>
                  <w:tcBorders>
                    <w:tl2br w:val="nil"/>
                    <w:tr2bl w:val="nil"/>
                  </w:tcBorders>
                  <w:noWrap w:val="0"/>
                  <w:vAlign w:val="center"/>
                </w:tcPr>
                <w:p w14:paraId="478D0F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SO</w:t>
                  </w:r>
                  <w:r>
                    <w:rPr>
                      <w:rFonts w:hint="default" w:ascii="Times New Roman" w:hAnsi="Times New Roman" w:cs="Times New Roman"/>
                      <w:color w:val="000000" w:themeColor="text1"/>
                      <w:sz w:val="21"/>
                      <w:szCs w:val="21"/>
                      <w:vertAlign w:val="subscript"/>
                      <w14:textFill>
                        <w14:solidFill>
                          <w14:schemeClr w14:val="tx1"/>
                        </w14:solidFill>
                      </w14:textFill>
                    </w:rPr>
                    <w:t>2</w:t>
                  </w:r>
                </w:p>
              </w:tc>
              <w:tc>
                <w:tcPr>
                  <w:tcW w:w="1167" w:type="pct"/>
                  <w:tcBorders>
                    <w:tl2br w:val="nil"/>
                    <w:tr2bl w:val="nil"/>
                  </w:tcBorders>
                  <w:noWrap w:val="0"/>
                  <w:vAlign w:val="center"/>
                </w:tcPr>
                <w:p w14:paraId="0C0DC3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年平均</w:t>
                  </w:r>
                </w:p>
              </w:tc>
              <w:tc>
                <w:tcPr>
                  <w:tcW w:w="859" w:type="pct"/>
                  <w:tcBorders>
                    <w:tl2br w:val="nil"/>
                    <w:tr2bl w:val="nil"/>
                  </w:tcBorders>
                  <w:noWrap w:val="0"/>
                  <w:vAlign w:val="center"/>
                </w:tcPr>
                <w:p w14:paraId="550A5A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w:t>
                  </w:r>
                </w:p>
              </w:tc>
              <w:tc>
                <w:tcPr>
                  <w:tcW w:w="999" w:type="pct"/>
                  <w:tcBorders>
                    <w:tl2br w:val="nil"/>
                    <w:tr2bl w:val="nil"/>
                  </w:tcBorders>
                  <w:noWrap w:val="0"/>
                  <w:vAlign w:val="center"/>
                </w:tcPr>
                <w:p w14:paraId="66CBDF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60</w:t>
                  </w:r>
                </w:p>
              </w:tc>
              <w:tc>
                <w:tcPr>
                  <w:tcW w:w="663" w:type="pct"/>
                  <w:tcBorders>
                    <w:tl2br w:val="nil"/>
                    <w:tr2bl w:val="nil"/>
                  </w:tcBorders>
                  <w:noWrap w:val="0"/>
                  <w:vAlign w:val="center"/>
                </w:tcPr>
                <w:p w14:paraId="4AF4F0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w:t>
                  </w:r>
                </w:p>
              </w:tc>
              <w:tc>
                <w:tcPr>
                  <w:tcW w:w="576" w:type="pct"/>
                  <w:tcBorders>
                    <w:tl2br w:val="nil"/>
                    <w:tr2bl w:val="nil"/>
                  </w:tcBorders>
                  <w:noWrap w:val="0"/>
                  <w:vAlign w:val="center"/>
                </w:tcPr>
                <w:p w14:paraId="01A67F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达标</w:t>
                  </w:r>
                </w:p>
              </w:tc>
            </w:tr>
            <w:tr w14:paraId="0DA4E6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tcBorders>
                    <w:tl2br w:val="nil"/>
                    <w:tr2bl w:val="nil"/>
                  </w:tcBorders>
                  <w:noWrap w:val="0"/>
                  <w:vAlign w:val="center"/>
                </w:tcPr>
                <w:p w14:paraId="72551B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167" w:type="pct"/>
                  <w:tcBorders>
                    <w:tl2br w:val="nil"/>
                    <w:tr2bl w:val="nil"/>
                  </w:tcBorders>
                  <w:noWrap w:val="0"/>
                  <w:vAlign w:val="center"/>
                </w:tcPr>
                <w:p w14:paraId="29472A1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24h平均第98百分位数</w:t>
                  </w:r>
                </w:p>
              </w:tc>
              <w:tc>
                <w:tcPr>
                  <w:tcW w:w="859" w:type="pct"/>
                  <w:tcBorders>
                    <w:tl2br w:val="nil"/>
                    <w:tr2bl w:val="nil"/>
                  </w:tcBorders>
                  <w:noWrap w:val="0"/>
                  <w:vAlign w:val="center"/>
                </w:tcPr>
                <w:p w14:paraId="6112CE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9</w:t>
                  </w:r>
                </w:p>
              </w:tc>
              <w:tc>
                <w:tcPr>
                  <w:tcW w:w="999" w:type="pct"/>
                  <w:tcBorders>
                    <w:tl2br w:val="nil"/>
                    <w:tr2bl w:val="nil"/>
                  </w:tcBorders>
                  <w:noWrap w:val="0"/>
                  <w:vAlign w:val="center"/>
                </w:tcPr>
                <w:p w14:paraId="23FD7E5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150</w:t>
                  </w:r>
                </w:p>
              </w:tc>
              <w:tc>
                <w:tcPr>
                  <w:tcW w:w="663" w:type="pct"/>
                  <w:tcBorders>
                    <w:tl2br w:val="nil"/>
                    <w:tr2bl w:val="nil"/>
                  </w:tcBorders>
                  <w:noWrap w:val="0"/>
                  <w:vAlign w:val="center"/>
                </w:tcPr>
                <w:p w14:paraId="031A9A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w:t>
                  </w:r>
                </w:p>
              </w:tc>
              <w:tc>
                <w:tcPr>
                  <w:tcW w:w="576" w:type="pct"/>
                  <w:tcBorders>
                    <w:tl2br w:val="nil"/>
                    <w:tr2bl w:val="nil"/>
                  </w:tcBorders>
                  <w:noWrap w:val="0"/>
                  <w:vAlign w:val="center"/>
                </w:tcPr>
                <w:p w14:paraId="47F668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达标</w:t>
                  </w:r>
                </w:p>
              </w:tc>
            </w:tr>
            <w:tr w14:paraId="58CEF4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restart"/>
                  <w:tcBorders>
                    <w:tl2br w:val="nil"/>
                    <w:tr2bl w:val="nil"/>
                  </w:tcBorders>
                  <w:noWrap w:val="0"/>
                  <w:vAlign w:val="center"/>
                </w:tcPr>
                <w:p w14:paraId="7BC8A7E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NO</w:t>
                  </w:r>
                  <w:r>
                    <w:rPr>
                      <w:rFonts w:hint="default" w:ascii="Times New Roman" w:hAnsi="Times New Roman" w:cs="Times New Roman"/>
                      <w:color w:val="000000" w:themeColor="text1"/>
                      <w:sz w:val="21"/>
                      <w:szCs w:val="21"/>
                      <w:vertAlign w:val="subscript"/>
                      <w14:textFill>
                        <w14:solidFill>
                          <w14:schemeClr w14:val="tx1"/>
                        </w14:solidFill>
                      </w14:textFill>
                    </w:rPr>
                    <w:t>2</w:t>
                  </w:r>
                </w:p>
              </w:tc>
              <w:tc>
                <w:tcPr>
                  <w:tcW w:w="1167" w:type="pct"/>
                  <w:tcBorders>
                    <w:tl2br w:val="nil"/>
                    <w:tr2bl w:val="nil"/>
                  </w:tcBorders>
                  <w:noWrap w:val="0"/>
                  <w:vAlign w:val="center"/>
                </w:tcPr>
                <w:p w14:paraId="1F1E90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年平均</w:t>
                  </w:r>
                </w:p>
              </w:tc>
              <w:tc>
                <w:tcPr>
                  <w:tcW w:w="859" w:type="pct"/>
                  <w:tcBorders>
                    <w:tl2br w:val="nil"/>
                    <w:tr2bl w:val="nil"/>
                  </w:tcBorders>
                  <w:noWrap w:val="0"/>
                  <w:vAlign w:val="center"/>
                </w:tcPr>
                <w:p w14:paraId="45B727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w:t>
                  </w:r>
                </w:p>
              </w:tc>
              <w:tc>
                <w:tcPr>
                  <w:tcW w:w="999" w:type="pct"/>
                  <w:tcBorders>
                    <w:tl2br w:val="nil"/>
                    <w:tr2bl w:val="nil"/>
                  </w:tcBorders>
                  <w:noWrap w:val="0"/>
                  <w:vAlign w:val="center"/>
                </w:tcPr>
                <w:p w14:paraId="24AC3F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40</w:t>
                  </w:r>
                </w:p>
              </w:tc>
              <w:tc>
                <w:tcPr>
                  <w:tcW w:w="663" w:type="pct"/>
                  <w:tcBorders>
                    <w:tl2br w:val="nil"/>
                    <w:tr2bl w:val="nil"/>
                  </w:tcBorders>
                  <w:noWrap w:val="0"/>
                  <w:vAlign w:val="center"/>
                </w:tcPr>
                <w:p w14:paraId="36560F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p>
              </w:tc>
              <w:tc>
                <w:tcPr>
                  <w:tcW w:w="576" w:type="pct"/>
                  <w:tcBorders>
                    <w:tl2br w:val="nil"/>
                    <w:tr2bl w:val="nil"/>
                  </w:tcBorders>
                  <w:noWrap w:val="0"/>
                  <w:vAlign w:val="center"/>
                </w:tcPr>
                <w:p w14:paraId="2FD435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达标</w:t>
                  </w:r>
                </w:p>
              </w:tc>
            </w:tr>
            <w:tr w14:paraId="71BF56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tcBorders>
                    <w:tl2br w:val="nil"/>
                    <w:tr2bl w:val="nil"/>
                  </w:tcBorders>
                  <w:noWrap w:val="0"/>
                  <w:vAlign w:val="center"/>
                </w:tcPr>
                <w:p w14:paraId="5DD473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167" w:type="pct"/>
                  <w:tcBorders>
                    <w:tl2br w:val="nil"/>
                    <w:tr2bl w:val="nil"/>
                  </w:tcBorders>
                  <w:noWrap w:val="0"/>
                  <w:vAlign w:val="center"/>
                </w:tcPr>
                <w:p w14:paraId="1BA412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24h平均第98百分位数</w:t>
                  </w:r>
                </w:p>
              </w:tc>
              <w:tc>
                <w:tcPr>
                  <w:tcW w:w="859" w:type="pct"/>
                  <w:tcBorders>
                    <w:tl2br w:val="nil"/>
                    <w:tr2bl w:val="nil"/>
                  </w:tcBorders>
                  <w:noWrap w:val="0"/>
                  <w:vAlign w:val="center"/>
                </w:tcPr>
                <w:p w14:paraId="19EE80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13</w:t>
                  </w:r>
                </w:p>
              </w:tc>
              <w:tc>
                <w:tcPr>
                  <w:tcW w:w="999" w:type="pct"/>
                  <w:tcBorders>
                    <w:tl2br w:val="nil"/>
                    <w:tr2bl w:val="nil"/>
                  </w:tcBorders>
                  <w:noWrap w:val="0"/>
                  <w:vAlign w:val="center"/>
                </w:tcPr>
                <w:p w14:paraId="4B8317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80</w:t>
                  </w:r>
                </w:p>
              </w:tc>
              <w:tc>
                <w:tcPr>
                  <w:tcW w:w="663" w:type="pct"/>
                  <w:tcBorders>
                    <w:tl2br w:val="nil"/>
                    <w:tr2bl w:val="nil"/>
                  </w:tcBorders>
                  <w:noWrap w:val="0"/>
                  <w:vAlign w:val="center"/>
                </w:tcPr>
                <w:p w14:paraId="157B84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16</w:t>
                  </w:r>
                </w:p>
              </w:tc>
              <w:tc>
                <w:tcPr>
                  <w:tcW w:w="576" w:type="pct"/>
                  <w:tcBorders>
                    <w:tl2br w:val="nil"/>
                    <w:tr2bl w:val="nil"/>
                  </w:tcBorders>
                  <w:noWrap w:val="0"/>
                  <w:vAlign w:val="center"/>
                </w:tcPr>
                <w:p w14:paraId="42EA53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达标</w:t>
                  </w:r>
                </w:p>
              </w:tc>
            </w:tr>
            <w:tr w14:paraId="1C9027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tcBorders>
                    <w:tl2br w:val="nil"/>
                    <w:tr2bl w:val="nil"/>
                  </w:tcBorders>
                  <w:noWrap w:val="0"/>
                  <w:vAlign w:val="center"/>
                </w:tcPr>
                <w:p w14:paraId="288C34E4">
                  <w:pPr>
                    <w:keepNext w:val="0"/>
                    <w:keepLines w:val="0"/>
                    <w:pageBreakBefore w:val="0"/>
                    <w:widowControl w:val="0"/>
                    <w:kinsoku/>
                    <w:wordWrap/>
                    <w:overflowPunct/>
                    <w:topLinePunct w:val="0"/>
                    <w:autoSpaceDE/>
                    <w:autoSpaceDN/>
                    <w:bidi w:val="0"/>
                    <w:adjustRightInd w:val="0"/>
                    <w:snapToGrid w:val="0"/>
                    <w:spacing w:line="240" w:lineRule="auto"/>
                    <w:ind w:left="-120" w:leftChars="-50" w:right="-120" w:rightChars="-5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w:t>
                  </w:r>
                </w:p>
              </w:tc>
              <w:tc>
                <w:tcPr>
                  <w:tcW w:w="1167" w:type="pct"/>
                  <w:tcBorders>
                    <w:tl2br w:val="nil"/>
                    <w:tr2bl w:val="nil"/>
                  </w:tcBorders>
                  <w:noWrap w:val="0"/>
                  <w:vAlign w:val="center"/>
                </w:tcPr>
                <w:p w14:paraId="79B062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24h平均第95百分位数</w:t>
                  </w:r>
                </w:p>
              </w:tc>
              <w:tc>
                <w:tcPr>
                  <w:tcW w:w="859" w:type="pct"/>
                  <w:tcBorders>
                    <w:tl2br w:val="nil"/>
                    <w:tr2bl w:val="nil"/>
                  </w:tcBorders>
                  <w:noWrap w:val="0"/>
                  <w:vAlign w:val="center"/>
                </w:tcPr>
                <w:p w14:paraId="7B77E3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700</w:t>
                  </w:r>
                </w:p>
              </w:tc>
              <w:tc>
                <w:tcPr>
                  <w:tcW w:w="999" w:type="pct"/>
                  <w:tcBorders>
                    <w:tl2br w:val="nil"/>
                    <w:tr2bl w:val="nil"/>
                  </w:tcBorders>
                  <w:noWrap w:val="0"/>
                  <w:vAlign w:val="center"/>
                </w:tcPr>
                <w:p w14:paraId="0EF5D4D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r>
                    <w:rPr>
                      <w:rFonts w:hint="eastAsia" w:cs="Times New Roman"/>
                      <w:color w:val="000000" w:themeColor="text1"/>
                      <w:sz w:val="21"/>
                      <w:szCs w:val="21"/>
                      <w:lang w:val="en-US" w:eastAsia="zh-CN"/>
                      <w14:textFill>
                        <w14:solidFill>
                          <w14:schemeClr w14:val="tx1"/>
                        </w14:solidFill>
                      </w14:textFill>
                    </w:rPr>
                    <w:t>000</w:t>
                  </w:r>
                </w:p>
              </w:tc>
              <w:tc>
                <w:tcPr>
                  <w:tcW w:w="663" w:type="pct"/>
                  <w:tcBorders>
                    <w:tl2br w:val="nil"/>
                    <w:tr2bl w:val="nil"/>
                  </w:tcBorders>
                  <w:noWrap w:val="0"/>
                  <w:vAlign w:val="center"/>
                </w:tcPr>
                <w:p w14:paraId="43A6D3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18</w:t>
                  </w:r>
                </w:p>
              </w:tc>
              <w:tc>
                <w:tcPr>
                  <w:tcW w:w="576" w:type="pct"/>
                  <w:tcBorders>
                    <w:tl2br w:val="nil"/>
                    <w:tr2bl w:val="nil"/>
                  </w:tcBorders>
                  <w:noWrap w:val="0"/>
                  <w:vAlign w:val="center"/>
                </w:tcPr>
                <w:p w14:paraId="0C0C27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达标</w:t>
                  </w:r>
                </w:p>
              </w:tc>
            </w:tr>
            <w:tr w14:paraId="3E14A1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tcBorders>
                    <w:tl2br w:val="nil"/>
                    <w:tr2bl w:val="nil"/>
                  </w:tcBorders>
                  <w:noWrap w:val="0"/>
                  <w:vAlign w:val="center"/>
                </w:tcPr>
                <w:p w14:paraId="0599EF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O</w:t>
                  </w:r>
                  <w:r>
                    <w:rPr>
                      <w:rFonts w:hint="default" w:ascii="Times New Roman" w:hAnsi="Times New Roman" w:cs="Times New Roman"/>
                      <w:color w:val="000000" w:themeColor="text1"/>
                      <w:sz w:val="21"/>
                      <w:szCs w:val="21"/>
                      <w:vertAlign w:val="subscript"/>
                      <w14:textFill>
                        <w14:solidFill>
                          <w14:schemeClr w14:val="tx1"/>
                        </w14:solidFill>
                      </w14:textFill>
                    </w:rPr>
                    <w:t>3</w:t>
                  </w:r>
                </w:p>
              </w:tc>
              <w:tc>
                <w:tcPr>
                  <w:tcW w:w="1167" w:type="pct"/>
                  <w:tcBorders>
                    <w:tl2br w:val="nil"/>
                    <w:tr2bl w:val="nil"/>
                  </w:tcBorders>
                  <w:noWrap w:val="0"/>
                  <w:vAlign w:val="center"/>
                </w:tcPr>
                <w:p w14:paraId="092CBF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最大8小时滑动平均值的第90百分位数</w:t>
                  </w:r>
                </w:p>
              </w:tc>
              <w:tc>
                <w:tcPr>
                  <w:tcW w:w="859" w:type="pct"/>
                  <w:tcBorders>
                    <w:tl2br w:val="nil"/>
                    <w:tr2bl w:val="nil"/>
                  </w:tcBorders>
                  <w:noWrap w:val="0"/>
                  <w:vAlign w:val="center"/>
                </w:tcPr>
                <w:p w14:paraId="49892C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128</w:t>
                  </w:r>
                </w:p>
              </w:tc>
              <w:tc>
                <w:tcPr>
                  <w:tcW w:w="999" w:type="pct"/>
                  <w:tcBorders>
                    <w:tl2br w:val="nil"/>
                    <w:tr2bl w:val="nil"/>
                  </w:tcBorders>
                  <w:noWrap w:val="0"/>
                  <w:vAlign w:val="center"/>
                </w:tcPr>
                <w:p w14:paraId="46293F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160</w:t>
                  </w:r>
                </w:p>
              </w:tc>
              <w:tc>
                <w:tcPr>
                  <w:tcW w:w="663" w:type="pct"/>
                  <w:tcBorders>
                    <w:tl2br w:val="nil"/>
                    <w:tr2bl w:val="nil"/>
                  </w:tcBorders>
                  <w:noWrap w:val="0"/>
                  <w:vAlign w:val="center"/>
                </w:tcPr>
                <w:p w14:paraId="7D1253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80</w:t>
                  </w:r>
                </w:p>
              </w:tc>
              <w:tc>
                <w:tcPr>
                  <w:tcW w:w="576" w:type="pct"/>
                  <w:tcBorders>
                    <w:tl2br w:val="nil"/>
                    <w:tr2bl w:val="nil"/>
                  </w:tcBorders>
                  <w:noWrap w:val="0"/>
                  <w:vAlign w:val="center"/>
                </w:tcPr>
                <w:p w14:paraId="6D722B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达标</w:t>
                  </w:r>
                </w:p>
              </w:tc>
            </w:tr>
            <w:tr w14:paraId="52A622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33" w:type="pct"/>
                  <w:vMerge w:val="restart"/>
                  <w:tcBorders>
                    <w:tl2br w:val="nil"/>
                    <w:tr2bl w:val="nil"/>
                  </w:tcBorders>
                  <w:noWrap w:val="0"/>
                  <w:vAlign w:val="center"/>
                </w:tcPr>
                <w:p w14:paraId="047076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PM</w:t>
                  </w:r>
                  <w:r>
                    <w:rPr>
                      <w:rFonts w:hint="default" w:ascii="Times New Roman" w:hAnsi="Times New Roman" w:cs="Times New Roman"/>
                      <w:color w:val="000000" w:themeColor="text1"/>
                      <w:sz w:val="21"/>
                      <w:szCs w:val="21"/>
                      <w:vertAlign w:val="subscript"/>
                      <w14:textFill>
                        <w14:solidFill>
                          <w14:schemeClr w14:val="tx1"/>
                        </w14:solidFill>
                      </w14:textFill>
                    </w:rPr>
                    <w:t>10</w:t>
                  </w:r>
                </w:p>
              </w:tc>
              <w:tc>
                <w:tcPr>
                  <w:tcW w:w="1167" w:type="pct"/>
                  <w:tcBorders>
                    <w:tl2br w:val="nil"/>
                    <w:tr2bl w:val="nil"/>
                  </w:tcBorders>
                  <w:noWrap w:val="0"/>
                  <w:vAlign w:val="center"/>
                </w:tcPr>
                <w:p w14:paraId="264A73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年平均</w:t>
                  </w:r>
                </w:p>
              </w:tc>
              <w:tc>
                <w:tcPr>
                  <w:tcW w:w="859" w:type="pct"/>
                  <w:tcBorders>
                    <w:tl2br w:val="nil"/>
                    <w:tr2bl w:val="nil"/>
                  </w:tcBorders>
                  <w:noWrap w:val="0"/>
                  <w:vAlign w:val="center"/>
                </w:tcPr>
                <w:p w14:paraId="58036B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407</w:t>
                  </w:r>
                </w:p>
              </w:tc>
              <w:tc>
                <w:tcPr>
                  <w:tcW w:w="999" w:type="pct"/>
                  <w:tcBorders>
                    <w:tl2br w:val="nil"/>
                    <w:tr2bl w:val="nil"/>
                  </w:tcBorders>
                  <w:noWrap w:val="0"/>
                  <w:vAlign w:val="center"/>
                </w:tcPr>
                <w:p w14:paraId="4E7375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60</w:t>
                  </w:r>
                </w:p>
              </w:tc>
              <w:tc>
                <w:tcPr>
                  <w:tcW w:w="663" w:type="pct"/>
                  <w:tcBorders>
                    <w:tl2br w:val="nil"/>
                    <w:tr2bl w:val="nil"/>
                  </w:tcBorders>
                  <w:noWrap w:val="0"/>
                  <w:vAlign w:val="center"/>
                </w:tcPr>
                <w:p w14:paraId="416872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678</w:t>
                  </w:r>
                </w:p>
              </w:tc>
              <w:tc>
                <w:tcPr>
                  <w:tcW w:w="576" w:type="pct"/>
                  <w:tcBorders>
                    <w:tl2br w:val="nil"/>
                    <w:tr2bl w:val="nil"/>
                  </w:tcBorders>
                  <w:noWrap w:val="0"/>
                  <w:vAlign w:val="center"/>
                </w:tcPr>
                <w:p w14:paraId="5FA2BA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超标</w:t>
                  </w:r>
                </w:p>
              </w:tc>
            </w:tr>
            <w:tr w14:paraId="2CC1A8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733" w:type="pct"/>
                  <w:vMerge w:val="continue"/>
                  <w:tcBorders>
                    <w:tl2br w:val="nil"/>
                    <w:tr2bl w:val="nil"/>
                  </w:tcBorders>
                  <w:noWrap w:val="0"/>
                  <w:vAlign w:val="center"/>
                </w:tcPr>
                <w:p w14:paraId="6F62C4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167" w:type="pct"/>
                  <w:tcBorders>
                    <w:tl2br w:val="nil"/>
                    <w:tr2bl w:val="nil"/>
                  </w:tcBorders>
                  <w:noWrap w:val="0"/>
                  <w:vAlign w:val="center"/>
                </w:tcPr>
                <w:p w14:paraId="350903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24h平均第95百分位数</w:t>
                  </w:r>
                </w:p>
              </w:tc>
              <w:tc>
                <w:tcPr>
                  <w:tcW w:w="859" w:type="pct"/>
                  <w:tcBorders>
                    <w:tl2br w:val="nil"/>
                    <w:tr2bl w:val="nil"/>
                  </w:tcBorders>
                  <w:noWrap w:val="0"/>
                  <w:vAlign w:val="center"/>
                </w:tcPr>
                <w:p w14:paraId="40EF59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1294</w:t>
                  </w:r>
                </w:p>
              </w:tc>
              <w:tc>
                <w:tcPr>
                  <w:tcW w:w="999" w:type="pct"/>
                  <w:tcBorders>
                    <w:tl2br w:val="nil"/>
                    <w:tr2bl w:val="nil"/>
                  </w:tcBorders>
                  <w:noWrap w:val="0"/>
                  <w:vAlign w:val="center"/>
                </w:tcPr>
                <w:p w14:paraId="4C41FA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120</w:t>
                  </w:r>
                </w:p>
              </w:tc>
              <w:tc>
                <w:tcPr>
                  <w:tcW w:w="663" w:type="pct"/>
                  <w:tcBorders>
                    <w:tl2br w:val="nil"/>
                    <w:tr2bl w:val="nil"/>
                  </w:tcBorders>
                  <w:noWrap w:val="0"/>
                  <w:vAlign w:val="center"/>
                </w:tcPr>
                <w:p w14:paraId="54FC62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1078</w:t>
                  </w:r>
                </w:p>
              </w:tc>
              <w:tc>
                <w:tcPr>
                  <w:tcW w:w="576" w:type="pct"/>
                  <w:tcBorders>
                    <w:tl2br w:val="nil"/>
                    <w:tr2bl w:val="nil"/>
                  </w:tcBorders>
                  <w:noWrap w:val="0"/>
                  <w:vAlign w:val="center"/>
                </w:tcPr>
                <w:p w14:paraId="3EBDFE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超标</w:t>
                  </w:r>
                </w:p>
              </w:tc>
            </w:tr>
            <w:tr w14:paraId="598BE3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restart"/>
                  <w:tcBorders>
                    <w:tl2br w:val="nil"/>
                    <w:tr2bl w:val="nil"/>
                  </w:tcBorders>
                  <w:noWrap w:val="0"/>
                  <w:vAlign w:val="center"/>
                </w:tcPr>
                <w:p w14:paraId="287F2E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PM</w:t>
                  </w:r>
                  <w:r>
                    <w:rPr>
                      <w:rFonts w:hint="default" w:ascii="Times New Roman" w:hAnsi="Times New Roman" w:cs="Times New Roman"/>
                      <w:color w:val="000000" w:themeColor="text1"/>
                      <w:sz w:val="21"/>
                      <w:szCs w:val="21"/>
                      <w:vertAlign w:val="subscript"/>
                      <w14:textFill>
                        <w14:solidFill>
                          <w14:schemeClr w14:val="tx1"/>
                        </w14:solidFill>
                      </w14:textFill>
                    </w:rPr>
                    <w:t>2.5</w:t>
                  </w:r>
                </w:p>
              </w:tc>
              <w:tc>
                <w:tcPr>
                  <w:tcW w:w="1167" w:type="pct"/>
                  <w:tcBorders>
                    <w:tl2br w:val="nil"/>
                    <w:tr2bl w:val="nil"/>
                  </w:tcBorders>
                  <w:noWrap w:val="0"/>
                  <w:vAlign w:val="center"/>
                </w:tcPr>
                <w:p w14:paraId="13A09A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年平均</w:t>
                  </w:r>
                </w:p>
              </w:tc>
              <w:tc>
                <w:tcPr>
                  <w:tcW w:w="859" w:type="pct"/>
                  <w:tcBorders>
                    <w:tl2br w:val="nil"/>
                    <w:tr2bl w:val="nil"/>
                  </w:tcBorders>
                  <w:noWrap w:val="0"/>
                  <w:vAlign w:val="center"/>
                </w:tcPr>
                <w:p w14:paraId="0C7E8F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157</w:t>
                  </w:r>
                </w:p>
              </w:tc>
              <w:tc>
                <w:tcPr>
                  <w:tcW w:w="999" w:type="pct"/>
                  <w:tcBorders>
                    <w:tl2br w:val="nil"/>
                    <w:tr2bl w:val="nil"/>
                  </w:tcBorders>
                  <w:noWrap w:val="0"/>
                  <w:vAlign w:val="center"/>
                </w:tcPr>
                <w:p w14:paraId="10C89F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30</w:t>
                  </w:r>
                </w:p>
              </w:tc>
              <w:tc>
                <w:tcPr>
                  <w:tcW w:w="663" w:type="pct"/>
                  <w:tcBorders>
                    <w:tl2br w:val="nil"/>
                    <w:tr2bl w:val="nil"/>
                  </w:tcBorders>
                  <w:noWrap w:val="0"/>
                  <w:vAlign w:val="center"/>
                </w:tcPr>
                <w:p w14:paraId="76A72A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523</w:t>
                  </w:r>
                </w:p>
              </w:tc>
              <w:tc>
                <w:tcPr>
                  <w:tcW w:w="576" w:type="pct"/>
                  <w:tcBorders>
                    <w:tl2br w:val="nil"/>
                    <w:tr2bl w:val="nil"/>
                  </w:tcBorders>
                  <w:noWrap w:val="0"/>
                  <w:vAlign w:val="center"/>
                </w:tcPr>
                <w:p w14:paraId="309D30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超标</w:t>
                  </w:r>
                </w:p>
              </w:tc>
            </w:tr>
            <w:tr w14:paraId="0B3054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33" w:type="pct"/>
                  <w:vMerge w:val="continue"/>
                  <w:tcBorders>
                    <w:tl2br w:val="nil"/>
                    <w:tr2bl w:val="nil"/>
                  </w:tcBorders>
                  <w:noWrap w:val="0"/>
                  <w:vAlign w:val="center"/>
                </w:tcPr>
                <w:p w14:paraId="1FB21F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167" w:type="pct"/>
                  <w:tcBorders>
                    <w:tl2br w:val="nil"/>
                    <w:tr2bl w:val="nil"/>
                  </w:tcBorders>
                  <w:noWrap w:val="0"/>
                  <w:vAlign w:val="center"/>
                </w:tcPr>
                <w:p w14:paraId="01C1F5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24h平均第95百分位数</w:t>
                  </w:r>
                </w:p>
              </w:tc>
              <w:tc>
                <w:tcPr>
                  <w:tcW w:w="859" w:type="pct"/>
                  <w:tcBorders>
                    <w:tl2br w:val="nil"/>
                    <w:tr2bl w:val="nil"/>
                  </w:tcBorders>
                  <w:noWrap w:val="0"/>
                  <w:vAlign w:val="center"/>
                </w:tcPr>
                <w:p w14:paraId="4DD561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562</w:t>
                  </w:r>
                </w:p>
              </w:tc>
              <w:tc>
                <w:tcPr>
                  <w:tcW w:w="999" w:type="pct"/>
                  <w:tcBorders>
                    <w:tl2br w:val="nil"/>
                    <w:tr2bl w:val="nil"/>
                  </w:tcBorders>
                  <w:noWrap w:val="0"/>
                  <w:vAlign w:val="center"/>
                </w:tcPr>
                <w:p w14:paraId="41F21E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60</w:t>
                  </w:r>
                </w:p>
              </w:tc>
              <w:tc>
                <w:tcPr>
                  <w:tcW w:w="663" w:type="pct"/>
                  <w:tcBorders>
                    <w:tl2br w:val="nil"/>
                    <w:tr2bl w:val="nil"/>
                  </w:tcBorders>
                  <w:noWrap w:val="0"/>
                  <w:vAlign w:val="center"/>
                </w:tcPr>
                <w:p w14:paraId="665E7A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937</w:t>
                  </w:r>
                </w:p>
              </w:tc>
              <w:tc>
                <w:tcPr>
                  <w:tcW w:w="576" w:type="pct"/>
                  <w:tcBorders>
                    <w:tl2br w:val="nil"/>
                    <w:tr2bl w:val="nil"/>
                  </w:tcBorders>
                  <w:noWrap w:val="0"/>
                  <w:vAlign w:val="center"/>
                </w:tcPr>
                <w:p w14:paraId="654D23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超标</w:t>
                  </w:r>
                </w:p>
              </w:tc>
            </w:tr>
          </w:tbl>
          <w:p w14:paraId="25387971">
            <w:pPr>
              <w:pStyle w:val="63"/>
              <w:keepNext w:val="0"/>
              <w:keepLines w:val="0"/>
              <w:pageBreakBefore w:val="0"/>
              <w:kinsoku/>
              <w:wordWrap/>
              <w:overflowPunct/>
              <w:topLinePunct w:val="0"/>
              <w:bidi w:val="0"/>
              <w:adjustRightInd w:val="0"/>
              <w:spacing w:line="480" w:lineRule="exact"/>
              <w:ind w:left="0" w:right="0" w:firstLine="480"/>
              <w:textAlignment w:val="auto"/>
              <w:rPr>
                <w:rFonts w:hint="default" w:ascii="Times New Roman" w:hAnsi="Times New Roman" w:cs="Times New Roman"/>
                <w:color w:val="000000" w:themeColor="text1"/>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根据</w:t>
            </w:r>
            <w:r>
              <w:rPr>
                <w:rFonts w:hint="default" w:ascii="Times New Roman" w:hAnsi="Times New Roman" w:eastAsia="宋体" w:cs="Times New Roman"/>
                <w:color w:val="000000" w:themeColor="text1"/>
                <w:sz w:val="24"/>
                <w:lang w:val="en-US" w:eastAsia="zh-CN"/>
                <w14:textFill>
                  <w14:solidFill>
                    <w14:schemeClr w14:val="tx1"/>
                  </w14:solidFill>
                </w14:textFill>
              </w:rPr>
              <w:t>《环境空气质量标准》（GB3095-2026），该标准自2026年3月1日起</w:t>
            </w:r>
            <w:r>
              <w:rPr>
                <w:rFonts w:hint="eastAsia" w:ascii="Times New Roman" w:hAnsi="Times New Roman" w:eastAsia="宋体" w:cs="Times New Roman"/>
                <w:color w:val="000000" w:themeColor="text1"/>
                <w:sz w:val="24"/>
                <w:lang w:val="en-US" w:eastAsia="zh-CN"/>
                <w14:textFill>
                  <w14:solidFill>
                    <w14:schemeClr w14:val="tx1"/>
                  </w14:solidFill>
                </w14:textFill>
              </w:rPr>
              <w:t>正式</w:t>
            </w:r>
            <w:r>
              <w:rPr>
                <w:rFonts w:hint="default" w:ascii="Times New Roman" w:hAnsi="Times New Roman" w:eastAsia="宋体" w:cs="Times New Roman"/>
                <w:color w:val="000000" w:themeColor="text1"/>
                <w:sz w:val="24"/>
                <w:lang w:val="en-US" w:eastAsia="zh-CN"/>
                <w14:textFill>
                  <w14:solidFill>
                    <w14:schemeClr w14:val="tx1"/>
                  </w14:solidFill>
                </w14:textFill>
              </w:rPr>
              <w:t>实施，采用分阶段执行方式：2026年3月1日—2030年12月31日为过渡实施阶段，执行过渡阶段浓度限值；2031年1月1日起全面执行新标准最终浓度限值。采用《环境空气质量标准》（GB 3095-2026）</w:t>
            </w:r>
            <w:r>
              <w:rPr>
                <w:rFonts w:hint="eastAsia" w:ascii="Times New Roman" w:hAnsi="Times New Roman" w:eastAsia="宋体" w:cs="Times New Roman"/>
                <w:color w:val="000000" w:themeColor="text1"/>
                <w:sz w:val="24"/>
                <w:lang w:val="en-US" w:eastAsia="zh-CN"/>
                <w14:textFill>
                  <w14:solidFill>
                    <w14:schemeClr w14:val="tx1"/>
                  </w14:solidFill>
                </w14:textFill>
              </w:rPr>
              <w:t>过渡阶段限值</w:t>
            </w:r>
            <w:r>
              <w:rPr>
                <w:rFonts w:hint="default" w:ascii="Times New Roman" w:hAnsi="Times New Roman" w:eastAsia="宋体" w:cs="Times New Roman"/>
                <w:color w:val="000000" w:themeColor="text1"/>
                <w:sz w:val="24"/>
                <w:lang w:val="en-US" w:eastAsia="zh-CN"/>
                <w14:textFill>
                  <w14:solidFill>
                    <w14:schemeClr w14:val="tx1"/>
                  </w14:solidFill>
                </w14:textFill>
              </w:rPr>
              <w:t>与</w:t>
            </w:r>
            <w:r>
              <w:rPr>
                <w:rFonts w:hint="eastAsia" w:ascii="Times New Roman" w:cs="Times New Roman"/>
                <w:color w:val="000000" w:themeColor="text1"/>
                <w:sz w:val="24"/>
                <w:lang w:val="en-US" w:eastAsia="zh-CN"/>
                <w14:textFill>
                  <w14:solidFill>
                    <w14:schemeClr w14:val="tx1"/>
                  </w14:solidFill>
                </w14:textFill>
              </w:rPr>
              <w:t>且末县</w:t>
            </w:r>
            <w:r>
              <w:rPr>
                <w:rFonts w:hint="default" w:ascii="Times New Roman" w:hAnsi="Times New Roman" w:eastAsia="宋体" w:cs="Times New Roman"/>
                <w:color w:val="000000" w:themeColor="text1"/>
                <w:sz w:val="24"/>
                <w:lang w:val="en-US" w:eastAsia="zh-CN"/>
                <w14:textFill>
                  <w14:solidFill>
                    <w14:schemeClr w14:val="tx1"/>
                  </w14:solidFill>
                </w14:textFill>
              </w:rPr>
              <w:t>202</w:t>
            </w:r>
            <w:r>
              <w:rPr>
                <w:rFonts w:hint="eastAsia" w:ascii="Times New Roman" w:cs="Times New Roman"/>
                <w:color w:val="000000" w:themeColor="text1"/>
                <w:sz w:val="24"/>
                <w:lang w:val="en-US" w:eastAsia="zh-CN"/>
                <w14:textFill>
                  <w14:solidFill>
                    <w14:schemeClr w14:val="tx1"/>
                  </w14:solidFill>
                </w14:textFill>
              </w:rPr>
              <w:t>4</w:t>
            </w:r>
            <w:r>
              <w:rPr>
                <w:rFonts w:hint="default" w:ascii="Times New Roman" w:hAnsi="Times New Roman" w:eastAsia="宋体" w:cs="Times New Roman"/>
                <w:color w:val="000000" w:themeColor="text1"/>
                <w:sz w:val="24"/>
                <w:lang w:val="en-US" w:eastAsia="zh-CN"/>
                <w14:textFill>
                  <w14:solidFill>
                    <w14:schemeClr w14:val="tx1"/>
                  </w14:solidFill>
                </w14:textFill>
              </w:rPr>
              <w:t>年环境空气</w:t>
            </w:r>
            <w:r>
              <w:rPr>
                <w:rFonts w:hint="eastAsia" w:ascii="Times New Roman" w:hAnsi="Times New Roman" w:eastAsia="宋体" w:cs="Times New Roman"/>
                <w:color w:val="000000" w:themeColor="text1"/>
                <w:sz w:val="24"/>
                <w:lang w:val="en-US" w:eastAsia="zh-CN"/>
                <w14:textFill>
                  <w14:solidFill>
                    <w14:schemeClr w14:val="tx1"/>
                  </w14:solidFill>
                </w14:textFill>
              </w:rPr>
              <w:t>基本</w:t>
            </w:r>
            <w:r>
              <w:rPr>
                <w:rFonts w:hint="default" w:ascii="Times New Roman" w:hAnsi="Times New Roman" w:eastAsia="宋体" w:cs="Times New Roman"/>
                <w:color w:val="000000" w:themeColor="text1"/>
                <w:sz w:val="24"/>
                <w:lang w:val="en-US" w:eastAsia="zh-CN"/>
                <w14:textFill>
                  <w14:solidFill>
                    <w14:schemeClr w14:val="tx1"/>
                  </w14:solidFill>
                </w14:textFill>
              </w:rPr>
              <w:t>污染物监测</w:t>
            </w:r>
            <w:r>
              <w:rPr>
                <w:rFonts w:hint="eastAsia" w:ascii="Times New Roman" w:hAnsi="Times New Roman" w:eastAsia="宋体" w:cs="Times New Roman"/>
                <w:color w:val="000000" w:themeColor="text1"/>
                <w:sz w:val="24"/>
                <w:lang w:val="en-US" w:eastAsia="zh-CN"/>
                <w14:textFill>
                  <w14:solidFill>
                    <w14:schemeClr w14:val="tx1"/>
                  </w14:solidFill>
                </w14:textFill>
              </w:rPr>
              <w:t>现状</w:t>
            </w:r>
            <w:r>
              <w:rPr>
                <w:rFonts w:hint="default" w:ascii="Times New Roman" w:hAnsi="Times New Roman" w:eastAsia="宋体" w:cs="Times New Roman"/>
                <w:color w:val="000000" w:themeColor="text1"/>
                <w:sz w:val="24"/>
                <w:lang w:val="en-US" w:eastAsia="zh-CN"/>
                <w14:textFill>
                  <w14:solidFill>
                    <w14:schemeClr w14:val="tx1"/>
                  </w14:solidFill>
                </w14:textFill>
              </w:rPr>
              <w:t>数据对照</w:t>
            </w:r>
            <w:r>
              <w:rPr>
                <w:rFonts w:hint="eastAsia" w:ascii="Times New Roman" w:hAnsi="Times New Roman" w:eastAsia="宋体" w:cs="Times New Roman"/>
                <w:color w:val="000000" w:themeColor="text1"/>
                <w:sz w:val="24"/>
                <w:lang w:val="en-US" w:eastAsia="zh-CN"/>
                <w14:textFill>
                  <w14:solidFill>
                    <w14:schemeClr w14:val="tx1"/>
                  </w14:solidFill>
                </w14:textFill>
              </w:rPr>
              <w:t>评价</w:t>
            </w:r>
            <w:r>
              <w:rPr>
                <w:rFonts w:hint="default" w:ascii="Times New Roman" w:hAnsi="Times New Roman" w:eastAsia="宋体"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SO</w:t>
            </w:r>
            <w:r>
              <w:rPr>
                <w:rFonts w:hint="default" w:ascii="Times New Roman" w:hAnsi="Times New Roman"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、NO</w:t>
            </w:r>
            <w:r>
              <w:rPr>
                <w:rFonts w:hint="default" w:ascii="Times New Roman" w:hAnsi="Times New Roman" w:eastAsia="宋体" w:cs="Times New Roman"/>
                <w:color w:val="000000" w:themeColor="text1"/>
                <w:vertAlign w:val="sub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、CO、O</w:t>
            </w:r>
            <w:r>
              <w:rPr>
                <w:rFonts w:hint="default" w:ascii="Times New Roman" w:hAnsi="Times New Roman" w:eastAsia="宋体" w:cs="Times New Roman"/>
                <w:color w:val="000000" w:themeColor="text1"/>
                <w:vertAlign w:val="sub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的现状浓度均符合《环境空气质量标准》</w:t>
            </w:r>
            <w:r>
              <w:rPr>
                <w:rFonts w:hint="default" w:ascii="Times New Roman" w:hAnsi="Times New Roman" w:eastAsia="宋体" w:cs="Times New Roman"/>
                <w:color w:val="000000" w:themeColor="text1"/>
                <w:sz w:val="24"/>
                <w:lang w:val="en-US" w:eastAsia="zh-CN"/>
                <w14:textFill>
                  <w14:solidFill>
                    <w14:schemeClr w14:val="tx1"/>
                  </w14:solidFill>
                </w14:textFill>
              </w:rPr>
              <w:t>（GB3095-</w:t>
            </w:r>
            <w:r>
              <w:rPr>
                <w:rFonts w:hint="eastAsia" w:ascii="Times New Roman" w:hAnsi="Times New Roman" w:eastAsia="宋体" w:cs="Times New Roman"/>
                <w:color w:val="000000" w:themeColor="text1"/>
                <w:sz w:val="24"/>
                <w:lang w:val="en-US" w:eastAsia="zh-CN"/>
                <w14:textFill>
                  <w14:solidFill>
                    <w14:schemeClr w14:val="tx1"/>
                  </w14:solidFill>
                </w14:textFill>
              </w:rPr>
              <w:t>2026</w:t>
            </w:r>
            <w:r>
              <w:rPr>
                <w:rFonts w:hint="default"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eastAsia="宋体" w:cs="Times New Roman"/>
                <w:color w:val="000000" w:themeColor="text1"/>
                <w:sz w:val="24"/>
                <w:lang w:val="en-US" w:eastAsia="zh-CN"/>
                <w14:textFill>
                  <w14:solidFill>
                    <w14:schemeClr w14:val="tx1"/>
                  </w14:solidFill>
                </w14:textFill>
              </w:rPr>
              <w:t>中过渡阶段</w:t>
            </w:r>
            <w:r>
              <w:rPr>
                <w:rFonts w:hint="default" w:ascii="Times New Roman" w:hAnsi="Times New Roman" w:eastAsia="宋体" w:cs="Times New Roman"/>
                <w:color w:val="000000" w:themeColor="text1"/>
                <w:sz w:val="24"/>
                <w:lang w:val="en-US" w:eastAsia="zh-CN"/>
                <w14:textFill>
                  <w14:solidFill>
                    <w14:schemeClr w14:val="tx1"/>
                  </w14:solidFill>
                </w14:textFill>
              </w:rPr>
              <w:t>二级标准</w:t>
            </w:r>
            <w:r>
              <w:rPr>
                <w:rFonts w:hint="eastAsia" w:ascii="Times New Roman"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eastAsia="宋体" w:cs="Times New Roman"/>
                <w:color w:val="000000" w:themeColor="text1"/>
                <w:vertAlign w:val="subscript"/>
                <w14:textFill>
                  <w14:solidFill>
                    <w14:schemeClr w14:val="tx1"/>
                  </w14:solidFill>
                </w14:textFill>
              </w:rPr>
              <w:t>10</w:t>
            </w:r>
            <w:r>
              <w:rPr>
                <w:rFonts w:hint="default" w:ascii="Times New Roman" w:hAnsi="Times New Roman" w:cs="Times New Roman"/>
                <w:color w:val="000000" w:themeColor="text1"/>
                <w14:textFill>
                  <w14:solidFill>
                    <w14:schemeClr w14:val="tx1"/>
                  </w14:solidFill>
                </w14:textFill>
              </w:rPr>
              <w:t>、PM</w:t>
            </w:r>
            <w:r>
              <w:rPr>
                <w:rFonts w:hint="default" w:ascii="Times New Roman" w:hAnsi="Times New Roman" w:eastAsia="宋体" w:cs="Times New Roman"/>
                <w:color w:val="000000" w:themeColor="text1"/>
                <w:vertAlign w:val="subscript"/>
                <w14:textFill>
                  <w14:solidFill>
                    <w14:schemeClr w14:val="tx1"/>
                  </w14:solidFill>
                </w14:textFill>
              </w:rPr>
              <w:t>2.5</w:t>
            </w:r>
            <w:r>
              <w:rPr>
                <w:rFonts w:hint="default" w:ascii="Times New Roman" w:hAnsi="Times New Roman" w:cs="Times New Roman"/>
                <w:color w:val="000000" w:themeColor="text1"/>
                <w14:textFill>
                  <w14:solidFill>
                    <w14:schemeClr w14:val="tx1"/>
                  </w14:solidFill>
                </w14:textFill>
              </w:rPr>
              <w:t>超过过渡阶段二级浓度限值，项目所在区域为不达标区。超标原因主要是由于项目区干旱少雨，沙尘天气较多</w:t>
            </w:r>
            <w:r>
              <w:rPr>
                <w:rFonts w:hint="eastAsia" w:ascii="Times New Roman" w:cs="Times New Roman"/>
                <w:color w:val="000000" w:themeColor="text1"/>
                <w:lang w:val="en-US" w:eastAsia="zh-CN"/>
                <w14:textFill>
                  <w14:solidFill>
                    <w14:schemeClr w14:val="tx1"/>
                  </w14:solidFill>
                </w14:textFill>
              </w:rPr>
              <w:t>所致</w:t>
            </w:r>
            <w:r>
              <w:rPr>
                <w:rFonts w:hint="default" w:ascii="Times New Roman" w:hAnsi="Times New Roman" w:cs="Times New Roman"/>
                <w:color w:val="000000" w:themeColor="text1"/>
                <w14:textFill>
                  <w14:solidFill>
                    <w14:schemeClr w14:val="tx1"/>
                  </w14:solidFill>
                </w14:textFill>
              </w:rPr>
              <w:t>。</w:t>
            </w:r>
          </w:p>
          <w:p w14:paraId="3EA3999B">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5.</w:t>
            </w:r>
            <w:r>
              <w:rPr>
                <w:b/>
                <w:color w:val="000000" w:themeColor="text1"/>
                <w14:textFill>
                  <w14:solidFill>
                    <w14:schemeClr w14:val="tx1"/>
                  </w14:solidFill>
                </w14:textFill>
              </w:rPr>
              <w:t>水环境质量现状评价</w:t>
            </w:r>
          </w:p>
          <w:p w14:paraId="2C90A9C8">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项目</w:t>
            </w:r>
            <w:r>
              <w:rPr>
                <w:rFonts w:hint="eastAsia" w:ascii="Times New Roman" w:hAnsi="Times New Roman" w:cs="Times New Roman"/>
                <w:color w:val="000000" w:themeColor="text1"/>
                <w:sz w:val="24"/>
                <w:lang w:eastAsia="zh-CN"/>
                <w14:textFill>
                  <w14:solidFill>
                    <w14:schemeClr w14:val="tx1"/>
                  </w14:solidFill>
                </w14:textFill>
              </w:rPr>
              <w:t>运营期生活污水经处理后冬储夏灌，项目</w:t>
            </w:r>
            <w:r>
              <w:rPr>
                <w:rFonts w:hint="default" w:ascii="Times New Roman" w:hAnsi="Times New Roman" w:cs="Times New Roman"/>
                <w:color w:val="000000" w:themeColor="text1"/>
                <w:sz w:val="24"/>
                <w14:textFill>
                  <w14:solidFill>
                    <w14:schemeClr w14:val="tx1"/>
                  </w14:solidFill>
                </w14:textFill>
              </w:rPr>
              <w:t>不与当地地表水发生水利联系，根据《环境影响评价技术导则 地表水环境》（HJ2.3-2018），本项目地表水评价等级为三级B，评价只对依托污水处理设施可行性进行分析，故本项目不开展地表水环境质量现状评价。</w:t>
            </w:r>
          </w:p>
          <w:p w14:paraId="4F75CEEA">
            <w:pPr>
              <w:keepNext w:val="0"/>
              <w:keepLines w:val="0"/>
              <w:pageBreakBefore w:val="0"/>
              <w:widowControl w:val="0"/>
              <w:kinsoku/>
              <w:wordWrap/>
              <w:overflowPunct/>
              <w:topLinePunct w:val="0"/>
              <w:autoSpaceDE/>
              <w:autoSpaceDN/>
              <w:bidi w:val="0"/>
              <w:spacing w:line="500" w:lineRule="exact"/>
              <w:ind w:firstLine="480" w:firstLineChars="200"/>
              <w:textAlignment w:val="auto"/>
              <w:rPr>
                <w:color w:val="000000" w:themeColor="text1"/>
                <w14:textFill>
                  <w14:solidFill>
                    <w14:schemeClr w14:val="tx1"/>
                  </w14:solidFill>
                </w14:textFill>
              </w:rPr>
            </w:pPr>
            <w:r>
              <w:rPr>
                <w:rFonts w:hint="eastAsia" w:ascii="Times New Roman" w:hAnsi="Times New Roman" w:eastAsia="宋体" w:cs="Times New Roman"/>
                <w:b w:val="0"/>
                <w:bCs w:val="0"/>
                <w:color w:val="000000" w:themeColor="text1"/>
                <w:sz w:val="24"/>
                <w14:textFill>
                  <w14:solidFill>
                    <w14:schemeClr w14:val="tx1"/>
                  </w14:solidFill>
                </w14:textFill>
              </w:rPr>
              <w:t>根据《环境影响评价技术导则地下水环境》</w:t>
            </w:r>
            <w:r>
              <w:rPr>
                <w:rFonts w:hint="eastAsia" w:cs="Times New Roman"/>
                <w:b w:val="0"/>
                <w:bCs w:val="0"/>
                <w:color w:val="000000" w:themeColor="text1"/>
                <w:sz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14:textFill>
                  <w14:solidFill>
                    <w14:schemeClr w14:val="tx1"/>
                  </w14:solidFill>
                </w14:textFill>
              </w:rPr>
              <w:t>HJ610-2016</w:t>
            </w:r>
            <w:r>
              <w:rPr>
                <w:rFonts w:hint="eastAsia" w:cs="Times New Roman"/>
                <w:b w:val="0"/>
                <w:bCs w:val="0"/>
                <w:color w:val="000000" w:themeColor="text1"/>
                <w:sz w:val="24"/>
                <w:lang w:eastAsia="zh-CN"/>
                <w14:textFill>
                  <w14:solidFill>
                    <w14:schemeClr w14:val="tx1"/>
                  </w14:solidFill>
                </w14:textFill>
              </w:rPr>
              <w:t>）</w:t>
            </w:r>
            <w:r>
              <w:rPr>
                <w:rFonts w:hint="eastAsia" w:ascii="Times New Roman" w:hAnsi="Times New Roman" w:eastAsia="宋体" w:cs="Times New Roman"/>
                <w:b w:val="0"/>
                <w:bCs w:val="0"/>
                <w:color w:val="000000" w:themeColor="text1"/>
                <w:sz w:val="24"/>
                <w14:textFill>
                  <w14:solidFill>
                    <w14:schemeClr w14:val="tx1"/>
                  </w14:solidFill>
                </w14:textFill>
              </w:rPr>
              <w:t>，本项目属于“E电力</w:t>
            </w:r>
            <w:r>
              <w:rPr>
                <w:rFonts w:hint="eastAsia" w:cs="Times New Roman"/>
                <w:b w:val="0"/>
                <w:bCs w:val="0"/>
                <w:color w:val="000000" w:themeColor="text1"/>
                <w:sz w:val="24"/>
                <w:lang w:val="en-US" w:eastAsia="zh-CN"/>
                <w14:textFill>
                  <w14:solidFill>
                    <w14:schemeClr w14:val="tx1"/>
                  </w14:solidFill>
                </w14:textFill>
              </w:rPr>
              <w:t>-35送（输）变电工程</w:t>
            </w:r>
            <w:r>
              <w:rPr>
                <w:rFonts w:hint="eastAsia" w:ascii="Times New Roman" w:hAnsi="Times New Roman" w:eastAsia="宋体" w:cs="Times New Roman"/>
                <w:b w:val="0"/>
                <w:bCs w:val="0"/>
                <w:color w:val="000000" w:themeColor="text1"/>
                <w:sz w:val="24"/>
                <w14:textFill>
                  <w14:solidFill>
                    <w14:schemeClr w14:val="tx1"/>
                  </w14:solidFill>
                </w14:textFill>
              </w:rPr>
              <w:t>”，本项目地下水环境影响评价项目类别为</w:t>
            </w:r>
            <w:r>
              <w:rPr>
                <w:rFonts w:hint="eastAsia" w:cs="Times New Roman"/>
                <w:b w:val="0"/>
                <w:bCs w:val="0"/>
                <w:color w:val="000000" w:themeColor="text1"/>
                <w:sz w:val="24"/>
                <w:lang w:eastAsia="zh-CN"/>
                <w14:textFill>
                  <w14:solidFill>
                    <w14:schemeClr w14:val="tx1"/>
                  </w14:solidFill>
                </w14:textFill>
              </w:rPr>
              <w:t>Ⅳ</w:t>
            </w:r>
            <w:r>
              <w:rPr>
                <w:rFonts w:hint="eastAsia" w:ascii="Times New Roman" w:hAnsi="Times New Roman" w:eastAsia="宋体" w:cs="Times New Roman"/>
                <w:b w:val="0"/>
                <w:bCs w:val="0"/>
                <w:color w:val="000000" w:themeColor="text1"/>
                <w:sz w:val="24"/>
                <w14:textFill>
                  <w14:solidFill>
                    <w14:schemeClr w14:val="tx1"/>
                  </w14:solidFill>
                </w14:textFill>
              </w:rPr>
              <w:t>类，因此，不对地下水环境质量现状评价。</w:t>
            </w:r>
          </w:p>
          <w:p w14:paraId="4B4A5066">
            <w:pPr>
              <w:adjustRightInd w:val="0"/>
              <w:snapToGri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6.土壤环境质量现状</w:t>
            </w:r>
          </w:p>
          <w:p w14:paraId="4B2EC218">
            <w:pPr>
              <w:adjustRightInd w:val="0"/>
              <w:snapToGrid w:val="0"/>
              <w:spacing w:line="500" w:lineRule="exact"/>
              <w:ind w:firstLine="48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根据《建设项目环境影响报告表编制技术指南（生态影响类）（试行）》，土壤无相关数据的参照环境影响评价相关技术导则开展补充监测和调查。由于《环境影响评价技术导则 土壤环境（试行）》（HJ964-2018）提出“本标准不适用于核与辐射建设项目的土壤环境影响评价”，而《环境影响评价技术导则 输变电》（HJ 24-2020）未对土壤提出评价要求，且根据分析，本项目施工及运营期在采取本次环评提出的要求后不会对土壤环境质量造成不利影响。因此本次环评不进行土壤环境质量现状监测及评价。</w:t>
            </w:r>
          </w:p>
          <w:p w14:paraId="7881BB8F">
            <w:pPr>
              <w:adjustRightInd w:val="0"/>
              <w:snapToGri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7.声环境质量现状</w:t>
            </w:r>
          </w:p>
          <w:p w14:paraId="4021BEE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both"/>
              <w:textAlignment w:val="auto"/>
              <w:rPr>
                <w:b/>
                <w:bCs/>
                <w:color w:val="000000" w:themeColor="text1"/>
                <w14:textFill>
                  <w14:solidFill>
                    <w14:schemeClr w14:val="tx1"/>
                  </w14:solidFill>
                </w14:textFill>
              </w:rPr>
            </w:pPr>
            <w:r>
              <w:rPr>
                <w:rFonts w:hint="eastAsia"/>
                <w:color w:val="000000" w:themeColor="text1"/>
                <w14:textFill>
                  <w14:solidFill>
                    <w14:schemeClr w14:val="tx1"/>
                  </w14:solidFill>
                </w14:textFill>
              </w:rPr>
              <w:t>根据《环境影响评价技术导则 输变电》（HJ 24-2020），本次评价</w:t>
            </w:r>
            <w:r>
              <w:rPr>
                <w:rFonts w:hint="eastAsia"/>
                <w:color w:val="000000" w:themeColor="text1"/>
                <w:lang w:eastAsia="zh-CN"/>
                <w14:textFill>
                  <w14:solidFill>
                    <w14:schemeClr w14:val="tx1"/>
                  </w14:solidFill>
                </w14:textFill>
              </w:rPr>
              <w:t>由</w:t>
            </w:r>
            <w:r>
              <w:rPr>
                <w:rFonts w:hint="eastAsia" w:ascii="Times New Roman" w:hAnsi="Times New Roman"/>
                <w:color w:val="000000" w:themeColor="text1"/>
                <w:spacing w:val="0"/>
                <w:sz w:val="24"/>
                <w:lang w:val="en-US" w:eastAsia="zh-CN"/>
                <w14:textFill>
                  <w14:solidFill>
                    <w14:schemeClr w14:val="tx1"/>
                  </w14:solidFill>
                </w14:textFill>
              </w:rPr>
              <w:t>乌鲁木齐星辰汇峰环保科技有限公司</w:t>
            </w:r>
            <w:r>
              <w:rPr>
                <w:rFonts w:hint="eastAsia"/>
                <w:color w:val="000000" w:themeColor="text1"/>
                <w14:textFill>
                  <w14:solidFill>
                    <w14:schemeClr w14:val="tx1"/>
                  </w14:solidFill>
                </w14:textFill>
              </w:rPr>
              <w:t>于202</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日在</w:t>
            </w:r>
            <w:r>
              <w:rPr>
                <w:rFonts w:hint="eastAsia"/>
                <w:snapToGrid w:val="0"/>
                <w:color w:val="000000" w:themeColor="text1"/>
                <w:sz w:val="24"/>
                <w:szCs w:val="24"/>
                <w14:textFill>
                  <w14:solidFill>
                    <w14:schemeClr w14:val="tx1"/>
                  </w14:solidFill>
                </w14:textFill>
              </w:rPr>
              <w:t>220kV升压汇集站</w:t>
            </w:r>
            <w:r>
              <w:rPr>
                <w:rFonts w:hint="eastAsia"/>
                <w:color w:val="000000" w:themeColor="text1"/>
                <w14:textFill>
                  <w14:solidFill>
                    <w14:schemeClr w14:val="tx1"/>
                  </w14:solidFill>
                </w14:textFill>
              </w:rPr>
              <w:t>南、西、北边界外1</w:t>
            </w:r>
            <w:r>
              <w:rPr>
                <w:rFonts w:hint="eastAsia"/>
                <w:color w:val="000000" w:themeColor="text1"/>
                <w:lang w:val="en-US" w:eastAsia="zh-CN"/>
                <w14:textFill>
                  <w14:solidFill>
                    <w14:schemeClr w14:val="tx1"/>
                  </w14:solidFill>
                </w14:textFill>
              </w:rPr>
              <w:t>m</w:t>
            </w:r>
            <w:r>
              <w:rPr>
                <w:rFonts w:hint="eastAsia"/>
                <w:color w:val="000000" w:themeColor="text1"/>
                <w14:textFill>
                  <w14:solidFill>
                    <w14:schemeClr w14:val="tx1"/>
                  </w14:solidFill>
                </w14:textFill>
              </w:rPr>
              <w:t>处</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外送线路起点（</w:t>
            </w:r>
            <w:r>
              <w:rPr>
                <w:rFonts w:hint="eastAsia"/>
                <w:snapToGrid w:val="0"/>
                <w:color w:val="000000" w:themeColor="text1"/>
                <w:sz w:val="24"/>
                <w:szCs w:val="24"/>
                <w14:textFill>
                  <w14:solidFill>
                    <w14:schemeClr w14:val="tx1"/>
                  </w14:solidFill>
                </w14:textFill>
              </w:rPr>
              <w:t>升压汇集站</w:t>
            </w:r>
            <w:r>
              <w:rPr>
                <w:rFonts w:hint="eastAsia"/>
                <w:snapToGrid w:val="0"/>
                <w:color w:val="000000" w:themeColor="text1"/>
                <w:sz w:val="24"/>
                <w:szCs w:val="24"/>
                <w:lang w:val="en-US" w:eastAsia="zh-CN"/>
                <w14:textFill>
                  <w14:solidFill>
                    <w14:schemeClr w14:val="tx1"/>
                  </w14:solidFill>
                </w14:textFill>
              </w:rPr>
              <w:t>东侧1m</w:t>
            </w:r>
            <w:r>
              <w:rPr>
                <w:rFonts w:hint="eastAsia"/>
                <w:color w:val="000000" w:themeColor="text1"/>
                <w:lang w:val="en-US" w:eastAsia="zh-CN"/>
                <w14:textFill>
                  <w14:solidFill>
                    <w14:schemeClr w14:val="tx1"/>
                  </w14:solidFill>
                </w14:textFill>
              </w:rPr>
              <w:t>）、终点及跨越点</w:t>
            </w:r>
            <w:r>
              <w:rPr>
                <w:rFonts w:hint="eastAsia"/>
                <w:color w:val="000000" w:themeColor="text1"/>
                <w14:textFill>
                  <w14:solidFill>
                    <w14:schemeClr w14:val="tx1"/>
                  </w14:solidFill>
                </w14:textFill>
              </w:rPr>
              <w:t>各设1个监测点，监测的噪声值，分昼、夜两时段监测。其监测结果作为评价本项目区域声环境质量现状的分析资料数据。</w:t>
            </w:r>
          </w:p>
          <w:p w14:paraId="02D672B4">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（1）评价标准</w:t>
            </w:r>
          </w:p>
          <w:p w14:paraId="0FADAA4C">
            <w:pPr>
              <w:adjustRightInd w:val="0"/>
              <w:snapToGrid w:val="0"/>
              <w:spacing w:line="500" w:lineRule="exact"/>
              <w:ind w:firstLine="480" w:firstLineChars="200"/>
              <w:rPr>
                <w:rFonts w:hint="eastAsia"/>
                <w:color w:val="000000" w:themeColor="text1"/>
                <w:sz w:val="24"/>
                <w:szCs w:val="22"/>
                <w:lang w:val="en-US" w:eastAsia="zh-CN"/>
                <w14:textFill>
                  <w14:solidFill>
                    <w14:schemeClr w14:val="tx1"/>
                  </w14:solidFill>
                </w14:textFill>
              </w:rPr>
            </w:pPr>
            <w:r>
              <w:rPr>
                <w:rFonts w:hint="eastAsia"/>
                <w:color w:val="000000" w:themeColor="text1"/>
                <w:sz w:val="24"/>
                <w:szCs w:val="22"/>
                <w:lang w:val="en-US" w:eastAsia="zh-CN"/>
                <w14:textFill>
                  <w14:solidFill>
                    <w14:schemeClr w14:val="tx1"/>
                  </w14:solidFill>
                </w14:textFill>
              </w:rPr>
              <w:t>本项目升压汇集站及外送线路声环境影响评价范围内无以</w:t>
            </w:r>
            <w:r>
              <w:rPr>
                <w:rFonts w:hint="eastAsia"/>
                <w:color w:val="000000" w:themeColor="text1"/>
                <w:sz w:val="24"/>
                <w:szCs w:val="22"/>
                <w:lang w:val="zh-CN"/>
                <w14:textFill>
                  <w14:solidFill>
                    <w14:schemeClr w14:val="tx1"/>
                  </w14:solidFill>
                </w14:textFill>
              </w:rPr>
              <w:t>居民住宅、医疗卫生、文化教育、科研设计、行政办公为主要功能</w:t>
            </w:r>
            <w:r>
              <w:rPr>
                <w:rFonts w:hint="eastAsia"/>
                <w:color w:val="000000" w:themeColor="text1"/>
                <w:sz w:val="24"/>
                <w:szCs w:val="22"/>
                <w:lang w:val="en-US" w:eastAsia="zh-CN"/>
                <w14:textFill>
                  <w14:solidFill>
                    <w14:schemeClr w14:val="tx1"/>
                  </w14:solidFill>
                </w14:textFill>
              </w:rPr>
              <w:t>的区域分布；项目位于工业园区外，且声环境影响评价范围内无工业企业分布；项目声环境影响评价范围内无交通干线分布，因此</w:t>
            </w:r>
            <w:r>
              <w:rPr>
                <w:color w:val="000000" w:themeColor="text1"/>
                <w:sz w:val="24"/>
                <w:szCs w:val="22"/>
                <w:lang w:val="zh-CN"/>
                <w14:textFill>
                  <w14:solidFill>
                    <w14:schemeClr w14:val="tx1"/>
                  </w14:solidFill>
                </w14:textFill>
              </w:rPr>
              <w:t>执行《声环境质量标准》（GB3096-2008）2类标准</w:t>
            </w:r>
            <w:r>
              <w:rPr>
                <w:rFonts w:hint="eastAsia"/>
                <w:color w:val="000000" w:themeColor="text1"/>
                <w:sz w:val="24"/>
                <w:szCs w:val="22"/>
                <w:lang w:val="zh-CN"/>
                <w14:textFill>
                  <w14:solidFill>
                    <w14:schemeClr w14:val="tx1"/>
                  </w14:solidFill>
                </w14:textFill>
              </w:rPr>
              <w:t>，</w:t>
            </w:r>
            <w:r>
              <w:rPr>
                <w:rFonts w:hint="eastAsia"/>
                <w:color w:val="000000" w:themeColor="text1"/>
                <w:sz w:val="24"/>
                <w:szCs w:val="22"/>
                <w:lang w:val="en-US" w:eastAsia="zh-CN"/>
                <w14:textFill>
                  <w14:solidFill>
                    <w14:schemeClr w14:val="tx1"/>
                  </w14:solidFill>
                </w14:textFill>
              </w:rPr>
              <w:t>即昼间≤60dB（A），夜间≤50dB（A）。</w:t>
            </w:r>
          </w:p>
          <w:p w14:paraId="754DE66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olor w:val="000000" w:themeColor="text1"/>
                <w:lang w:val="en-US"/>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监测条件：</w:t>
            </w:r>
            <w:r>
              <w:rPr>
                <w:rFonts w:hint="eastAsia"/>
                <w:color w:val="000000" w:themeColor="text1"/>
                <w14:textFill>
                  <w14:solidFill>
                    <w14:schemeClr w14:val="tx1"/>
                  </w14:solidFill>
                </w14:textFill>
              </w:rPr>
              <w:t>202</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日</w:t>
            </w:r>
            <w:r>
              <w:rPr>
                <w:rFonts w:hint="eastAsia"/>
                <w:color w:val="000000" w:themeColor="text1"/>
                <w:lang w:val="en-US" w:eastAsia="zh-CN"/>
                <w14:textFill>
                  <w14:solidFill>
                    <w14:schemeClr w14:val="tx1"/>
                  </w14:solidFill>
                </w14:textFill>
              </w:rPr>
              <w:t>昼间：</w:t>
            </w:r>
            <w:r>
              <w:rPr>
                <w:color w:val="000000" w:themeColor="text1"/>
                <w:lang w:val="zh-CN"/>
                <w14:textFill>
                  <w14:solidFill>
                    <w14:schemeClr w14:val="tx1"/>
                  </w14:solidFill>
                </w14:textFill>
              </w:rPr>
              <w:t>晴，</w:t>
            </w:r>
            <w:r>
              <w:rPr>
                <w:rFonts w:hint="eastAsia"/>
                <w:color w:val="000000" w:themeColor="text1"/>
                <w:lang w:val="en-US" w:eastAsia="zh-CN"/>
                <w14:textFill>
                  <w14:solidFill>
                    <w14:schemeClr w14:val="tx1"/>
                  </w14:solidFill>
                </w14:textFill>
              </w:rPr>
              <w:t>气温30.3</w:t>
            </w:r>
            <w:r>
              <w:rPr>
                <w:color w:val="000000" w:themeColor="text1"/>
                <w:lang w:val="zh-CN"/>
                <w14:textFill>
                  <w14:solidFill>
                    <w14:schemeClr w14:val="tx1"/>
                  </w14:solidFill>
                </w14:textFill>
              </w:rPr>
              <w:t>℃，相对湿度</w:t>
            </w:r>
            <w:r>
              <w:rPr>
                <w:rFonts w:hint="eastAsia"/>
                <w:color w:val="000000" w:themeColor="text1"/>
                <w:lang w:val="en-US" w:eastAsia="zh-CN"/>
                <w14:textFill>
                  <w14:solidFill>
                    <w14:schemeClr w14:val="tx1"/>
                  </w14:solidFill>
                </w14:textFill>
              </w:rPr>
              <w:t>24.0</w:t>
            </w:r>
            <w:r>
              <w:rPr>
                <w:color w:val="000000" w:themeColor="text1"/>
                <w:lang w:val="zh-CN"/>
                <w14:textFill>
                  <w14:solidFill>
                    <w14:schemeClr w14:val="tx1"/>
                  </w14:solidFill>
                </w14:textFill>
              </w:rPr>
              <w:t>%</w:t>
            </w:r>
            <w:r>
              <w:rPr>
                <w:rFonts w:hint="eastAsia"/>
                <w:color w:val="000000" w:themeColor="text1"/>
                <w:lang w:val="zh-CN"/>
                <w14:textFill>
                  <w14:solidFill>
                    <w14:schemeClr w14:val="tx1"/>
                  </w14:solidFill>
                </w14:textFill>
              </w:rPr>
              <w:t>，</w:t>
            </w:r>
            <w:r>
              <w:rPr>
                <w:rFonts w:hint="eastAsia"/>
                <w:color w:val="000000" w:themeColor="text1"/>
                <w:lang w:val="en-US" w:eastAsia="zh-CN"/>
                <w14:textFill>
                  <w14:solidFill>
                    <w14:schemeClr w14:val="tx1"/>
                  </w14:solidFill>
                </w14:textFill>
              </w:rPr>
              <w:t>风速2.2m/s；</w:t>
            </w:r>
            <w:r>
              <w:rPr>
                <w:rFonts w:hint="eastAsia"/>
                <w:color w:val="000000" w:themeColor="text1"/>
                <w14:textFill>
                  <w14:solidFill>
                    <w14:schemeClr w14:val="tx1"/>
                  </w14:solidFill>
                </w14:textFill>
              </w:rPr>
              <w:t>202</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日</w:t>
            </w:r>
            <w:r>
              <w:rPr>
                <w:rFonts w:hint="eastAsia"/>
                <w:color w:val="000000" w:themeColor="text1"/>
                <w:lang w:val="en-US" w:eastAsia="zh-CN"/>
                <w14:textFill>
                  <w14:solidFill>
                    <w14:schemeClr w14:val="tx1"/>
                  </w14:solidFill>
                </w14:textFill>
              </w:rPr>
              <w:t>夜间：</w:t>
            </w:r>
            <w:r>
              <w:rPr>
                <w:color w:val="000000" w:themeColor="text1"/>
                <w:lang w:val="zh-CN"/>
                <w14:textFill>
                  <w14:solidFill>
                    <w14:schemeClr w14:val="tx1"/>
                  </w14:solidFill>
                </w14:textFill>
              </w:rPr>
              <w:t>晴，</w:t>
            </w:r>
            <w:r>
              <w:rPr>
                <w:rFonts w:hint="eastAsia"/>
                <w:color w:val="000000" w:themeColor="text1"/>
                <w:lang w:val="en-US" w:eastAsia="zh-CN"/>
                <w14:textFill>
                  <w14:solidFill>
                    <w14:schemeClr w14:val="tx1"/>
                  </w14:solidFill>
                </w14:textFill>
              </w:rPr>
              <w:t>气温27.0</w:t>
            </w:r>
            <w:r>
              <w:rPr>
                <w:color w:val="000000" w:themeColor="text1"/>
                <w:lang w:val="zh-CN"/>
                <w14:textFill>
                  <w14:solidFill>
                    <w14:schemeClr w14:val="tx1"/>
                  </w14:solidFill>
                </w14:textFill>
              </w:rPr>
              <w:t>℃，相对湿度</w:t>
            </w:r>
            <w:r>
              <w:rPr>
                <w:rFonts w:hint="eastAsia"/>
                <w:color w:val="000000" w:themeColor="text1"/>
                <w:lang w:val="en-US" w:eastAsia="zh-CN"/>
                <w14:textFill>
                  <w14:solidFill>
                    <w14:schemeClr w14:val="tx1"/>
                  </w14:solidFill>
                </w14:textFill>
              </w:rPr>
              <w:t>28.0</w:t>
            </w:r>
            <w:r>
              <w:rPr>
                <w:color w:val="000000" w:themeColor="text1"/>
                <w:lang w:val="zh-CN"/>
                <w14:textFill>
                  <w14:solidFill>
                    <w14:schemeClr w14:val="tx1"/>
                  </w14:solidFill>
                </w14:textFill>
              </w:rPr>
              <w:t>%</w:t>
            </w:r>
            <w:r>
              <w:rPr>
                <w:rFonts w:hint="eastAsia"/>
                <w:color w:val="000000" w:themeColor="text1"/>
                <w:lang w:val="zh-CN"/>
                <w14:textFill>
                  <w14:solidFill>
                    <w14:schemeClr w14:val="tx1"/>
                  </w14:solidFill>
                </w14:textFill>
              </w:rPr>
              <w:t>，</w:t>
            </w:r>
            <w:r>
              <w:rPr>
                <w:rFonts w:hint="eastAsia"/>
                <w:color w:val="000000" w:themeColor="text1"/>
                <w:lang w:val="en-US" w:eastAsia="zh-CN"/>
                <w14:textFill>
                  <w14:solidFill>
                    <w14:schemeClr w14:val="tx1"/>
                  </w14:solidFill>
                </w14:textFill>
              </w:rPr>
              <w:t>风速1.9m/s。</w:t>
            </w:r>
          </w:p>
          <w:p w14:paraId="4168CFD2">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）监测及评价结果</w:t>
            </w:r>
          </w:p>
          <w:p w14:paraId="269DDFC1">
            <w:pPr>
              <w:adjustRightInd w:val="0"/>
              <w:snapToGrid w:val="0"/>
              <w:spacing w:line="500" w:lineRule="exact"/>
              <w:ind w:firstLine="480" w:firstLineChars="200"/>
              <w:rPr>
                <w:rFonts w:hint="eastAsia" w:ascii="黑体" w:hAnsi="黑体" w:eastAsia="黑体" w:cs="黑体"/>
                <w:color w:val="000000" w:themeColor="text1"/>
                <w:sz w:val="21"/>
                <w:szCs w:val="21"/>
                <w14:textFill>
                  <w14:solidFill>
                    <w14:schemeClr w14:val="tx1"/>
                  </w14:solidFill>
                </w14:textFill>
              </w:rPr>
            </w:pPr>
            <w:r>
              <w:rPr>
                <w:rFonts w:hint="eastAsia"/>
                <w:color w:val="000000" w:themeColor="text1"/>
                <w14:textFill>
                  <w14:solidFill>
                    <w14:schemeClr w14:val="tx1"/>
                  </w14:solidFill>
                </w14:textFill>
              </w:rPr>
              <w:t>监测点噪声监测结果见下表</w:t>
            </w:r>
            <w:r>
              <w:rPr>
                <w:rFonts w:hint="eastAsia"/>
                <w:color w:val="000000" w:themeColor="text1"/>
                <w:lang w:val="en-US" w:eastAsia="zh-CN"/>
                <w14:textFill>
                  <w14:solidFill>
                    <w14:schemeClr w14:val="tx1"/>
                  </w14:solidFill>
                </w14:textFill>
              </w:rPr>
              <w:t>3-4</w:t>
            </w:r>
            <w:r>
              <w:rPr>
                <w:rFonts w:hint="eastAsia"/>
                <w:color w:val="000000" w:themeColor="text1"/>
                <w14:textFill>
                  <w14:solidFill>
                    <w14:schemeClr w14:val="tx1"/>
                  </w14:solidFill>
                </w14:textFill>
              </w:rPr>
              <w:t>。</w:t>
            </w:r>
          </w:p>
          <w:p w14:paraId="1F0DC465">
            <w:pPr>
              <w:tabs>
                <w:tab w:val="left" w:pos="4586"/>
                <w:tab w:val="left" w:pos="5786"/>
              </w:tabs>
              <w:autoSpaceDE w:val="0"/>
              <w:autoSpaceDN w:val="0"/>
              <w:adjustRightInd w:val="0"/>
              <w:snapToGrid w:val="0"/>
              <w:jc w:val="center"/>
              <w:rPr>
                <w:rFonts w:hint="eastAsia" w:ascii="黑体" w:hAnsi="黑体" w:eastAsia="黑体" w:cs="黑体"/>
                <w:color w:val="000000" w:themeColor="text1"/>
                <w:sz w:val="21"/>
                <w:szCs w:val="21"/>
                <w14:textFill>
                  <w14:solidFill>
                    <w14:schemeClr w14:val="tx1"/>
                  </w14:solidFill>
                </w14:textFill>
              </w:rPr>
            </w:pPr>
          </w:p>
          <w:p w14:paraId="6186C965">
            <w:pPr>
              <w:tabs>
                <w:tab w:val="left" w:pos="4586"/>
                <w:tab w:val="left" w:pos="5786"/>
              </w:tabs>
              <w:autoSpaceDE w:val="0"/>
              <w:autoSpaceDN w:val="0"/>
              <w:adjustRightInd w:val="0"/>
              <w:snapToGrid w:val="0"/>
              <w:jc w:val="center"/>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表3-</w:t>
            </w:r>
            <w:r>
              <w:rPr>
                <w:rFonts w:hint="eastAsia" w:ascii="黑体" w:hAnsi="黑体" w:eastAsia="黑体" w:cs="黑体"/>
                <w:color w:val="000000" w:themeColor="text1"/>
                <w:sz w:val="21"/>
                <w:szCs w:val="21"/>
                <w:lang w:val="en-US" w:eastAsia="zh-CN"/>
                <w14:textFill>
                  <w14:solidFill>
                    <w14:schemeClr w14:val="tx1"/>
                  </w14:solidFill>
                </w14:textFill>
              </w:rPr>
              <w:t>4</w:t>
            </w:r>
            <w:r>
              <w:rPr>
                <w:rFonts w:hint="eastAsia" w:ascii="黑体" w:hAnsi="黑体" w:eastAsia="黑体" w:cs="黑体"/>
                <w:color w:val="000000" w:themeColor="text1"/>
                <w:sz w:val="21"/>
                <w:szCs w:val="21"/>
                <w14:textFill>
                  <w14:solidFill>
                    <w14:schemeClr w14:val="tx1"/>
                  </w14:solidFill>
                </w14:textFill>
              </w:rPr>
              <w:t xml:space="preserve">   评价区环境噪声现状及评价结果    单位：dB(A)</w:t>
            </w:r>
          </w:p>
          <w:tbl>
            <w:tblPr>
              <w:tblStyle w:val="27"/>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61"/>
              <w:gridCol w:w="2031"/>
              <w:gridCol w:w="1072"/>
              <w:gridCol w:w="1152"/>
              <w:gridCol w:w="818"/>
              <w:gridCol w:w="839"/>
              <w:gridCol w:w="1658"/>
            </w:tblGrid>
            <w:tr w14:paraId="773B8A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87" w:type="pct"/>
                  <w:vMerge w:val="restart"/>
                  <w:tcBorders>
                    <w:tl2br w:val="nil"/>
                    <w:tr2bl w:val="nil"/>
                  </w:tcBorders>
                  <w:noWrap w:val="0"/>
                  <w:tcMar>
                    <w:top w:w="0" w:type="dxa"/>
                    <w:left w:w="0" w:type="dxa"/>
                    <w:bottom w:w="0" w:type="dxa"/>
                    <w:right w:w="0" w:type="dxa"/>
                  </w:tcMar>
                  <w:vAlign w:val="center"/>
                </w:tcPr>
                <w:p w14:paraId="5831F6D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编号</w:t>
                  </w:r>
                </w:p>
              </w:tc>
              <w:tc>
                <w:tcPr>
                  <w:tcW w:w="1264" w:type="pct"/>
                  <w:vMerge w:val="restart"/>
                  <w:tcBorders>
                    <w:tl2br w:val="nil"/>
                    <w:tr2bl w:val="nil"/>
                  </w:tcBorders>
                  <w:noWrap w:val="0"/>
                  <w:tcMar>
                    <w:top w:w="0" w:type="dxa"/>
                    <w:left w:w="0" w:type="dxa"/>
                    <w:bottom w:w="0" w:type="dxa"/>
                    <w:right w:w="0" w:type="dxa"/>
                  </w:tcMar>
                  <w:vAlign w:val="center"/>
                </w:tcPr>
                <w:p w14:paraId="41B85C7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测量点位</w:t>
                  </w:r>
                </w:p>
              </w:tc>
              <w:tc>
                <w:tcPr>
                  <w:tcW w:w="1384" w:type="pct"/>
                  <w:gridSpan w:val="2"/>
                  <w:tcBorders>
                    <w:tl2br w:val="nil"/>
                    <w:tr2bl w:val="nil"/>
                  </w:tcBorders>
                  <w:noWrap w:val="0"/>
                  <w:tcMar>
                    <w:top w:w="0" w:type="dxa"/>
                    <w:left w:w="0" w:type="dxa"/>
                    <w:bottom w:w="0" w:type="dxa"/>
                    <w:right w:w="0" w:type="dxa"/>
                  </w:tcMar>
                  <w:vAlign w:val="center"/>
                </w:tcPr>
                <w:p w14:paraId="00A5A92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eastAsia="zh-CN"/>
                      <w14:textFill>
                        <w14:solidFill>
                          <w14:schemeClr w14:val="tx1"/>
                        </w14:solidFill>
                      </w14:textFill>
                    </w:rPr>
                    <w:t>测量结果dB</w:t>
                  </w:r>
                  <w:r>
                    <w:rPr>
                      <w:rFonts w:hint="eastAsia" w:cs="Times New Roman"/>
                      <w:b w:val="0"/>
                      <w:bCs w:val="0"/>
                      <w:color w:val="000000" w:themeColor="text1"/>
                      <w:kern w:val="1"/>
                      <w:sz w:val="21"/>
                      <w:szCs w:val="21"/>
                      <w:vertAlign w:val="baseli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1"/>
                      <w:sz w:val="21"/>
                      <w:szCs w:val="21"/>
                      <w:vertAlign w:val="baseline"/>
                      <w:lang w:eastAsia="zh-CN"/>
                      <w14:textFill>
                        <w14:solidFill>
                          <w14:schemeClr w14:val="tx1"/>
                        </w14:solidFill>
                      </w14:textFill>
                    </w:rPr>
                    <w:t>A</w:t>
                  </w:r>
                  <w:r>
                    <w:rPr>
                      <w:rFonts w:hint="eastAsia" w:cs="Times New Roman"/>
                      <w:b w:val="0"/>
                      <w:bCs w:val="0"/>
                      <w:color w:val="000000" w:themeColor="text1"/>
                      <w:kern w:val="1"/>
                      <w:sz w:val="21"/>
                      <w:szCs w:val="21"/>
                      <w:vertAlign w:val="baseline"/>
                      <w:lang w:val="en-US" w:eastAsia="zh-CN"/>
                      <w14:textFill>
                        <w14:solidFill>
                          <w14:schemeClr w14:val="tx1"/>
                        </w14:solidFill>
                      </w14:textFill>
                    </w:rPr>
                    <w:t>)</w:t>
                  </w:r>
                </w:p>
              </w:tc>
              <w:tc>
                <w:tcPr>
                  <w:tcW w:w="2063" w:type="pct"/>
                  <w:gridSpan w:val="3"/>
                  <w:tcBorders>
                    <w:tl2br w:val="nil"/>
                    <w:tr2bl w:val="nil"/>
                  </w:tcBorders>
                  <w:noWrap w:val="0"/>
                  <w:tcMar>
                    <w:top w:w="0" w:type="dxa"/>
                    <w:left w:w="0" w:type="dxa"/>
                    <w:bottom w:w="0" w:type="dxa"/>
                    <w:right w:w="0" w:type="dxa"/>
                  </w:tcMar>
                  <w:vAlign w:val="center"/>
                </w:tcPr>
                <w:p w14:paraId="25555FE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标准值</w:t>
                  </w:r>
                </w:p>
              </w:tc>
            </w:tr>
            <w:tr w14:paraId="7C9FB1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87" w:type="pct"/>
                  <w:vMerge w:val="continue"/>
                  <w:tcBorders>
                    <w:tl2br w:val="nil"/>
                    <w:tr2bl w:val="nil"/>
                  </w:tcBorders>
                  <w:noWrap w:val="0"/>
                  <w:tcMar>
                    <w:top w:w="0" w:type="dxa"/>
                    <w:left w:w="0" w:type="dxa"/>
                    <w:bottom w:w="0" w:type="dxa"/>
                    <w:right w:w="0" w:type="dxa"/>
                  </w:tcMar>
                  <w:vAlign w:val="center"/>
                </w:tcPr>
                <w:p w14:paraId="1994244F">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eastAsia="zh-CN"/>
                      <w14:textFill>
                        <w14:solidFill>
                          <w14:schemeClr w14:val="tx1"/>
                        </w14:solidFill>
                      </w14:textFill>
                    </w:rPr>
                  </w:pPr>
                </w:p>
              </w:tc>
              <w:tc>
                <w:tcPr>
                  <w:tcW w:w="1264" w:type="pct"/>
                  <w:vMerge w:val="continue"/>
                  <w:tcBorders>
                    <w:tl2br w:val="nil"/>
                    <w:tr2bl w:val="nil"/>
                  </w:tcBorders>
                  <w:noWrap w:val="0"/>
                  <w:tcMar>
                    <w:top w:w="0" w:type="dxa"/>
                    <w:left w:w="0" w:type="dxa"/>
                    <w:bottom w:w="0" w:type="dxa"/>
                    <w:right w:w="0" w:type="dxa"/>
                  </w:tcMar>
                  <w:vAlign w:val="center"/>
                </w:tcPr>
                <w:p w14:paraId="2010060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eastAsia="zh-CN"/>
                      <w14:textFill>
                        <w14:solidFill>
                          <w14:schemeClr w14:val="tx1"/>
                        </w14:solidFill>
                      </w14:textFill>
                    </w:rPr>
                  </w:pPr>
                </w:p>
              </w:tc>
              <w:tc>
                <w:tcPr>
                  <w:tcW w:w="667" w:type="pct"/>
                  <w:tcBorders>
                    <w:tl2br w:val="nil"/>
                    <w:tr2bl w:val="nil"/>
                  </w:tcBorders>
                  <w:noWrap w:val="0"/>
                  <w:tcMar>
                    <w:top w:w="0" w:type="dxa"/>
                    <w:left w:w="0" w:type="dxa"/>
                    <w:bottom w:w="0" w:type="dxa"/>
                    <w:right w:w="0" w:type="dxa"/>
                  </w:tcMar>
                  <w:vAlign w:val="center"/>
                </w:tcPr>
                <w:p w14:paraId="71E118E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eastAsia="zh-CN"/>
                      <w14:textFill>
                        <w14:solidFill>
                          <w14:schemeClr w14:val="tx1"/>
                        </w14:solidFill>
                      </w14:textFill>
                    </w:rPr>
                    <w:t>昼间监测值</w:t>
                  </w:r>
                </w:p>
              </w:tc>
              <w:tc>
                <w:tcPr>
                  <w:tcW w:w="717" w:type="pct"/>
                  <w:tcBorders>
                    <w:tl2br w:val="nil"/>
                    <w:tr2bl w:val="nil"/>
                  </w:tcBorders>
                  <w:noWrap w:val="0"/>
                  <w:tcMar>
                    <w:top w:w="0" w:type="dxa"/>
                    <w:left w:w="0" w:type="dxa"/>
                    <w:bottom w:w="0" w:type="dxa"/>
                    <w:right w:w="0" w:type="dxa"/>
                  </w:tcMar>
                  <w:vAlign w:val="center"/>
                </w:tcPr>
                <w:p w14:paraId="5F13B960">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eastAsia="zh-CN"/>
                      <w14:textFill>
                        <w14:solidFill>
                          <w14:schemeClr w14:val="tx1"/>
                        </w14:solidFill>
                      </w14:textFill>
                    </w:rPr>
                    <w:t>夜间监测值</w:t>
                  </w:r>
                </w:p>
              </w:tc>
              <w:tc>
                <w:tcPr>
                  <w:tcW w:w="509" w:type="pct"/>
                  <w:tcBorders>
                    <w:tl2br w:val="nil"/>
                    <w:tr2bl w:val="nil"/>
                  </w:tcBorders>
                  <w:noWrap w:val="0"/>
                  <w:tcMar>
                    <w:top w:w="0" w:type="dxa"/>
                    <w:left w:w="0" w:type="dxa"/>
                    <w:bottom w:w="0" w:type="dxa"/>
                    <w:right w:w="0" w:type="dxa"/>
                  </w:tcMar>
                  <w:vAlign w:val="center"/>
                </w:tcPr>
                <w:p w14:paraId="380655D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昼间</w:t>
                  </w:r>
                </w:p>
              </w:tc>
              <w:tc>
                <w:tcPr>
                  <w:tcW w:w="522" w:type="pct"/>
                  <w:tcBorders>
                    <w:tl2br w:val="nil"/>
                    <w:tr2bl w:val="nil"/>
                  </w:tcBorders>
                  <w:noWrap w:val="0"/>
                  <w:tcMar>
                    <w:top w:w="0" w:type="dxa"/>
                    <w:left w:w="0" w:type="dxa"/>
                    <w:bottom w:w="0" w:type="dxa"/>
                    <w:right w:w="0" w:type="dxa"/>
                  </w:tcMar>
                  <w:vAlign w:val="center"/>
                </w:tcPr>
                <w:p w14:paraId="39FAEB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夜间</w:t>
                  </w:r>
                </w:p>
              </w:tc>
              <w:tc>
                <w:tcPr>
                  <w:tcW w:w="1032" w:type="pct"/>
                  <w:vMerge w:val="restart"/>
                  <w:tcBorders>
                    <w:tl2br w:val="nil"/>
                    <w:tr2bl w:val="nil"/>
                  </w:tcBorders>
                  <w:noWrap w:val="0"/>
                  <w:tcMar>
                    <w:top w:w="0" w:type="dxa"/>
                    <w:left w:w="0" w:type="dxa"/>
                    <w:bottom w:w="0" w:type="dxa"/>
                    <w:right w:w="0" w:type="dxa"/>
                  </w:tcMar>
                  <w:vAlign w:val="center"/>
                </w:tcPr>
                <w:p w14:paraId="2AF2109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《声环境质量标准》（GB 3096-2008）中2类标准</w:t>
                  </w:r>
                </w:p>
              </w:tc>
            </w:tr>
            <w:tr w14:paraId="3E44A6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5" w:hRule="atLeast"/>
                <w:jc w:val="center"/>
              </w:trPr>
              <w:tc>
                <w:tcPr>
                  <w:tcW w:w="287" w:type="pct"/>
                  <w:tcBorders>
                    <w:tl2br w:val="nil"/>
                    <w:tr2bl w:val="nil"/>
                  </w:tcBorders>
                  <w:noWrap w:val="0"/>
                  <w:tcMar>
                    <w:top w:w="0" w:type="dxa"/>
                    <w:left w:w="0" w:type="dxa"/>
                    <w:bottom w:w="0" w:type="dxa"/>
                    <w:right w:w="0" w:type="dxa"/>
                  </w:tcMar>
                  <w:vAlign w:val="center"/>
                </w:tcPr>
                <w:p w14:paraId="16F01AE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1</w:t>
                  </w:r>
                </w:p>
              </w:tc>
              <w:tc>
                <w:tcPr>
                  <w:tcW w:w="1264" w:type="pct"/>
                  <w:tcBorders>
                    <w:tl2br w:val="nil"/>
                    <w:tr2bl w:val="nil"/>
                  </w:tcBorders>
                  <w:shd w:val="clear" w:color="auto" w:fill="auto"/>
                  <w:noWrap w:val="0"/>
                  <w:tcMar>
                    <w:top w:w="0" w:type="dxa"/>
                    <w:left w:w="0" w:type="dxa"/>
                    <w:bottom w:w="0" w:type="dxa"/>
                    <w:right w:w="0" w:type="dxa"/>
                  </w:tcMar>
                  <w:vAlign w:val="center"/>
                </w:tcPr>
                <w:p w14:paraId="24FCB0E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拟建升压汇集站东侧（线路</w:t>
                  </w:r>
                  <w:r>
                    <w:rPr>
                      <w:rFonts w:hint="eastAsia"/>
                      <w:color w:val="000000" w:themeColor="text1"/>
                      <w:sz w:val="21"/>
                      <w:szCs w:val="21"/>
                      <w:lang w:val="en-US" w:eastAsia="zh-CN"/>
                      <w14:textFill>
                        <w14:solidFill>
                          <w14:schemeClr w14:val="tx1"/>
                        </w14:solidFill>
                      </w14:textFill>
                    </w:rPr>
                    <w:t>起</w:t>
                  </w:r>
                  <w:r>
                    <w:rPr>
                      <w:rFonts w:hint="eastAsia"/>
                      <w:color w:val="000000" w:themeColor="text1"/>
                      <w:sz w:val="21"/>
                      <w:szCs w:val="21"/>
                      <w14:textFill>
                        <w14:solidFill>
                          <w14:schemeClr w14:val="tx1"/>
                        </w14:solidFill>
                      </w14:textFill>
                    </w:rPr>
                    <w:t>点）</w:t>
                  </w:r>
                </w:p>
              </w:tc>
              <w:tc>
                <w:tcPr>
                  <w:tcW w:w="667" w:type="pct"/>
                  <w:tcBorders>
                    <w:tl2br w:val="nil"/>
                    <w:tr2bl w:val="nil"/>
                  </w:tcBorders>
                  <w:noWrap w:val="0"/>
                  <w:tcMar>
                    <w:top w:w="0" w:type="dxa"/>
                    <w:left w:w="0" w:type="dxa"/>
                    <w:bottom w:w="0" w:type="dxa"/>
                    <w:right w:w="0" w:type="dxa"/>
                  </w:tcMar>
                  <w:vAlign w:val="center"/>
                </w:tcPr>
                <w:p w14:paraId="50D79E8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39</w:t>
                  </w:r>
                </w:p>
              </w:tc>
              <w:tc>
                <w:tcPr>
                  <w:tcW w:w="717" w:type="pct"/>
                  <w:tcBorders>
                    <w:tl2br w:val="nil"/>
                    <w:tr2bl w:val="nil"/>
                  </w:tcBorders>
                  <w:noWrap w:val="0"/>
                  <w:tcMar>
                    <w:top w:w="0" w:type="dxa"/>
                    <w:left w:w="0" w:type="dxa"/>
                    <w:bottom w:w="0" w:type="dxa"/>
                    <w:right w:w="0" w:type="dxa"/>
                  </w:tcMar>
                  <w:vAlign w:val="center"/>
                </w:tcPr>
                <w:p w14:paraId="474F489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36</w:t>
                  </w:r>
                </w:p>
              </w:tc>
              <w:tc>
                <w:tcPr>
                  <w:tcW w:w="509" w:type="pct"/>
                  <w:tcBorders>
                    <w:tl2br w:val="nil"/>
                    <w:tr2bl w:val="nil"/>
                  </w:tcBorders>
                  <w:noWrap w:val="0"/>
                  <w:tcMar>
                    <w:top w:w="0" w:type="dxa"/>
                    <w:left w:w="0" w:type="dxa"/>
                    <w:bottom w:w="0" w:type="dxa"/>
                    <w:right w:w="0" w:type="dxa"/>
                  </w:tcMar>
                  <w:vAlign w:val="center"/>
                </w:tcPr>
                <w:p w14:paraId="2EF32AC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60</w:t>
                  </w:r>
                </w:p>
              </w:tc>
              <w:tc>
                <w:tcPr>
                  <w:tcW w:w="522" w:type="pct"/>
                  <w:tcBorders>
                    <w:tl2br w:val="nil"/>
                    <w:tr2bl w:val="nil"/>
                  </w:tcBorders>
                  <w:noWrap w:val="0"/>
                  <w:tcMar>
                    <w:top w:w="0" w:type="dxa"/>
                    <w:left w:w="0" w:type="dxa"/>
                    <w:bottom w:w="0" w:type="dxa"/>
                    <w:right w:w="0" w:type="dxa"/>
                  </w:tcMar>
                  <w:vAlign w:val="center"/>
                </w:tcPr>
                <w:p w14:paraId="03C0868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50</w:t>
                  </w:r>
                </w:p>
              </w:tc>
              <w:tc>
                <w:tcPr>
                  <w:tcW w:w="1032" w:type="pct"/>
                  <w:vMerge w:val="continue"/>
                  <w:tcBorders>
                    <w:tl2br w:val="nil"/>
                    <w:tr2bl w:val="nil"/>
                  </w:tcBorders>
                  <w:noWrap w:val="0"/>
                  <w:tcMar>
                    <w:top w:w="0" w:type="dxa"/>
                    <w:left w:w="0" w:type="dxa"/>
                    <w:bottom w:w="0" w:type="dxa"/>
                    <w:right w:w="0" w:type="dxa"/>
                  </w:tcMar>
                  <w:vAlign w:val="center"/>
                </w:tcPr>
                <w:p w14:paraId="17BD7B6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p>
              </w:tc>
            </w:tr>
            <w:tr w14:paraId="3AB6AB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40" w:hRule="atLeast"/>
                <w:jc w:val="center"/>
              </w:trPr>
              <w:tc>
                <w:tcPr>
                  <w:tcW w:w="287" w:type="pct"/>
                  <w:tcBorders>
                    <w:tl2br w:val="nil"/>
                    <w:tr2bl w:val="nil"/>
                  </w:tcBorders>
                  <w:noWrap w:val="0"/>
                  <w:tcMar>
                    <w:top w:w="0" w:type="dxa"/>
                    <w:left w:w="0" w:type="dxa"/>
                    <w:bottom w:w="0" w:type="dxa"/>
                    <w:right w:w="0" w:type="dxa"/>
                  </w:tcMar>
                  <w:vAlign w:val="center"/>
                </w:tcPr>
                <w:p w14:paraId="434F76E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2</w:t>
                  </w:r>
                </w:p>
              </w:tc>
              <w:tc>
                <w:tcPr>
                  <w:tcW w:w="1264" w:type="pct"/>
                  <w:tcBorders>
                    <w:tl2br w:val="nil"/>
                    <w:tr2bl w:val="nil"/>
                  </w:tcBorders>
                  <w:shd w:val="clear" w:color="auto" w:fill="auto"/>
                  <w:noWrap w:val="0"/>
                  <w:tcMar>
                    <w:top w:w="0" w:type="dxa"/>
                    <w:left w:w="0" w:type="dxa"/>
                    <w:bottom w:w="0" w:type="dxa"/>
                    <w:right w:w="0" w:type="dxa"/>
                  </w:tcMar>
                  <w:vAlign w:val="center"/>
                </w:tcPr>
                <w:p w14:paraId="45CC644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拟建升压汇集站北</w:t>
                  </w:r>
                  <w:r>
                    <w:rPr>
                      <w:rFonts w:hint="default"/>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侧</w:t>
                  </w:r>
                </w:p>
              </w:tc>
              <w:tc>
                <w:tcPr>
                  <w:tcW w:w="667" w:type="pct"/>
                  <w:tcBorders>
                    <w:tl2br w:val="nil"/>
                    <w:tr2bl w:val="nil"/>
                  </w:tcBorders>
                  <w:noWrap w:val="0"/>
                  <w:tcMar>
                    <w:top w:w="0" w:type="dxa"/>
                    <w:left w:w="0" w:type="dxa"/>
                    <w:bottom w:w="0" w:type="dxa"/>
                    <w:right w:w="0" w:type="dxa"/>
                  </w:tcMar>
                  <w:vAlign w:val="center"/>
                </w:tcPr>
                <w:p w14:paraId="3A7A252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39</w:t>
                  </w:r>
                </w:p>
              </w:tc>
              <w:tc>
                <w:tcPr>
                  <w:tcW w:w="717" w:type="pct"/>
                  <w:tcBorders>
                    <w:tl2br w:val="nil"/>
                    <w:tr2bl w:val="nil"/>
                  </w:tcBorders>
                  <w:noWrap w:val="0"/>
                  <w:tcMar>
                    <w:top w:w="0" w:type="dxa"/>
                    <w:left w:w="0" w:type="dxa"/>
                    <w:bottom w:w="0" w:type="dxa"/>
                    <w:right w:w="0" w:type="dxa"/>
                  </w:tcMar>
                  <w:vAlign w:val="center"/>
                </w:tcPr>
                <w:p w14:paraId="72BC715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35</w:t>
                  </w:r>
                </w:p>
              </w:tc>
              <w:tc>
                <w:tcPr>
                  <w:tcW w:w="509" w:type="pct"/>
                  <w:tcBorders>
                    <w:tl2br w:val="nil"/>
                    <w:tr2bl w:val="nil"/>
                  </w:tcBorders>
                  <w:noWrap w:val="0"/>
                  <w:tcMar>
                    <w:top w:w="0" w:type="dxa"/>
                    <w:left w:w="0" w:type="dxa"/>
                    <w:bottom w:w="0" w:type="dxa"/>
                    <w:right w:w="0" w:type="dxa"/>
                  </w:tcMar>
                  <w:vAlign w:val="center"/>
                </w:tcPr>
                <w:p w14:paraId="70A5997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60</w:t>
                  </w:r>
                </w:p>
              </w:tc>
              <w:tc>
                <w:tcPr>
                  <w:tcW w:w="522" w:type="pct"/>
                  <w:tcBorders>
                    <w:tl2br w:val="nil"/>
                    <w:tr2bl w:val="nil"/>
                  </w:tcBorders>
                  <w:noWrap w:val="0"/>
                  <w:tcMar>
                    <w:top w:w="0" w:type="dxa"/>
                    <w:left w:w="0" w:type="dxa"/>
                    <w:bottom w:w="0" w:type="dxa"/>
                    <w:right w:w="0" w:type="dxa"/>
                  </w:tcMar>
                  <w:vAlign w:val="center"/>
                </w:tcPr>
                <w:p w14:paraId="1C9B81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50</w:t>
                  </w:r>
                </w:p>
              </w:tc>
              <w:tc>
                <w:tcPr>
                  <w:tcW w:w="1032" w:type="pct"/>
                  <w:vMerge w:val="continue"/>
                  <w:tcBorders>
                    <w:tl2br w:val="nil"/>
                    <w:tr2bl w:val="nil"/>
                  </w:tcBorders>
                  <w:noWrap w:val="0"/>
                  <w:tcMar>
                    <w:top w:w="0" w:type="dxa"/>
                    <w:left w:w="0" w:type="dxa"/>
                    <w:bottom w:w="0" w:type="dxa"/>
                    <w:right w:w="0" w:type="dxa"/>
                  </w:tcMar>
                  <w:vAlign w:val="center"/>
                </w:tcPr>
                <w:p w14:paraId="719C9B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p>
              </w:tc>
            </w:tr>
            <w:tr w14:paraId="4B1836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7" w:type="pct"/>
                  <w:tcBorders>
                    <w:tl2br w:val="nil"/>
                    <w:tr2bl w:val="nil"/>
                  </w:tcBorders>
                  <w:noWrap w:val="0"/>
                  <w:tcMar>
                    <w:top w:w="0" w:type="dxa"/>
                    <w:left w:w="0" w:type="dxa"/>
                    <w:bottom w:w="0" w:type="dxa"/>
                    <w:right w:w="0" w:type="dxa"/>
                  </w:tcMar>
                  <w:vAlign w:val="center"/>
                </w:tcPr>
                <w:p w14:paraId="13AB083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3</w:t>
                  </w:r>
                </w:p>
              </w:tc>
              <w:tc>
                <w:tcPr>
                  <w:tcW w:w="1264" w:type="pct"/>
                  <w:tcBorders>
                    <w:tl2br w:val="nil"/>
                    <w:tr2bl w:val="nil"/>
                  </w:tcBorders>
                  <w:shd w:val="clear" w:color="auto" w:fill="auto"/>
                  <w:noWrap w:val="0"/>
                  <w:tcMar>
                    <w:top w:w="0" w:type="dxa"/>
                    <w:left w:w="0" w:type="dxa"/>
                    <w:bottom w:w="0" w:type="dxa"/>
                    <w:right w:w="0" w:type="dxa"/>
                  </w:tcMar>
                  <w:vAlign w:val="center"/>
                </w:tcPr>
                <w:p w14:paraId="2DC5A03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拟建升压汇集站北</w:t>
                  </w:r>
                  <w:r>
                    <w:rPr>
                      <w:rFonts w:hint="default"/>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侧</w:t>
                  </w:r>
                </w:p>
              </w:tc>
              <w:tc>
                <w:tcPr>
                  <w:tcW w:w="667" w:type="pct"/>
                  <w:tcBorders>
                    <w:tl2br w:val="nil"/>
                    <w:tr2bl w:val="nil"/>
                  </w:tcBorders>
                  <w:noWrap w:val="0"/>
                  <w:tcMar>
                    <w:top w:w="0" w:type="dxa"/>
                    <w:left w:w="0" w:type="dxa"/>
                    <w:bottom w:w="0" w:type="dxa"/>
                    <w:right w:w="0" w:type="dxa"/>
                  </w:tcMar>
                  <w:vAlign w:val="center"/>
                </w:tcPr>
                <w:p w14:paraId="411055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39</w:t>
                  </w:r>
                </w:p>
              </w:tc>
              <w:tc>
                <w:tcPr>
                  <w:tcW w:w="717" w:type="pct"/>
                  <w:tcBorders>
                    <w:tl2br w:val="nil"/>
                    <w:tr2bl w:val="nil"/>
                  </w:tcBorders>
                  <w:noWrap w:val="0"/>
                  <w:tcMar>
                    <w:top w:w="0" w:type="dxa"/>
                    <w:left w:w="0" w:type="dxa"/>
                    <w:bottom w:w="0" w:type="dxa"/>
                    <w:right w:w="0" w:type="dxa"/>
                  </w:tcMar>
                  <w:vAlign w:val="center"/>
                </w:tcPr>
                <w:p w14:paraId="0799169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36</w:t>
                  </w:r>
                </w:p>
              </w:tc>
              <w:tc>
                <w:tcPr>
                  <w:tcW w:w="509" w:type="pct"/>
                  <w:tcBorders>
                    <w:tl2br w:val="nil"/>
                    <w:tr2bl w:val="nil"/>
                  </w:tcBorders>
                  <w:noWrap w:val="0"/>
                  <w:tcMar>
                    <w:top w:w="0" w:type="dxa"/>
                    <w:left w:w="0" w:type="dxa"/>
                    <w:bottom w:w="0" w:type="dxa"/>
                    <w:right w:w="0" w:type="dxa"/>
                  </w:tcMar>
                  <w:vAlign w:val="center"/>
                </w:tcPr>
                <w:p w14:paraId="50A4972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60</w:t>
                  </w:r>
                </w:p>
              </w:tc>
              <w:tc>
                <w:tcPr>
                  <w:tcW w:w="522" w:type="pct"/>
                  <w:tcBorders>
                    <w:tl2br w:val="nil"/>
                    <w:tr2bl w:val="nil"/>
                  </w:tcBorders>
                  <w:noWrap w:val="0"/>
                  <w:tcMar>
                    <w:top w:w="0" w:type="dxa"/>
                    <w:left w:w="0" w:type="dxa"/>
                    <w:bottom w:w="0" w:type="dxa"/>
                    <w:right w:w="0" w:type="dxa"/>
                  </w:tcMar>
                  <w:vAlign w:val="center"/>
                </w:tcPr>
                <w:p w14:paraId="051CC8E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50</w:t>
                  </w:r>
                </w:p>
              </w:tc>
              <w:tc>
                <w:tcPr>
                  <w:tcW w:w="1032" w:type="pct"/>
                  <w:vMerge w:val="continue"/>
                  <w:tcBorders>
                    <w:tl2br w:val="nil"/>
                    <w:tr2bl w:val="nil"/>
                  </w:tcBorders>
                  <w:noWrap w:val="0"/>
                  <w:tcMar>
                    <w:top w:w="0" w:type="dxa"/>
                    <w:left w:w="0" w:type="dxa"/>
                    <w:bottom w:w="0" w:type="dxa"/>
                    <w:right w:w="0" w:type="dxa"/>
                  </w:tcMar>
                  <w:vAlign w:val="center"/>
                </w:tcPr>
                <w:p w14:paraId="56C61F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p>
              </w:tc>
            </w:tr>
            <w:tr w14:paraId="220C3B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90" w:hRule="atLeast"/>
                <w:jc w:val="center"/>
              </w:trPr>
              <w:tc>
                <w:tcPr>
                  <w:tcW w:w="287" w:type="pct"/>
                  <w:tcBorders>
                    <w:tl2br w:val="nil"/>
                    <w:tr2bl w:val="nil"/>
                  </w:tcBorders>
                  <w:noWrap w:val="0"/>
                  <w:tcMar>
                    <w:top w:w="0" w:type="dxa"/>
                    <w:left w:w="0" w:type="dxa"/>
                    <w:bottom w:w="0" w:type="dxa"/>
                    <w:right w:w="0" w:type="dxa"/>
                  </w:tcMar>
                  <w:vAlign w:val="center"/>
                </w:tcPr>
                <w:p w14:paraId="7B4C81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4</w:t>
                  </w:r>
                </w:p>
              </w:tc>
              <w:tc>
                <w:tcPr>
                  <w:tcW w:w="1264" w:type="pct"/>
                  <w:tcBorders>
                    <w:tl2br w:val="nil"/>
                    <w:tr2bl w:val="nil"/>
                  </w:tcBorders>
                  <w:shd w:val="clear" w:color="auto" w:fill="auto"/>
                  <w:noWrap w:val="0"/>
                  <w:tcMar>
                    <w:top w:w="0" w:type="dxa"/>
                    <w:left w:w="0" w:type="dxa"/>
                    <w:bottom w:w="0" w:type="dxa"/>
                    <w:right w:w="0" w:type="dxa"/>
                  </w:tcMar>
                  <w:vAlign w:val="center"/>
                </w:tcPr>
                <w:p w14:paraId="19B04CD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拟建升压汇集站南侧</w:t>
                  </w:r>
                </w:p>
              </w:tc>
              <w:tc>
                <w:tcPr>
                  <w:tcW w:w="667" w:type="pct"/>
                  <w:tcBorders>
                    <w:tl2br w:val="nil"/>
                    <w:tr2bl w:val="nil"/>
                  </w:tcBorders>
                  <w:noWrap w:val="0"/>
                  <w:tcMar>
                    <w:top w:w="0" w:type="dxa"/>
                    <w:left w:w="0" w:type="dxa"/>
                    <w:bottom w:w="0" w:type="dxa"/>
                    <w:right w:w="0" w:type="dxa"/>
                  </w:tcMar>
                  <w:vAlign w:val="center"/>
                </w:tcPr>
                <w:p w14:paraId="49BF3BB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38</w:t>
                  </w:r>
                </w:p>
              </w:tc>
              <w:tc>
                <w:tcPr>
                  <w:tcW w:w="717" w:type="pct"/>
                  <w:tcBorders>
                    <w:tl2br w:val="nil"/>
                    <w:tr2bl w:val="nil"/>
                  </w:tcBorders>
                  <w:noWrap w:val="0"/>
                  <w:tcMar>
                    <w:top w:w="0" w:type="dxa"/>
                    <w:left w:w="0" w:type="dxa"/>
                    <w:bottom w:w="0" w:type="dxa"/>
                    <w:right w:w="0" w:type="dxa"/>
                  </w:tcMar>
                  <w:vAlign w:val="center"/>
                </w:tcPr>
                <w:p w14:paraId="450524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34</w:t>
                  </w:r>
                </w:p>
              </w:tc>
              <w:tc>
                <w:tcPr>
                  <w:tcW w:w="509" w:type="pct"/>
                  <w:tcBorders>
                    <w:tl2br w:val="nil"/>
                    <w:tr2bl w:val="nil"/>
                  </w:tcBorders>
                  <w:noWrap w:val="0"/>
                  <w:tcMar>
                    <w:top w:w="0" w:type="dxa"/>
                    <w:left w:w="0" w:type="dxa"/>
                    <w:bottom w:w="0" w:type="dxa"/>
                    <w:right w:w="0" w:type="dxa"/>
                  </w:tcMar>
                  <w:vAlign w:val="center"/>
                </w:tcPr>
                <w:p w14:paraId="207B96A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60</w:t>
                  </w:r>
                </w:p>
              </w:tc>
              <w:tc>
                <w:tcPr>
                  <w:tcW w:w="522" w:type="pct"/>
                  <w:tcBorders>
                    <w:tl2br w:val="nil"/>
                    <w:tr2bl w:val="nil"/>
                  </w:tcBorders>
                  <w:noWrap w:val="0"/>
                  <w:tcMar>
                    <w:top w:w="0" w:type="dxa"/>
                    <w:left w:w="0" w:type="dxa"/>
                    <w:bottom w:w="0" w:type="dxa"/>
                    <w:right w:w="0" w:type="dxa"/>
                  </w:tcMar>
                  <w:vAlign w:val="center"/>
                </w:tcPr>
                <w:p w14:paraId="598A971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50</w:t>
                  </w:r>
                </w:p>
              </w:tc>
              <w:tc>
                <w:tcPr>
                  <w:tcW w:w="1032" w:type="pct"/>
                  <w:vMerge w:val="continue"/>
                  <w:tcBorders>
                    <w:tl2br w:val="nil"/>
                    <w:tr2bl w:val="nil"/>
                  </w:tcBorders>
                  <w:noWrap w:val="0"/>
                  <w:tcMar>
                    <w:top w:w="0" w:type="dxa"/>
                    <w:left w:w="0" w:type="dxa"/>
                    <w:bottom w:w="0" w:type="dxa"/>
                    <w:right w:w="0" w:type="dxa"/>
                  </w:tcMar>
                  <w:vAlign w:val="center"/>
                </w:tcPr>
                <w:p w14:paraId="4ABA9AB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p>
              </w:tc>
            </w:tr>
            <w:tr w14:paraId="622463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90" w:hRule="atLeast"/>
                <w:jc w:val="center"/>
              </w:trPr>
              <w:tc>
                <w:tcPr>
                  <w:tcW w:w="287" w:type="pct"/>
                  <w:tcBorders>
                    <w:tl2br w:val="nil"/>
                    <w:tr2bl w:val="nil"/>
                  </w:tcBorders>
                  <w:noWrap w:val="0"/>
                  <w:tcMar>
                    <w:top w:w="0" w:type="dxa"/>
                    <w:left w:w="0" w:type="dxa"/>
                    <w:bottom w:w="0" w:type="dxa"/>
                    <w:right w:w="0" w:type="dxa"/>
                  </w:tcMar>
                  <w:vAlign w:val="center"/>
                </w:tcPr>
                <w:p w14:paraId="318BBC5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5</w:t>
                  </w:r>
                </w:p>
              </w:tc>
              <w:tc>
                <w:tcPr>
                  <w:tcW w:w="1264" w:type="pct"/>
                  <w:tcBorders>
                    <w:tl2br w:val="nil"/>
                    <w:tr2bl w:val="nil"/>
                  </w:tcBorders>
                  <w:shd w:val="clear" w:color="auto" w:fill="auto"/>
                  <w:noWrap w:val="0"/>
                  <w:tcMar>
                    <w:top w:w="0" w:type="dxa"/>
                    <w:left w:w="0" w:type="dxa"/>
                    <w:bottom w:w="0" w:type="dxa"/>
                    <w:right w:w="0" w:type="dxa"/>
                  </w:tcMar>
                  <w:vAlign w:val="center"/>
                </w:tcPr>
                <w:p w14:paraId="4556486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拟建升压汇集站西侧</w:t>
                  </w:r>
                </w:p>
              </w:tc>
              <w:tc>
                <w:tcPr>
                  <w:tcW w:w="667" w:type="pct"/>
                  <w:tcBorders>
                    <w:tl2br w:val="nil"/>
                    <w:tr2bl w:val="nil"/>
                  </w:tcBorders>
                  <w:noWrap w:val="0"/>
                  <w:tcMar>
                    <w:top w:w="0" w:type="dxa"/>
                    <w:left w:w="0" w:type="dxa"/>
                    <w:bottom w:w="0" w:type="dxa"/>
                    <w:right w:w="0" w:type="dxa"/>
                  </w:tcMar>
                  <w:vAlign w:val="center"/>
                </w:tcPr>
                <w:p w14:paraId="5F0A160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37</w:t>
                  </w:r>
                </w:p>
              </w:tc>
              <w:tc>
                <w:tcPr>
                  <w:tcW w:w="717" w:type="pct"/>
                  <w:tcBorders>
                    <w:tl2br w:val="nil"/>
                    <w:tr2bl w:val="nil"/>
                  </w:tcBorders>
                  <w:noWrap w:val="0"/>
                  <w:tcMar>
                    <w:top w:w="0" w:type="dxa"/>
                    <w:left w:w="0" w:type="dxa"/>
                    <w:bottom w:w="0" w:type="dxa"/>
                    <w:right w:w="0" w:type="dxa"/>
                  </w:tcMar>
                  <w:vAlign w:val="center"/>
                </w:tcPr>
                <w:p w14:paraId="1BBEA46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35</w:t>
                  </w:r>
                </w:p>
              </w:tc>
              <w:tc>
                <w:tcPr>
                  <w:tcW w:w="509" w:type="pct"/>
                  <w:tcBorders>
                    <w:tl2br w:val="nil"/>
                    <w:tr2bl w:val="nil"/>
                  </w:tcBorders>
                  <w:noWrap w:val="0"/>
                  <w:tcMar>
                    <w:top w:w="0" w:type="dxa"/>
                    <w:left w:w="0" w:type="dxa"/>
                    <w:bottom w:w="0" w:type="dxa"/>
                    <w:right w:w="0" w:type="dxa"/>
                  </w:tcMar>
                  <w:vAlign w:val="center"/>
                </w:tcPr>
                <w:p w14:paraId="2716119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60</w:t>
                  </w:r>
                </w:p>
              </w:tc>
              <w:tc>
                <w:tcPr>
                  <w:tcW w:w="522" w:type="pct"/>
                  <w:tcBorders>
                    <w:tl2br w:val="nil"/>
                    <w:tr2bl w:val="nil"/>
                  </w:tcBorders>
                  <w:noWrap w:val="0"/>
                  <w:tcMar>
                    <w:top w:w="0" w:type="dxa"/>
                    <w:left w:w="0" w:type="dxa"/>
                    <w:bottom w:w="0" w:type="dxa"/>
                    <w:right w:w="0" w:type="dxa"/>
                  </w:tcMar>
                  <w:vAlign w:val="center"/>
                </w:tcPr>
                <w:p w14:paraId="4425A3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50</w:t>
                  </w:r>
                </w:p>
              </w:tc>
              <w:tc>
                <w:tcPr>
                  <w:tcW w:w="1032" w:type="pct"/>
                  <w:vMerge w:val="continue"/>
                  <w:tcBorders>
                    <w:tl2br w:val="nil"/>
                    <w:tr2bl w:val="nil"/>
                  </w:tcBorders>
                  <w:noWrap w:val="0"/>
                  <w:tcMar>
                    <w:top w:w="0" w:type="dxa"/>
                    <w:left w:w="0" w:type="dxa"/>
                    <w:bottom w:w="0" w:type="dxa"/>
                    <w:right w:w="0" w:type="dxa"/>
                  </w:tcMar>
                  <w:vAlign w:val="center"/>
                </w:tcPr>
                <w:p w14:paraId="09E13A6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p>
              </w:tc>
            </w:tr>
            <w:tr w14:paraId="49E5A6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7" w:type="pct"/>
                  <w:tcBorders>
                    <w:tl2br w:val="nil"/>
                    <w:tr2bl w:val="nil"/>
                  </w:tcBorders>
                  <w:noWrap w:val="0"/>
                  <w:tcMar>
                    <w:top w:w="0" w:type="dxa"/>
                    <w:left w:w="0" w:type="dxa"/>
                    <w:bottom w:w="0" w:type="dxa"/>
                    <w:right w:w="0" w:type="dxa"/>
                  </w:tcMar>
                  <w:vAlign w:val="center"/>
                </w:tcPr>
                <w:p w14:paraId="3CD173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6</w:t>
                  </w:r>
                </w:p>
              </w:tc>
              <w:tc>
                <w:tcPr>
                  <w:tcW w:w="1264" w:type="pct"/>
                  <w:tcBorders>
                    <w:tl2br w:val="nil"/>
                    <w:tr2bl w:val="nil"/>
                  </w:tcBorders>
                  <w:shd w:val="clear" w:color="auto" w:fill="auto"/>
                  <w:noWrap w:val="0"/>
                  <w:tcMar>
                    <w:top w:w="0" w:type="dxa"/>
                    <w:left w:w="0" w:type="dxa"/>
                    <w:bottom w:w="0" w:type="dxa"/>
                    <w:right w:w="0" w:type="dxa"/>
                  </w:tcMar>
                  <w:vAlign w:val="center"/>
                </w:tcPr>
                <w:p w14:paraId="5DED87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750</w:t>
                  </w:r>
                  <w:r>
                    <w:rPr>
                      <w:rFonts w:hint="eastAsia"/>
                      <w:color w:val="000000" w:themeColor="text1"/>
                      <w:sz w:val="21"/>
                      <w:szCs w:val="21"/>
                      <w14:textFill>
                        <w14:solidFill>
                          <w14:schemeClr w14:val="tx1"/>
                        </w14:solidFill>
                      </w14:textFill>
                    </w:rPr>
                    <w:t>千伏且末站南侧</w:t>
                  </w:r>
                  <w:r>
                    <w:rPr>
                      <w:rFonts w:hint="eastAsia"/>
                      <w:color w:val="000000" w:themeColor="text1"/>
                      <w:sz w:val="21"/>
                      <w:szCs w:val="21"/>
                      <w:lang w:val="en-US" w:eastAsia="zh-CN"/>
                      <w14:textFill>
                        <w14:solidFill>
                          <w14:schemeClr w14:val="tx1"/>
                        </w14:solidFill>
                      </w14:textFill>
                    </w:rPr>
                    <w:t>1</w:t>
                  </w:r>
                  <w:r>
                    <w:rPr>
                      <w:rFonts w:hint="eastAsia"/>
                      <w:color w:val="000000" w:themeColor="text1"/>
                      <w:sz w:val="21"/>
                      <w:szCs w:val="21"/>
                      <w14:textFill>
                        <w14:solidFill>
                          <w14:schemeClr w14:val="tx1"/>
                        </w14:solidFill>
                      </w14:textFill>
                    </w:rPr>
                    <w:t>米（线路终点）</w:t>
                  </w:r>
                </w:p>
              </w:tc>
              <w:tc>
                <w:tcPr>
                  <w:tcW w:w="667" w:type="pct"/>
                  <w:tcBorders>
                    <w:tl2br w:val="nil"/>
                    <w:tr2bl w:val="nil"/>
                  </w:tcBorders>
                  <w:noWrap w:val="0"/>
                  <w:tcMar>
                    <w:top w:w="0" w:type="dxa"/>
                    <w:left w:w="0" w:type="dxa"/>
                    <w:bottom w:w="0" w:type="dxa"/>
                    <w:right w:w="0" w:type="dxa"/>
                  </w:tcMar>
                  <w:vAlign w:val="center"/>
                </w:tcPr>
                <w:p w14:paraId="2085B00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45</w:t>
                  </w:r>
                </w:p>
              </w:tc>
              <w:tc>
                <w:tcPr>
                  <w:tcW w:w="717" w:type="pct"/>
                  <w:tcBorders>
                    <w:tl2br w:val="nil"/>
                    <w:tr2bl w:val="nil"/>
                  </w:tcBorders>
                  <w:noWrap w:val="0"/>
                  <w:tcMar>
                    <w:top w:w="0" w:type="dxa"/>
                    <w:left w:w="0" w:type="dxa"/>
                    <w:bottom w:w="0" w:type="dxa"/>
                    <w:right w:w="0" w:type="dxa"/>
                  </w:tcMar>
                  <w:vAlign w:val="center"/>
                </w:tcPr>
                <w:p w14:paraId="6BBB8E7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42</w:t>
                  </w:r>
                </w:p>
              </w:tc>
              <w:tc>
                <w:tcPr>
                  <w:tcW w:w="509" w:type="pct"/>
                  <w:tcBorders>
                    <w:tl2br w:val="nil"/>
                    <w:tr2bl w:val="nil"/>
                  </w:tcBorders>
                  <w:shd w:val="clear" w:color="auto" w:fill="auto"/>
                  <w:noWrap w:val="0"/>
                  <w:tcMar>
                    <w:top w:w="0" w:type="dxa"/>
                    <w:left w:w="0" w:type="dxa"/>
                    <w:bottom w:w="0" w:type="dxa"/>
                    <w:right w:w="0" w:type="dxa"/>
                  </w:tcMar>
                  <w:vAlign w:val="center"/>
                </w:tcPr>
                <w:p w14:paraId="7788D8A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60</w:t>
                  </w:r>
                </w:p>
              </w:tc>
              <w:tc>
                <w:tcPr>
                  <w:tcW w:w="522" w:type="pct"/>
                  <w:tcBorders>
                    <w:tl2br w:val="nil"/>
                    <w:tr2bl w:val="nil"/>
                  </w:tcBorders>
                  <w:shd w:val="clear" w:color="auto" w:fill="auto"/>
                  <w:noWrap w:val="0"/>
                  <w:tcMar>
                    <w:top w:w="0" w:type="dxa"/>
                    <w:left w:w="0" w:type="dxa"/>
                    <w:bottom w:w="0" w:type="dxa"/>
                    <w:right w:w="0" w:type="dxa"/>
                  </w:tcMar>
                  <w:vAlign w:val="center"/>
                </w:tcPr>
                <w:p w14:paraId="19DA043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50</w:t>
                  </w:r>
                </w:p>
              </w:tc>
              <w:tc>
                <w:tcPr>
                  <w:tcW w:w="1032" w:type="pct"/>
                  <w:vMerge w:val="continue"/>
                  <w:tcBorders>
                    <w:tl2br w:val="nil"/>
                    <w:tr2bl w:val="nil"/>
                  </w:tcBorders>
                  <w:noWrap w:val="0"/>
                  <w:tcMar>
                    <w:top w:w="0" w:type="dxa"/>
                    <w:left w:w="0" w:type="dxa"/>
                    <w:bottom w:w="0" w:type="dxa"/>
                    <w:right w:w="0" w:type="dxa"/>
                  </w:tcMar>
                  <w:vAlign w:val="center"/>
                </w:tcPr>
                <w:p w14:paraId="4560F02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p>
              </w:tc>
            </w:tr>
            <w:tr w14:paraId="620316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7" w:type="pct"/>
                  <w:tcBorders>
                    <w:tl2br w:val="nil"/>
                    <w:tr2bl w:val="nil"/>
                  </w:tcBorders>
                  <w:noWrap w:val="0"/>
                  <w:tcMar>
                    <w:top w:w="0" w:type="dxa"/>
                    <w:left w:w="0" w:type="dxa"/>
                    <w:bottom w:w="0" w:type="dxa"/>
                    <w:right w:w="0" w:type="dxa"/>
                  </w:tcMar>
                  <w:vAlign w:val="center"/>
                </w:tcPr>
                <w:p w14:paraId="6FBA896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default"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7</w:t>
                  </w:r>
                </w:p>
              </w:tc>
              <w:tc>
                <w:tcPr>
                  <w:tcW w:w="1264" w:type="pct"/>
                  <w:tcBorders>
                    <w:tl2br w:val="nil"/>
                    <w:tr2bl w:val="nil"/>
                  </w:tcBorders>
                  <w:shd w:val="clear" w:color="auto" w:fill="auto"/>
                  <w:noWrap w:val="0"/>
                  <w:tcMar>
                    <w:top w:w="0" w:type="dxa"/>
                    <w:left w:w="0" w:type="dxa"/>
                    <w:bottom w:w="0" w:type="dxa"/>
                    <w:right w:w="0" w:type="dxa"/>
                  </w:tcMar>
                  <w:vAlign w:val="center"/>
                </w:tcPr>
                <w:p w14:paraId="578C08A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拟建线路跨越线路下方</w:t>
                  </w:r>
                </w:p>
              </w:tc>
              <w:tc>
                <w:tcPr>
                  <w:tcW w:w="667" w:type="pct"/>
                  <w:tcBorders>
                    <w:tl2br w:val="nil"/>
                    <w:tr2bl w:val="nil"/>
                  </w:tcBorders>
                  <w:noWrap w:val="0"/>
                  <w:tcMar>
                    <w:top w:w="0" w:type="dxa"/>
                    <w:left w:w="0" w:type="dxa"/>
                    <w:bottom w:w="0" w:type="dxa"/>
                    <w:right w:w="0" w:type="dxa"/>
                  </w:tcMar>
                  <w:vAlign w:val="center"/>
                </w:tcPr>
                <w:p w14:paraId="7C24B78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42</w:t>
                  </w:r>
                </w:p>
              </w:tc>
              <w:tc>
                <w:tcPr>
                  <w:tcW w:w="717" w:type="pct"/>
                  <w:tcBorders>
                    <w:tl2br w:val="nil"/>
                    <w:tr2bl w:val="nil"/>
                  </w:tcBorders>
                  <w:noWrap w:val="0"/>
                  <w:tcMar>
                    <w:top w:w="0" w:type="dxa"/>
                    <w:left w:w="0" w:type="dxa"/>
                    <w:bottom w:w="0" w:type="dxa"/>
                    <w:right w:w="0" w:type="dxa"/>
                  </w:tcMar>
                  <w:vAlign w:val="center"/>
                </w:tcPr>
                <w:p w14:paraId="153FAB3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color w:val="000000" w:themeColor="text1"/>
                      <w:sz w:val="21"/>
                      <w:szCs w:val="21"/>
                      <w14:textFill>
                        <w14:solidFill>
                          <w14:schemeClr w14:val="tx1"/>
                        </w14:solidFill>
                      </w14:textFill>
                    </w:rPr>
                    <w:t>38</w:t>
                  </w:r>
                </w:p>
              </w:tc>
              <w:tc>
                <w:tcPr>
                  <w:tcW w:w="509" w:type="pct"/>
                  <w:tcBorders>
                    <w:tl2br w:val="nil"/>
                    <w:tr2bl w:val="nil"/>
                  </w:tcBorders>
                  <w:shd w:val="clear" w:color="auto" w:fill="auto"/>
                  <w:noWrap w:val="0"/>
                  <w:tcMar>
                    <w:top w:w="0" w:type="dxa"/>
                    <w:left w:w="0" w:type="dxa"/>
                    <w:bottom w:w="0" w:type="dxa"/>
                    <w:right w:w="0" w:type="dxa"/>
                  </w:tcMar>
                  <w:vAlign w:val="center"/>
                </w:tcPr>
                <w:p w14:paraId="231AC44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60</w:t>
                  </w:r>
                </w:p>
              </w:tc>
              <w:tc>
                <w:tcPr>
                  <w:tcW w:w="522" w:type="pct"/>
                  <w:tcBorders>
                    <w:tl2br w:val="nil"/>
                    <w:tr2bl w:val="nil"/>
                  </w:tcBorders>
                  <w:shd w:val="clear" w:color="auto" w:fill="auto"/>
                  <w:noWrap w:val="0"/>
                  <w:tcMar>
                    <w:top w:w="0" w:type="dxa"/>
                    <w:left w:w="0" w:type="dxa"/>
                    <w:bottom w:w="0" w:type="dxa"/>
                    <w:right w:w="0" w:type="dxa"/>
                  </w:tcMar>
                  <w:vAlign w:val="center"/>
                </w:tcPr>
                <w:p w14:paraId="2C9EF83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t>50</w:t>
                  </w:r>
                </w:p>
              </w:tc>
              <w:tc>
                <w:tcPr>
                  <w:tcW w:w="1032" w:type="pct"/>
                  <w:vMerge w:val="continue"/>
                  <w:tcBorders>
                    <w:tl2br w:val="nil"/>
                    <w:tr2bl w:val="nil"/>
                  </w:tcBorders>
                  <w:noWrap w:val="0"/>
                  <w:tcMar>
                    <w:top w:w="0" w:type="dxa"/>
                    <w:left w:w="0" w:type="dxa"/>
                    <w:bottom w:w="0" w:type="dxa"/>
                    <w:right w:w="0" w:type="dxa"/>
                  </w:tcMar>
                  <w:vAlign w:val="center"/>
                </w:tcPr>
                <w:p w14:paraId="2BB4EF9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Times New Roman" w:hAnsi="Times New Roman" w:eastAsia="宋体" w:cs="Times New Roman"/>
                      <w:b w:val="0"/>
                      <w:bCs w:val="0"/>
                      <w:color w:val="000000" w:themeColor="text1"/>
                      <w:kern w:val="1"/>
                      <w:sz w:val="21"/>
                      <w:szCs w:val="21"/>
                      <w:vertAlign w:val="baseline"/>
                      <w:lang w:val="en-US" w:eastAsia="zh-CN"/>
                      <w14:textFill>
                        <w14:solidFill>
                          <w14:schemeClr w14:val="tx1"/>
                        </w14:solidFill>
                      </w14:textFill>
                    </w:rPr>
                  </w:pPr>
                </w:p>
              </w:tc>
            </w:tr>
          </w:tbl>
          <w:p w14:paraId="20A413C7">
            <w:pPr>
              <w:pStyle w:val="61"/>
              <w:ind w:firstLine="480"/>
              <w:rPr>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从</w:t>
            </w:r>
            <w:r>
              <w:rPr>
                <w:rFonts w:hint="eastAsia" w:ascii="Times New Roman" w:hAnsi="Times New Roman" w:eastAsia="宋体" w:cs="Times New Roman"/>
                <w:b w:val="0"/>
                <w:bCs/>
                <w:color w:val="000000" w:themeColor="text1"/>
                <w:lang w:val="en-US" w:eastAsia="zh-CN"/>
                <w14:textFill>
                  <w14:solidFill>
                    <w14:schemeClr w14:val="tx1"/>
                  </w14:solidFill>
                </w14:textFill>
              </w:rPr>
              <w:t>噪声</w:t>
            </w:r>
            <w:r>
              <w:rPr>
                <w:rFonts w:hint="default" w:ascii="Times New Roman" w:hAnsi="Times New Roman" w:eastAsia="宋体" w:cs="Times New Roman"/>
                <w:b w:val="0"/>
                <w:bCs/>
                <w:color w:val="000000" w:themeColor="text1"/>
                <w:lang w:val="en-US" w:eastAsia="zh-CN"/>
                <w14:textFill>
                  <w14:solidFill>
                    <w14:schemeClr w14:val="tx1"/>
                  </w14:solidFill>
                </w14:textFill>
              </w:rPr>
              <w:t>监测结果可以看出，</w:t>
            </w:r>
            <w:r>
              <w:rPr>
                <w:rFonts w:hint="eastAsia" w:ascii="Times New Roman" w:hAnsi="Times New Roman" w:eastAsia="宋体" w:cs="Times New Roman"/>
                <w:b w:val="0"/>
                <w:bCs/>
                <w:color w:val="000000" w:themeColor="text1"/>
                <w:lang w:val="en-US" w:eastAsia="zh-CN"/>
                <w14:textFill>
                  <w14:solidFill>
                    <w14:schemeClr w14:val="tx1"/>
                  </w14:solidFill>
                </w14:textFill>
              </w:rPr>
              <w:t>项目区各</w:t>
            </w:r>
            <w:r>
              <w:rPr>
                <w:rFonts w:hint="default" w:ascii="Times New Roman" w:hAnsi="Times New Roman" w:eastAsia="宋体" w:cs="Times New Roman"/>
                <w:b w:val="0"/>
                <w:bCs/>
                <w:color w:val="000000" w:themeColor="text1"/>
                <w:lang w:val="en-US" w:eastAsia="zh-CN"/>
                <w14:textFill>
                  <w14:solidFill>
                    <w14:schemeClr w14:val="tx1"/>
                  </w14:solidFill>
                </w14:textFill>
              </w:rPr>
              <w:t>监测点</w:t>
            </w:r>
            <w:r>
              <w:rPr>
                <w:rFonts w:hint="eastAsia" w:ascii="Times New Roman" w:hAnsi="Times New Roman" w:eastAsia="宋体" w:cs="Times New Roman"/>
                <w:b w:val="0"/>
                <w:bCs/>
                <w:color w:val="000000" w:themeColor="text1"/>
                <w:lang w:val="en-US" w:eastAsia="zh-CN"/>
                <w14:textFill>
                  <w14:solidFill>
                    <w14:schemeClr w14:val="tx1"/>
                  </w14:solidFill>
                </w14:textFill>
              </w:rPr>
              <w:t>均</w:t>
            </w:r>
            <w:r>
              <w:rPr>
                <w:rFonts w:hint="default" w:ascii="Times New Roman" w:hAnsi="Times New Roman" w:eastAsia="宋体" w:cs="Times New Roman"/>
                <w:b w:val="0"/>
                <w:bCs/>
                <w:color w:val="000000" w:themeColor="text1"/>
                <w:lang w:val="en-US" w:eastAsia="zh-CN"/>
                <w14:textFill>
                  <w14:solidFill>
                    <w14:schemeClr w14:val="tx1"/>
                  </w14:solidFill>
                </w14:textFill>
              </w:rPr>
              <w:t>满足《声环境质量标准》（GB3096-2008）</w:t>
            </w:r>
            <w:r>
              <w:rPr>
                <w:rFonts w:hint="eastAsia" w:ascii="Times New Roman" w:hAnsi="Times New Roman" w:eastAsia="宋体" w:cs="Times New Roman"/>
                <w:b w:val="0"/>
                <w:bCs/>
                <w:color w:val="000000" w:themeColor="text1"/>
                <w:lang w:val="en-US" w:eastAsia="zh-CN"/>
                <w14:textFill>
                  <w14:solidFill>
                    <w14:schemeClr w14:val="tx1"/>
                  </w14:solidFill>
                </w14:textFill>
              </w:rPr>
              <w:t>2</w:t>
            </w:r>
            <w:r>
              <w:rPr>
                <w:rFonts w:hint="default" w:ascii="Times New Roman" w:hAnsi="Times New Roman" w:eastAsia="宋体" w:cs="Times New Roman"/>
                <w:b w:val="0"/>
                <w:bCs/>
                <w:color w:val="000000" w:themeColor="text1"/>
                <w:lang w:val="en-US" w:eastAsia="zh-CN"/>
                <w14:textFill>
                  <w14:solidFill>
                    <w14:schemeClr w14:val="tx1"/>
                  </w14:solidFill>
                </w14:textFill>
              </w:rPr>
              <w:t>类标准要求。</w:t>
            </w:r>
          </w:p>
          <w:p w14:paraId="1B3AB65F">
            <w:pPr>
              <w:adjustRightIn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8.</w:t>
            </w:r>
            <w:r>
              <w:rPr>
                <w:b/>
                <w:bCs/>
                <w:color w:val="000000" w:themeColor="text1"/>
                <w14:textFill>
                  <w14:solidFill>
                    <w14:schemeClr w14:val="tx1"/>
                  </w14:solidFill>
                </w14:textFill>
              </w:rPr>
              <w:t>电磁环境质量现状调查与评价</w:t>
            </w:r>
          </w:p>
          <w:p w14:paraId="25F079A4">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根据《环境影响评价技术导则 输变电》（HJ 24-2020）、《交流输变电工程电磁环境监测方法（试行）》（HJ681-2013）有关规定，对</w:t>
            </w:r>
            <w:r>
              <w:rPr>
                <w:rFonts w:hint="eastAsia"/>
                <w:snapToGrid w:val="0"/>
                <w:color w:val="000000" w:themeColor="text1"/>
                <w:sz w:val="24"/>
                <w:szCs w:val="24"/>
                <w14:textFill>
                  <w14:solidFill>
                    <w14:schemeClr w14:val="tx1"/>
                  </w14:solidFill>
                </w14:textFill>
              </w:rPr>
              <w:t>220kV升压汇集站</w:t>
            </w:r>
            <w:r>
              <w:rPr>
                <w:rFonts w:hint="eastAsia"/>
                <w:color w:val="000000" w:themeColor="text1"/>
                <w14:textFill>
                  <w14:solidFill>
                    <w14:schemeClr w14:val="tx1"/>
                  </w14:solidFill>
                </w14:textFill>
              </w:rPr>
              <w:t>场址</w:t>
            </w:r>
            <w:r>
              <w:rPr>
                <w:rFonts w:hint="eastAsia"/>
                <w:color w:val="000000" w:themeColor="text1"/>
                <w:lang w:val="en-US" w:eastAsia="zh-CN"/>
                <w14:textFill>
                  <w14:solidFill>
                    <w14:schemeClr w14:val="tx1"/>
                  </w14:solidFill>
                </w14:textFill>
              </w:rPr>
              <w:t>四周</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外送线路起点、终点及跨越点</w:t>
            </w:r>
            <w:r>
              <w:rPr>
                <w:color w:val="000000" w:themeColor="text1"/>
                <w14:textFill>
                  <w14:solidFill>
                    <w14:schemeClr w14:val="tx1"/>
                  </w14:solidFill>
                </w14:textFill>
              </w:rPr>
              <w:t>的电磁环境现状进行了</w:t>
            </w:r>
            <w:r>
              <w:rPr>
                <w:rFonts w:hint="eastAsia"/>
                <w:color w:val="000000" w:themeColor="text1"/>
                <w14:textFill>
                  <w14:solidFill>
                    <w14:schemeClr w14:val="tx1"/>
                  </w14:solidFill>
                </w14:textFill>
              </w:rPr>
              <w:t>现场</w:t>
            </w:r>
            <w:r>
              <w:rPr>
                <w:color w:val="000000" w:themeColor="text1"/>
                <w14:textFill>
                  <w14:solidFill>
                    <w14:schemeClr w14:val="tx1"/>
                  </w14:solidFill>
                </w14:textFill>
              </w:rPr>
              <w:t>监测。</w:t>
            </w:r>
            <w:r>
              <w:rPr>
                <w:rFonts w:hint="eastAsia"/>
                <w:color w:val="000000" w:themeColor="text1"/>
                <w14:textFill>
                  <w14:solidFill>
                    <w14:schemeClr w14:val="tx1"/>
                  </w14:solidFill>
                </w14:textFill>
              </w:rPr>
              <w:t>具体见电磁环境影响专题评价内容。</w:t>
            </w:r>
          </w:p>
          <w:p w14:paraId="19FE634A">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由</w:t>
            </w:r>
            <w:r>
              <w:rPr>
                <w:rFonts w:hint="eastAsia"/>
                <w:color w:val="000000" w:themeColor="text1"/>
                <w14:textFill>
                  <w14:solidFill>
                    <w14:schemeClr w14:val="tx1"/>
                  </w14:solidFill>
                </w14:textFill>
              </w:rPr>
              <w:t>监测结果</w:t>
            </w:r>
            <w:r>
              <w:rPr>
                <w:color w:val="000000" w:themeColor="text1"/>
                <w14:textFill>
                  <w14:solidFill>
                    <w14:schemeClr w14:val="tx1"/>
                  </w14:solidFill>
                </w14:textFill>
              </w:rPr>
              <w:t>可知，各监测点工频电场强度，工频磁感应强度均满足《电磁环境控制限值》（GB8702-2014）中要求</w:t>
            </w:r>
            <w:r>
              <w:rPr>
                <w:rFonts w:hint="eastAsia"/>
                <w:color w:val="000000" w:themeColor="text1"/>
                <w:lang w:val="en-US" w:eastAsia="zh-CN"/>
                <w14:textFill>
                  <w14:solidFill>
                    <w14:schemeClr w14:val="tx1"/>
                  </w14:solidFill>
                </w14:textFill>
              </w:rPr>
              <w:t>工频</w:t>
            </w:r>
            <w:r>
              <w:rPr>
                <w:color w:val="000000" w:themeColor="text1"/>
                <w14:textFill>
                  <w14:solidFill>
                    <w14:schemeClr w14:val="tx1"/>
                  </w14:solidFill>
                </w14:textFill>
              </w:rPr>
              <w:t>电场</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强度公众曝露控制限值</w:t>
            </w: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4</w:t>
            </w:r>
            <w:r>
              <w:rPr>
                <w:rFonts w:hint="eastAsia"/>
                <w:color w:val="000000" w:themeColor="text1"/>
                <w:lang w:val="en-US" w:eastAsia="zh-CN"/>
                <w14:textFill>
                  <w14:solidFill>
                    <w14:schemeClr w14:val="tx1"/>
                  </w14:solidFill>
                </w14:textFill>
              </w:rPr>
              <w:t>k</w:t>
            </w:r>
            <w:r>
              <w:rPr>
                <w:color w:val="000000" w:themeColor="text1"/>
                <w14:textFill>
                  <w14:solidFill>
                    <w14:schemeClr w14:val="tx1"/>
                  </w14:solidFill>
                </w14:textFill>
              </w:rPr>
              <w:t>V/m；</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工频磁感应强度公众曝露控制限值</w:t>
            </w: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100μT，区域电磁环境质量现状良好</w:t>
            </w:r>
            <w:r>
              <w:rPr>
                <w:rFonts w:hint="eastAsia"/>
                <w:color w:val="000000" w:themeColor="text1"/>
                <w14:textFill>
                  <w14:solidFill>
                    <w14:schemeClr w14:val="tx1"/>
                  </w14:solidFill>
                </w14:textFill>
              </w:rPr>
              <w:t>。</w:t>
            </w:r>
          </w:p>
        </w:tc>
      </w:tr>
      <w:tr w14:paraId="5A0690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18" w:hRule="atLeast"/>
          <w:jc w:val="center"/>
        </w:trPr>
        <w:tc>
          <w:tcPr>
            <w:tcW w:w="821" w:type="dxa"/>
            <w:vAlign w:val="center"/>
          </w:tcPr>
          <w:p w14:paraId="69866AA1">
            <w:pPr>
              <w:adjustRightInd w:val="0"/>
              <w:snapToGrid w:val="0"/>
              <w:spacing w:line="240" w:lineRule="auto"/>
              <w:ind w:left="-120" w:leftChars="-50" w:right="-120" w:rightChars="-50"/>
              <w:jc w:val="center"/>
              <w:rPr>
                <w:color w:val="000000" w:themeColor="text1"/>
                <w:kern w:val="0"/>
                <w:szCs w:val="21"/>
                <w14:textFill>
                  <w14:solidFill>
                    <w14:schemeClr w14:val="tx1"/>
                  </w14:solidFill>
                </w14:textFill>
              </w:rPr>
            </w:pPr>
            <w:r>
              <w:rPr>
                <w:bCs/>
                <w:color w:val="000000" w:themeColor="text1"/>
                <w:szCs w:val="21"/>
                <w14:textFill>
                  <w14:solidFill>
                    <w14:schemeClr w14:val="tx1"/>
                  </w14:solidFill>
                </w14:textFill>
              </w:rPr>
              <w:t>与项目有关的原有环境污染和生态破坏问题</w:t>
            </w:r>
          </w:p>
        </w:tc>
        <w:tc>
          <w:tcPr>
            <w:tcW w:w="8250" w:type="dxa"/>
            <w:vAlign w:val="center"/>
          </w:tcPr>
          <w:p w14:paraId="1E03AF16">
            <w:pPr>
              <w:adjustRightInd w:val="0"/>
              <w:snapToGrid w:val="0"/>
              <w:spacing w:line="360" w:lineRule="auto"/>
              <w:rPr>
                <w:color w:val="000000" w:themeColor="text1"/>
                <w:kern w:val="0"/>
                <w:szCs w:val="21"/>
                <w14:textFill>
                  <w14:solidFill>
                    <w14:schemeClr w14:val="tx1"/>
                  </w14:solidFill>
                </w14:textFill>
              </w:rPr>
            </w:pPr>
            <w:r>
              <w:rPr>
                <w:color w:val="000000" w:themeColor="text1"/>
                <w14:textFill>
                  <w14:solidFill>
                    <w14:schemeClr w14:val="tx1"/>
                  </w14:solidFill>
                </w14:textFill>
              </w:rPr>
              <w:t>本项目为新建项目，不存在与项目有关的原有环境污染和生态破坏问题。</w:t>
            </w:r>
          </w:p>
        </w:tc>
      </w:tr>
      <w:tr w14:paraId="5C3EBE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21" w:type="dxa"/>
            <w:vAlign w:val="center"/>
          </w:tcPr>
          <w:p w14:paraId="4DE888C8">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生态环境保护目标</w:t>
            </w:r>
          </w:p>
        </w:tc>
        <w:tc>
          <w:tcPr>
            <w:tcW w:w="8250" w:type="dxa"/>
            <w:vAlign w:val="center"/>
          </w:tcPr>
          <w:p w14:paraId="2FC69DB4">
            <w:pPr>
              <w:adjustRightInd w:val="0"/>
              <w:spacing w:line="500" w:lineRule="exact"/>
              <w:ind w:firstLine="482" w:firstLineChars="200"/>
              <w:rPr>
                <w:b/>
                <w:bCs/>
                <w:color w:val="000000" w:themeColor="text1"/>
                <w14:textFill>
                  <w14:solidFill>
                    <w14:schemeClr w14:val="tx1"/>
                  </w14:solidFill>
                </w14:textFill>
              </w:rPr>
            </w:pPr>
            <w:r>
              <w:rPr>
                <w:b/>
                <w:bCs/>
                <w:color w:val="000000" w:themeColor="text1"/>
                <w14:textFill>
                  <w14:solidFill>
                    <w14:schemeClr w14:val="tx1"/>
                  </w14:solidFill>
                </w14:textFill>
              </w:rPr>
              <w:t>1.生态环境保护目标</w:t>
            </w:r>
          </w:p>
          <w:p w14:paraId="122242E6">
            <w:pPr>
              <w:adjustRightInd w:val="0"/>
              <w:spacing w:line="500" w:lineRule="exact"/>
              <w:ind w:firstLine="480" w:firstLineChars="200"/>
              <w:rPr>
                <w:rFonts w:hint="eastAsia"/>
                <w:bCs/>
                <w:color w:val="000000" w:themeColor="text1"/>
                <w:kern w:val="0"/>
                <w14:textFill>
                  <w14:solidFill>
                    <w14:schemeClr w14:val="tx1"/>
                  </w14:solidFill>
                </w14:textFill>
              </w:rPr>
            </w:pPr>
            <w:r>
              <w:rPr>
                <w:color w:val="000000" w:themeColor="text1"/>
                <w14:textFill>
                  <w14:solidFill>
                    <w14:schemeClr w14:val="tx1"/>
                  </w14:solidFill>
                </w14:textFill>
              </w:rPr>
              <w:t>根据《环境影响评价技术导则 输变电》</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 24-2020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变电站生态环境影响评价范围为围墙外500m内</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输电线路段生态环境影响评价范围为线路边导线地面投影外两侧各300m内的带状区域。</w:t>
            </w:r>
            <w:r>
              <w:rPr>
                <w:color w:val="000000" w:themeColor="text1"/>
                <w14:textFill>
                  <w14:solidFill>
                    <w14:schemeClr w14:val="tx1"/>
                  </w14:solidFill>
                </w14:textFill>
              </w:rPr>
              <w:t>根据《建设项目环境影响评价分类管理名录</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2021年版</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》，输变电工程的敏感区为：国家公园、自然保护区、风景名胜区、世界文化和自然遗产地、海洋特别保护区、饮用水水源保护区等环境敏感区。</w:t>
            </w:r>
            <w:r>
              <w:rPr>
                <w:bCs/>
                <w:color w:val="000000" w:themeColor="text1"/>
                <w:kern w:val="0"/>
                <w14:textFill>
                  <w14:solidFill>
                    <w14:schemeClr w14:val="tx1"/>
                  </w14:solidFill>
                </w14:textFill>
              </w:rPr>
              <w:t>根据《环境影响评价技术导则 生态影响》</w:t>
            </w:r>
            <w:r>
              <w:rPr>
                <w:rFonts w:hint="eastAsia"/>
                <w:bCs/>
                <w:color w:val="000000" w:themeColor="text1"/>
                <w:kern w:val="0"/>
                <w14:textFill>
                  <w14:solidFill>
                    <w14:schemeClr w14:val="tx1"/>
                  </w14:solidFill>
                </w14:textFill>
              </w:rPr>
              <w:t>（</w:t>
            </w:r>
            <w:r>
              <w:rPr>
                <w:bCs/>
                <w:color w:val="000000" w:themeColor="text1"/>
                <w:kern w:val="0"/>
                <w14:textFill>
                  <w14:solidFill>
                    <w14:schemeClr w14:val="tx1"/>
                  </w14:solidFill>
                </w14:textFill>
              </w:rPr>
              <w:t>HJ19-2022</w:t>
            </w:r>
            <w:r>
              <w:rPr>
                <w:rFonts w:hint="eastAsia"/>
                <w:bCs/>
                <w:color w:val="000000" w:themeColor="text1"/>
                <w:kern w:val="0"/>
                <w14:textFill>
                  <w14:solidFill>
                    <w14:schemeClr w14:val="tx1"/>
                  </w14:solidFill>
                </w14:textFill>
              </w:rPr>
              <w:t>）</w:t>
            </w:r>
            <w:r>
              <w:rPr>
                <w:bCs/>
                <w:color w:val="000000" w:themeColor="text1"/>
                <w:kern w:val="0"/>
                <w14:textFill>
                  <w14:solidFill>
                    <w14:schemeClr w14:val="tx1"/>
                  </w14:solidFill>
                </w14:textFill>
              </w:rPr>
              <w:t>，生态敏感目标为</w:t>
            </w:r>
            <w:r>
              <w:rPr>
                <w:color w:val="000000" w:themeColor="text1"/>
                <w14:textFill>
                  <w14:solidFill>
                    <w14:schemeClr w14:val="tx1"/>
                  </w14:solidFill>
                </w14:textFill>
              </w:rPr>
              <w:t>受影响的重要物种、生态敏感区以及其他需要保护的物种、种群、生物群落及生态空间等。</w:t>
            </w:r>
            <w:r>
              <w:rPr>
                <w:rFonts w:hint="eastAsia"/>
                <w:color w:val="000000" w:themeColor="text1"/>
                <w14:textFill>
                  <w14:solidFill>
                    <w14:schemeClr w14:val="tx1"/>
                  </w14:solidFill>
                </w14:textFill>
              </w:rPr>
              <w:t>本项目</w:t>
            </w:r>
            <w:r>
              <w:rPr>
                <w:color w:val="000000" w:themeColor="text1"/>
                <w14:textFill>
                  <w14:solidFill>
                    <w14:schemeClr w14:val="tx1"/>
                  </w14:solidFill>
                </w14:textFill>
              </w:rPr>
              <w:t>生态环境影响评价范围</w:t>
            </w:r>
            <w:r>
              <w:rPr>
                <w:rFonts w:hint="eastAsia"/>
                <w:color w:val="000000" w:themeColor="text1"/>
                <w:lang w:val="en-US" w:eastAsia="zh-CN"/>
                <w14:textFill>
                  <w14:solidFill>
                    <w14:schemeClr w14:val="tx1"/>
                  </w14:solidFill>
                </w14:textFill>
              </w:rPr>
              <w:t>内</w:t>
            </w:r>
            <w:r>
              <w:rPr>
                <w:rFonts w:hint="eastAsia"/>
                <w:color w:val="000000" w:themeColor="text1"/>
                <w14:textFill>
                  <w14:solidFill>
                    <w14:schemeClr w14:val="tx1"/>
                  </w14:solidFill>
                </w14:textFill>
              </w:rPr>
              <w:t>无生态环境保护目标</w:t>
            </w:r>
            <w:r>
              <w:rPr>
                <w:rFonts w:hint="eastAsia"/>
                <w:bCs/>
                <w:color w:val="000000" w:themeColor="text1"/>
                <w:kern w:val="0"/>
                <w14:textFill>
                  <w14:solidFill>
                    <w14:schemeClr w14:val="tx1"/>
                  </w14:solidFill>
                </w14:textFill>
              </w:rPr>
              <w:t>。</w:t>
            </w:r>
          </w:p>
          <w:p w14:paraId="52FA3BDD">
            <w:pPr>
              <w:adjustRightInd w:val="0"/>
              <w:spacing w:line="500" w:lineRule="exact"/>
              <w:ind w:firstLine="482" w:firstLineChars="200"/>
              <w:rPr>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2</w:t>
            </w:r>
            <w:r>
              <w:rPr>
                <w:b/>
                <w:color w:val="000000" w:themeColor="text1"/>
                <w14:textFill>
                  <w14:solidFill>
                    <w14:schemeClr w14:val="tx1"/>
                  </w14:solidFill>
                </w14:textFill>
              </w:rPr>
              <w:t>.电磁环境保护目标</w:t>
            </w:r>
          </w:p>
          <w:p w14:paraId="7DB89DFF">
            <w:pPr>
              <w:adjustRightInd w:val="0"/>
              <w:spacing w:line="500" w:lineRule="exact"/>
              <w:ind w:firstLine="480" w:firstLineChars="200"/>
              <w:rPr>
                <w:color w:val="000000" w:themeColor="text1"/>
                <w:lang w:val="zh-CN"/>
                <w14:textFill>
                  <w14:solidFill>
                    <w14:schemeClr w14:val="tx1"/>
                  </w14:solidFill>
                </w14:textFill>
              </w:rPr>
            </w:pPr>
            <w:r>
              <w:rPr>
                <w:color w:val="000000" w:themeColor="text1"/>
                <w14:textFill>
                  <w14:solidFill>
                    <w14:schemeClr w14:val="tx1"/>
                  </w14:solidFill>
                </w14:textFill>
              </w:rPr>
              <w:t>根据《环境影响评价技术导则 输变电》</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HJ 24-2020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，电磁环境敏感目标为电磁环境影响评价需重点关注的对象。包括：住宅、学校、医院、办公楼、工厂等有公众居住，工作或学习的建筑物。</w:t>
            </w:r>
            <w:r>
              <w:rPr>
                <w:rFonts w:hint="eastAsia"/>
                <w:color w:val="000000" w:themeColor="text1"/>
                <w14:textFill>
                  <w14:solidFill>
                    <w14:schemeClr w14:val="tx1"/>
                  </w14:solidFill>
                </w14:textFill>
              </w:rPr>
              <w:t>220</w:t>
            </w:r>
            <w:r>
              <w:rPr>
                <w:color w:val="000000" w:themeColor="text1"/>
                <w14:textFill>
                  <w14:solidFill>
                    <w14:schemeClr w14:val="tx1"/>
                  </w14:solidFill>
                </w14:textFill>
              </w:rPr>
              <w:t>kV变电站电磁环境影响评价范围为变电站围墙外</w:t>
            </w:r>
            <w:r>
              <w:rPr>
                <w:rFonts w:hint="eastAsia"/>
                <w:color w:val="000000" w:themeColor="text1"/>
                <w14:textFill>
                  <w14:solidFill>
                    <w14:schemeClr w14:val="tx1"/>
                  </w14:solidFill>
                </w14:textFill>
              </w:rPr>
              <w:t>40</w:t>
            </w:r>
            <w:r>
              <w:rPr>
                <w:rFonts w:hint="eastAsia"/>
                <w:color w:val="000000" w:themeColor="text1"/>
                <w:lang w:val="en-US" w:eastAsia="zh-CN"/>
                <w14:textFill>
                  <w14:solidFill>
                    <w14:schemeClr w14:val="tx1"/>
                  </w14:solidFill>
                </w14:textFill>
              </w:rPr>
              <w:t>m</w:t>
            </w: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22</w:t>
            </w:r>
            <w:r>
              <w:rPr>
                <w:rFonts w:hint="eastAsia"/>
                <w:color w:val="000000" w:themeColor="text1"/>
                <w14:textFill>
                  <w14:solidFill>
                    <w14:schemeClr w14:val="tx1"/>
                  </w14:solidFill>
                </w14:textFill>
              </w:rPr>
              <w:t>0</w:t>
            </w:r>
            <w:r>
              <w:rPr>
                <w:color w:val="000000" w:themeColor="text1"/>
                <w14:textFill>
                  <w14:solidFill>
                    <w14:schemeClr w14:val="tx1"/>
                  </w14:solidFill>
                </w14:textFill>
              </w:rPr>
              <w:t>kV</w:t>
            </w:r>
            <w:r>
              <w:rPr>
                <w:rFonts w:hint="eastAsia"/>
                <w:color w:val="000000" w:themeColor="text1"/>
                <w:lang w:val="en-US" w:eastAsia="zh-CN"/>
                <w14:textFill>
                  <w14:solidFill>
                    <w14:schemeClr w14:val="tx1"/>
                  </w14:solidFill>
                </w14:textFill>
              </w:rPr>
              <w:t>输电线路</w:t>
            </w:r>
            <w:r>
              <w:rPr>
                <w:color w:val="000000" w:themeColor="text1"/>
                <w14:textFill>
                  <w14:solidFill>
                    <w14:schemeClr w14:val="tx1"/>
                  </w14:solidFill>
                </w14:textFill>
              </w:rPr>
              <w:t>电磁环境影响评价范围为</w:t>
            </w:r>
            <w:r>
              <w:rPr>
                <w:rFonts w:hint="eastAsia"/>
                <w:color w:val="000000" w:themeColor="text1"/>
                <w14:textFill>
                  <w14:solidFill>
                    <w14:schemeClr w14:val="tx1"/>
                  </w14:solidFill>
                </w14:textFill>
              </w:rPr>
              <w:t>边导线地面投影外两侧各40m</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根据现场勘查，本工程</w:t>
            </w:r>
            <w:r>
              <w:rPr>
                <w:rFonts w:hint="eastAsia"/>
                <w:snapToGrid w:val="0"/>
                <w:color w:val="000000" w:themeColor="text1"/>
                <w:sz w:val="24"/>
                <w:szCs w:val="24"/>
                <w14:textFill>
                  <w14:solidFill>
                    <w14:schemeClr w14:val="tx1"/>
                  </w14:solidFill>
                </w14:textFill>
              </w:rPr>
              <w:t>220kV升压汇集站</w:t>
            </w:r>
            <w:r>
              <w:rPr>
                <w:rFonts w:hint="eastAsia"/>
                <w:snapToGrid w:val="0"/>
                <w:color w:val="000000" w:themeColor="text1"/>
                <w:sz w:val="24"/>
                <w:szCs w:val="24"/>
                <w:lang w:val="en-US" w:eastAsia="zh-CN"/>
                <w14:textFill>
                  <w14:solidFill>
                    <w14:schemeClr w14:val="tx1"/>
                  </w14:solidFill>
                </w14:textFill>
              </w:rPr>
              <w:t>及外送线路</w:t>
            </w:r>
            <w:r>
              <w:rPr>
                <w:color w:val="000000" w:themeColor="text1"/>
                <w14:textFill>
                  <w14:solidFill>
                    <w14:schemeClr w14:val="tx1"/>
                  </w14:solidFill>
                </w14:textFill>
              </w:rPr>
              <w:t>评价范围内无电磁环境保护目标</w:t>
            </w:r>
            <w:r>
              <w:rPr>
                <w:color w:val="000000" w:themeColor="text1"/>
                <w:lang w:val="zh-CN"/>
                <w14:textFill>
                  <w14:solidFill>
                    <w14:schemeClr w14:val="tx1"/>
                  </w14:solidFill>
                </w14:textFill>
              </w:rPr>
              <w:t>。</w:t>
            </w:r>
          </w:p>
          <w:p w14:paraId="0DCF1846">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3</w:t>
            </w:r>
            <w:r>
              <w:rPr>
                <w:rFonts w:hint="eastAsia"/>
                <w:b/>
                <w:color w:val="000000" w:themeColor="text1"/>
                <w14:textFill>
                  <w14:solidFill>
                    <w14:schemeClr w14:val="tx1"/>
                  </w14:solidFill>
                </w14:textFill>
              </w:rPr>
              <w:t>.大气环境保护目标</w:t>
            </w:r>
          </w:p>
          <w:p w14:paraId="7A5DE8B2">
            <w:pPr>
              <w:adjustRightInd w:val="0"/>
              <w:spacing w:line="500" w:lineRule="exact"/>
              <w:ind w:firstLine="480" w:firstLineChars="200"/>
              <w:rPr>
                <w:rFonts w:hint="default" w:ascii="Times New Roman" w:hAnsi="Times New Roman" w:cs="Times New Roman"/>
                <w:bCs/>
                <w:color w:val="000000" w:themeColor="text1"/>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根据《环境影响评价技术导则</w:t>
            </w:r>
            <w:r>
              <w:rPr>
                <w:rFonts w:hint="default" w:ascii="Times New Roman" w:hAnsi="Times New Roman" w:cs="Times New Roman"/>
                <w:bCs/>
                <w:color w:val="000000" w:themeColor="text1"/>
                <w:lang w:val="en-US" w:eastAsia="zh-CN"/>
                <w14:textFill>
                  <w14:solidFill>
                    <w14:schemeClr w14:val="tx1"/>
                  </w14:solidFill>
                </w14:textFill>
              </w:rPr>
              <w:t xml:space="preserve"> </w:t>
            </w:r>
            <w:r>
              <w:rPr>
                <w:rFonts w:hint="default" w:ascii="Times New Roman" w:hAnsi="Times New Roman" w:cs="Times New Roman"/>
                <w:bCs/>
                <w:color w:val="000000" w:themeColor="text1"/>
                <w14:textFill>
                  <w14:solidFill>
                    <w14:schemeClr w14:val="tx1"/>
                  </w14:solidFill>
                </w14:textFill>
              </w:rPr>
              <w:t>大气环境》（HJ 2.2-2018），环境空气保护目标为：指评价范围内按GB3095规定划分为一类区的自然保护区、风景名胜区和其他需要特殊保护的区域，二类区中的居住区、文化区和农村地区中人群较集中的区域。根据现场调查，本项目占地范围内无大气环境保护目标。</w:t>
            </w:r>
          </w:p>
          <w:p w14:paraId="09B48DBD">
            <w:pPr>
              <w:adjustRightInd w:val="0"/>
              <w:spacing w:line="500" w:lineRule="exact"/>
              <w:ind w:firstLine="482" w:firstLineChars="200"/>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lang w:val="en-US" w:eastAsia="zh-CN"/>
                <w14:textFill>
                  <w14:solidFill>
                    <w14:schemeClr w14:val="tx1"/>
                  </w14:solidFill>
                </w14:textFill>
              </w:rPr>
              <w:t>4</w:t>
            </w:r>
            <w:r>
              <w:rPr>
                <w:rFonts w:hint="default" w:ascii="Times New Roman" w:hAnsi="Times New Roman" w:cs="Times New Roman"/>
                <w:b/>
                <w:color w:val="000000" w:themeColor="text1"/>
                <w14:textFill>
                  <w14:solidFill>
                    <w14:schemeClr w14:val="tx1"/>
                  </w14:solidFill>
                </w14:textFill>
              </w:rPr>
              <w:t>.水环境保护目标</w:t>
            </w:r>
          </w:p>
          <w:p w14:paraId="4170563F">
            <w:pPr>
              <w:adjustRightInd w:val="0"/>
              <w:spacing w:line="500" w:lineRule="exact"/>
              <w:ind w:firstLine="480" w:firstLineChars="200"/>
              <w:rPr>
                <w:rFonts w:hint="default" w:ascii="Times New Roman" w:hAnsi="Times New Roman" w:cs="Times New Roman"/>
                <w:bCs/>
                <w:color w:val="000000" w:themeColor="text1"/>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根据《环境影响评价技术导则 地下水环境》（HJ610-2016），</w:t>
            </w:r>
            <w:r>
              <w:rPr>
                <w:rFonts w:hint="default" w:ascii="Times New Roman" w:hAnsi="Times New Roman" w:eastAsia="宋体" w:cs="Times New Roman"/>
                <w:b w:val="0"/>
                <w:bCs w:val="0"/>
                <w:color w:val="000000" w:themeColor="text1"/>
                <w:sz w:val="24"/>
                <w14:textFill>
                  <w14:solidFill>
                    <w14:schemeClr w14:val="tx1"/>
                  </w14:solidFill>
                </w14:textFill>
              </w:rPr>
              <w:t>本项目地下水环境影响评价项目类别为</w:t>
            </w:r>
            <w:r>
              <w:rPr>
                <w:rFonts w:hint="default" w:ascii="Times New Roman" w:hAnsi="Times New Roman" w:cs="Times New Roman"/>
                <w:b w:val="0"/>
                <w:bCs w:val="0"/>
                <w:color w:val="000000" w:themeColor="text1"/>
                <w:sz w:val="24"/>
                <w:lang w:eastAsia="zh-CN"/>
                <w14:textFill>
                  <w14:solidFill>
                    <w14:schemeClr w14:val="tx1"/>
                  </w14:solidFill>
                </w14:textFill>
              </w:rPr>
              <w:t>Ⅳ</w:t>
            </w:r>
            <w:r>
              <w:rPr>
                <w:rFonts w:hint="default" w:ascii="Times New Roman" w:hAnsi="Times New Roman" w:eastAsia="宋体" w:cs="Times New Roman"/>
                <w:b w:val="0"/>
                <w:bCs w:val="0"/>
                <w:color w:val="000000" w:themeColor="text1"/>
                <w:sz w:val="24"/>
                <w14:textFill>
                  <w14:solidFill>
                    <w14:schemeClr w14:val="tx1"/>
                  </w14:solidFill>
                </w14:textFill>
              </w:rPr>
              <w:t>类</w:t>
            </w:r>
            <w:r>
              <w:rPr>
                <w:rFonts w:hint="default" w:ascii="Times New Roman" w:hAnsi="Times New Roman" w:cs="Times New Roman"/>
                <w:b w:val="0"/>
                <w:bCs/>
                <w:color w:val="000000" w:themeColor="text1"/>
                <w:spacing w:val="0"/>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eastAsia="zh-CN"/>
                <w14:textFill>
                  <w14:solidFill>
                    <w14:schemeClr w14:val="tx1"/>
                  </w14:solidFill>
                </w14:textFill>
              </w:rPr>
              <w:t>Ⅳ</w:t>
            </w:r>
            <w:r>
              <w:rPr>
                <w:rFonts w:hint="default" w:ascii="Times New Roman" w:hAnsi="Times New Roman" w:eastAsia="宋体" w:cs="Times New Roman"/>
                <w:b w:val="0"/>
                <w:bCs w:val="0"/>
                <w:color w:val="000000" w:themeColor="text1"/>
                <w:sz w:val="24"/>
                <w14:textFill>
                  <w14:solidFill>
                    <w14:schemeClr w14:val="tx1"/>
                  </w14:solidFill>
                </w14:textFill>
              </w:rPr>
              <w:t>类</w:t>
            </w:r>
            <w:r>
              <w:rPr>
                <w:rFonts w:hint="default" w:ascii="Times New Roman" w:hAnsi="Times New Roman" w:cs="Times New Roman"/>
                <w:b w:val="0"/>
                <w:bCs w:val="0"/>
                <w:color w:val="000000" w:themeColor="text1"/>
                <w:sz w:val="24"/>
                <w:lang w:eastAsia="zh-CN"/>
                <w14:textFill>
                  <w14:solidFill>
                    <w14:schemeClr w14:val="tx1"/>
                  </w14:solidFill>
                </w14:textFill>
              </w:rPr>
              <w:t>建设项目不开展地下水环境影响评价，</w:t>
            </w:r>
            <w:r>
              <w:rPr>
                <w:rFonts w:hint="default" w:ascii="Times New Roman" w:hAnsi="Times New Roman" w:cs="Times New Roman"/>
                <w:b w:val="0"/>
                <w:bCs/>
                <w:color w:val="000000" w:themeColor="text1"/>
                <w:spacing w:val="0"/>
                <w:sz w:val="24"/>
                <w:lang w:eastAsia="zh-CN"/>
                <w14:textFill>
                  <w14:solidFill>
                    <w14:schemeClr w14:val="tx1"/>
                  </w14:solidFill>
                </w14:textFill>
              </w:rPr>
              <w:t>不设评价范围，不进行敏感目标识别。</w:t>
            </w:r>
          </w:p>
          <w:p w14:paraId="1B0DC1F7">
            <w:pPr>
              <w:adjustRightInd w:val="0"/>
              <w:spacing w:line="500" w:lineRule="exact"/>
              <w:ind w:firstLine="48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根据《环境影响评价技术导则 地表水环境》（HJ 2.3-2018），水环境保护目标为：饮用水水源保护区、饮用水取水口，涉水的自然保护区、风景名胜区，重要湿地、重点保护与珍稀水生生物的栖息地、重要水生生物的自然产卵场及索饵场、越冬场和洄游通道，天然渔场等渔业水体，以及水产种质资源保护区等。根据现场调查，本项目占地范围内无地表水环境保护目标。</w:t>
            </w:r>
          </w:p>
          <w:p w14:paraId="10927820">
            <w:pPr>
              <w:adjustRightInd w:val="0"/>
              <w:spacing w:line="500" w:lineRule="exact"/>
              <w:ind w:firstLine="482" w:firstLineChars="200"/>
              <w:rPr>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5</w:t>
            </w:r>
            <w:r>
              <w:rPr>
                <w:b/>
                <w:color w:val="000000" w:themeColor="text1"/>
                <w14:textFill>
                  <w14:solidFill>
                    <w14:schemeClr w14:val="tx1"/>
                  </w14:solidFill>
                </w14:textFill>
              </w:rPr>
              <w:t>.声环境保护目标</w:t>
            </w:r>
          </w:p>
          <w:p w14:paraId="1ED97F90">
            <w:pPr>
              <w:adjustRightInd w:val="0"/>
              <w:spacing w:line="500" w:lineRule="exact"/>
              <w:ind w:firstLine="480" w:firstLineChars="200"/>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根据《环境影响评价技术导则 声环境》（HJ</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2.4-2021），声环境保护目标指依据</w:t>
            </w:r>
            <w:r>
              <w:rPr>
                <w:rFonts w:hint="default" w:ascii="Times New Roman" w:hAnsi="Times New Roman" w:cs="Times New Roman"/>
                <w:color w:val="000000" w:themeColor="text1"/>
                <w:lang w:eastAsia="zh-CN"/>
                <w14:textFill>
                  <w14:solidFill>
                    <w14:schemeClr w14:val="tx1"/>
                  </w14:solidFill>
                </w14:textFill>
              </w:rPr>
              <w:t>法律法规</w:t>
            </w:r>
            <w:r>
              <w:rPr>
                <w:rFonts w:hint="default" w:ascii="Times New Roman" w:hAnsi="Times New Roman" w:cs="Times New Roman"/>
                <w:color w:val="000000" w:themeColor="text1"/>
                <w14:textFill>
                  <w14:solidFill>
                    <w14:schemeClr w14:val="tx1"/>
                  </w14:solidFill>
                </w14:textFill>
              </w:rPr>
              <w:t>、标准政策等确定的需要保持安静的建筑物及建筑物集中区</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根据现场勘查，本工程</w:t>
            </w:r>
            <w:r>
              <w:rPr>
                <w:rFonts w:hint="default" w:ascii="Times New Roman" w:hAnsi="Times New Roman" w:cs="Times New Roman"/>
                <w:snapToGrid w:val="0"/>
                <w:color w:val="000000" w:themeColor="text1"/>
                <w:sz w:val="24"/>
                <w:szCs w:val="24"/>
                <w14:textFill>
                  <w14:solidFill>
                    <w14:schemeClr w14:val="tx1"/>
                  </w14:solidFill>
                </w14:textFill>
              </w:rPr>
              <w:t>220kV升压汇集站</w:t>
            </w:r>
            <w:r>
              <w:rPr>
                <w:rFonts w:hint="default" w:ascii="Times New Roman" w:hAnsi="Times New Roman" w:cs="Times New Roman"/>
                <w:color w:val="000000" w:themeColor="text1"/>
                <w14:textFill>
                  <w14:solidFill>
                    <w14:schemeClr w14:val="tx1"/>
                  </w14:solidFill>
                </w14:textFill>
              </w:rPr>
              <w:t>200m范围内无声环境保护目标</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根据《环境影响评价技术导则 输变电》（HJ 24-2020），</w:t>
            </w:r>
            <w:r>
              <w:rPr>
                <w:rFonts w:hint="default" w:ascii="Times New Roman" w:hAnsi="Times New Roman" w:cs="Times New Roman"/>
                <w:color w:val="000000" w:themeColor="text1"/>
                <w:lang w:val="en-US" w:eastAsia="zh-CN"/>
                <w14:textFill>
                  <w14:solidFill>
                    <w14:schemeClr w14:val="tx1"/>
                  </w14:solidFill>
                </w14:textFill>
              </w:rPr>
              <w:t>220</w:t>
            </w:r>
            <w:r>
              <w:rPr>
                <w:rFonts w:hint="default" w:ascii="Times New Roman" w:hAnsi="Times New Roman" w:cs="Times New Roman"/>
                <w:snapToGrid w:val="0"/>
                <w:color w:val="000000" w:themeColor="text1"/>
                <w:sz w:val="24"/>
                <w:szCs w:val="24"/>
                <w14:textFill>
                  <w14:solidFill>
                    <w14:schemeClr w14:val="tx1"/>
                  </w14:solidFill>
                </w14:textFill>
              </w:rPr>
              <w:t>kV</w:t>
            </w:r>
            <w:r>
              <w:rPr>
                <w:rFonts w:hint="default" w:ascii="Times New Roman" w:hAnsi="Times New Roman" w:cs="Times New Roman"/>
                <w:color w:val="000000" w:themeColor="text1"/>
                <w14:textFill>
                  <w14:solidFill>
                    <w14:schemeClr w14:val="tx1"/>
                  </w14:solidFill>
                </w14:textFill>
              </w:rPr>
              <w:t>架空输电线路建设项目的声环境影响评价范围</w:t>
            </w:r>
            <w:r>
              <w:rPr>
                <w:rFonts w:hint="default" w:ascii="Times New Roman" w:hAnsi="Times New Roman" w:cs="Times New Roman"/>
                <w:color w:val="000000" w:themeColor="text1"/>
                <w:lang w:val="en-US" w:eastAsia="zh-CN"/>
                <w14:textFill>
                  <w14:solidFill>
                    <w14:schemeClr w14:val="tx1"/>
                  </w14:solidFill>
                </w14:textFill>
              </w:rPr>
              <w:t>为边导线地面投影外两侧各40m，本项目外送线路声</w:t>
            </w:r>
            <w:r>
              <w:rPr>
                <w:rFonts w:hint="default" w:ascii="Times New Roman" w:hAnsi="Times New Roman" w:cs="Times New Roman"/>
                <w:color w:val="000000" w:themeColor="text1"/>
                <w14:textFill>
                  <w14:solidFill>
                    <w14:schemeClr w14:val="tx1"/>
                  </w14:solidFill>
                </w14:textFill>
              </w:rPr>
              <w:t>环境影响评价范围</w:t>
            </w:r>
            <w:r>
              <w:rPr>
                <w:rFonts w:hint="default" w:ascii="Times New Roman" w:hAnsi="Times New Roman" w:cs="Times New Roman"/>
                <w:color w:val="000000" w:themeColor="text1"/>
                <w:lang w:val="en-US" w:eastAsia="zh-CN"/>
                <w14:textFill>
                  <w14:solidFill>
                    <w14:schemeClr w14:val="tx1"/>
                  </w14:solidFill>
                </w14:textFill>
              </w:rPr>
              <w:t>内无声环境保护目标。</w:t>
            </w:r>
          </w:p>
          <w:p w14:paraId="69CBD51D">
            <w:pPr>
              <w:adjustRightInd w:val="0"/>
              <w:spacing w:line="500" w:lineRule="exact"/>
              <w:ind w:firstLine="482" w:firstLineChars="200"/>
              <w:rPr>
                <w:rFonts w:hint="default" w:ascii="Times New Roman" w:hAnsi="Times New Roman" w:cs="Times New Roman"/>
                <w:b/>
                <w:color w:val="000000" w:themeColor="text1"/>
                <w14:textFill>
                  <w14:solidFill>
                    <w14:schemeClr w14:val="tx1"/>
                  </w14:solidFill>
                </w14:textFill>
              </w:rPr>
            </w:pPr>
            <w:r>
              <w:rPr>
                <w:rFonts w:hint="default" w:ascii="Times New Roman" w:hAnsi="Times New Roman" w:cs="Times New Roman"/>
                <w:b/>
                <w:color w:val="000000" w:themeColor="text1"/>
                <w:lang w:val="en-US" w:eastAsia="zh-CN"/>
                <w14:textFill>
                  <w14:solidFill>
                    <w14:schemeClr w14:val="tx1"/>
                  </w14:solidFill>
                </w14:textFill>
              </w:rPr>
              <w:t>6</w:t>
            </w:r>
            <w:r>
              <w:rPr>
                <w:rFonts w:hint="default" w:ascii="Times New Roman" w:hAnsi="Times New Roman" w:cs="Times New Roman"/>
                <w:b/>
                <w:color w:val="000000" w:themeColor="text1"/>
                <w14:textFill>
                  <w14:solidFill>
                    <w14:schemeClr w14:val="tx1"/>
                  </w14:solidFill>
                </w14:textFill>
              </w:rPr>
              <w:t>.土壤环境保护目标</w:t>
            </w:r>
          </w:p>
          <w:p w14:paraId="49BDAF0D">
            <w:pPr>
              <w:adjustRightInd w:val="0"/>
              <w:spacing w:line="500" w:lineRule="exact"/>
              <w:ind w:firstLine="480" w:firstLineChars="200"/>
              <w:rPr>
                <w:rFonts w:hint="default" w:ascii="Times New Roman" w:hAnsi="Times New Roman" w:cs="Times New Roman"/>
                <w:bCs/>
                <w:color w:val="000000" w:themeColor="text1"/>
                <w14:textFill>
                  <w14:solidFill>
                    <w14:schemeClr w14:val="tx1"/>
                  </w14:solidFill>
                </w14:textFill>
              </w:rPr>
            </w:pPr>
            <w:r>
              <w:rPr>
                <w:rFonts w:hint="default" w:ascii="Times New Roman" w:hAnsi="Times New Roman" w:cs="Times New Roman"/>
                <w:bCs/>
                <w:color w:val="000000" w:themeColor="text1"/>
                <w14:textFill>
                  <w14:solidFill>
                    <w14:schemeClr w14:val="tx1"/>
                  </w14:solidFill>
                </w14:textFill>
              </w:rPr>
              <w:t>根据《环境影响评价技术导则 土壤环境（试行）》（HJ964-2018），土壤环境敏感目标是指可能受人为活动影响的、与土壤环境相关的敏感区或对象。根据现场调查，本项目周边无土壤环境保护目标分布。</w:t>
            </w:r>
          </w:p>
          <w:p w14:paraId="44140160">
            <w:pPr>
              <w:adjustRightInd w:val="0"/>
              <w:spacing w:line="500" w:lineRule="exact"/>
              <w:ind w:firstLine="482"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color w:val="000000" w:themeColor="text1"/>
                <w:lang w:val="en-US" w:eastAsia="zh-CN"/>
                <w14:textFill>
                  <w14:solidFill>
                    <w14:schemeClr w14:val="tx1"/>
                  </w14:solidFill>
                </w14:textFill>
              </w:rPr>
              <w:t>7</w:t>
            </w:r>
            <w:r>
              <w:rPr>
                <w:rFonts w:hint="default" w:ascii="Times New Roman" w:hAnsi="Times New Roman" w:cs="Times New Roman"/>
                <w:b/>
                <w:color w:val="000000" w:themeColor="text1"/>
                <w14:textFill>
                  <w14:solidFill>
                    <w14:schemeClr w14:val="tx1"/>
                  </w14:solidFill>
                </w14:textFill>
              </w:rPr>
              <w:t>.环境风险保护目标</w:t>
            </w:r>
          </w:p>
          <w:p w14:paraId="5159861D">
            <w:pPr>
              <w:adjustRightInd w:val="0"/>
              <w:spacing w:line="500" w:lineRule="exact"/>
              <w:ind w:firstLine="48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根据《建设项目环境风险评价技术导则》（HJ 169-2018），本项目风险物质数量小于临界量，Q＜1，风险潜势为Ⅰ，风险评价为简单分析。风险敏感目标主要为</w:t>
            </w:r>
            <w:r>
              <w:rPr>
                <w:rFonts w:hint="default" w:ascii="Times New Roman" w:hAnsi="Times New Roman" w:cs="Times New Roman"/>
                <w:snapToGrid w:val="0"/>
                <w:color w:val="000000" w:themeColor="text1"/>
                <w:sz w:val="24"/>
                <w:szCs w:val="24"/>
                <w14:textFill>
                  <w14:solidFill>
                    <w14:schemeClr w14:val="tx1"/>
                  </w14:solidFill>
                </w14:textFill>
              </w:rPr>
              <w:t>220kV升压汇集站</w:t>
            </w:r>
            <w:r>
              <w:rPr>
                <w:rFonts w:hint="default" w:ascii="Times New Roman" w:hAnsi="Times New Roman" w:cs="Times New Roman"/>
                <w:color w:val="000000" w:themeColor="text1"/>
                <w14:textFill>
                  <w14:solidFill>
                    <w14:schemeClr w14:val="tx1"/>
                  </w14:solidFill>
                </w14:textFill>
              </w:rPr>
              <w:t>事故油池周围的土壤环境。</w:t>
            </w:r>
          </w:p>
          <w:p w14:paraId="571D748B">
            <w:pPr>
              <w:adjustRightInd w:val="0"/>
              <w:spacing w:line="500" w:lineRule="exact"/>
              <w:ind w:firstLine="480" w:firstLineChars="200"/>
              <w:rPr>
                <w:rFonts w:hint="eastAsia"/>
                <w:color w:val="000000" w:themeColor="text1"/>
                <w14:textFill>
                  <w14:solidFill>
                    <w14:schemeClr w14:val="tx1"/>
                  </w14:solidFill>
                </w14:textFill>
              </w:rPr>
            </w:pPr>
          </w:p>
          <w:p w14:paraId="3266F4D0">
            <w:pPr>
              <w:adjustRightInd w:val="0"/>
              <w:spacing w:line="500" w:lineRule="exact"/>
              <w:ind w:firstLine="480" w:firstLineChars="200"/>
              <w:rPr>
                <w:rFonts w:hint="eastAsia"/>
                <w:color w:val="000000" w:themeColor="text1"/>
                <w14:textFill>
                  <w14:solidFill>
                    <w14:schemeClr w14:val="tx1"/>
                  </w14:solidFill>
                </w14:textFill>
              </w:rPr>
            </w:pPr>
          </w:p>
          <w:p w14:paraId="248B73EF">
            <w:pPr>
              <w:adjustRightInd w:val="0"/>
              <w:spacing w:line="500" w:lineRule="exact"/>
              <w:ind w:firstLine="480" w:firstLineChars="200"/>
              <w:rPr>
                <w:rFonts w:hint="eastAsia"/>
                <w:color w:val="000000" w:themeColor="text1"/>
                <w14:textFill>
                  <w14:solidFill>
                    <w14:schemeClr w14:val="tx1"/>
                  </w14:solidFill>
                </w14:textFill>
              </w:rPr>
            </w:pPr>
          </w:p>
          <w:p w14:paraId="043BA815">
            <w:pPr>
              <w:adjustRightInd w:val="0"/>
              <w:spacing w:line="500" w:lineRule="exact"/>
              <w:ind w:firstLine="480" w:firstLineChars="200"/>
              <w:rPr>
                <w:rFonts w:hint="eastAsia"/>
                <w:color w:val="000000" w:themeColor="text1"/>
                <w14:textFill>
                  <w14:solidFill>
                    <w14:schemeClr w14:val="tx1"/>
                  </w14:solidFill>
                </w14:textFill>
              </w:rPr>
            </w:pPr>
          </w:p>
          <w:p w14:paraId="37AFAAE9">
            <w:pPr>
              <w:adjustRightInd w:val="0"/>
              <w:spacing w:line="500" w:lineRule="exact"/>
              <w:ind w:firstLine="480" w:firstLineChars="200"/>
              <w:rPr>
                <w:rFonts w:hint="eastAsia"/>
                <w:color w:val="000000" w:themeColor="text1"/>
                <w14:textFill>
                  <w14:solidFill>
                    <w14:schemeClr w14:val="tx1"/>
                  </w14:solidFill>
                </w14:textFill>
              </w:rPr>
            </w:pPr>
          </w:p>
          <w:p w14:paraId="7CDF8240">
            <w:pPr>
              <w:adjustRightInd w:val="0"/>
              <w:spacing w:line="500" w:lineRule="exact"/>
              <w:ind w:firstLine="480" w:firstLineChars="200"/>
              <w:rPr>
                <w:rFonts w:hint="eastAsia"/>
                <w:color w:val="000000" w:themeColor="text1"/>
                <w14:textFill>
                  <w14:solidFill>
                    <w14:schemeClr w14:val="tx1"/>
                  </w14:solidFill>
                </w14:textFill>
              </w:rPr>
            </w:pPr>
          </w:p>
          <w:p w14:paraId="0AFD6BCB">
            <w:pPr>
              <w:adjustRightInd w:val="0"/>
              <w:spacing w:line="500" w:lineRule="exact"/>
              <w:ind w:firstLine="480" w:firstLineChars="200"/>
              <w:rPr>
                <w:rFonts w:hint="eastAsia" w:eastAsia="宋体"/>
                <w:color w:val="000000" w:themeColor="text1"/>
                <w:lang w:eastAsia="zh-CN"/>
                <w14:textFill>
                  <w14:solidFill>
                    <w14:schemeClr w14:val="tx1"/>
                  </w14:solidFill>
                </w14:textFill>
              </w:rPr>
            </w:pPr>
          </w:p>
        </w:tc>
      </w:tr>
      <w:tr w14:paraId="5EF207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68" w:hRule="atLeast"/>
          <w:jc w:val="center"/>
        </w:trPr>
        <w:tc>
          <w:tcPr>
            <w:tcW w:w="821" w:type="dxa"/>
            <w:vAlign w:val="center"/>
          </w:tcPr>
          <w:p w14:paraId="32F17DF1">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评价</w:t>
            </w:r>
          </w:p>
          <w:p w14:paraId="5057A515">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标准</w:t>
            </w:r>
          </w:p>
        </w:tc>
        <w:tc>
          <w:tcPr>
            <w:tcW w:w="8250" w:type="dxa"/>
            <w:vAlign w:val="center"/>
          </w:tcPr>
          <w:p w14:paraId="4C55236E">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b/>
                <w:bCs/>
                <w:color w:val="000000" w:themeColor="text1"/>
                <w:sz w:val="24"/>
                <w:szCs w:val="22"/>
                <w14:textFill>
                  <w14:solidFill>
                    <w14:schemeClr w14:val="tx1"/>
                  </w14:solidFill>
                </w14:textFill>
              </w:rPr>
            </w:pPr>
            <w:r>
              <w:rPr>
                <w:rFonts w:hint="eastAsia"/>
                <w:b/>
                <w:bCs/>
                <w:color w:val="000000" w:themeColor="text1"/>
                <w:sz w:val="24"/>
                <w:szCs w:val="22"/>
                <w:lang w:eastAsia="zh-CN"/>
                <w14:textFill>
                  <w14:solidFill>
                    <w14:schemeClr w14:val="tx1"/>
                  </w14:solidFill>
                </w14:textFill>
              </w:rPr>
              <w:t>1.</w:t>
            </w:r>
            <w:r>
              <w:rPr>
                <w:b/>
                <w:bCs/>
                <w:color w:val="000000" w:themeColor="text1"/>
                <w:sz w:val="24"/>
                <w:szCs w:val="22"/>
                <w14:textFill>
                  <w14:solidFill>
                    <w14:schemeClr w14:val="tx1"/>
                  </w14:solidFill>
                </w14:textFill>
              </w:rPr>
              <w:t>环境质量标准</w:t>
            </w:r>
          </w:p>
          <w:p w14:paraId="7787B4C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sz w:val="24"/>
                <w:szCs w:val="22"/>
                <w:lang w:val="zh-CN"/>
                <w14:textFill>
                  <w14:solidFill>
                    <w14:schemeClr w14:val="tx1"/>
                  </w14:solidFill>
                </w14:textFill>
              </w:rPr>
            </w:pPr>
            <w:r>
              <w:rPr>
                <w:color w:val="000000" w:themeColor="text1"/>
                <w:sz w:val="24"/>
                <w:szCs w:val="22"/>
                <w:lang w:val="zh-CN"/>
                <w14:textFill>
                  <w14:solidFill>
                    <w14:schemeClr w14:val="tx1"/>
                  </w14:solidFill>
                </w14:textFill>
              </w:rPr>
              <w:t>根据项目所在区域的环境功能，本次评价执行的环境质量标准如下：</w:t>
            </w:r>
          </w:p>
          <w:p w14:paraId="303ACE1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sz w:val="24"/>
                <w:szCs w:val="22"/>
                <w:lang w:val="zh-CN"/>
                <w14:textFill>
                  <w14:solidFill>
                    <w14:schemeClr w14:val="tx1"/>
                  </w14:solidFill>
                </w14:textFill>
              </w:rPr>
            </w:pPr>
            <w:r>
              <w:rPr>
                <w:color w:val="000000" w:themeColor="text1"/>
                <w:sz w:val="24"/>
                <w:szCs w:val="22"/>
                <w:lang w:val="zh-CN"/>
                <w14:textFill>
                  <w14:solidFill>
                    <w14:schemeClr w14:val="tx1"/>
                  </w14:solidFill>
                </w14:textFill>
              </w:rPr>
              <w:t>（1）大气：执行《环境空气质量标准》（GB3095-20</w:t>
            </w:r>
            <w:r>
              <w:rPr>
                <w:rFonts w:hint="eastAsia"/>
                <w:color w:val="000000" w:themeColor="text1"/>
                <w:sz w:val="24"/>
                <w:szCs w:val="22"/>
                <w:lang w:val="zh-CN" w:eastAsia="zh-CN"/>
                <w14:textFill>
                  <w14:solidFill>
                    <w14:schemeClr w14:val="tx1"/>
                  </w14:solidFill>
                </w14:textFill>
              </w:rPr>
              <w:t>26</w:t>
            </w:r>
            <w:r>
              <w:rPr>
                <w:color w:val="000000" w:themeColor="text1"/>
                <w:sz w:val="24"/>
                <w:szCs w:val="22"/>
                <w:lang w:val="zh-CN"/>
                <w14:textFill>
                  <w14:solidFill>
                    <w14:schemeClr w14:val="tx1"/>
                  </w14:solidFill>
                </w14:textFill>
              </w:rPr>
              <w:t>）</w:t>
            </w:r>
            <w:r>
              <w:rPr>
                <w:rFonts w:hint="eastAsia"/>
                <w:color w:val="000000" w:themeColor="text1"/>
                <w:sz w:val="24"/>
                <w:szCs w:val="22"/>
                <w:lang w:val="zh-CN" w:eastAsia="zh-CN"/>
                <w14:textFill>
                  <w14:solidFill>
                    <w14:schemeClr w14:val="tx1"/>
                  </w14:solidFill>
                </w14:textFill>
              </w:rPr>
              <w:t>过渡阶段</w:t>
            </w:r>
            <w:r>
              <w:rPr>
                <w:color w:val="000000" w:themeColor="text1"/>
                <w:sz w:val="24"/>
                <w:szCs w:val="22"/>
                <w:lang w:val="zh-CN"/>
                <w14:textFill>
                  <w14:solidFill>
                    <w14:schemeClr w14:val="tx1"/>
                  </w14:solidFill>
                </w14:textFill>
              </w:rPr>
              <w:t>二级标准要求。详</w:t>
            </w:r>
            <w:r>
              <w:rPr>
                <w:rFonts w:hint="eastAsia"/>
                <w:color w:val="000000" w:themeColor="text1"/>
                <w:sz w:val="24"/>
                <w:szCs w:val="22"/>
                <w:lang w:val="zh-CN"/>
                <w14:textFill>
                  <w14:solidFill>
                    <w14:schemeClr w14:val="tx1"/>
                  </w14:solidFill>
                </w14:textFill>
              </w:rPr>
              <w:t>见下</w:t>
            </w:r>
            <w:r>
              <w:rPr>
                <w:color w:val="000000" w:themeColor="text1"/>
                <w:sz w:val="24"/>
                <w:szCs w:val="22"/>
                <w:lang w:val="zh-CN"/>
                <w14:textFill>
                  <w14:solidFill>
                    <w14:schemeClr w14:val="tx1"/>
                  </w14:solidFill>
                </w14:textFill>
              </w:rPr>
              <w:t>表。</w:t>
            </w:r>
          </w:p>
          <w:p w14:paraId="4E6E0CA5">
            <w:pPr>
              <w:pStyle w:val="97"/>
              <w:keepNext w:val="0"/>
              <w:keepLines w:val="0"/>
              <w:pageBreakBefore w:val="0"/>
              <w:widowControl w:val="0"/>
              <w:kinsoku/>
              <w:wordWrap/>
              <w:overflowPunct/>
              <w:topLinePunct w:val="0"/>
              <w:autoSpaceDE/>
              <w:autoSpaceDN/>
              <w:bidi w:val="0"/>
              <w:adjustRightInd w:val="0"/>
              <w:snapToGrid w:val="0"/>
              <w:spacing w:before="0" w:after="0" w:line="500" w:lineRule="exact"/>
              <w:textAlignment w:val="auto"/>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表3-</w:t>
            </w:r>
            <w:r>
              <w:rPr>
                <w:rFonts w:hint="eastAsia" w:ascii="黑体" w:hAnsi="黑体" w:eastAsia="黑体" w:cs="黑体"/>
                <w:color w:val="000000" w:themeColor="text1"/>
                <w:sz w:val="21"/>
                <w:szCs w:val="21"/>
                <w:lang w:val="en-US" w:eastAsia="zh-CN"/>
                <w14:textFill>
                  <w14:solidFill>
                    <w14:schemeClr w14:val="tx1"/>
                  </w14:solidFill>
                </w14:textFill>
              </w:rPr>
              <w:t xml:space="preserve">5     </w:t>
            </w:r>
            <w:r>
              <w:rPr>
                <w:rFonts w:hint="eastAsia" w:ascii="黑体" w:hAnsi="黑体" w:eastAsia="黑体" w:cs="黑体"/>
                <w:color w:val="000000" w:themeColor="text1"/>
                <w:sz w:val="21"/>
                <w:szCs w:val="21"/>
                <w14:textFill>
                  <w14:solidFill>
                    <w14:schemeClr w14:val="tx1"/>
                  </w14:solidFill>
                </w14:textFill>
              </w:rPr>
              <w:t xml:space="preserve"> 环境空气质量标准</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086"/>
              <w:gridCol w:w="1594"/>
              <w:gridCol w:w="1528"/>
              <w:gridCol w:w="3049"/>
            </w:tblGrid>
            <w:tr w14:paraId="49B7CF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noWrap w:val="0"/>
                  <w:vAlign w:val="center"/>
                </w:tcPr>
                <w:p w14:paraId="1F462A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序号</w:t>
                  </w:r>
                </w:p>
              </w:tc>
              <w:tc>
                <w:tcPr>
                  <w:tcW w:w="676" w:type="pct"/>
                  <w:noWrap w:val="0"/>
                  <w:vAlign w:val="center"/>
                </w:tcPr>
                <w:p w14:paraId="2F31C27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污染物</w:t>
                  </w:r>
                </w:p>
              </w:tc>
              <w:tc>
                <w:tcPr>
                  <w:tcW w:w="992" w:type="pct"/>
                  <w:noWrap w:val="0"/>
                  <w:vAlign w:val="center"/>
                </w:tcPr>
                <w:p w14:paraId="49F920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平均时间</w:t>
                  </w:r>
                </w:p>
              </w:tc>
              <w:tc>
                <w:tcPr>
                  <w:tcW w:w="951" w:type="pct"/>
                  <w:noWrap w:val="0"/>
                  <w:vAlign w:val="center"/>
                </w:tcPr>
                <w:p w14:paraId="3DCBE28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浓度限值</w:t>
                  </w:r>
                </w:p>
              </w:tc>
              <w:tc>
                <w:tcPr>
                  <w:tcW w:w="1897" w:type="pct"/>
                  <w:noWrap w:val="0"/>
                  <w:vAlign w:val="center"/>
                </w:tcPr>
                <w:p w14:paraId="1DF167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标准来源</w:t>
                  </w:r>
                </w:p>
              </w:tc>
            </w:tr>
            <w:tr w14:paraId="0A45E3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restart"/>
                  <w:noWrap w:val="0"/>
                  <w:vAlign w:val="center"/>
                </w:tcPr>
                <w:p w14:paraId="11198F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676" w:type="pct"/>
                  <w:vMerge w:val="restart"/>
                  <w:noWrap w:val="0"/>
                  <w:vAlign w:val="center"/>
                </w:tcPr>
                <w:p w14:paraId="096C7B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vertAlign w:val="subscript"/>
                      <w14:textFill>
                        <w14:solidFill>
                          <w14:schemeClr w14:val="tx1"/>
                        </w14:solidFill>
                      </w14:textFill>
                    </w:rPr>
                  </w:pPr>
                  <w:r>
                    <w:rPr>
                      <w:color w:val="000000" w:themeColor="text1"/>
                      <w:sz w:val="21"/>
                      <w:szCs w:val="21"/>
                      <w14:textFill>
                        <w14:solidFill>
                          <w14:schemeClr w14:val="tx1"/>
                        </w14:solidFill>
                      </w14:textFill>
                    </w:rPr>
                    <w:t>SO</w:t>
                  </w:r>
                  <w:r>
                    <w:rPr>
                      <w:color w:val="000000" w:themeColor="text1"/>
                      <w:sz w:val="21"/>
                      <w:szCs w:val="21"/>
                      <w:vertAlign w:val="subscript"/>
                      <w14:textFill>
                        <w14:solidFill>
                          <w14:schemeClr w14:val="tx1"/>
                        </w14:solidFill>
                      </w14:textFill>
                    </w:rPr>
                    <w:t>2</w:t>
                  </w:r>
                </w:p>
              </w:tc>
              <w:tc>
                <w:tcPr>
                  <w:tcW w:w="992" w:type="pct"/>
                  <w:noWrap w:val="0"/>
                  <w:vAlign w:val="center"/>
                </w:tcPr>
                <w:p w14:paraId="5C9B657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年平均</w:t>
                  </w:r>
                </w:p>
              </w:tc>
              <w:tc>
                <w:tcPr>
                  <w:tcW w:w="951" w:type="pct"/>
                  <w:noWrap w:val="0"/>
                  <w:vAlign w:val="center"/>
                </w:tcPr>
                <w:p w14:paraId="6B0306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60μg/m</w:t>
                  </w:r>
                  <w:r>
                    <w:rPr>
                      <w:color w:val="000000" w:themeColor="text1"/>
                      <w:sz w:val="21"/>
                      <w:szCs w:val="21"/>
                      <w:vertAlign w:val="superscript"/>
                      <w14:textFill>
                        <w14:solidFill>
                          <w14:schemeClr w14:val="tx1"/>
                        </w14:solidFill>
                      </w14:textFill>
                    </w:rPr>
                    <w:t>3</w:t>
                  </w:r>
                </w:p>
              </w:tc>
              <w:tc>
                <w:tcPr>
                  <w:tcW w:w="1897" w:type="pct"/>
                  <w:vMerge w:val="restart"/>
                  <w:noWrap w:val="0"/>
                  <w:vAlign w:val="center"/>
                </w:tcPr>
                <w:p w14:paraId="6D905C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r>
                    <w:rPr>
                      <w:color w:val="000000" w:themeColor="text1"/>
                      <w:sz w:val="21"/>
                      <w:szCs w:val="21"/>
                      <w14:textFill>
                        <w14:solidFill>
                          <w14:schemeClr w14:val="tx1"/>
                        </w14:solidFill>
                      </w14:textFill>
                    </w:rPr>
                    <w:t>《环境空气质量标准》（GB3095-20</w:t>
                  </w:r>
                  <w:r>
                    <w:rPr>
                      <w:rFonts w:hint="eastAsia"/>
                      <w:color w:val="000000" w:themeColor="text1"/>
                      <w:sz w:val="21"/>
                      <w:szCs w:val="21"/>
                      <w:lang w:val="en-US" w:eastAsia="zh-CN"/>
                      <w14:textFill>
                        <w14:solidFill>
                          <w14:schemeClr w14:val="tx1"/>
                        </w14:solidFill>
                      </w14:textFill>
                    </w:rPr>
                    <w:t>26</w:t>
                  </w:r>
                  <w:r>
                    <w:rPr>
                      <w:color w:val="000000" w:themeColor="text1"/>
                      <w:sz w:val="21"/>
                      <w:szCs w:val="21"/>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过渡阶段</w:t>
                  </w:r>
                  <w:r>
                    <w:rPr>
                      <w:color w:val="000000" w:themeColor="text1"/>
                      <w:sz w:val="21"/>
                      <w:szCs w:val="21"/>
                      <w14:textFill>
                        <w14:solidFill>
                          <w14:schemeClr w14:val="tx1"/>
                        </w14:solidFill>
                      </w14:textFill>
                    </w:rPr>
                    <w:t>二级标准要求</w:t>
                  </w:r>
                </w:p>
              </w:tc>
            </w:tr>
            <w:tr w14:paraId="674F01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continue"/>
                  <w:noWrap w:val="0"/>
                  <w:vAlign w:val="center"/>
                </w:tcPr>
                <w:p w14:paraId="69CE150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676" w:type="pct"/>
                  <w:vMerge w:val="continue"/>
                  <w:noWrap w:val="0"/>
                  <w:vAlign w:val="center"/>
                </w:tcPr>
                <w:p w14:paraId="2200A5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992" w:type="pct"/>
                  <w:noWrap w:val="0"/>
                  <w:vAlign w:val="center"/>
                </w:tcPr>
                <w:p w14:paraId="7691C7A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24小时平均</w:t>
                  </w:r>
                </w:p>
              </w:tc>
              <w:tc>
                <w:tcPr>
                  <w:tcW w:w="951" w:type="pct"/>
                  <w:noWrap w:val="0"/>
                  <w:vAlign w:val="center"/>
                </w:tcPr>
                <w:p w14:paraId="1EC1D5F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150μg/m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48E9FC1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62BD36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continue"/>
                  <w:noWrap w:val="0"/>
                  <w:vAlign w:val="center"/>
                </w:tcPr>
                <w:p w14:paraId="58F9F5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676" w:type="pct"/>
                  <w:vMerge w:val="continue"/>
                  <w:noWrap w:val="0"/>
                  <w:vAlign w:val="center"/>
                </w:tcPr>
                <w:p w14:paraId="20A0E5D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992" w:type="pct"/>
                  <w:noWrap w:val="0"/>
                  <w:vAlign w:val="center"/>
                </w:tcPr>
                <w:p w14:paraId="5E6972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1小时平均</w:t>
                  </w:r>
                </w:p>
              </w:tc>
              <w:tc>
                <w:tcPr>
                  <w:tcW w:w="951" w:type="pct"/>
                  <w:noWrap w:val="0"/>
                  <w:vAlign w:val="center"/>
                </w:tcPr>
                <w:p w14:paraId="289B0B1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500μg/m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274B07B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504CAB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restart"/>
                  <w:noWrap w:val="0"/>
                  <w:vAlign w:val="center"/>
                </w:tcPr>
                <w:p w14:paraId="327E27D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p>
              </w:tc>
              <w:tc>
                <w:tcPr>
                  <w:tcW w:w="676" w:type="pct"/>
                  <w:vMerge w:val="restart"/>
                  <w:noWrap w:val="0"/>
                  <w:vAlign w:val="center"/>
                </w:tcPr>
                <w:p w14:paraId="19FA19E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NO</w:t>
                  </w:r>
                  <w:r>
                    <w:rPr>
                      <w:color w:val="000000" w:themeColor="text1"/>
                      <w:sz w:val="21"/>
                      <w:szCs w:val="21"/>
                      <w:vertAlign w:val="subscript"/>
                      <w14:textFill>
                        <w14:solidFill>
                          <w14:schemeClr w14:val="tx1"/>
                        </w14:solidFill>
                      </w14:textFill>
                    </w:rPr>
                    <w:t>2</w:t>
                  </w:r>
                </w:p>
              </w:tc>
              <w:tc>
                <w:tcPr>
                  <w:tcW w:w="992" w:type="pct"/>
                  <w:noWrap w:val="0"/>
                  <w:vAlign w:val="center"/>
                </w:tcPr>
                <w:p w14:paraId="0BA0407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年平均</w:t>
                  </w:r>
                </w:p>
              </w:tc>
              <w:tc>
                <w:tcPr>
                  <w:tcW w:w="951" w:type="pct"/>
                  <w:noWrap w:val="0"/>
                  <w:vAlign w:val="center"/>
                </w:tcPr>
                <w:p w14:paraId="04669E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40μg/m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573A59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0B1475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continue"/>
                  <w:noWrap w:val="0"/>
                  <w:vAlign w:val="center"/>
                </w:tcPr>
                <w:p w14:paraId="15B54A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676" w:type="pct"/>
                  <w:vMerge w:val="continue"/>
                  <w:noWrap w:val="0"/>
                  <w:vAlign w:val="center"/>
                </w:tcPr>
                <w:p w14:paraId="347C7F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992" w:type="pct"/>
                  <w:noWrap w:val="0"/>
                  <w:vAlign w:val="center"/>
                </w:tcPr>
                <w:p w14:paraId="0515DC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24小时平均</w:t>
                  </w:r>
                </w:p>
              </w:tc>
              <w:tc>
                <w:tcPr>
                  <w:tcW w:w="951" w:type="pct"/>
                  <w:noWrap w:val="0"/>
                  <w:vAlign w:val="center"/>
                </w:tcPr>
                <w:p w14:paraId="0681DC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80μg/m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79566D3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2418E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continue"/>
                  <w:noWrap w:val="0"/>
                  <w:vAlign w:val="center"/>
                </w:tcPr>
                <w:p w14:paraId="3EEAC92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676" w:type="pct"/>
                  <w:vMerge w:val="continue"/>
                  <w:noWrap w:val="0"/>
                  <w:vAlign w:val="center"/>
                </w:tcPr>
                <w:p w14:paraId="032CAA2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992" w:type="pct"/>
                  <w:noWrap w:val="0"/>
                  <w:vAlign w:val="center"/>
                </w:tcPr>
                <w:p w14:paraId="7AF19D5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1小时平均</w:t>
                  </w:r>
                </w:p>
              </w:tc>
              <w:tc>
                <w:tcPr>
                  <w:tcW w:w="951" w:type="pct"/>
                  <w:noWrap w:val="0"/>
                  <w:vAlign w:val="center"/>
                </w:tcPr>
                <w:p w14:paraId="41A5CF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200μg/m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1E365B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616FAC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restart"/>
                  <w:noWrap w:val="0"/>
                  <w:vAlign w:val="center"/>
                </w:tcPr>
                <w:p w14:paraId="2F6F58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p>
              </w:tc>
              <w:tc>
                <w:tcPr>
                  <w:tcW w:w="676" w:type="pct"/>
                  <w:vMerge w:val="restart"/>
                  <w:noWrap w:val="0"/>
                  <w:vAlign w:val="center"/>
                </w:tcPr>
                <w:p w14:paraId="7FDC79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PM</w:t>
                  </w:r>
                  <w:r>
                    <w:rPr>
                      <w:color w:val="000000" w:themeColor="text1"/>
                      <w:sz w:val="21"/>
                      <w:szCs w:val="21"/>
                      <w:vertAlign w:val="subscript"/>
                      <w14:textFill>
                        <w14:solidFill>
                          <w14:schemeClr w14:val="tx1"/>
                        </w14:solidFill>
                      </w14:textFill>
                    </w:rPr>
                    <w:t>10</w:t>
                  </w:r>
                </w:p>
              </w:tc>
              <w:tc>
                <w:tcPr>
                  <w:tcW w:w="992" w:type="pct"/>
                  <w:noWrap w:val="0"/>
                  <w:vAlign w:val="center"/>
                </w:tcPr>
                <w:p w14:paraId="7EC45E4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年平均</w:t>
                  </w:r>
                </w:p>
              </w:tc>
              <w:tc>
                <w:tcPr>
                  <w:tcW w:w="951" w:type="pct"/>
                  <w:noWrap w:val="0"/>
                  <w:vAlign w:val="center"/>
                </w:tcPr>
                <w:p w14:paraId="5703E1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60</w:t>
                  </w:r>
                  <w:r>
                    <w:rPr>
                      <w:color w:val="000000" w:themeColor="text1"/>
                      <w:sz w:val="21"/>
                      <w:szCs w:val="21"/>
                      <w14:textFill>
                        <w14:solidFill>
                          <w14:schemeClr w14:val="tx1"/>
                        </w14:solidFill>
                      </w14:textFill>
                    </w:rPr>
                    <w:t>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66C4A99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61C52A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continue"/>
                  <w:noWrap w:val="0"/>
                  <w:vAlign w:val="center"/>
                </w:tcPr>
                <w:p w14:paraId="38358D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676" w:type="pct"/>
                  <w:vMerge w:val="continue"/>
                  <w:noWrap w:val="0"/>
                  <w:vAlign w:val="center"/>
                </w:tcPr>
                <w:p w14:paraId="382056C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992" w:type="pct"/>
                  <w:noWrap w:val="0"/>
                  <w:vAlign w:val="center"/>
                </w:tcPr>
                <w:p w14:paraId="251D3DA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24小时平均</w:t>
                  </w:r>
                </w:p>
              </w:tc>
              <w:tc>
                <w:tcPr>
                  <w:tcW w:w="951" w:type="pct"/>
                  <w:noWrap w:val="0"/>
                  <w:vAlign w:val="center"/>
                </w:tcPr>
                <w:p w14:paraId="67B0AE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lang w:val="en-US" w:eastAsia="zh-CN"/>
                      <w14:textFill>
                        <w14:solidFill>
                          <w14:schemeClr w14:val="tx1"/>
                        </w14:solidFill>
                      </w14:textFill>
                    </w:rPr>
                    <w:t>2</w:t>
                  </w:r>
                  <w:r>
                    <w:rPr>
                      <w:color w:val="000000" w:themeColor="text1"/>
                      <w:sz w:val="21"/>
                      <w:szCs w:val="21"/>
                      <w14:textFill>
                        <w14:solidFill>
                          <w14:schemeClr w14:val="tx1"/>
                        </w14:solidFill>
                      </w14:textFill>
                    </w:rPr>
                    <w:t>0μg/m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4DC38F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266338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restart"/>
                  <w:noWrap w:val="0"/>
                  <w:vAlign w:val="center"/>
                </w:tcPr>
                <w:p w14:paraId="40F1046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p>
              </w:tc>
              <w:tc>
                <w:tcPr>
                  <w:tcW w:w="676" w:type="pct"/>
                  <w:vMerge w:val="restart"/>
                  <w:noWrap w:val="0"/>
                  <w:vAlign w:val="center"/>
                </w:tcPr>
                <w:p w14:paraId="1AECCD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PM</w:t>
                  </w:r>
                  <w:r>
                    <w:rPr>
                      <w:color w:val="000000" w:themeColor="text1"/>
                      <w:sz w:val="21"/>
                      <w:szCs w:val="21"/>
                      <w:vertAlign w:val="subscript"/>
                      <w14:textFill>
                        <w14:solidFill>
                          <w14:schemeClr w14:val="tx1"/>
                        </w14:solidFill>
                      </w14:textFill>
                    </w:rPr>
                    <w:t>2.5</w:t>
                  </w:r>
                </w:p>
              </w:tc>
              <w:tc>
                <w:tcPr>
                  <w:tcW w:w="992" w:type="pct"/>
                  <w:noWrap w:val="0"/>
                  <w:vAlign w:val="center"/>
                </w:tcPr>
                <w:p w14:paraId="25B8EC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年平均</w:t>
                  </w:r>
                </w:p>
              </w:tc>
              <w:tc>
                <w:tcPr>
                  <w:tcW w:w="951" w:type="pct"/>
                  <w:noWrap w:val="0"/>
                  <w:vAlign w:val="center"/>
                </w:tcPr>
                <w:p w14:paraId="41C082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30</w:t>
                  </w:r>
                  <w:r>
                    <w:rPr>
                      <w:color w:val="000000" w:themeColor="text1"/>
                      <w:sz w:val="21"/>
                      <w:szCs w:val="21"/>
                      <w14:textFill>
                        <w14:solidFill>
                          <w14:schemeClr w14:val="tx1"/>
                        </w14:solidFill>
                      </w14:textFill>
                    </w:rPr>
                    <w:t>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621923C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61F462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continue"/>
                  <w:noWrap w:val="0"/>
                  <w:vAlign w:val="center"/>
                </w:tcPr>
                <w:p w14:paraId="09F2A5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676" w:type="pct"/>
                  <w:vMerge w:val="continue"/>
                  <w:noWrap w:val="0"/>
                  <w:vAlign w:val="center"/>
                </w:tcPr>
                <w:p w14:paraId="75A9C3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992" w:type="pct"/>
                  <w:noWrap w:val="0"/>
                  <w:vAlign w:val="center"/>
                </w:tcPr>
                <w:p w14:paraId="08A037B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24小时平均</w:t>
                  </w:r>
                </w:p>
              </w:tc>
              <w:tc>
                <w:tcPr>
                  <w:tcW w:w="951" w:type="pct"/>
                  <w:noWrap w:val="0"/>
                  <w:vAlign w:val="center"/>
                </w:tcPr>
                <w:p w14:paraId="71424C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60</w:t>
                  </w:r>
                  <w:r>
                    <w:rPr>
                      <w:color w:val="000000" w:themeColor="text1"/>
                      <w:sz w:val="21"/>
                      <w:szCs w:val="21"/>
                      <w14:textFill>
                        <w14:solidFill>
                          <w14:schemeClr w14:val="tx1"/>
                        </w14:solidFill>
                      </w14:textFill>
                    </w:rPr>
                    <w:t>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7CF032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311FB0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restart"/>
                  <w:noWrap w:val="0"/>
                  <w:vAlign w:val="center"/>
                </w:tcPr>
                <w:p w14:paraId="0A0143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5</w:t>
                  </w:r>
                </w:p>
              </w:tc>
              <w:tc>
                <w:tcPr>
                  <w:tcW w:w="676" w:type="pct"/>
                  <w:vMerge w:val="restart"/>
                  <w:noWrap w:val="0"/>
                  <w:vAlign w:val="center"/>
                </w:tcPr>
                <w:p w14:paraId="454F68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CO</w:t>
                  </w:r>
                </w:p>
              </w:tc>
              <w:tc>
                <w:tcPr>
                  <w:tcW w:w="992" w:type="pct"/>
                  <w:noWrap w:val="0"/>
                  <w:vAlign w:val="center"/>
                </w:tcPr>
                <w:p w14:paraId="622F2A3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24小时平均</w:t>
                  </w:r>
                </w:p>
              </w:tc>
              <w:tc>
                <w:tcPr>
                  <w:tcW w:w="951" w:type="pct"/>
                  <w:noWrap w:val="0"/>
                  <w:vAlign w:val="center"/>
                </w:tcPr>
                <w:p w14:paraId="00BDA7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4mg/m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635B46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04BC42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continue"/>
                  <w:noWrap w:val="0"/>
                  <w:vAlign w:val="center"/>
                </w:tcPr>
                <w:p w14:paraId="334873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676" w:type="pct"/>
                  <w:vMerge w:val="continue"/>
                  <w:noWrap w:val="0"/>
                  <w:vAlign w:val="center"/>
                </w:tcPr>
                <w:p w14:paraId="5C100A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992" w:type="pct"/>
                  <w:noWrap w:val="0"/>
                  <w:vAlign w:val="center"/>
                </w:tcPr>
                <w:p w14:paraId="786132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1小时平均</w:t>
                  </w:r>
                </w:p>
              </w:tc>
              <w:tc>
                <w:tcPr>
                  <w:tcW w:w="951" w:type="pct"/>
                  <w:noWrap w:val="0"/>
                  <w:vAlign w:val="center"/>
                </w:tcPr>
                <w:p w14:paraId="03A2CB8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10mg/m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221C763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2B3121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restart"/>
                  <w:noWrap w:val="0"/>
                  <w:vAlign w:val="center"/>
                </w:tcPr>
                <w:p w14:paraId="719250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6</w:t>
                  </w:r>
                </w:p>
              </w:tc>
              <w:tc>
                <w:tcPr>
                  <w:tcW w:w="676" w:type="pct"/>
                  <w:vMerge w:val="restart"/>
                  <w:noWrap w:val="0"/>
                  <w:vAlign w:val="center"/>
                </w:tcPr>
                <w:p w14:paraId="7C05AA7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O</w:t>
                  </w:r>
                  <w:r>
                    <w:rPr>
                      <w:color w:val="000000" w:themeColor="text1"/>
                      <w:sz w:val="21"/>
                      <w:szCs w:val="21"/>
                      <w:vertAlign w:val="subscript"/>
                      <w14:textFill>
                        <w14:solidFill>
                          <w14:schemeClr w14:val="tx1"/>
                        </w14:solidFill>
                      </w14:textFill>
                    </w:rPr>
                    <w:t>3</w:t>
                  </w:r>
                </w:p>
              </w:tc>
              <w:tc>
                <w:tcPr>
                  <w:tcW w:w="992" w:type="pct"/>
                  <w:noWrap w:val="0"/>
                  <w:vAlign w:val="center"/>
                </w:tcPr>
                <w:p w14:paraId="0E3868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日最大8小时平均</w:t>
                  </w:r>
                </w:p>
              </w:tc>
              <w:tc>
                <w:tcPr>
                  <w:tcW w:w="951" w:type="pct"/>
                  <w:noWrap w:val="0"/>
                  <w:vAlign w:val="center"/>
                </w:tcPr>
                <w:p w14:paraId="69BC5C7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160μg/m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46126FA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r w14:paraId="20E389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2" w:type="pct"/>
                  <w:vMerge w:val="continue"/>
                  <w:noWrap w:val="0"/>
                  <w:vAlign w:val="center"/>
                </w:tcPr>
                <w:p w14:paraId="55F6651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676" w:type="pct"/>
                  <w:vMerge w:val="continue"/>
                  <w:noWrap w:val="0"/>
                  <w:vAlign w:val="center"/>
                </w:tcPr>
                <w:p w14:paraId="033AD0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p>
              </w:tc>
              <w:tc>
                <w:tcPr>
                  <w:tcW w:w="992" w:type="pct"/>
                  <w:noWrap w:val="0"/>
                  <w:vAlign w:val="center"/>
                </w:tcPr>
                <w:p w14:paraId="76ECAC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1小时平均</w:t>
                  </w:r>
                </w:p>
              </w:tc>
              <w:tc>
                <w:tcPr>
                  <w:tcW w:w="951" w:type="pct"/>
                  <w:noWrap w:val="0"/>
                  <w:vAlign w:val="center"/>
                </w:tcPr>
                <w:p w14:paraId="3B4C52B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200μg/m</w:t>
                  </w:r>
                  <w:r>
                    <w:rPr>
                      <w:color w:val="000000" w:themeColor="text1"/>
                      <w:sz w:val="21"/>
                      <w:szCs w:val="21"/>
                      <w:vertAlign w:val="superscript"/>
                      <w14:textFill>
                        <w14:solidFill>
                          <w14:schemeClr w14:val="tx1"/>
                        </w14:solidFill>
                      </w14:textFill>
                    </w:rPr>
                    <w:t>3</w:t>
                  </w:r>
                </w:p>
              </w:tc>
              <w:tc>
                <w:tcPr>
                  <w:tcW w:w="1897" w:type="pct"/>
                  <w:vMerge w:val="continue"/>
                  <w:noWrap w:val="0"/>
                  <w:vAlign w:val="center"/>
                </w:tcPr>
                <w:p w14:paraId="449A2E3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color w:val="000000" w:themeColor="text1"/>
                      <w:szCs w:val="21"/>
                      <w14:textFill>
                        <w14:solidFill>
                          <w14:schemeClr w14:val="tx1"/>
                        </w14:solidFill>
                      </w14:textFill>
                    </w:rPr>
                  </w:pPr>
                </w:p>
              </w:tc>
            </w:tr>
          </w:tbl>
          <w:p w14:paraId="41FF579E">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color w:val="000000" w:themeColor="text1"/>
                <w:sz w:val="24"/>
                <w:szCs w:val="22"/>
                <w:lang w:val="zh-CN"/>
                <w14:textFill>
                  <w14:solidFill>
                    <w14:schemeClr w14:val="tx1"/>
                  </w14:solidFill>
                </w14:textFill>
              </w:rPr>
            </w:pPr>
            <w:r>
              <w:rPr>
                <w:rFonts w:ascii="Times New Roman" w:hAnsi="Times New Roman" w:eastAsia="宋体" w:cs="Times New Roman"/>
                <w:color w:val="000000" w:themeColor="text1"/>
                <w:kern w:val="2"/>
                <w:sz w:val="24"/>
                <w:szCs w:val="22"/>
                <w:lang w:val="zh-CN" w:eastAsia="zh-CN" w:bidi="ar-SA"/>
                <w14:textFill>
                  <w14:solidFill>
                    <w14:schemeClr w14:val="tx1"/>
                  </w14:solidFill>
                </w14:textFill>
              </w:rPr>
              <w:t>（2）</w:t>
            </w:r>
            <w:r>
              <w:rPr>
                <w:color w:val="000000" w:themeColor="text1"/>
                <w:sz w:val="24"/>
                <w:szCs w:val="22"/>
                <w:lang w:val="zh-CN"/>
                <w14:textFill>
                  <w14:solidFill>
                    <w14:schemeClr w14:val="tx1"/>
                  </w14:solidFill>
                </w14:textFill>
              </w:rPr>
              <w:t>声环境：</w:t>
            </w:r>
          </w:p>
          <w:p w14:paraId="30F9A0C0">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rFonts w:hint="default" w:eastAsia="宋体"/>
                <w:color w:val="000000" w:themeColor="text1"/>
                <w:sz w:val="24"/>
                <w:szCs w:val="22"/>
                <w:lang w:val="en-US" w:eastAsia="zh-CN"/>
                <w14:textFill>
                  <w14:solidFill>
                    <w14:schemeClr w14:val="tx1"/>
                  </w14:solidFill>
                </w14:textFill>
              </w:rPr>
            </w:pPr>
            <w:r>
              <w:rPr>
                <w:rFonts w:hint="eastAsia"/>
                <w:color w:val="000000" w:themeColor="text1"/>
                <w:sz w:val="24"/>
                <w:szCs w:val="22"/>
                <w:lang w:val="en-US" w:eastAsia="zh-CN"/>
                <w14:textFill>
                  <w14:solidFill>
                    <w14:schemeClr w14:val="tx1"/>
                  </w14:solidFill>
                </w14:textFill>
              </w:rPr>
              <w:t>根据</w:t>
            </w:r>
            <w:r>
              <w:rPr>
                <w:color w:val="000000" w:themeColor="text1"/>
                <w:sz w:val="24"/>
                <w:szCs w:val="22"/>
                <w:lang w:val="zh-CN"/>
                <w14:textFill>
                  <w14:solidFill>
                    <w14:schemeClr w14:val="tx1"/>
                  </w14:solidFill>
                </w14:textFill>
              </w:rPr>
              <w:t>《声环境质量标准》（GB3096-2008）</w:t>
            </w:r>
            <w:r>
              <w:rPr>
                <w:rFonts w:hint="eastAsia"/>
                <w:color w:val="000000" w:themeColor="text1"/>
                <w:sz w:val="24"/>
                <w:szCs w:val="22"/>
                <w:lang w:val="zh-CN"/>
                <w14:textFill>
                  <w14:solidFill>
                    <w14:schemeClr w14:val="tx1"/>
                  </w14:solidFill>
                </w14:textFill>
              </w:rPr>
              <w:t>，按区域的使用功能特点和环境质量要求，声环境功能区分为</w:t>
            </w:r>
            <w:r>
              <w:rPr>
                <w:rFonts w:hint="eastAsia"/>
                <w:color w:val="000000" w:themeColor="text1"/>
                <w:sz w:val="24"/>
                <w:szCs w:val="22"/>
                <w:lang w:val="en-US" w:eastAsia="zh-CN"/>
                <w14:textFill>
                  <w14:solidFill>
                    <w14:schemeClr w14:val="tx1"/>
                  </w14:solidFill>
                </w14:textFill>
              </w:rPr>
              <w:t>以下</w:t>
            </w:r>
            <w:r>
              <w:rPr>
                <w:rFonts w:hint="eastAsia"/>
                <w:color w:val="000000" w:themeColor="text1"/>
                <w:sz w:val="24"/>
                <w:szCs w:val="22"/>
                <w:lang w:val="zh-CN"/>
                <w14:textFill>
                  <w14:solidFill>
                    <w14:schemeClr w14:val="tx1"/>
                  </w14:solidFill>
                </w14:textFill>
              </w:rPr>
              <w:t>五种类型：</w:t>
            </w:r>
          </w:p>
          <w:p w14:paraId="267FF005">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sz w:val="24"/>
                <w:szCs w:val="22"/>
                <w:lang w:val="zh-CN"/>
                <w14:textFill>
                  <w14:solidFill>
                    <w14:schemeClr w14:val="tx1"/>
                  </w14:solidFill>
                </w14:textFill>
              </w:rPr>
            </w:pPr>
            <w:r>
              <w:rPr>
                <w:rFonts w:hint="eastAsia"/>
                <w:color w:val="000000" w:themeColor="text1"/>
                <w:sz w:val="24"/>
                <w:szCs w:val="22"/>
                <w:lang w:val="zh-CN"/>
                <w14:textFill>
                  <w14:solidFill>
                    <w14:schemeClr w14:val="tx1"/>
                  </w14:solidFill>
                </w14:textFill>
              </w:rPr>
              <w:t>0类声环境功能区：指康复疗养区等特别需要安静的区域。</w:t>
            </w:r>
          </w:p>
          <w:p w14:paraId="57558B9F">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sz w:val="24"/>
                <w:szCs w:val="22"/>
                <w:lang w:val="zh-CN"/>
                <w14:textFill>
                  <w14:solidFill>
                    <w14:schemeClr w14:val="tx1"/>
                  </w14:solidFill>
                </w14:textFill>
              </w:rPr>
            </w:pPr>
            <w:r>
              <w:rPr>
                <w:rFonts w:hint="eastAsia"/>
                <w:color w:val="000000" w:themeColor="text1"/>
                <w:sz w:val="24"/>
                <w:szCs w:val="22"/>
                <w:lang w:val="zh-CN"/>
                <w14:textFill>
                  <w14:solidFill>
                    <w14:schemeClr w14:val="tx1"/>
                  </w14:solidFill>
                </w14:textFill>
              </w:rPr>
              <w:t>1类声环境功能区：指以居民住宅、医疗卫生、文化教育、科研设计、行政办公为主要功能，需要保持安静的区域。</w:t>
            </w:r>
          </w:p>
          <w:p w14:paraId="16ECBD84">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sz w:val="24"/>
                <w:szCs w:val="22"/>
                <w:lang w:val="zh-CN"/>
                <w14:textFill>
                  <w14:solidFill>
                    <w14:schemeClr w14:val="tx1"/>
                  </w14:solidFill>
                </w14:textFill>
              </w:rPr>
            </w:pPr>
            <w:r>
              <w:rPr>
                <w:rFonts w:hint="eastAsia"/>
                <w:color w:val="000000" w:themeColor="text1"/>
                <w:sz w:val="24"/>
                <w:szCs w:val="22"/>
                <w:lang w:val="zh-CN"/>
                <w14:textFill>
                  <w14:solidFill>
                    <w14:schemeClr w14:val="tx1"/>
                  </w14:solidFill>
                </w14:textFill>
              </w:rPr>
              <w:t>2类声环境功能区：指以商业金融、集市贸易为主要功能，或者居住、商业、工业混杂，需要维护住宅安静的区域。</w:t>
            </w:r>
          </w:p>
          <w:p w14:paraId="2A3D3C45">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sz w:val="24"/>
                <w:szCs w:val="22"/>
                <w:lang w:val="zh-CN"/>
                <w14:textFill>
                  <w14:solidFill>
                    <w14:schemeClr w14:val="tx1"/>
                  </w14:solidFill>
                </w14:textFill>
              </w:rPr>
            </w:pPr>
            <w:r>
              <w:rPr>
                <w:rFonts w:hint="eastAsia"/>
                <w:color w:val="000000" w:themeColor="text1"/>
                <w:sz w:val="24"/>
                <w:szCs w:val="22"/>
                <w:lang w:val="zh-CN"/>
                <w14:textFill>
                  <w14:solidFill>
                    <w14:schemeClr w14:val="tx1"/>
                  </w14:solidFill>
                </w14:textFill>
              </w:rPr>
              <w:t>3类声环境功能区：指以工业生产、仓储物流为主要功能，需要防止工业噪声对周围环境产生严重影响的区域。</w:t>
            </w:r>
          </w:p>
          <w:p w14:paraId="29E23312">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rFonts w:hint="default" w:ascii="Times New Roman" w:hAnsi="Times New Roman" w:cs="Times New Roman"/>
                <w:color w:val="000000" w:themeColor="text1"/>
                <w:sz w:val="24"/>
                <w:szCs w:val="22"/>
                <w:lang w:val="zh-CN"/>
                <w14:textFill>
                  <w14:solidFill>
                    <w14:schemeClr w14:val="tx1"/>
                  </w14:solidFill>
                </w14:textFill>
              </w:rPr>
            </w:pPr>
            <w:r>
              <w:rPr>
                <w:rFonts w:hint="default" w:ascii="Times New Roman" w:hAnsi="Times New Roman" w:cs="Times New Roman"/>
                <w:color w:val="000000" w:themeColor="text1"/>
                <w:sz w:val="24"/>
                <w:szCs w:val="22"/>
                <w:lang w:val="zh-CN"/>
                <w14:textFill>
                  <w14:solidFill>
                    <w14:schemeClr w14:val="tx1"/>
                  </w14:solidFill>
                </w14:textFill>
              </w:rPr>
              <w:t>4类声环境功能区：指交通干线两侧一定距离之内，需要防止交通噪声对周围环境产生严重影响的区域，包括4a类和4b类两种类型。4a类为高速公路、一级公路、二级公路、城市快速路、城市主干路、城市次干路、城市轨道交通（地面段）、内河航道两侧区域；4b类为铁路干线两侧区域。</w:t>
            </w:r>
          </w:p>
          <w:p w14:paraId="4EA187B4">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color w:val="000000" w:themeColor="text1"/>
                <w:sz w:val="24"/>
                <w:szCs w:val="22"/>
                <w:lang w:val="zh-CN"/>
                <w14:textFill>
                  <w14:solidFill>
                    <w14:schemeClr w14:val="tx1"/>
                  </w14:solidFill>
                </w14:textFill>
              </w:rPr>
            </w:pPr>
            <w:r>
              <w:rPr>
                <w:rFonts w:hint="eastAsia"/>
                <w:color w:val="000000" w:themeColor="text1"/>
                <w:sz w:val="24"/>
                <w:szCs w:val="22"/>
                <w:lang w:val="zh-CN"/>
                <w14:textFill>
                  <w14:solidFill>
                    <w14:schemeClr w14:val="tx1"/>
                  </w14:solidFill>
                </w14:textFill>
              </w:rPr>
              <w:t>各类声环境功能区适用</w:t>
            </w:r>
            <w:r>
              <w:rPr>
                <w:rFonts w:hint="eastAsia"/>
                <w:color w:val="000000" w:themeColor="text1"/>
                <w:sz w:val="24"/>
                <w:szCs w:val="22"/>
                <w:lang w:val="en-US" w:eastAsia="zh-CN"/>
                <w14:textFill>
                  <w14:solidFill>
                    <w14:schemeClr w14:val="tx1"/>
                  </w14:solidFill>
                </w14:textFill>
              </w:rPr>
              <w:t>下表</w:t>
            </w:r>
            <w:r>
              <w:rPr>
                <w:rFonts w:hint="eastAsia"/>
                <w:color w:val="000000" w:themeColor="text1"/>
                <w:sz w:val="24"/>
                <w:szCs w:val="22"/>
                <w:lang w:val="zh-CN"/>
                <w14:textFill>
                  <w14:solidFill>
                    <w14:schemeClr w14:val="tx1"/>
                  </w14:solidFill>
                </w14:textFill>
              </w:rPr>
              <w:t>规定的环境噪声等效声级限值。</w:t>
            </w:r>
          </w:p>
          <w:p w14:paraId="5A4AE697">
            <w:pPr>
              <w:pStyle w:val="97"/>
              <w:keepNext w:val="0"/>
              <w:keepLines w:val="0"/>
              <w:pageBreakBefore w:val="0"/>
              <w:widowControl w:val="0"/>
              <w:kinsoku/>
              <w:wordWrap/>
              <w:overflowPunct/>
              <w:topLinePunct w:val="0"/>
              <w:autoSpaceDE/>
              <w:autoSpaceDN/>
              <w:bidi w:val="0"/>
              <w:adjustRightInd w:val="0"/>
              <w:snapToGrid w:val="0"/>
              <w:spacing w:before="0" w:after="0" w:line="500" w:lineRule="exact"/>
              <w:textAlignment w:val="auto"/>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表3-</w:t>
            </w:r>
            <w:r>
              <w:rPr>
                <w:rFonts w:hint="eastAsia" w:ascii="黑体" w:hAnsi="黑体" w:eastAsia="黑体" w:cs="黑体"/>
                <w:color w:val="000000" w:themeColor="text1"/>
                <w:sz w:val="21"/>
                <w:szCs w:val="21"/>
                <w:lang w:val="en-US" w:eastAsia="zh-CN"/>
                <w14:textFill>
                  <w14:solidFill>
                    <w14:schemeClr w14:val="tx1"/>
                  </w14:solidFill>
                </w14:textFill>
              </w:rPr>
              <w:t xml:space="preserve">6  </w:t>
            </w:r>
            <w:r>
              <w:rPr>
                <w:rFonts w:hint="eastAsia" w:cs="黑体"/>
                <w:color w:val="000000" w:themeColor="text1"/>
                <w:sz w:val="21"/>
                <w:szCs w:val="21"/>
                <w:lang w:val="en-US" w:eastAsia="zh-CN"/>
                <w14:textFill>
                  <w14:solidFill>
                    <w14:schemeClr w14:val="tx1"/>
                  </w14:solidFill>
                </w14:textFill>
              </w:rPr>
              <w:t xml:space="preserve">   </w:t>
            </w:r>
            <w:r>
              <w:rPr>
                <w:rFonts w:hint="eastAsia" w:ascii="黑体" w:hAnsi="黑体" w:eastAsia="黑体" w:cs="黑体"/>
                <w:color w:val="000000" w:themeColor="text1"/>
                <w:sz w:val="21"/>
                <w:szCs w:val="21"/>
                <w14:textFill>
                  <w14:solidFill>
                    <w14:schemeClr w14:val="tx1"/>
                  </w14:solidFill>
                </w14:textFill>
              </w:rPr>
              <w:t>声环境质量标准</w:t>
            </w:r>
          </w:p>
          <w:tbl>
            <w:tblPr>
              <w:tblStyle w:val="27"/>
              <w:tblW w:w="496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1343"/>
              <w:gridCol w:w="2753"/>
              <w:gridCol w:w="2498"/>
            </w:tblGrid>
            <w:tr w14:paraId="0A6653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709" w:type="pct"/>
                  <w:gridSpan w:val="2"/>
                  <w:vMerge w:val="restart"/>
                  <w:noWrap w:val="0"/>
                  <w:vAlign w:val="center"/>
                </w:tcPr>
                <w:p w14:paraId="7FB966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类别</w:t>
                  </w:r>
                </w:p>
              </w:tc>
              <w:tc>
                <w:tcPr>
                  <w:tcW w:w="3290" w:type="pct"/>
                  <w:gridSpan w:val="2"/>
                  <w:noWrap w:val="0"/>
                  <w:vAlign w:val="center"/>
                </w:tcPr>
                <w:p w14:paraId="076102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标准值</w:t>
                  </w:r>
                  <w:r>
                    <w:rPr>
                      <w:rFonts w:hint="eastAsia" w:cs="Times New Roman"/>
                      <w:color w:val="000000" w:themeColor="text1"/>
                      <w:sz w:val="21"/>
                      <w:szCs w:val="21"/>
                      <w:lang w:val="en-US"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dB</w:t>
                  </w:r>
                  <w:r>
                    <w:rPr>
                      <w:rFonts w:hint="eastAsia" w:cs="Times New Roman"/>
                      <w:color w:val="000000" w:themeColor="text1"/>
                      <w:sz w:val="21"/>
                      <w:szCs w:val="21"/>
                      <w:lang w:val="en-US" w:eastAsia="zh-CN"/>
                      <w14:textFill>
                        <w14:solidFill>
                          <w14:schemeClr w14:val="tx1"/>
                        </w14:solidFill>
                      </w14:textFill>
                    </w:rPr>
                    <w:t>(</w:t>
                  </w:r>
                  <w:r>
                    <w:rPr>
                      <w:rFonts w:ascii="Times New Roman" w:hAnsi="Times New Roman" w:eastAsia="宋体" w:cs="Times New Roman"/>
                      <w:color w:val="000000" w:themeColor="text1"/>
                      <w:sz w:val="21"/>
                      <w:szCs w:val="21"/>
                      <w14:textFill>
                        <w14:solidFill>
                          <w14:schemeClr w14:val="tx1"/>
                        </w14:solidFill>
                      </w14:textFill>
                    </w:rPr>
                    <w:t>A</w:t>
                  </w:r>
                  <w:r>
                    <w:rPr>
                      <w:rFonts w:hint="eastAsia" w:cs="Times New Roman"/>
                      <w:color w:val="000000" w:themeColor="text1"/>
                      <w:sz w:val="21"/>
                      <w:szCs w:val="21"/>
                      <w:lang w:val="en-US" w:eastAsia="zh-CN"/>
                      <w14:textFill>
                        <w14:solidFill>
                          <w14:schemeClr w14:val="tx1"/>
                        </w14:solidFill>
                      </w14:textFill>
                    </w:rPr>
                    <w:t>))</w:t>
                  </w:r>
                </w:p>
              </w:tc>
            </w:tr>
            <w:tr w14:paraId="455009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1709" w:type="pct"/>
                  <w:gridSpan w:val="2"/>
                  <w:vMerge w:val="continue"/>
                  <w:noWrap w:val="0"/>
                  <w:vAlign w:val="center"/>
                </w:tcPr>
                <w:p w14:paraId="05249D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sz w:val="21"/>
                      <w:szCs w:val="21"/>
                      <w14:textFill>
                        <w14:solidFill>
                          <w14:schemeClr w14:val="tx1"/>
                        </w14:solidFill>
                      </w14:textFill>
                    </w:rPr>
                  </w:pPr>
                </w:p>
              </w:tc>
              <w:tc>
                <w:tcPr>
                  <w:tcW w:w="1725" w:type="pct"/>
                  <w:noWrap w:val="0"/>
                  <w:vAlign w:val="center"/>
                </w:tcPr>
                <w:p w14:paraId="36780E1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昼间</w:t>
                  </w:r>
                </w:p>
              </w:tc>
              <w:tc>
                <w:tcPr>
                  <w:tcW w:w="1565" w:type="pct"/>
                  <w:noWrap w:val="0"/>
                  <w:vAlign w:val="center"/>
                </w:tcPr>
                <w:p w14:paraId="46E330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夜间</w:t>
                  </w:r>
                </w:p>
              </w:tc>
            </w:tr>
            <w:tr w14:paraId="428DF6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709" w:type="pct"/>
                  <w:gridSpan w:val="2"/>
                  <w:noWrap w:val="0"/>
                  <w:vAlign w:val="center"/>
                </w:tcPr>
                <w:p w14:paraId="1099229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w:t>
                  </w:r>
                  <w:r>
                    <w:rPr>
                      <w:rFonts w:ascii="Times New Roman" w:hAnsi="Times New Roman" w:eastAsia="宋体" w:cs="Times New Roman"/>
                      <w:color w:val="000000" w:themeColor="text1"/>
                      <w:sz w:val="21"/>
                      <w:szCs w:val="21"/>
                      <w14:textFill>
                        <w14:solidFill>
                          <w14:schemeClr w14:val="tx1"/>
                        </w14:solidFill>
                      </w14:textFill>
                    </w:rPr>
                    <w:t>类</w:t>
                  </w:r>
                </w:p>
              </w:tc>
              <w:tc>
                <w:tcPr>
                  <w:tcW w:w="1725" w:type="pct"/>
                  <w:noWrap w:val="0"/>
                  <w:vAlign w:val="center"/>
                </w:tcPr>
                <w:p w14:paraId="05ACA1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50</w:t>
                  </w:r>
                </w:p>
              </w:tc>
              <w:tc>
                <w:tcPr>
                  <w:tcW w:w="1565" w:type="pct"/>
                  <w:noWrap w:val="0"/>
                  <w:vAlign w:val="center"/>
                </w:tcPr>
                <w:p w14:paraId="2BC435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40</w:t>
                  </w:r>
                </w:p>
              </w:tc>
            </w:tr>
            <w:tr w14:paraId="00BFF8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709" w:type="pct"/>
                  <w:gridSpan w:val="2"/>
                  <w:shd w:val="clear" w:color="auto" w:fill="auto"/>
                  <w:noWrap w:val="0"/>
                  <w:vAlign w:val="center"/>
                </w:tcPr>
                <w:p w14:paraId="2BB7710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ascii="Times New Roman" w:hAnsi="Times New Roman" w:eastAsia="宋体" w:cs="Times New Roman"/>
                      <w:color w:val="000000" w:themeColor="text1"/>
                      <w:sz w:val="21"/>
                      <w:szCs w:val="21"/>
                      <w14:textFill>
                        <w14:solidFill>
                          <w14:schemeClr w14:val="tx1"/>
                        </w14:solidFill>
                      </w14:textFill>
                    </w:rPr>
                    <w:t>类</w:t>
                  </w:r>
                </w:p>
              </w:tc>
              <w:tc>
                <w:tcPr>
                  <w:tcW w:w="1725" w:type="pct"/>
                  <w:shd w:val="clear" w:color="auto" w:fill="auto"/>
                  <w:noWrap w:val="0"/>
                  <w:vAlign w:val="center"/>
                </w:tcPr>
                <w:p w14:paraId="5F90C64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55</w:t>
                  </w:r>
                </w:p>
              </w:tc>
              <w:tc>
                <w:tcPr>
                  <w:tcW w:w="1565" w:type="pct"/>
                  <w:shd w:val="clear" w:color="auto" w:fill="auto"/>
                  <w:noWrap w:val="0"/>
                  <w:vAlign w:val="center"/>
                </w:tcPr>
                <w:p w14:paraId="2D26772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45</w:t>
                  </w:r>
                </w:p>
              </w:tc>
            </w:tr>
            <w:tr w14:paraId="79B541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709" w:type="pct"/>
                  <w:gridSpan w:val="2"/>
                  <w:shd w:val="clear" w:color="auto" w:fill="auto"/>
                  <w:noWrap w:val="0"/>
                  <w:vAlign w:val="center"/>
                </w:tcPr>
                <w:p w14:paraId="14BD7F0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2类</w:t>
                  </w:r>
                </w:p>
              </w:tc>
              <w:tc>
                <w:tcPr>
                  <w:tcW w:w="1725" w:type="pct"/>
                  <w:shd w:val="clear" w:color="auto" w:fill="auto"/>
                  <w:noWrap w:val="0"/>
                  <w:vAlign w:val="center"/>
                </w:tcPr>
                <w:p w14:paraId="63D145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60</w:t>
                  </w:r>
                </w:p>
              </w:tc>
              <w:tc>
                <w:tcPr>
                  <w:tcW w:w="1565" w:type="pct"/>
                  <w:shd w:val="clear" w:color="auto" w:fill="auto"/>
                  <w:noWrap w:val="0"/>
                  <w:vAlign w:val="center"/>
                </w:tcPr>
                <w:p w14:paraId="6C2697C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50</w:t>
                  </w:r>
                </w:p>
              </w:tc>
            </w:tr>
            <w:tr w14:paraId="34CBCA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709" w:type="pct"/>
                  <w:gridSpan w:val="2"/>
                  <w:noWrap w:val="0"/>
                  <w:vAlign w:val="center"/>
                </w:tcPr>
                <w:p w14:paraId="1EDAF51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w:t>
                  </w:r>
                  <w:r>
                    <w:rPr>
                      <w:rFonts w:ascii="Times New Roman" w:hAnsi="Times New Roman" w:eastAsia="宋体" w:cs="Times New Roman"/>
                      <w:color w:val="000000" w:themeColor="text1"/>
                      <w:sz w:val="21"/>
                      <w:szCs w:val="21"/>
                      <w14:textFill>
                        <w14:solidFill>
                          <w14:schemeClr w14:val="tx1"/>
                        </w14:solidFill>
                      </w14:textFill>
                    </w:rPr>
                    <w:t>类</w:t>
                  </w:r>
                </w:p>
              </w:tc>
              <w:tc>
                <w:tcPr>
                  <w:tcW w:w="1725" w:type="pct"/>
                  <w:noWrap w:val="0"/>
                  <w:vAlign w:val="center"/>
                </w:tcPr>
                <w:p w14:paraId="3BAD838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65</w:t>
                  </w:r>
                </w:p>
              </w:tc>
              <w:tc>
                <w:tcPr>
                  <w:tcW w:w="1565" w:type="pct"/>
                  <w:noWrap w:val="0"/>
                  <w:vAlign w:val="center"/>
                </w:tcPr>
                <w:p w14:paraId="0B9AAA8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55</w:t>
                  </w:r>
                </w:p>
              </w:tc>
            </w:tr>
            <w:tr w14:paraId="0421AA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867" w:type="pct"/>
                  <w:vMerge w:val="restart"/>
                  <w:noWrap w:val="0"/>
                  <w:vAlign w:val="center"/>
                </w:tcPr>
                <w:p w14:paraId="2CDEC0B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4类</w:t>
                  </w:r>
                </w:p>
              </w:tc>
              <w:tc>
                <w:tcPr>
                  <w:tcW w:w="841" w:type="pct"/>
                  <w:noWrap w:val="0"/>
                  <w:vAlign w:val="center"/>
                </w:tcPr>
                <w:p w14:paraId="38B2CD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4a类</w:t>
                  </w:r>
                </w:p>
              </w:tc>
              <w:tc>
                <w:tcPr>
                  <w:tcW w:w="1725" w:type="pct"/>
                  <w:noWrap w:val="0"/>
                  <w:vAlign w:val="center"/>
                </w:tcPr>
                <w:p w14:paraId="0B028D8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70</w:t>
                  </w:r>
                </w:p>
              </w:tc>
              <w:tc>
                <w:tcPr>
                  <w:tcW w:w="1565" w:type="pct"/>
                  <w:noWrap w:val="0"/>
                  <w:vAlign w:val="center"/>
                </w:tcPr>
                <w:p w14:paraId="08A0664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55</w:t>
                  </w:r>
                </w:p>
              </w:tc>
            </w:tr>
            <w:tr w14:paraId="75C237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867" w:type="pct"/>
                  <w:vMerge w:val="continue"/>
                  <w:noWrap w:val="0"/>
                  <w:vAlign w:val="center"/>
                </w:tcPr>
                <w:p w14:paraId="1AD250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sz w:val="21"/>
                      <w:szCs w:val="21"/>
                      <w14:textFill>
                        <w14:solidFill>
                          <w14:schemeClr w14:val="tx1"/>
                        </w14:solidFill>
                      </w14:textFill>
                    </w:rPr>
                  </w:pPr>
                </w:p>
              </w:tc>
              <w:tc>
                <w:tcPr>
                  <w:tcW w:w="841" w:type="pct"/>
                  <w:noWrap w:val="0"/>
                  <w:vAlign w:val="center"/>
                </w:tcPr>
                <w:p w14:paraId="6D63E80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4b类</w:t>
                  </w:r>
                </w:p>
              </w:tc>
              <w:tc>
                <w:tcPr>
                  <w:tcW w:w="1725" w:type="pct"/>
                  <w:noWrap w:val="0"/>
                  <w:vAlign w:val="center"/>
                </w:tcPr>
                <w:p w14:paraId="280444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70</w:t>
                  </w:r>
                </w:p>
              </w:tc>
              <w:tc>
                <w:tcPr>
                  <w:tcW w:w="1565" w:type="pct"/>
                  <w:noWrap w:val="0"/>
                  <w:vAlign w:val="center"/>
                </w:tcPr>
                <w:p w14:paraId="2E8C63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60</w:t>
                  </w:r>
                </w:p>
              </w:tc>
            </w:tr>
          </w:tbl>
          <w:p w14:paraId="0FE2CC23">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color w:val="000000" w:themeColor="text1"/>
                <w:sz w:val="24"/>
                <w:szCs w:val="22"/>
                <w:lang w:val="zh-CN"/>
                <w14:textFill>
                  <w14:solidFill>
                    <w14:schemeClr w14:val="tx1"/>
                  </w14:solidFill>
                </w14:textFill>
              </w:rPr>
            </w:pPr>
            <w:r>
              <w:rPr>
                <w:rFonts w:hint="eastAsia"/>
                <w:color w:val="000000" w:themeColor="text1"/>
                <w:sz w:val="24"/>
                <w:szCs w:val="22"/>
                <w:lang w:val="en-US" w:eastAsia="zh-CN"/>
                <w14:textFill>
                  <w14:solidFill>
                    <w14:schemeClr w14:val="tx1"/>
                  </w14:solidFill>
                </w14:textFill>
              </w:rPr>
              <w:t>本项目升压汇集站及外送线路声环境影响评价范围内无以</w:t>
            </w:r>
            <w:r>
              <w:rPr>
                <w:rFonts w:hint="eastAsia"/>
                <w:color w:val="000000" w:themeColor="text1"/>
                <w:sz w:val="24"/>
                <w:szCs w:val="22"/>
                <w:lang w:val="zh-CN"/>
                <w14:textFill>
                  <w14:solidFill>
                    <w14:schemeClr w14:val="tx1"/>
                  </w14:solidFill>
                </w14:textFill>
              </w:rPr>
              <w:t>居民住宅、医疗卫生、文化教育、科研设计、行政办公为主要功能</w:t>
            </w:r>
            <w:r>
              <w:rPr>
                <w:rFonts w:hint="eastAsia"/>
                <w:color w:val="000000" w:themeColor="text1"/>
                <w:sz w:val="24"/>
                <w:szCs w:val="22"/>
                <w:lang w:val="en-US" w:eastAsia="zh-CN"/>
                <w14:textFill>
                  <w14:solidFill>
                    <w14:schemeClr w14:val="tx1"/>
                  </w14:solidFill>
                </w14:textFill>
              </w:rPr>
              <w:t>的区域分布；项目位于工业园区外，且声环境影响评价范围内无工业企业分布；项目声环境影响评价范围内无交通干线分布，根据《声环境功能区划分技术规范》（GB/T 15190-2014），项目</w:t>
            </w:r>
            <w:r>
              <w:rPr>
                <w:color w:val="000000" w:themeColor="text1"/>
                <w:sz w:val="24"/>
                <w:szCs w:val="22"/>
                <w:lang w:val="zh-CN"/>
                <w14:textFill>
                  <w14:solidFill>
                    <w14:schemeClr w14:val="tx1"/>
                  </w14:solidFill>
                </w14:textFill>
              </w:rPr>
              <w:t>执行《声环境质量标准》（GB</w:t>
            </w:r>
            <w:r>
              <w:rPr>
                <w:rFonts w:hint="eastAsia"/>
                <w:color w:val="000000" w:themeColor="text1"/>
                <w:sz w:val="24"/>
                <w:szCs w:val="22"/>
                <w:lang w:val="en-US" w:eastAsia="zh-CN"/>
                <w14:textFill>
                  <w14:solidFill>
                    <w14:schemeClr w14:val="tx1"/>
                  </w14:solidFill>
                </w14:textFill>
              </w:rPr>
              <w:t xml:space="preserve"> </w:t>
            </w:r>
            <w:r>
              <w:rPr>
                <w:color w:val="000000" w:themeColor="text1"/>
                <w:sz w:val="24"/>
                <w:szCs w:val="22"/>
                <w:lang w:val="zh-CN"/>
                <w14:textFill>
                  <w14:solidFill>
                    <w14:schemeClr w14:val="tx1"/>
                  </w14:solidFill>
                </w14:textFill>
              </w:rPr>
              <w:t>3096-2008）</w:t>
            </w:r>
            <w:r>
              <w:rPr>
                <w:rFonts w:hint="eastAsia"/>
                <w:color w:val="000000" w:themeColor="text1"/>
                <w:sz w:val="24"/>
                <w:szCs w:val="22"/>
                <w:lang w:val="en-US" w:eastAsia="zh-CN"/>
                <w14:textFill>
                  <w14:solidFill>
                    <w14:schemeClr w14:val="tx1"/>
                  </w14:solidFill>
                </w14:textFill>
              </w:rPr>
              <w:t>中</w:t>
            </w:r>
            <w:r>
              <w:rPr>
                <w:color w:val="000000" w:themeColor="text1"/>
                <w:sz w:val="24"/>
                <w:szCs w:val="22"/>
                <w:lang w:val="zh-CN"/>
                <w14:textFill>
                  <w14:solidFill>
                    <w14:schemeClr w14:val="tx1"/>
                  </w14:solidFill>
                </w14:textFill>
              </w:rPr>
              <w:t>2类标准</w:t>
            </w:r>
            <w:r>
              <w:rPr>
                <w:rFonts w:hint="eastAsia"/>
                <w:color w:val="000000" w:themeColor="text1"/>
                <w:sz w:val="24"/>
                <w:szCs w:val="22"/>
                <w:lang w:val="en-US" w:eastAsia="zh-CN"/>
                <w14:textFill>
                  <w14:solidFill>
                    <w14:schemeClr w14:val="tx1"/>
                  </w14:solidFill>
                </w14:textFill>
              </w:rPr>
              <w:t>限值要求</w:t>
            </w:r>
            <w:r>
              <w:rPr>
                <w:rFonts w:hint="eastAsia"/>
                <w:color w:val="000000" w:themeColor="text1"/>
                <w:sz w:val="24"/>
                <w:szCs w:val="22"/>
                <w:lang w:val="zh-CN"/>
                <w14:textFill>
                  <w14:solidFill>
                    <w14:schemeClr w14:val="tx1"/>
                  </w14:solidFill>
                </w14:textFill>
              </w:rPr>
              <w:t>，</w:t>
            </w:r>
            <w:r>
              <w:rPr>
                <w:rFonts w:hint="eastAsia"/>
                <w:color w:val="000000" w:themeColor="text1"/>
                <w:sz w:val="24"/>
                <w:szCs w:val="22"/>
                <w:lang w:val="en-US" w:eastAsia="zh-CN"/>
                <w14:textFill>
                  <w14:solidFill>
                    <w14:schemeClr w14:val="tx1"/>
                  </w14:solidFill>
                </w14:textFill>
              </w:rPr>
              <w:t>即昼间≤60dB(A)，夜间≤50dB(A)</w:t>
            </w:r>
            <w:r>
              <w:rPr>
                <w:color w:val="000000" w:themeColor="text1"/>
                <w:sz w:val="24"/>
                <w:szCs w:val="22"/>
                <w:lang w:val="zh-CN"/>
                <w14:textFill>
                  <w14:solidFill>
                    <w14:schemeClr w14:val="tx1"/>
                  </w14:solidFill>
                </w14:textFill>
              </w:rPr>
              <w:t>。</w:t>
            </w:r>
          </w:p>
          <w:p w14:paraId="52E2567C">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0" w:leftChars="0" w:firstLine="480" w:firstLineChars="200"/>
              <w:textAlignment w:val="auto"/>
              <w:rPr>
                <w:color w:val="000000" w:themeColor="text1"/>
                <w:kern w:val="0"/>
                <w:sz w:val="24"/>
                <w:lang w:bidi="ar"/>
                <w14:textFill>
                  <w14:solidFill>
                    <w14:schemeClr w14:val="tx1"/>
                  </w14:solidFill>
                </w14:textFill>
              </w:rPr>
            </w:pPr>
            <w:r>
              <w:rPr>
                <w:rFonts w:ascii="Times New Roman" w:hAnsi="Times New Roman" w:eastAsia="宋体" w:cs="Times New Roman"/>
                <w:color w:val="000000" w:themeColor="text1"/>
                <w:kern w:val="0"/>
                <w:sz w:val="24"/>
                <w:szCs w:val="24"/>
                <w:lang w:val="en-US" w:eastAsia="zh-CN" w:bidi="ar"/>
                <w14:textFill>
                  <w14:solidFill>
                    <w14:schemeClr w14:val="tx1"/>
                  </w14:solidFill>
                </w14:textFill>
              </w:rPr>
              <w:t>（3）</w:t>
            </w:r>
            <w:r>
              <w:rPr>
                <w:rFonts w:hint="eastAsia" w:cs="Times New Roman"/>
                <w:color w:val="000000" w:themeColor="text1"/>
                <w:kern w:val="0"/>
                <w:sz w:val="24"/>
                <w:szCs w:val="24"/>
                <w:lang w:val="en-US" w:eastAsia="zh-CN" w:bidi="ar"/>
                <w14:textFill>
                  <w14:solidFill>
                    <w14:schemeClr w14:val="tx1"/>
                  </w14:solidFill>
                </w14:textFill>
              </w:rPr>
              <w:t>根据</w:t>
            </w:r>
            <w:r>
              <w:rPr>
                <w:color w:val="000000" w:themeColor="text1"/>
                <w:kern w:val="0"/>
                <w:sz w:val="24"/>
                <w:lang w:bidi="ar"/>
                <w14:textFill>
                  <w14:solidFill>
                    <w14:schemeClr w14:val="tx1"/>
                  </w14:solidFill>
                </w14:textFill>
              </w:rPr>
              <w:t>《电磁环境控制限值》</w:t>
            </w:r>
            <w:r>
              <w:rPr>
                <w:rFonts w:hint="eastAsia"/>
                <w:color w:val="000000" w:themeColor="text1"/>
                <w:kern w:val="0"/>
                <w:sz w:val="24"/>
                <w:lang w:eastAsia="zh-CN" w:bidi="ar"/>
                <w14:textFill>
                  <w14:solidFill>
                    <w14:schemeClr w14:val="tx1"/>
                  </w14:solidFill>
                </w14:textFill>
              </w:rPr>
              <w:t>（</w:t>
            </w:r>
            <w:r>
              <w:rPr>
                <w:color w:val="000000" w:themeColor="text1"/>
                <w:kern w:val="0"/>
                <w:sz w:val="24"/>
                <w:lang w:bidi="ar"/>
                <w14:textFill>
                  <w14:solidFill>
                    <w14:schemeClr w14:val="tx1"/>
                  </w14:solidFill>
                </w14:textFill>
              </w:rPr>
              <w:t>GB</w:t>
            </w:r>
            <w:r>
              <w:rPr>
                <w:rFonts w:hint="eastAsia"/>
                <w:color w:val="000000" w:themeColor="text1"/>
                <w:kern w:val="0"/>
                <w:sz w:val="24"/>
                <w:lang w:val="en-US" w:eastAsia="zh-CN" w:bidi="ar"/>
                <w14:textFill>
                  <w14:solidFill>
                    <w14:schemeClr w14:val="tx1"/>
                  </w14:solidFill>
                </w14:textFill>
              </w:rPr>
              <w:t xml:space="preserve"> </w:t>
            </w:r>
            <w:r>
              <w:rPr>
                <w:color w:val="000000" w:themeColor="text1"/>
                <w:kern w:val="0"/>
                <w:sz w:val="24"/>
                <w:lang w:bidi="ar"/>
                <w14:textFill>
                  <w14:solidFill>
                    <w14:schemeClr w14:val="tx1"/>
                  </w14:solidFill>
                </w14:textFill>
              </w:rPr>
              <w:t>8702-2014</w:t>
            </w:r>
            <w:r>
              <w:rPr>
                <w:rFonts w:hint="eastAsia"/>
                <w:color w:val="000000" w:themeColor="text1"/>
                <w:kern w:val="0"/>
                <w:sz w:val="24"/>
                <w:lang w:eastAsia="zh-CN" w:bidi="ar"/>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频率为50Hz时</w:t>
            </w:r>
            <w:r>
              <w:rPr>
                <w:rFonts w:hint="eastAsia"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工频电场强度公众曝露控制限值≤4kV/m</w:t>
            </w:r>
            <w:r>
              <w:rPr>
                <w:rFonts w:hint="eastAsia" w:ascii="Times New Roman" w:hAnsi="Times New Roman" w:eastAsia="宋体"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工频磁感应强度公众曝露控制限值≤100μT</w:t>
            </w:r>
            <w:r>
              <w:rPr>
                <w:color w:val="000000" w:themeColor="text1"/>
                <w:kern w:val="0"/>
                <w:sz w:val="24"/>
                <w:lang w:bidi="ar"/>
                <w14:textFill>
                  <w14:solidFill>
                    <w14:schemeClr w14:val="tx1"/>
                  </w14:solidFill>
                </w14:textFill>
              </w:rPr>
              <w:t>。</w:t>
            </w:r>
            <w:r>
              <w:rPr>
                <w:rFonts w:hint="eastAsia"/>
                <w:color w:val="000000" w:themeColor="text1"/>
                <w:kern w:val="0"/>
                <w:sz w:val="24"/>
                <w:lang w:bidi="ar"/>
                <w14:textFill>
                  <w14:solidFill>
                    <w14:schemeClr w14:val="tx1"/>
                  </w14:solidFill>
                </w14:textFill>
              </w:rPr>
              <w:t>架空输电线路线下的耕地、园地、牧草地、畜禽饲养地、养殖水面、道路等场所，其频率50Hz的电场强度控制限值为10kV/m，且应给出警示和防护指示标志。</w:t>
            </w:r>
          </w:p>
          <w:p w14:paraId="7FD69412">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Chars="0" w:firstLine="482" w:firstLineChars="200"/>
              <w:textAlignment w:val="auto"/>
              <w:rPr>
                <w:b/>
                <w:bCs/>
                <w:color w:val="000000" w:themeColor="text1"/>
                <w:sz w:val="24"/>
                <w:szCs w:val="22"/>
                <w14:textFill>
                  <w14:solidFill>
                    <w14:schemeClr w14:val="tx1"/>
                  </w14:solidFill>
                </w14:textFill>
              </w:rPr>
            </w:pPr>
            <w:r>
              <w:rPr>
                <w:rFonts w:hint="eastAsia"/>
                <w:b/>
                <w:bCs/>
                <w:color w:val="000000" w:themeColor="text1"/>
                <w:sz w:val="24"/>
                <w:szCs w:val="22"/>
                <w:lang w:eastAsia="zh-CN"/>
                <w14:textFill>
                  <w14:solidFill>
                    <w14:schemeClr w14:val="tx1"/>
                  </w14:solidFill>
                </w14:textFill>
              </w:rPr>
              <w:t>2.</w:t>
            </w:r>
            <w:r>
              <w:rPr>
                <w:b/>
                <w:bCs/>
                <w:color w:val="000000" w:themeColor="text1"/>
                <w:sz w:val="24"/>
                <w:szCs w:val="22"/>
                <w14:textFill>
                  <w14:solidFill>
                    <w14:schemeClr w14:val="tx1"/>
                  </w14:solidFill>
                </w14:textFill>
              </w:rPr>
              <w:t>污染物排放标准</w:t>
            </w:r>
          </w:p>
          <w:p w14:paraId="748AC37A">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color w:val="000000" w:themeColor="text1"/>
                <w:sz w:val="24"/>
                <w:szCs w:val="22"/>
                <w:lang w:val="zh-CN"/>
                <w14:textFill>
                  <w14:solidFill>
                    <w14:schemeClr w14:val="tx1"/>
                  </w14:solidFill>
                </w14:textFill>
              </w:rPr>
            </w:pPr>
            <w:r>
              <w:rPr>
                <w:color w:val="000000" w:themeColor="text1"/>
                <w:sz w:val="24"/>
                <w:szCs w:val="22"/>
                <w:lang w:val="zh-CN"/>
                <w14:textFill>
                  <w14:solidFill>
                    <w14:schemeClr w14:val="tx1"/>
                  </w14:solidFill>
                </w14:textFill>
              </w:rPr>
              <w:t>（1）废气</w:t>
            </w:r>
          </w:p>
          <w:p w14:paraId="34814F07">
            <w:pPr>
              <w:keepNext w:val="0"/>
              <w:keepLines w:val="0"/>
              <w:pageBreakBefore w:val="0"/>
              <w:widowControl w:val="0"/>
              <w:kinsoku/>
              <w:wordWrap/>
              <w:overflowPunct/>
              <w:topLinePunct w:val="0"/>
              <w:autoSpaceDE/>
              <w:autoSpaceDN/>
              <w:bidi w:val="0"/>
              <w:adjustRightInd w:val="0"/>
              <w:snapToGrid w:val="0"/>
              <w:spacing w:line="500" w:lineRule="exact"/>
              <w:ind w:leftChars="0" w:firstLine="480" w:firstLineChars="200"/>
              <w:textAlignment w:val="auto"/>
              <w:rPr>
                <w:rFonts w:hint="default" w:eastAsia="宋体"/>
                <w:color w:val="000000" w:themeColor="text1"/>
                <w:sz w:val="24"/>
                <w:szCs w:val="22"/>
                <w:lang w:val="en-US" w:eastAsia="zh-CN"/>
                <w14:textFill>
                  <w14:solidFill>
                    <w14:schemeClr w14:val="tx1"/>
                  </w14:solidFill>
                </w14:textFill>
              </w:rPr>
            </w:pPr>
            <w:r>
              <w:rPr>
                <w:color w:val="000000" w:themeColor="text1"/>
                <w:sz w:val="24"/>
                <w:szCs w:val="22"/>
                <w14:textFill>
                  <w14:solidFill>
                    <w14:schemeClr w14:val="tx1"/>
                  </w14:solidFill>
                </w14:textFill>
              </w:rPr>
              <w:t>施工期</w:t>
            </w:r>
            <w:r>
              <w:rPr>
                <w:color w:val="000000" w:themeColor="text1"/>
                <w:sz w:val="24"/>
                <w:szCs w:val="22"/>
                <w:lang w:val="zh-CN"/>
                <w14:textFill>
                  <w14:solidFill>
                    <w14:schemeClr w14:val="tx1"/>
                  </w14:solidFill>
                </w14:textFill>
              </w:rPr>
              <w:t>废气执行《大气污染物综合排放标准》（GB16297-1996）</w:t>
            </w:r>
            <w:r>
              <w:rPr>
                <w:rFonts w:hint="eastAsia"/>
                <w:color w:val="000000" w:themeColor="text1"/>
                <w:sz w:val="24"/>
                <w:szCs w:val="22"/>
                <w14:textFill>
                  <w14:solidFill>
                    <w14:schemeClr w14:val="tx1"/>
                  </w14:solidFill>
                </w14:textFill>
              </w:rPr>
              <w:t>颗粒物排放</w:t>
            </w:r>
            <w:r>
              <w:rPr>
                <w:color w:val="000000" w:themeColor="text1"/>
                <w:sz w:val="24"/>
                <w:szCs w:val="22"/>
                <w:lang w:val="zh-CN"/>
                <w14:textFill>
                  <w14:solidFill>
                    <w14:schemeClr w14:val="tx1"/>
                  </w14:solidFill>
                </w14:textFill>
              </w:rPr>
              <w:t>浓度限值要求</w:t>
            </w:r>
            <w:r>
              <w:rPr>
                <w:color w:val="000000" w:themeColor="text1"/>
                <w:sz w:val="24"/>
                <w:szCs w:val="22"/>
                <w14:textFill>
                  <w14:solidFill>
                    <w14:schemeClr w14:val="tx1"/>
                  </w14:solidFill>
                </w14:textFill>
              </w:rPr>
              <w:t>产生</w:t>
            </w:r>
            <w:r>
              <w:rPr>
                <w:color w:val="000000" w:themeColor="text1"/>
                <w:sz w:val="24"/>
                <w:szCs w:val="22"/>
                <w:lang w:val="zh-CN"/>
                <w14:textFill>
                  <w14:solidFill>
                    <w14:schemeClr w14:val="tx1"/>
                  </w14:solidFill>
                </w14:textFill>
              </w:rPr>
              <w:t>。</w:t>
            </w:r>
          </w:p>
          <w:p w14:paraId="7DEA77C0">
            <w:pPr>
              <w:pStyle w:val="97"/>
              <w:keepNext w:val="0"/>
              <w:keepLines w:val="0"/>
              <w:pageBreakBefore w:val="0"/>
              <w:widowControl w:val="0"/>
              <w:kinsoku/>
              <w:wordWrap/>
              <w:overflowPunct/>
              <w:topLinePunct w:val="0"/>
              <w:autoSpaceDE/>
              <w:autoSpaceDN/>
              <w:bidi w:val="0"/>
              <w:adjustRightInd w:val="0"/>
              <w:snapToGrid w:val="0"/>
              <w:spacing w:before="0" w:after="0" w:line="500" w:lineRule="exact"/>
              <w:textAlignment w:val="auto"/>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表3-</w:t>
            </w:r>
            <w:r>
              <w:rPr>
                <w:rFonts w:hint="eastAsia" w:ascii="黑体" w:hAnsi="黑体" w:eastAsia="黑体" w:cs="黑体"/>
                <w:color w:val="000000" w:themeColor="text1"/>
                <w:sz w:val="21"/>
                <w:szCs w:val="21"/>
                <w:lang w:val="en-US" w:eastAsia="zh-CN"/>
                <w14:textFill>
                  <w14:solidFill>
                    <w14:schemeClr w14:val="tx1"/>
                  </w14:solidFill>
                </w14:textFill>
              </w:rPr>
              <w:t xml:space="preserve">7   </w:t>
            </w:r>
            <w:r>
              <w:rPr>
                <w:rFonts w:hint="eastAsia" w:ascii="黑体" w:hAnsi="黑体" w:eastAsia="黑体" w:cs="黑体"/>
                <w:color w:val="000000" w:themeColor="text1"/>
                <w:sz w:val="21"/>
                <w:szCs w:val="21"/>
                <w14:textFill>
                  <w14:solidFill>
                    <w14:schemeClr w14:val="tx1"/>
                  </w14:solidFill>
                </w14:textFill>
              </w:rPr>
              <w:t xml:space="preserve"> 大气污染物排放浓度限值</w:t>
            </w:r>
            <w:r>
              <w:rPr>
                <w:rFonts w:hint="eastAsia" w:ascii="黑体" w:hAnsi="黑体" w:eastAsia="黑体" w:cs="黑体"/>
                <w:color w:val="000000" w:themeColor="text1"/>
                <w:sz w:val="21"/>
                <w:szCs w:val="21"/>
                <w:lang w:val="en-US" w:eastAsia="zh-CN"/>
                <w14:textFill>
                  <w14:solidFill>
                    <w14:schemeClr w14:val="tx1"/>
                  </w14:solidFill>
                </w14:textFill>
              </w:rPr>
              <w:t xml:space="preserve">    </w:t>
            </w:r>
            <w:r>
              <w:rPr>
                <w:rFonts w:hint="eastAsia" w:ascii="黑体" w:hAnsi="黑体" w:eastAsia="黑体" w:cs="黑体"/>
                <w:color w:val="000000" w:themeColor="text1"/>
                <w:sz w:val="21"/>
                <w:szCs w:val="21"/>
                <w14:textFill>
                  <w14:solidFill>
                    <w14:schemeClr w14:val="tx1"/>
                  </w14:solidFill>
                </w14:textFill>
              </w:rPr>
              <w:t>单位：mg/m</w:t>
            </w:r>
            <w:r>
              <w:rPr>
                <w:rFonts w:hint="eastAsia" w:ascii="黑体" w:hAnsi="黑体" w:eastAsia="黑体" w:cs="黑体"/>
                <w:color w:val="000000" w:themeColor="text1"/>
                <w:sz w:val="21"/>
                <w:szCs w:val="21"/>
                <w:vertAlign w:val="superscript"/>
                <w14:textFill>
                  <w14:solidFill>
                    <w14:schemeClr w14:val="tx1"/>
                  </w14:solidFill>
                </w14:textFill>
              </w:rPr>
              <w:t>3</w:t>
            </w:r>
          </w:p>
          <w:tbl>
            <w:tblPr>
              <w:tblStyle w:val="27"/>
              <w:tblW w:w="8039"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74"/>
              <w:gridCol w:w="2679"/>
              <w:gridCol w:w="2686"/>
            </w:tblGrid>
            <w:tr w14:paraId="2B1594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1663" w:type="pct"/>
                  <w:vMerge w:val="restart"/>
                  <w:noWrap w:val="0"/>
                  <w:vAlign w:val="center"/>
                </w:tcPr>
                <w:p w14:paraId="6B2C404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污染物</w:t>
                  </w:r>
                </w:p>
              </w:tc>
              <w:tc>
                <w:tcPr>
                  <w:tcW w:w="3336" w:type="pct"/>
                  <w:gridSpan w:val="2"/>
                  <w:noWrap w:val="0"/>
                  <w:vAlign w:val="center"/>
                </w:tcPr>
                <w:p w14:paraId="493C71BA">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无组织排放监控浓度限值</w:t>
                  </w:r>
                </w:p>
              </w:tc>
            </w:tr>
            <w:tr w14:paraId="178782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1663" w:type="pct"/>
                  <w:vMerge w:val="continue"/>
                  <w:noWrap w:val="0"/>
                  <w:vAlign w:val="center"/>
                </w:tcPr>
                <w:p w14:paraId="051AD5A7">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color w:val="000000" w:themeColor="text1"/>
                      <w:sz w:val="21"/>
                      <w:szCs w:val="21"/>
                      <w14:textFill>
                        <w14:solidFill>
                          <w14:schemeClr w14:val="tx1"/>
                        </w14:solidFill>
                      </w14:textFill>
                    </w:rPr>
                  </w:pPr>
                </w:p>
              </w:tc>
              <w:tc>
                <w:tcPr>
                  <w:tcW w:w="1666" w:type="pct"/>
                  <w:noWrap w:val="0"/>
                  <w:vAlign w:val="center"/>
                </w:tcPr>
                <w:p w14:paraId="2101084B">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监控点</w:t>
                  </w:r>
                </w:p>
              </w:tc>
              <w:tc>
                <w:tcPr>
                  <w:tcW w:w="1670" w:type="pct"/>
                  <w:noWrap w:val="0"/>
                  <w:vAlign w:val="center"/>
                </w:tcPr>
                <w:p w14:paraId="260AC09C">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(mg/m³)</w:t>
                  </w:r>
                </w:p>
              </w:tc>
            </w:tr>
            <w:tr w14:paraId="7D648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1663" w:type="pct"/>
                  <w:noWrap w:val="0"/>
                  <w:vAlign w:val="center"/>
                </w:tcPr>
                <w:p w14:paraId="704D884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颗粒物</w:t>
                  </w:r>
                </w:p>
              </w:tc>
              <w:tc>
                <w:tcPr>
                  <w:tcW w:w="1666" w:type="pct"/>
                  <w:noWrap w:val="0"/>
                  <w:vAlign w:val="center"/>
                </w:tcPr>
                <w:p w14:paraId="19B07C8D">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周界外浓度最高点</w:t>
                  </w:r>
                </w:p>
              </w:tc>
              <w:tc>
                <w:tcPr>
                  <w:tcW w:w="1670" w:type="pct"/>
                  <w:noWrap w:val="0"/>
                  <w:vAlign w:val="center"/>
                </w:tcPr>
                <w:p w14:paraId="23E8DF0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1.0</w:t>
                  </w:r>
                </w:p>
              </w:tc>
            </w:tr>
          </w:tbl>
          <w:p w14:paraId="5FFC7FD7">
            <w:pPr>
              <w:adjustRightInd w:val="0"/>
              <w:snapToGrid w:val="0"/>
              <w:spacing w:line="500" w:lineRule="exact"/>
              <w:ind w:firstLine="480" w:firstLineChars="200"/>
              <w:rPr>
                <w:rFonts w:hint="eastAsia" w:eastAsia="宋体"/>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运营期油烟执行</w:t>
            </w:r>
            <w:r>
              <w:rPr>
                <w:rFonts w:hint="eastAsia"/>
                <w:color w:val="000000" w:themeColor="text1"/>
                <w:lang w:val="zh-CN"/>
                <w14:textFill>
                  <w14:solidFill>
                    <w14:schemeClr w14:val="tx1"/>
                  </w14:solidFill>
                </w14:textFill>
              </w:rPr>
              <w:t>《饮食业油烟排放标准（试行）》（GB18483-2001）</w:t>
            </w:r>
            <w:r>
              <w:rPr>
                <w:color w:val="000000" w:themeColor="text1"/>
                <w14:textFill>
                  <w14:solidFill>
                    <w14:schemeClr w14:val="tx1"/>
                  </w14:solidFill>
                </w14:textFill>
              </w:rPr>
              <w:t>中</w:t>
            </w:r>
            <w:r>
              <w:rPr>
                <w:rFonts w:hint="eastAsia"/>
                <w:color w:val="000000" w:themeColor="text1"/>
                <w14:textFill>
                  <w14:solidFill>
                    <w14:schemeClr w14:val="tx1"/>
                  </w14:solidFill>
                </w14:textFill>
              </w:rPr>
              <w:t>油烟排放浓度≤2.0mg/m</w:t>
            </w:r>
            <w:r>
              <w:rPr>
                <w:rFonts w:hint="eastAsia"/>
                <w:color w:val="000000" w:themeColor="text1"/>
                <w:vertAlign w:val="superscript"/>
                <w14:textFill>
                  <w14:solidFill>
                    <w14:schemeClr w14:val="tx1"/>
                  </w14:solidFill>
                </w14:textFill>
              </w:rPr>
              <w:t>3</w:t>
            </w:r>
            <w:r>
              <w:rPr>
                <w:color w:val="000000" w:themeColor="text1"/>
                <w14:textFill>
                  <w14:solidFill>
                    <w14:schemeClr w14:val="tx1"/>
                  </w14:solidFill>
                </w14:textFill>
              </w:rPr>
              <w:t>的标准</w:t>
            </w:r>
            <w:r>
              <w:rPr>
                <w:rFonts w:hint="eastAsia"/>
                <w:color w:val="000000" w:themeColor="text1"/>
                <w:lang w:val="en-US" w:eastAsia="zh-CN"/>
                <w14:textFill>
                  <w14:solidFill>
                    <w14:schemeClr w14:val="tx1"/>
                  </w14:solidFill>
                </w14:textFill>
              </w:rPr>
              <w:t>限值</w:t>
            </w:r>
            <w:r>
              <w:rPr>
                <w:rFonts w:hint="eastAsia"/>
                <w:color w:val="000000" w:themeColor="text1"/>
                <w:lang w:eastAsia="zh-CN"/>
                <w14:textFill>
                  <w14:solidFill>
                    <w14:schemeClr w14:val="tx1"/>
                  </w14:solidFill>
                </w14:textFill>
              </w:rPr>
              <w:t>。</w:t>
            </w:r>
          </w:p>
          <w:p w14:paraId="0D32947C">
            <w:pPr>
              <w:keepNext w:val="0"/>
              <w:keepLines w:val="0"/>
              <w:pageBreakBefore w:val="0"/>
              <w:widowControl w:val="0"/>
              <w:kinsoku/>
              <w:wordWrap/>
              <w:overflowPunct/>
              <w:topLinePunct w:val="0"/>
              <w:autoSpaceDE/>
              <w:autoSpaceDN/>
              <w:bidi w:val="0"/>
              <w:spacing w:line="500" w:lineRule="atLeast"/>
              <w:ind w:firstLine="480" w:firstLineChars="200"/>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（2）废水</w:t>
            </w:r>
          </w:p>
          <w:p w14:paraId="47C69321">
            <w:pPr>
              <w:keepNext w:val="0"/>
              <w:keepLines w:val="0"/>
              <w:pageBreakBefore w:val="0"/>
              <w:widowControl w:val="0"/>
              <w:kinsoku/>
              <w:wordWrap/>
              <w:overflowPunct/>
              <w:topLinePunct w:val="0"/>
              <w:autoSpaceDE/>
              <w:autoSpaceDN/>
              <w:bidi w:val="0"/>
              <w:adjustRightInd w:val="0"/>
              <w:snapToGrid w:val="0"/>
              <w:spacing w:line="500" w:lineRule="atLeast"/>
              <w:ind w:firstLine="480" w:firstLineChars="200"/>
              <w:textAlignment w:val="auto"/>
              <w:rPr>
                <w:color w:val="000000" w:themeColor="text1"/>
                <w:sz w:val="24"/>
                <w:szCs w:val="22"/>
                <w14:textFill>
                  <w14:solidFill>
                    <w14:schemeClr w14:val="tx1"/>
                  </w14:solidFill>
                </w14:textFill>
              </w:rPr>
            </w:pPr>
            <w:r>
              <w:rPr>
                <w:color w:val="000000" w:themeColor="text1"/>
                <w:sz w:val="24"/>
                <w14:textFill>
                  <w14:solidFill>
                    <w14:schemeClr w14:val="tx1"/>
                  </w14:solidFill>
                </w14:textFill>
              </w:rPr>
              <w:t>施工人员产生的生活污水</w:t>
            </w:r>
            <w:r>
              <w:rPr>
                <w:rFonts w:hint="eastAsia"/>
                <w:color w:val="000000" w:themeColor="text1"/>
                <w:sz w:val="24"/>
                <w:lang w:val="en-US" w:eastAsia="zh-CN"/>
                <w14:textFill>
                  <w14:solidFill>
                    <w14:schemeClr w14:val="tx1"/>
                  </w14:solidFill>
                </w14:textFill>
              </w:rPr>
              <w:t>经防渗收集池收集后，</w:t>
            </w:r>
            <w:r>
              <w:rPr>
                <w:color w:val="000000" w:themeColor="text1"/>
                <w:sz w:val="24"/>
                <w14:textFill>
                  <w14:solidFill>
                    <w14:schemeClr w14:val="tx1"/>
                  </w14:solidFill>
                </w14:textFill>
              </w:rPr>
              <w:t>委托清运至</w:t>
            </w:r>
            <w:r>
              <w:rPr>
                <w:rFonts w:hint="eastAsia"/>
                <w:color w:val="000000" w:themeColor="text1"/>
                <w:sz w:val="24"/>
                <w14:textFill>
                  <w14:solidFill>
                    <w14:schemeClr w14:val="tx1"/>
                  </w14:solidFill>
                </w14:textFill>
              </w:rPr>
              <w:t>巴州且末县污水处理厂</w:t>
            </w:r>
            <w:r>
              <w:rPr>
                <w:color w:val="000000" w:themeColor="text1"/>
                <w:sz w:val="24"/>
                <w14:textFill>
                  <w14:solidFill>
                    <w14:schemeClr w14:val="tx1"/>
                  </w14:solidFill>
                </w14:textFill>
              </w:rPr>
              <w:t>处理。</w:t>
            </w:r>
            <w:r>
              <w:rPr>
                <w:color w:val="000000" w:themeColor="text1"/>
                <w:sz w:val="24"/>
                <w:szCs w:val="22"/>
                <w14:textFill>
                  <w14:solidFill>
                    <w14:schemeClr w14:val="tx1"/>
                  </w14:solidFill>
                </w14:textFill>
              </w:rPr>
              <w:t>运营期无生产废水排放</w:t>
            </w:r>
            <w:r>
              <w:rPr>
                <w:color w:val="000000" w:themeColor="text1"/>
                <w:sz w:val="24"/>
                <w:szCs w:val="22"/>
                <w:lang w:val="zh-CN"/>
                <w14:textFill>
                  <w14:solidFill>
                    <w14:schemeClr w14:val="tx1"/>
                  </w14:solidFill>
                </w14:textFill>
              </w:rPr>
              <w:t>，生活污水</w:t>
            </w:r>
            <w:r>
              <w:rPr>
                <w:rFonts w:hint="eastAsia"/>
                <w:color w:val="000000" w:themeColor="text1"/>
                <w:sz w:val="24"/>
                <w:szCs w:val="22"/>
                <w:lang w:val="en-US" w:eastAsia="zh-CN"/>
                <w14:textFill>
                  <w14:solidFill>
                    <w14:schemeClr w14:val="tx1"/>
                  </w14:solidFill>
                </w14:textFill>
              </w:rPr>
              <w:t>经一体化污水处理设施处理后冬储夏灌</w:t>
            </w:r>
            <w:r>
              <w:rPr>
                <w:color w:val="000000" w:themeColor="text1"/>
                <w:sz w:val="24"/>
                <w:szCs w:val="22"/>
                <w:lang w:val="zh-CN"/>
                <w14:textFill>
                  <w14:solidFill>
                    <w14:schemeClr w14:val="tx1"/>
                  </w14:solidFill>
                </w14:textFill>
              </w:rPr>
              <w:t>，</w:t>
            </w:r>
            <w:r>
              <w:rPr>
                <w:rFonts w:hint="eastAsia"/>
                <w:color w:val="000000" w:themeColor="text1"/>
                <w:sz w:val="24"/>
                <w14:textFill>
                  <w14:solidFill>
                    <w14:schemeClr w14:val="tx1"/>
                  </w14:solidFill>
                </w14:textFill>
              </w:rPr>
              <w:t>执行《</w:t>
            </w:r>
            <w:r>
              <w:rPr>
                <w:rFonts w:ascii="宋体" w:hAnsi="宋体" w:eastAsia="宋体" w:cs="宋体"/>
                <w:color w:val="000000" w:themeColor="text1"/>
                <w:sz w:val="24"/>
                <w:szCs w:val="24"/>
                <w14:textFill>
                  <w14:solidFill>
                    <w14:schemeClr w14:val="tx1"/>
                  </w14:solidFill>
                </w14:textFill>
              </w:rPr>
              <w:t>农村生活污水处理排放标准</w:t>
            </w:r>
            <w:r>
              <w:rPr>
                <w:rFonts w:hint="eastAsia"/>
                <w:color w:val="000000" w:themeColor="text1"/>
                <w:sz w:val="24"/>
                <w14:textFill>
                  <w14:solidFill>
                    <w14:schemeClr w14:val="tx1"/>
                  </w14:solidFill>
                </w14:textFill>
              </w:rPr>
              <w:t>》（DB 65 4275-2019）</w:t>
            </w:r>
            <w:r>
              <w:rPr>
                <w:color w:val="000000" w:themeColor="text1"/>
                <w:sz w:val="24"/>
                <w14:textFill>
                  <w14:solidFill>
                    <w14:schemeClr w14:val="tx1"/>
                  </w14:solidFill>
                </w14:textFill>
              </w:rPr>
              <w:t>中</w:t>
            </w:r>
            <w:r>
              <w:rPr>
                <w:rFonts w:hint="eastAsia"/>
                <w:color w:val="000000" w:themeColor="text1"/>
                <w:sz w:val="24"/>
                <w:lang w:val="en-US" w:eastAsia="zh-CN"/>
                <w14:textFill>
                  <w14:solidFill>
                    <w14:schemeClr w14:val="tx1"/>
                  </w14:solidFill>
                </w14:textFill>
              </w:rPr>
              <w:t>B</w:t>
            </w:r>
            <w:r>
              <w:rPr>
                <w:color w:val="000000" w:themeColor="text1"/>
                <w:sz w:val="24"/>
                <w14:textFill>
                  <w14:solidFill>
                    <w14:schemeClr w14:val="tx1"/>
                  </w14:solidFill>
                </w14:textFill>
              </w:rPr>
              <w:t>级标准</w:t>
            </w:r>
            <w:r>
              <w:rPr>
                <w:rFonts w:hint="eastAsia"/>
                <w:color w:val="000000" w:themeColor="text1"/>
                <w:sz w:val="24"/>
                <w:lang w:eastAsia="zh-CN"/>
                <w14:textFill>
                  <w14:solidFill>
                    <w14:schemeClr w14:val="tx1"/>
                  </w14:solidFill>
                </w14:textFill>
              </w:rPr>
              <w:t>（</w:t>
            </w:r>
            <w:r>
              <w:rPr>
                <w:rFonts w:hint="eastAsia"/>
                <w:color w:val="000000" w:themeColor="text1"/>
                <w:sz w:val="24"/>
                <w:lang w:val="en-US" w:eastAsia="zh-CN"/>
                <w14:textFill>
                  <w14:solidFill>
                    <w14:schemeClr w14:val="tx1"/>
                  </w14:solidFill>
                </w14:textFill>
              </w:rPr>
              <w:t>pH 6~9，COD</w:t>
            </w:r>
            <w:r>
              <w:rPr>
                <w:rFonts w:hint="eastAsia"/>
                <w:color w:val="000000" w:themeColor="text1"/>
                <w:sz w:val="24"/>
                <w:vertAlign w:val="subscript"/>
                <w:lang w:val="en-US" w:eastAsia="zh-CN"/>
                <w14:textFill>
                  <w14:solidFill>
                    <w14:schemeClr w14:val="tx1"/>
                  </w14:solidFill>
                </w14:textFill>
              </w:rPr>
              <w:t xml:space="preserve">cr </w:t>
            </w:r>
            <w:r>
              <w:rPr>
                <w:rFonts w:hint="eastAsia"/>
                <w:color w:val="000000" w:themeColor="text1"/>
                <w:sz w:val="24"/>
                <w:lang w:val="en-US" w:eastAsia="zh-CN"/>
                <w14:textFill>
                  <w14:solidFill>
                    <w14:schemeClr w14:val="tx1"/>
                  </w14:solidFill>
                </w14:textFill>
              </w:rPr>
              <w:t>180mg/L，SS 90mg/L</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w:t>
            </w:r>
          </w:p>
          <w:p w14:paraId="222F6A14">
            <w:pPr>
              <w:keepNext w:val="0"/>
              <w:keepLines w:val="0"/>
              <w:pageBreakBefore w:val="0"/>
              <w:widowControl w:val="0"/>
              <w:kinsoku/>
              <w:wordWrap/>
              <w:overflowPunct/>
              <w:topLinePunct w:val="0"/>
              <w:autoSpaceDE/>
              <w:autoSpaceDN/>
              <w:bidi w:val="0"/>
              <w:adjustRightInd w:val="0"/>
              <w:snapToGrid w:val="0"/>
              <w:spacing w:line="500" w:lineRule="atLeast"/>
              <w:ind w:firstLine="480" w:firstLineChars="200"/>
              <w:textAlignment w:val="auto"/>
              <w:rPr>
                <w:color w:val="000000" w:themeColor="text1"/>
                <w:sz w:val="24"/>
                <w:szCs w:val="22"/>
                <w:lang w:val="zh-CN"/>
                <w14:textFill>
                  <w14:solidFill>
                    <w14:schemeClr w14:val="tx1"/>
                  </w14:solidFill>
                </w14:textFill>
              </w:rPr>
            </w:pPr>
            <w:r>
              <w:rPr>
                <w:color w:val="000000" w:themeColor="text1"/>
                <w:sz w:val="24"/>
                <w:szCs w:val="22"/>
                <w:lang w:val="zh-CN"/>
                <w14:textFill>
                  <w14:solidFill>
                    <w14:schemeClr w14:val="tx1"/>
                  </w14:solidFill>
                </w14:textFill>
              </w:rPr>
              <w:t>（3）噪声</w:t>
            </w:r>
          </w:p>
          <w:p w14:paraId="5E0B2251">
            <w:pPr>
              <w:keepNext w:val="0"/>
              <w:keepLines w:val="0"/>
              <w:pageBreakBefore w:val="0"/>
              <w:widowControl w:val="0"/>
              <w:kinsoku/>
              <w:wordWrap/>
              <w:overflowPunct/>
              <w:topLinePunct w:val="0"/>
              <w:autoSpaceDE/>
              <w:autoSpaceDN/>
              <w:bidi w:val="0"/>
              <w:adjustRightInd w:val="0"/>
              <w:snapToGrid w:val="0"/>
              <w:spacing w:line="500" w:lineRule="atLeast"/>
              <w:ind w:firstLine="480" w:firstLineChars="200"/>
              <w:textAlignment w:val="auto"/>
              <w:rPr>
                <w:color w:val="000000" w:themeColor="text1"/>
                <w:sz w:val="24"/>
                <w:szCs w:val="22"/>
                <w:lang w:val="zh-CN"/>
                <w14:textFill>
                  <w14:solidFill>
                    <w14:schemeClr w14:val="tx1"/>
                  </w14:solidFill>
                </w14:textFill>
              </w:rPr>
            </w:pPr>
            <w:r>
              <w:rPr>
                <w:color w:val="000000" w:themeColor="text1"/>
                <w:sz w:val="24"/>
                <w:szCs w:val="22"/>
                <w14:textFill>
                  <w14:solidFill>
                    <w14:schemeClr w14:val="tx1"/>
                  </w14:solidFill>
                </w14:textFill>
              </w:rPr>
              <w:t>项目施工期噪声</w:t>
            </w:r>
            <w:r>
              <w:rPr>
                <w:rFonts w:hint="eastAsia"/>
                <w:color w:val="000000" w:themeColor="text1"/>
                <w:sz w:val="24"/>
                <w:szCs w:val="22"/>
                <w:lang w:val="en-US" w:eastAsia="zh-CN"/>
                <w14:textFill>
                  <w14:solidFill>
                    <w14:schemeClr w14:val="tx1"/>
                  </w14:solidFill>
                </w14:textFill>
              </w:rPr>
              <w:t>执行</w:t>
            </w:r>
            <w:r>
              <w:rPr>
                <w:color w:val="000000" w:themeColor="text1"/>
                <w:sz w:val="24"/>
                <w:szCs w:val="22"/>
                <w:lang w:val="zh-CN"/>
                <w14:textFill>
                  <w14:solidFill>
                    <w14:schemeClr w14:val="tx1"/>
                  </w14:solidFill>
                </w14:textFill>
              </w:rPr>
              <w:t>《</w:t>
            </w:r>
            <w:r>
              <w:rPr>
                <w:rFonts w:hint="eastAsia"/>
                <w:color w:val="000000" w:themeColor="text1"/>
                <w:sz w:val="24"/>
                <w:szCs w:val="22"/>
                <w:lang w:val="zh-CN"/>
                <w14:textFill>
                  <w14:solidFill>
                    <w14:schemeClr w14:val="tx1"/>
                  </w14:solidFill>
                </w14:textFill>
              </w:rPr>
              <w:t>建筑施工噪声排放标准</w:t>
            </w:r>
            <w:r>
              <w:rPr>
                <w:color w:val="000000" w:themeColor="text1"/>
                <w:sz w:val="24"/>
                <w:szCs w:val="22"/>
                <w:lang w:val="zh-CN"/>
                <w14:textFill>
                  <w14:solidFill>
                    <w14:schemeClr w14:val="tx1"/>
                  </w14:solidFill>
                </w14:textFill>
              </w:rPr>
              <w:t>》（</w:t>
            </w:r>
            <w:r>
              <w:rPr>
                <w:rFonts w:hint="eastAsia"/>
                <w:color w:val="000000" w:themeColor="text1"/>
                <w:sz w:val="24"/>
                <w:szCs w:val="22"/>
                <w:lang w:val="zh-CN"/>
                <w14:textFill>
                  <w14:solidFill>
                    <w14:schemeClr w14:val="tx1"/>
                  </w14:solidFill>
                </w14:textFill>
              </w:rPr>
              <w:t>GB12523-2025</w:t>
            </w:r>
            <w:r>
              <w:rPr>
                <w:color w:val="000000" w:themeColor="text1"/>
                <w:sz w:val="24"/>
                <w:szCs w:val="22"/>
                <w:lang w:val="zh-CN"/>
                <w14:textFill>
                  <w14:solidFill>
                    <w14:schemeClr w14:val="tx1"/>
                  </w14:solidFill>
                </w14:textFill>
              </w:rPr>
              <w:t>）中标准限值要求；运营期噪声执行《工业企业厂界环境噪声排放标准》（GB12348-2008）中2类标准。</w:t>
            </w:r>
          </w:p>
          <w:p w14:paraId="56F77525">
            <w:pPr>
              <w:pStyle w:val="97"/>
              <w:keepNext w:val="0"/>
              <w:keepLines w:val="0"/>
              <w:pageBreakBefore w:val="0"/>
              <w:widowControl w:val="0"/>
              <w:kinsoku/>
              <w:wordWrap/>
              <w:overflowPunct/>
              <w:topLinePunct w:val="0"/>
              <w:autoSpaceDE/>
              <w:autoSpaceDN/>
              <w:bidi w:val="0"/>
              <w:adjustRightInd w:val="0"/>
              <w:snapToGrid w:val="0"/>
              <w:spacing w:before="0" w:after="0" w:line="500" w:lineRule="exact"/>
              <w:textAlignment w:val="auto"/>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表3-</w:t>
            </w:r>
            <w:r>
              <w:rPr>
                <w:rFonts w:hint="eastAsia" w:cs="黑体"/>
                <w:color w:val="000000" w:themeColor="text1"/>
                <w:sz w:val="21"/>
                <w:szCs w:val="21"/>
                <w:lang w:val="en-US" w:eastAsia="zh-CN"/>
                <w14:textFill>
                  <w14:solidFill>
                    <w14:schemeClr w14:val="tx1"/>
                  </w14:solidFill>
                </w14:textFill>
              </w:rPr>
              <w:t>8</w:t>
            </w:r>
            <w:r>
              <w:rPr>
                <w:rFonts w:hint="eastAsia" w:ascii="黑体" w:hAnsi="黑体" w:eastAsia="黑体" w:cs="黑体"/>
                <w:color w:val="000000" w:themeColor="text1"/>
                <w:sz w:val="21"/>
                <w:szCs w:val="21"/>
                <w:lang w:val="en-US" w:eastAsia="zh-CN"/>
                <w14:textFill>
                  <w14:solidFill>
                    <w14:schemeClr w14:val="tx1"/>
                  </w14:solidFill>
                </w14:textFill>
              </w:rPr>
              <w:t xml:space="preserve"> </w:t>
            </w:r>
            <w:r>
              <w:rPr>
                <w:rFonts w:hint="eastAsia" w:cs="黑体"/>
                <w:color w:val="000000" w:themeColor="text1"/>
                <w:sz w:val="21"/>
                <w:szCs w:val="21"/>
                <w:lang w:val="en-US" w:eastAsia="zh-CN"/>
                <w14:textFill>
                  <w14:solidFill>
                    <w14:schemeClr w14:val="tx1"/>
                  </w14:solidFill>
                </w14:textFill>
              </w:rPr>
              <w:t xml:space="preserve">  </w:t>
            </w:r>
            <w:r>
              <w:rPr>
                <w:rFonts w:hint="eastAsia" w:ascii="黑体" w:hAnsi="黑体" w:eastAsia="黑体" w:cs="黑体"/>
                <w:color w:val="000000" w:themeColor="text1"/>
                <w:sz w:val="21"/>
                <w:szCs w:val="21"/>
                <w14:textFill>
                  <w14:solidFill>
                    <w14:schemeClr w14:val="tx1"/>
                  </w14:solidFill>
                </w14:textFill>
              </w:rPr>
              <w:t xml:space="preserve"> 噪声排放标准</w:t>
            </w:r>
          </w:p>
          <w:tbl>
            <w:tblPr>
              <w:tblStyle w:val="27"/>
              <w:tblW w:w="803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78"/>
              <w:gridCol w:w="2679"/>
              <w:gridCol w:w="2681"/>
            </w:tblGrid>
            <w:tr w14:paraId="7D9769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84" w:hRule="atLeast"/>
                <w:jc w:val="center"/>
              </w:trPr>
              <w:tc>
                <w:tcPr>
                  <w:tcW w:w="1665" w:type="pct"/>
                  <w:noWrap w:val="0"/>
                  <w:vAlign w:val="center"/>
                </w:tcPr>
                <w:p w14:paraId="147C6DC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污染物</w:t>
                  </w:r>
                </w:p>
              </w:tc>
              <w:tc>
                <w:tcPr>
                  <w:tcW w:w="1666" w:type="pct"/>
                  <w:noWrap w:val="0"/>
                  <w:vAlign w:val="center"/>
                </w:tcPr>
                <w:p w14:paraId="275D4C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p>
              </w:tc>
              <w:tc>
                <w:tcPr>
                  <w:tcW w:w="1667" w:type="pct"/>
                  <w:noWrap w:val="0"/>
                  <w:vAlign w:val="center"/>
                </w:tcPr>
                <w:p w14:paraId="471A33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夜间</w:t>
                  </w:r>
                </w:p>
              </w:tc>
            </w:tr>
            <w:tr w14:paraId="1CB326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65" w:type="pct"/>
                  <w:noWrap w:val="0"/>
                  <w:vAlign w:val="center"/>
                </w:tcPr>
                <w:p w14:paraId="59E943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营运期噪声</w:t>
                  </w:r>
                </w:p>
              </w:tc>
              <w:tc>
                <w:tcPr>
                  <w:tcW w:w="1666" w:type="pct"/>
                  <w:noWrap w:val="0"/>
                  <w:vAlign w:val="center"/>
                </w:tcPr>
                <w:p w14:paraId="4FD4E6F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60dB</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A</w:t>
                  </w:r>
                  <w:r>
                    <w:rPr>
                      <w:rFonts w:hint="eastAsia" w:cs="Times New Roman"/>
                      <w:color w:val="000000" w:themeColor="text1"/>
                      <w:sz w:val="21"/>
                      <w:szCs w:val="21"/>
                      <w:lang w:val="en-US" w:eastAsia="zh-CN"/>
                      <w14:textFill>
                        <w14:solidFill>
                          <w14:schemeClr w14:val="tx1"/>
                        </w14:solidFill>
                      </w14:textFill>
                    </w:rPr>
                    <w:t>)</w:t>
                  </w:r>
                </w:p>
              </w:tc>
              <w:tc>
                <w:tcPr>
                  <w:tcW w:w="1667" w:type="pct"/>
                  <w:noWrap w:val="0"/>
                  <w:vAlign w:val="center"/>
                </w:tcPr>
                <w:p w14:paraId="61E8C5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50dB</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A</w:t>
                  </w:r>
                  <w:r>
                    <w:rPr>
                      <w:rFonts w:hint="eastAsia" w:cs="Times New Roman"/>
                      <w:color w:val="000000" w:themeColor="text1"/>
                      <w:sz w:val="21"/>
                      <w:szCs w:val="21"/>
                      <w:lang w:val="en-US" w:eastAsia="zh-CN"/>
                      <w14:textFill>
                        <w14:solidFill>
                          <w14:schemeClr w14:val="tx1"/>
                        </w14:solidFill>
                      </w14:textFill>
                    </w:rPr>
                    <w:t>)</w:t>
                  </w:r>
                </w:p>
              </w:tc>
            </w:tr>
            <w:tr w14:paraId="31FCA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1665" w:type="pct"/>
                  <w:noWrap w:val="0"/>
                  <w:vAlign w:val="center"/>
                </w:tcPr>
                <w:p w14:paraId="5DEA49C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施工期噪声</w:t>
                  </w:r>
                </w:p>
              </w:tc>
              <w:tc>
                <w:tcPr>
                  <w:tcW w:w="1666" w:type="pct"/>
                  <w:noWrap w:val="0"/>
                  <w:vAlign w:val="center"/>
                </w:tcPr>
                <w:p w14:paraId="6D72081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70dB</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A</w:t>
                  </w:r>
                  <w:r>
                    <w:rPr>
                      <w:rFonts w:hint="eastAsia" w:cs="Times New Roman"/>
                      <w:color w:val="000000" w:themeColor="text1"/>
                      <w:sz w:val="21"/>
                      <w:szCs w:val="21"/>
                      <w:lang w:val="en-US" w:eastAsia="zh-CN"/>
                      <w14:textFill>
                        <w14:solidFill>
                          <w14:schemeClr w14:val="tx1"/>
                        </w14:solidFill>
                      </w14:textFill>
                    </w:rPr>
                    <w:t>)</w:t>
                  </w:r>
                </w:p>
              </w:tc>
              <w:tc>
                <w:tcPr>
                  <w:tcW w:w="1667" w:type="pct"/>
                  <w:noWrap w:val="0"/>
                  <w:vAlign w:val="center"/>
                </w:tcPr>
                <w:p w14:paraId="56300F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55dB</w:t>
                  </w:r>
                  <w:r>
                    <w:rPr>
                      <w:rFonts w:hint="eastAsia"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A</w:t>
                  </w:r>
                  <w:r>
                    <w:rPr>
                      <w:rFonts w:hint="eastAsia" w:cs="Times New Roman"/>
                      <w:color w:val="000000" w:themeColor="text1"/>
                      <w:sz w:val="21"/>
                      <w:szCs w:val="21"/>
                      <w:lang w:val="en-US" w:eastAsia="zh-CN"/>
                      <w14:textFill>
                        <w14:solidFill>
                          <w14:schemeClr w14:val="tx1"/>
                        </w14:solidFill>
                      </w14:textFill>
                    </w:rPr>
                    <w:t>)</w:t>
                  </w:r>
                </w:p>
              </w:tc>
            </w:tr>
          </w:tbl>
          <w:p w14:paraId="2E670AD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sz w:val="24"/>
                <w:lang w:val="zh-CN"/>
                <w14:textFill>
                  <w14:solidFill>
                    <w14:schemeClr w14:val="tx1"/>
                  </w14:solidFill>
                </w14:textFill>
              </w:rPr>
            </w:pPr>
            <w:r>
              <w:rPr>
                <w:color w:val="000000" w:themeColor="text1"/>
                <w:sz w:val="24"/>
                <w:lang w:val="zh-CN"/>
                <w14:textFill>
                  <w14:solidFill>
                    <w14:schemeClr w14:val="tx1"/>
                  </w14:solidFill>
                </w14:textFill>
              </w:rPr>
              <w:t>（4）固体废物</w:t>
            </w:r>
          </w:p>
          <w:p w14:paraId="515F897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sz w:val="24"/>
                <w:lang w:val="zh-CN"/>
                <w14:textFill>
                  <w14:solidFill>
                    <w14:schemeClr w14:val="tx1"/>
                  </w14:solidFill>
                </w14:textFill>
              </w:rPr>
            </w:pPr>
            <w:r>
              <w:rPr>
                <w:color w:val="000000" w:themeColor="text1"/>
                <w:sz w:val="24"/>
                <w:lang w:val="zh-CN"/>
                <w14:textFill>
                  <w14:solidFill>
                    <w14:schemeClr w14:val="tx1"/>
                  </w14:solidFill>
                </w14:textFill>
              </w:rPr>
              <w:t>一般工业固体废物执行《一般工业固体废物贮存和填埋污染控制标准》（GB</w:t>
            </w:r>
            <w:r>
              <w:rPr>
                <w:rFonts w:hint="eastAsia"/>
                <w:color w:val="000000" w:themeColor="text1"/>
                <w:sz w:val="24"/>
                <w:lang w:val="en-US" w:eastAsia="zh-CN"/>
                <w14:textFill>
                  <w14:solidFill>
                    <w14:schemeClr w14:val="tx1"/>
                  </w14:solidFill>
                </w14:textFill>
              </w:rPr>
              <w:t xml:space="preserve"> </w:t>
            </w:r>
            <w:r>
              <w:rPr>
                <w:color w:val="000000" w:themeColor="text1"/>
                <w:sz w:val="24"/>
                <w:lang w:val="zh-CN"/>
                <w14:textFill>
                  <w14:solidFill>
                    <w14:schemeClr w14:val="tx1"/>
                  </w14:solidFill>
                </w14:textFill>
              </w:rPr>
              <w:t>18599-20</w:t>
            </w:r>
            <w:r>
              <w:rPr>
                <w:rFonts w:hint="eastAsia"/>
                <w:color w:val="000000" w:themeColor="text1"/>
                <w:sz w:val="24"/>
                <w14:textFill>
                  <w14:solidFill>
                    <w14:schemeClr w14:val="tx1"/>
                  </w14:solidFill>
                </w14:textFill>
              </w:rPr>
              <w:t>20</w:t>
            </w:r>
            <w:r>
              <w:rPr>
                <w:color w:val="000000" w:themeColor="text1"/>
                <w:sz w:val="24"/>
                <w:lang w:val="zh-CN"/>
                <w14:textFill>
                  <w14:solidFill>
                    <w14:schemeClr w14:val="tx1"/>
                  </w14:solidFill>
                </w14:textFill>
              </w:rPr>
              <w:t>）。</w:t>
            </w:r>
          </w:p>
          <w:p w14:paraId="04DAAB0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b/>
                <w:color w:val="000000" w:themeColor="text1"/>
                <w:kern w:val="0"/>
                <w14:textFill>
                  <w14:solidFill>
                    <w14:schemeClr w14:val="tx1"/>
                  </w14:solidFill>
                </w14:textFill>
              </w:rPr>
            </w:pPr>
            <w:r>
              <w:rPr>
                <w:rFonts w:hint="eastAsia"/>
                <w:color w:val="000000" w:themeColor="text1"/>
                <w:sz w:val="24"/>
                <w:lang w:val="en-US" w:eastAsia="zh-CN"/>
                <w14:textFill>
                  <w14:solidFill>
                    <w14:schemeClr w14:val="tx1"/>
                  </w14:solidFill>
                </w14:textFill>
              </w:rPr>
              <w:t>危险废物贮存执行</w:t>
            </w:r>
            <w:r>
              <w:rPr>
                <w:color w:val="000000" w:themeColor="text1"/>
                <w:sz w:val="24"/>
                <w:lang w:val="zh-CN"/>
                <w14:textFill>
                  <w14:solidFill>
                    <w14:schemeClr w14:val="tx1"/>
                  </w14:solidFill>
                </w14:textFill>
              </w:rPr>
              <w:t>《危险废物贮存污染控制标准》（GB</w:t>
            </w:r>
            <w:r>
              <w:rPr>
                <w:rFonts w:hint="eastAsia"/>
                <w:color w:val="000000" w:themeColor="text1"/>
                <w:sz w:val="24"/>
                <w:lang w:val="en-US" w:eastAsia="zh-CN"/>
                <w14:textFill>
                  <w14:solidFill>
                    <w14:schemeClr w14:val="tx1"/>
                  </w14:solidFill>
                </w14:textFill>
              </w:rPr>
              <w:t xml:space="preserve"> </w:t>
            </w:r>
            <w:r>
              <w:rPr>
                <w:color w:val="000000" w:themeColor="text1"/>
                <w:sz w:val="24"/>
                <w:lang w:val="zh-CN"/>
                <w14:textFill>
                  <w14:solidFill>
                    <w14:schemeClr w14:val="tx1"/>
                  </w14:solidFill>
                </w14:textFill>
              </w:rPr>
              <w:t>18597-20</w:t>
            </w:r>
            <w:r>
              <w:rPr>
                <w:rFonts w:hint="eastAsia"/>
                <w:color w:val="000000" w:themeColor="text1"/>
                <w:sz w:val="24"/>
                <w14:textFill>
                  <w14:solidFill>
                    <w14:schemeClr w14:val="tx1"/>
                  </w14:solidFill>
                </w14:textFill>
              </w:rPr>
              <w:t>23</w:t>
            </w:r>
            <w:r>
              <w:rPr>
                <w:color w:val="000000" w:themeColor="text1"/>
                <w:sz w:val="24"/>
                <w:lang w:val="zh-CN"/>
                <w14:textFill>
                  <w14:solidFill>
                    <w14:schemeClr w14:val="tx1"/>
                  </w14:solidFill>
                </w14:textFill>
              </w:rPr>
              <w:t>）</w:t>
            </w:r>
            <w:r>
              <w:rPr>
                <w:rFonts w:hint="eastAsia"/>
                <w:color w:val="000000" w:themeColor="text1"/>
                <w:sz w:val="24"/>
                <w:lang w:val="zh-CN"/>
                <w14:textFill>
                  <w14:solidFill>
                    <w14:schemeClr w14:val="tx1"/>
                  </w14:solidFill>
                </w14:textFill>
              </w:rPr>
              <w:t>。</w:t>
            </w:r>
          </w:p>
          <w:p w14:paraId="277B6496">
            <w:pPr>
              <w:adjustRightInd w:val="0"/>
              <w:snapToGrid w:val="0"/>
              <w:spacing w:line="500" w:lineRule="exact"/>
              <w:ind w:firstLine="480" w:firstLineChars="200"/>
              <w:rPr>
                <w:color w:val="000000" w:themeColor="text1"/>
                <w14:textFill>
                  <w14:solidFill>
                    <w14:schemeClr w14:val="tx1"/>
                  </w14:solidFill>
                </w14:textFill>
              </w:rPr>
            </w:pPr>
          </w:p>
        </w:tc>
      </w:tr>
      <w:tr w14:paraId="25F4FB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5" w:hRule="atLeast"/>
          <w:jc w:val="center"/>
        </w:trPr>
        <w:tc>
          <w:tcPr>
            <w:tcW w:w="821" w:type="dxa"/>
            <w:vAlign w:val="center"/>
          </w:tcPr>
          <w:p w14:paraId="1C1745F5">
            <w:pPr>
              <w:adjustRightInd w:val="0"/>
              <w:snapToGrid w:val="0"/>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其他</w:t>
            </w:r>
          </w:p>
        </w:tc>
        <w:tc>
          <w:tcPr>
            <w:tcW w:w="8250" w:type="dxa"/>
            <w:vAlign w:val="center"/>
          </w:tcPr>
          <w:p w14:paraId="2EEBA0C5">
            <w:pPr>
              <w:adjustRightInd w:val="0"/>
              <w:snapToGrid w:val="0"/>
              <w:spacing w:line="500" w:lineRule="exact"/>
              <w:ind w:firstLine="480" w:firstLineChars="200"/>
              <w:jc w:val="left"/>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不进行</w:t>
            </w:r>
            <w:r>
              <w:rPr>
                <w:color w:val="000000" w:themeColor="text1"/>
                <w14:textFill>
                  <w14:solidFill>
                    <w14:schemeClr w14:val="tx1"/>
                  </w14:solidFill>
                </w14:textFill>
              </w:rPr>
              <w:t>污染物总量控制指标</w:t>
            </w:r>
            <w:r>
              <w:rPr>
                <w:rFonts w:hint="eastAsia"/>
                <w:color w:val="000000" w:themeColor="text1"/>
                <w14:textFill>
                  <w14:solidFill>
                    <w14:schemeClr w14:val="tx1"/>
                  </w14:solidFill>
                </w14:textFill>
              </w:rPr>
              <w:t>申请。</w:t>
            </w:r>
          </w:p>
        </w:tc>
      </w:tr>
    </w:tbl>
    <w:p w14:paraId="0BE58092">
      <w:pPr>
        <w:pStyle w:val="22"/>
        <w:adjustRightInd w:val="0"/>
        <w:snapToGrid w:val="0"/>
        <w:spacing w:before="0" w:beforeAutospacing="0" w:after="0" w:afterAutospacing="0" w:line="360" w:lineRule="auto"/>
        <w:jc w:val="center"/>
        <w:outlineLvl w:val="0"/>
        <w:rPr>
          <w:rFonts w:ascii="Times New Roman" w:hAnsi="Times New Roman"/>
          <w:b/>
          <w:bCs/>
          <w:snapToGrid w:val="0"/>
          <w:color w:val="000000" w:themeColor="text1"/>
          <w:sz w:val="30"/>
          <w:szCs w:val="30"/>
          <w14:textFill>
            <w14:solidFill>
              <w14:schemeClr w14:val="tx1"/>
            </w14:solidFill>
          </w14:textFill>
        </w:rPr>
      </w:pPr>
      <w:r>
        <w:rPr>
          <w:rFonts w:ascii="Times New Roman" w:hAnsi="Times New Roman"/>
          <w:snapToGrid w:val="0"/>
          <w:color w:val="000000" w:themeColor="text1"/>
          <w:kern w:val="2"/>
          <w:sz w:val="36"/>
          <w:szCs w:val="36"/>
          <w14:textFill>
            <w14:solidFill>
              <w14:schemeClr w14:val="tx1"/>
            </w14:solidFill>
          </w14:textFill>
        </w:rPr>
        <w:br w:type="page"/>
      </w:r>
      <w:bookmarkStart w:id="20" w:name="_Toc32279"/>
      <w:bookmarkStart w:id="21" w:name="_Toc30450"/>
      <w:bookmarkStart w:id="22" w:name="_Toc19098"/>
      <w:bookmarkStart w:id="23" w:name="_Toc22492"/>
      <w:r>
        <w:rPr>
          <w:rFonts w:ascii="Times New Roman" w:hAnsi="Times New Roman"/>
          <w:b/>
          <w:bCs/>
          <w:snapToGrid w:val="0"/>
          <w:color w:val="000000" w:themeColor="text1"/>
          <w:sz w:val="30"/>
          <w:szCs w:val="30"/>
          <w14:textFill>
            <w14:solidFill>
              <w14:schemeClr w14:val="tx1"/>
            </w14:solidFill>
          </w14:textFill>
        </w:rPr>
        <w:t>四、生态环境影响分析</w:t>
      </w:r>
      <w:bookmarkEnd w:id="20"/>
      <w:bookmarkEnd w:id="21"/>
      <w:bookmarkEnd w:id="22"/>
      <w:bookmarkEnd w:id="23"/>
    </w:p>
    <w:tbl>
      <w:tblPr>
        <w:tblStyle w:val="2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2"/>
        <w:gridCol w:w="8239"/>
      </w:tblGrid>
      <w:tr w14:paraId="690745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86" w:hRule="atLeast"/>
          <w:jc w:val="center"/>
        </w:trPr>
        <w:tc>
          <w:tcPr>
            <w:tcW w:w="832" w:type="dxa"/>
            <w:tcMar>
              <w:left w:w="28" w:type="dxa"/>
              <w:right w:w="28" w:type="dxa"/>
            </w:tcMar>
            <w:vAlign w:val="center"/>
          </w:tcPr>
          <w:p w14:paraId="5B790F42">
            <w:pPr>
              <w:pStyle w:val="22"/>
              <w:adjustRightInd w:val="0"/>
              <w:snapToGrid w:val="0"/>
              <w:spacing w:before="0" w:beforeAutospacing="0" w:after="0" w:afterAutospacing="0"/>
              <w:jc w:val="center"/>
              <w:rPr>
                <w:rFonts w:ascii="Times New Roman" w:hAnsi="Times New Roman"/>
                <w:bCs/>
                <w:color w:val="000000" w:themeColor="text1"/>
                <w:kern w:val="2"/>
                <w:sz w:val="21"/>
                <w:szCs w:val="21"/>
                <w14:textFill>
                  <w14:solidFill>
                    <w14:schemeClr w14:val="tx1"/>
                  </w14:solidFill>
                </w14:textFill>
              </w:rPr>
            </w:pPr>
            <w:bookmarkStart w:id="24" w:name="_Hlk49796138"/>
            <w:r>
              <w:rPr>
                <w:rFonts w:ascii="Times New Roman" w:hAnsi="Times New Roman"/>
                <w:bCs/>
                <w:color w:val="000000" w:themeColor="text1"/>
                <w:kern w:val="2"/>
                <w14:textFill>
                  <w14:solidFill>
                    <w14:schemeClr w14:val="tx1"/>
                  </w14:solidFill>
                </w14:textFill>
              </w:rPr>
              <w:t>施工期生态环境影响分析</w:t>
            </w:r>
            <w:bookmarkEnd w:id="24"/>
          </w:p>
        </w:tc>
        <w:tc>
          <w:tcPr>
            <w:tcW w:w="8239" w:type="dxa"/>
          </w:tcPr>
          <w:p w14:paraId="26F2E89D">
            <w:pPr>
              <w:adjustRightInd w:val="0"/>
              <w:snapToGrid w:val="0"/>
              <w:spacing w:line="500" w:lineRule="exact"/>
              <w:ind w:firstLine="482" w:firstLineChars="200"/>
              <w:rPr>
                <w:b/>
                <w:bCs/>
                <w:color w:val="000000" w:themeColor="text1"/>
                <w:lang w:val="zh-CN"/>
                <w14:textFill>
                  <w14:solidFill>
                    <w14:schemeClr w14:val="tx1"/>
                  </w14:solidFill>
                </w14:textFill>
              </w:rPr>
            </w:pPr>
            <w:r>
              <w:rPr>
                <w:rFonts w:hint="eastAsia"/>
                <w:b/>
                <w:bCs/>
                <w:color w:val="000000" w:themeColor="text1"/>
                <w14:textFill>
                  <w14:solidFill>
                    <w14:schemeClr w14:val="tx1"/>
                  </w14:solidFill>
                </w14:textFill>
              </w:rPr>
              <w:t>1.</w:t>
            </w:r>
            <w:r>
              <w:rPr>
                <w:rFonts w:hint="eastAsia"/>
                <w:b/>
                <w:bCs/>
                <w:color w:val="000000" w:themeColor="text1"/>
                <w:lang w:val="zh-CN"/>
                <w14:textFill>
                  <w14:solidFill>
                    <w14:schemeClr w14:val="tx1"/>
                  </w14:solidFill>
                </w14:textFill>
              </w:rPr>
              <w:t>生态环境影响分析</w:t>
            </w:r>
          </w:p>
          <w:p w14:paraId="252979A9">
            <w:pPr>
              <w:adjustRightInd w:val="0"/>
              <w:snapToGrid w:val="0"/>
              <w:spacing w:line="500" w:lineRule="exact"/>
              <w:ind w:firstLine="480" w:firstLineChars="200"/>
              <w:rPr>
                <w:color w:val="000000" w:themeColor="text1"/>
                <w:sz w:val="24"/>
                <w:lang w:val="zh-CN"/>
                <w14:textFill>
                  <w14:solidFill>
                    <w14:schemeClr w14:val="tx1"/>
                  </w14:solidFill>
                </w14:textFill>
              </w:rPr>
            </w:pPr>
            <w:r>
              <w:rPr>
                <w:rFonts w:hint="eastAsia"/>
                <w:color w:val="000000" w:themeColor="text1"/>
                <w:sz w:val="24"/>
                <w14:textFill>
                  <w14:solidFill>
                    <w14:schemeClr w14:val="tx1"/>
                  </w14:solidFill>
                </w14:textFill>
              </w:rPr>
              <w:t>（1）</w:t>
            </w:r>
            <w:r>
              <w:rPr>
                <w:rFonts w:hint="eastAsia"/>
                <w:color w:val="000000" w:themeColor="text1"/>
                <w:sz w:val="24"/>
                <w:lang w:val="zh-CN"/>
                <w14:textFill>
                  <w14:solidFill>
                    <w14:schemeClr w14:val="tx1"/>
                  </w14:solidFill>
                </w14:textFill>
              </w:rPr>
              <w:t>占地影响</w:t>
            </w:r>
          </w:p>
          <w:p w14:paraId="280D344F">
            <w:pPr>
              <w:adjustRightInd w:val="0"/>
              <w:snapToGrid w:val="0"/>
              <w:spacing w:line="5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w:t>
            </w:r>
            <w:r>
              <w:rPr>
                <w:rFonts w:hint="eastAsia"/>
                <w:color w:val="000000" w:themeColor="text1"/>
                <w:sz w:val="24"/>
                <w:lang w:val="en-US" w:eastAsia="zh-CN"/>
                <w14:textFill>
                  <w14:solidFill>
                    <w14:schemeClr w14:val="tx1"/>
                  </w14:solidFill>
                </w14:textFill>
              </w:rPr>
              <w:t>总</w:t>
            </w:r>
            <w:r>
              <w:rPr>
                <w:color w:val="000000" w:themeColor="text1"/>
                <w:sz w:val="24"/>
                <w14:textFill>
                  <w14:solidFill>
                    <w14:schemeClr w14:val="tx1"/>
                  </w14:solidFill>
                </w14:textFill>
              </w:rPr>
              <w:t>占地面积为</w:t>
            </w:r>
            <w:r>
              <w:rPr>
                <w:rFonts w:hint="eastAsia"/>
                <w:color w:val="000000" w:themeColor="text1"/>
                <w:sz w:val="24"/>
                <w:lang w:val="en-US" w:eastAsia="zh-CN"/>
                <w14:textFill>
                  <w14:solidFill>
                    <w14:schemeClr w14:val="tx1"/>
                  </w14:solidFill>
                </w14:textFill>
              </w:rPr>
              <w:t>32222m</w:t>
            </w:r>
            <w:r>
              <w:rPr>
                <w:rFonts w:hint="eastAsia"/>
                <w:color w:val="000000" w:themeColor="text1"/>
                <w:sz w:val="24"/>
                <w:vertAlign w:val="superscript"/>
                <w:lang w:val="en-US" w:eastAsia="zh-CN"/>
                <w14:textFill>
                  <w14:solidFill>
                    <w14:schemeClr w14:val="tx1"/>
                  </w14:solidFill>
                </w14:textFill>
              </w:rPr>
              <w:t>2</w:t>
            </w:r>
            <w:r>
              <w:rPr>
                <w:color w:val="000000" w:themeColor="text1"/>
                <w:sz w:val="24"/>
                <w14:textFill>
                  <w14:solidFill>
                    <w14:schemeClr w14:val="tx1"/>
                  </w14:solidFill>
                </w14:textFill>
              </w:rPr>
              <w:t>，占地类型为</w:t>
            </w:r>
            <w:r>
              <w:rPr>
                <w:rFonts w:hint="eastAsia"/>
                <w:color w:val="000000" w:themeColor="text1"/>
                <w:sz w:val="24"/>
                <w:lang w:eastAsia="zh-CN"/>
                <w14:textFill>
                  <w14:solidFill>
                    <w14:schemeClr w14:val="tx1"/>
                  </w14:solidFill>
                </w14:textFill>
              </w:rPr>
              <w:t>沙地</w:t>
            </w:r>
            <w:r>
              <w:rPr>
                <w:rFonts w:hint="eastAsia"/>
                <w:color w:val="000000" w:themeColor="text1"/>
                <w:sz w:val="24"/>
                <w:lang w:val="en-US" w:eastAsia="zh-CN"/>
                <w14:textFill>
                  <w14:solidFill>
                    <w14:schemeClr w14:val="tx1"/>
                  </w14:solidFill>
                </w14:textFill>
              </w:rPr>
              <w:t>及后备耕地（现状为其他草地）</w:t>
            </w:r>
            <w:r>
              <w:rPr>
                <w:color w:val="000000" w:themeColor="text1"/>
                <w:sz w:val="24"/>
                <w14:textFill>
                  <w14:solidFill>
                    <w14:schemeClr w14:val="tx1"/>
                  </w14:solidFill>
                </w14:textFill>
              </w:rPr>
              <w:t>，项目占地面积包括永久占地</w:t>
            </w:r>
            <w:r>
              <w:rPr>
                <w:rFonts w:hint="eastAsia"/>
                <w:color w:val="000000" w:themeColor="text1"/>
                <w:sz w:val="24"/>
                <w14:textFill>
                  <w14:solidFill>
                    <w14:schemeClr w14:val="tx1"/>
                  </w14:solidFill>
                </w14:textFill>
              </w:rPr>
              <w:t>及</w:t>
            </w:r>
            <w:r>
              <w:rPr>
                <w:color w:val="000000" w:themeColor="text1"/>
                <w:sz w:val="24"/>
                <w14:textFill>
                  <w14:solidFill>
                    <w14:schemeClr w14:val="tx1"/>
                  </w14:solidFill>
                </w14:textFill>
              </w:rPr>
              <w:t>临时占地</w:t>
            </w:r>
            <w:r>
              <w:rPr>
                <w:rFonts w:hint="eastAsia"/>
                <w:color w:val="000000" w:themeColor="text1"/>
                <w:sz w:val="24"/>
                <w14:textFill>
                  <w14:solidFill>
                    <w14:schemeClr w14:val="tx1"/>
                  </w14:solidFill>
                </w14:textFill>
              </w:rPr>
              <w:t>。</w:t>
            </w:r>
          </w:p>
          <w:p w14:paraId="780519FF">
            <w:pPr>
              <w:adjustRightInd w:val="0"/>
              <w:snapToGrid w:val="0"/>
              <w:spacing w:line="5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项目建设期间，</w:t>
            </w:r>
            <w:r>
              <w:rPr>
                <w:rFonts w:hint="eastAsia"/>
                <w:color w:val="000000" w:themeColor="text1"/>
                <w:sz w:val="24"/>
                <w14:textFill>
                  <w14:solidFill>
                    <w14:schemeClr w14:val="tx1"/>
                  </w14:solidFill>
                </w14:textFill>
              </w:rPr>
              <w:t>临时</w:t>
            </w:r>
            <w:r>
              <w:rPr>
                <w:color w:val="000000" w:themeColor="text1"/>
                <w:sz w:val="24"/>
                <w14:textFill>
                  <w14:solidFill>
                    <w14:schemeClr w14:val="tx1"/>
                  </w14:solidFill>
                </w14:textFill>
              </w:rPr>
              <w:t>区域的土地利用格局也会发生变化，但施工结束后，</w:t>
            </w:r>
            <w:r>
              <w:rPr>
                <w:rFonts w:hint="eastAsia"/>
                <w:color w:val="000000" w:themeColor="text1"/>
                <w:sz w:val="24"/>
                <w:lang w:eastAsia="zh-CN"/>
                <w14:textFill>
                  <w14:solidFill>
                    <w14:schemeClr w14:val="tx1"/>
                  </w14:solidFill>
                </w14:textFill>
              </w:rPr>
              <w:t>施工</w:t>
            </w:r>
            <w:r>
              <w:rPr>
                <w:color w:val="000000" w:themeColor="text1"/>
                <w:sz w:val="24"/>
                <w14:textFill>
                  <w14:solidFill>
                    <w14:schemeClr w14:val="tx1"/>
                  </w14:solidFill>
                </w14:textFill>
              </w:rPr>
              <w:t>道路</w:t>
            </w:r>
            <w:r>
              <w:rPr>
                <w:rFonts w:hint="eastAsia"/>
                <w:color w:val="000000" w:themeColor="text1"/>
                <w:sz w:val="24"/>
                <w14:textFill>
                  <w14:solidFill>
                    <w14:schemeClr w14:val="tx1"/>
                  </w14:solidFill>
                </w14:textFill>
              </w:rPr>
              <w:t>可用作</w:t>
            </w:r>
            <w:r>
              <w:rPr>
                <w:rFonts w:hint="eastAsia"/>
                <w:color w:val="000000" w:themeColor="text1"/>
                <w:sz w:val="24"/>
                <w:lang w:eastAsia="zh-CN"/>
                <w14:textFill>
                  <w14:solidFill>
                    <w14:schemeClr w14:val="tx1"/>
                  </w14:solidFill>
                </w14:textFill>
              </w:rPr>
              <w:t>巡检</w:t>
            </w:r>
            <w:r>
              <w:rPr>
                <w:rFonts w:hint="eastAsia"/>
                <w:color w:val="000000" w:themeColor="text1"/>
                <w:sz w:val="24"/>
                <w14:textFill>
                  <w14:solidFill>
                    <w14:schemeClr w14:val="tx1"/>
                  </w14:solidFill>
                </w14:textFill>
              </w:rPr>
              <w:t>道路，</w:t>
            </w:r>
            <w:r>
              <w:rPr>
                <w:color w:val="000000" w:themeColor="text1"/>
                <w:sz w:val="24"/>
                <w14:textFill>
                  <w14:solidFill>
                    <w14:schemeClr w14:val="tx1"/>
                  </w14:solidFill>
                </w14:textFill>
              </w:rPr>
              <w:t>临时</w:t>
            </w:r>
            <w:r>
              <w:rPr>
                <w:rFonts w:hint="eastAsia"/>
                <w:color w:val="000000" w:themeColor="text1"/>
                <w:sz w:val="24"/>
                <w:lang w:val="en-US" w:eastAsia="zh-CN"/>
                <w14:textFill>
                  <w14:solidFill>
                    <w14:schemeClr w14:val="tx1"/>
                  </w14:solidFill>
                </w14:textFill>
              </w:rPr>
              <w:t>施工营地、牵张场</w:t>
            </w:r>
            <w:r>
              <w:rPr>
                <w:color w:val="000000" w:themeColor="text1"/>
                <w:sz w:val="24"/>
                <w14:textFill>
                  <w14:solidFill>
                    <w14:schemeClr w14:val="tx1"/>
                  </w14:solidFill>
                </w14:textFill>
              </w:rPr>
              <w:t>等临时占地大部分将进行</w:t>
            </w:r>
            <w:r>
              <w:rPr>
                <w:rFonts w:hint="eastAsia"/>
                <w:color w:val="000000" w:themeColor="text1"/>
                <w:sz w:val="24"/>
                <w14:textFill>
                  <w14:solidFill>
                    <w14:schemeClr w14:val="tx1"/>
                  </w14:solidFill>
                </w14:textFill>
              </w:rPr>
              <w:t>平整、</w:t>
            </w:r>
            <w:r>
              <w:rPr>
                <w:color w:val="000000" w:themeColor="text1"/>
                <w:sz w:val="24"/>
                <w14:textFill>
                  <w14:solidFill>
                    <w14:schemeClr w14:val="tx1"/>
                  </w14:solidFill>
                </w14:textFill>
              </w:rPr>
              <w:t>恢复，临时占用的植被等均可基本恢复原状。因此，临时占地区的土地利用类型基本不会发生改变。</w:t>
            </w:r>
          </w:p>
          <w:p w14:paraId="6A510E1E">
            <w:pPr>
              <w:autoSpaceDE w:val="0"/>
              <w:autoSpaceDN w:val="0"/>
              <w:adjustRightInd w:val="0"/>
              <w:snapToGrid w:val="0"/>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项目建设完成后，</w:t>
            </w:r>
            <w:r>
              <w:rPr>
                <w:bCs/>
                <w:color w:val="000000" w:themeColor="text1"/>
                <w:sz w:val="24"/>
                <w14:textFill>
                  <w14:solidFill>
                    <w14:schemeClr w14:val="tx1"/>
                  </w14:solidFill>
                </w14:textFill>
              </w:rPr>
              <w:t>永久占地</w:t>
            </w:r>
            <w:r>
              <w:rPr>
                <w:rFonts w:hint="eastAsia"/>
                <w:bCs/>
                <w:color w:val="000000" w:themeColor="text1"/>
                <w:sz w:val="24"/>
                <w14:textFill>
                  <w14:solidFill>
                    <w14:schemeClr w14:val="tx1"/>
                  </w14:solidFill>
                </w14:textFill>
              </w:rPr>
              <w:t>内</w:t>
            </w:r>
            <w:r>
              <w:rPr>
                <w:bCs/>
                <w:color w:val="000000" w:themeColor="text1"/>
                <w:sz w:val="24"/>
                <w14:textFill>
                  <w14:solidFill>
                    <w14:schemeClr w14:val="tx1"/>
                  </w14:solidFill>
                </w14:textFill>
              </w:rPr>
              <w:t>的土地利用格局将发生变化，</w:t>
            </w:r>
            <w:r>
              <w:rPr>
                <w:rFonts w:hint="eastAsia"/>
                <w:color w:val="000000" w:themeColor="text1"/>
                <w:sz w:val="24"/>
                <w:lang w:val="zh-CN"/>
                <w14:textFill>
                  <w14:solidFill>
                    <w14:schemeClr w14:val="tx1"/>
                  </w14:solidFill>
                </w14:textFill>
              </w:rPr>
              <w:t>项目在设计时，会优化</w:t>
            </w:r>
            <w:r>
              <w:rPr>
                <w:rFonts w:hint="eastAsia"/>
                <w:color w:val="000000" w:themeColor="text1"/>
                <w:sz w:val="24"/>
                <w:lang w:val="en-US" w:eastAsia="zh-CN"/>
                <w14:textFill>
                  <w14:solidFill>
                    <w14:schemeClr w14:val="tx1"/>
                  </w14:solidFill>
                </w14:textFill>
              </w:rPr>
              <w:t>升压汇集站</w:t>
            </w:r>
            <w:r>
              <w:rPr>
                <w:rFonts w:hint="eastAsia"/>
                <w:color w:val="000000" w:themeColor="text1"/>
                <w:sz w:val="24"/>
                <w:lang w:val="zh-CN"/>
                <w14:textFill>
                  <w14:solidFill>
                    <w14:schemeClr w14:val="tx1"/>
                  </w14:solidFill>
                </w14:textFill>
              </w:rPr>
              <w:t>布置</w:t>
            </w:r>
            <w:r>
              <w:rPr>
                <w:rFonts w:hint="eastAsia"/>
                <w:color w:val="000000" w:themeColor="text1"/>
                <w:sz w:val="24"/>
                <w:lang w:val="en-US" w:eastAsia="zh-CN"/>
                <w14:textFill>
                  <w14:solidFill>
                    <w14:schemeClr w14:val="tx1"/>
                  </w14:solidFill>
                </w14:textFill>
              </w:rPr>
              <w:t>及外送线路选线</w:t>
            </w:r>
            <w:r>
              <w:rPr>
                <w:rFonts w:hint="eastAsia"/>
                <w:color w:val="000000" w:themeColor="text1"/>
                <w:sz w:val="24"/>
                <w:lang w:val="zh-CN"/>
                <w14:textFill>
                  <w14:solidFill>
                    <w14:schemeClr w14:val="tx1"/>
                  </w14:solidFill>
                </w14:textFill>
              </w:rPr>
              <w:t>，减少占地。</w:t>
            </w:r>
            <w:r>
              <w:rPr>
                <w:rFonts w:hint="eastAsia"/>
                <w:bCs/>
                <w:color w:val="000000" w:themeColor="text1"/>
                <w:sz w:val="24"/>
                <w14:textFill>
                  <w14:solidFill>
                    <w14:schemeClr w14:val="tx1"/>
                  </w14:solidFill>
                </w14:textFill>
              </w:rPr>
              <w:t>项目建设完成后采取</w:t>
            </w:r>
            <w:r>
              <w:rPr>
                <w:rFonts w:hint="eastAsia"/>
                <w:bCs/>
                <w:color w:val="000000" w:themeColor="text1"/>
                <w:sz w:val="24"/>
                <w:lang w:eastAsia="zh-CN"/>
                <w14:textFill>
                  <w14:solidFill>
                    <w14:schemeClr w14:val="tx1"/>
                  </w14:solidFill>
                </w14:textFill>
              </w:rPr>
              <w:t>土地平整</w:t>
            </w:r>
            <w:r>
              <w:rPr>
                <w:rFonts w:hint="eastAsia"/>
                <w:bCs/>
                <w:color w:val="000000" w:themeColor="text1"/>
                <w:sz w:val="24"/>
                <w14:textFill>
                  <w14:solidFill>
                    <w14:schemeClr w14:val="tx1"/>
                  </w14:solidFill>
                </w14:textFill>
              </w:rPr>
              <w:t>等生态恢复方式，</w:t>
            </w:r>
            <w:r>
              <w:rPr>
                <w:bCs/>
                <w:color w:val="000000" w:themeColor="text1"/>
                <w:sz w:val="24"/>
                <w14:textFill>
                  <w14:solidFill>
                    <w14:schemeClr w14:val="tx1"/>
                  </w14:solidFill>
                </w14:textFill>
              </w:rPr>
              <w:t>因此，项目建设对评价区土地利用类型的转变影响较小。</w:t>
            </w:r>
          </w:p>
          <w:p w14:paraId="5486426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sz w:val="24"/>
                <w:lang w:val="zh-CN"/>
                <w14:textFill>
                  <w14:solidFill>
                    <w14:schemeClr w14:val="tx1"/>
                  </w14:solidFill>
                </w14:textFill>
              </w:rPr>
            </w:pP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2</w:t>
            </w:r>
            <w:r>
              <w:rPr>
                <w:rFonts w:hint="eastAsia"/>
                <w:color w:val="000000" w:themeColor="text1"/>
                <w:sz w:val="24"/>
                <w14:textFill>
                  <w14:solidFill>
                    <w14:schemeClr w14:val="tx1"/>
                  </w14:solidFill>
                </w14:textFill>
              </w:rPr>
              <w:t>）</w:t>
            </w:r>
            <w:r>
              <w:rPr>
                <w:rFonts w:hint="eastAsia"/>
                <w:color w:val="000000" w:themeColor="text1"/>
                <w:sz w:val="24"/>
                <w:lang w:val="zh-CN"/>
                <w14:textFill>
                  <w14:solidFill>
                    <w14:schemeClr w14:val="tx1"/>
                  </w14:solidFill>
                </w14:textFill>
              </w:rPr>
              <w:t>植被影响分析</w:t>
            </w:r>
          </w:p>
          <w:p w14:paraId="1FDE89E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outlineLvl w:val="9"/>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cs="Times New Roman"/>
                <w:b w:val="0"/>
                <w:bCs w:val="0"/>
                <w:color w:val="000000" w:themeColor="text1"/>
                <w:sz w:val="24"/>
                <w:lang w:val="en-US" w:eastAsia="zh-CN"/>
                <w14:textFill>
                  <w14:solidFill>
                    <w14:schemeClr w14:val="tx1"/>
                  </w14:solidFill>
                </w14:textFill>
              </w:rPr>
              <w:t>本项目建设内容</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主要</w:t>
            </w:r>
            <w:r>
              <w:rPr>
                <w:rFonts w:hint="eastAsia" w:cs="Times New Roman"/>
                <w:b w:val="0"/>
                <w:bCs w:val="0"/>
                <w:color w:val="000000" w:themeColor="text1"/>
                <w:sz w:val="24"/>
                <w:lang w:val="en-US" w:eastAsia="zh-CN"/>
                <w14:textFill>
                  <w14:solidFill>
                    <w14:schemeClr w14:val="tx1"/>
                  </w14:solidFill>
                </w14:textFill>
              </w:rPr>
              <w:t>为升压汇集站及外送线路，项目施工过程中永久占地及临时占地</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均要破坏地表植被。</w:t>
            </w:r>
          </w:p>
          <w:p w14:paraId="0D93B51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outlineLvl w:val="9"/>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本项目</w:t>
            </w:r>
            <w:r>
              <w:rPr>
                <w:rFonts w:hint="eastAsia" w:cs="Times New Roman"/>
                <w:b w:val="0"/>
                <w:bCs w:val="0"/>
                <w:color w:val="000000" w:themeColor="text1"/>
                <w:sz w:val="24"/>
                <w:lang w:val="en-US" w:eastAsia="zh-CN"/>
                <w14:textFill>
                  <w14:solidFill>
                    <w14:schemeClr w14:val="tx1"/>
                  </w14:solidFill>
                </w14:textFill>
              </w:rPr>
              <w:t>占地</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范围内没有</w:t>
            </w:r>
            <w:r>
              <w:rPr>
                <w:rFonts w:hint="eastAsia" w:cs="Times New Roman"/>
                <w:b w:val="0"/>
                <w:bCs w:val="0"/>
                <w:color w:val="000000" w:themeColor="text1"/>
                <w:sz w:val="24"/>
                <w:lang w:val="en-US" w:eastAsia="zh-CN"/>
                <w14:textFill>
                  <w14:solidFill>
                    <w14:schemeClr w14:val="tx1"/>
                  </w14:solidFill>
                </w14:textFill>
              </w:rPr>
              <w:t>国家及自治区级保护野生</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植物，项目占地范围</w:t>
            </w:r>
            <w:r>
              <w:rPr>
                <w:rFonts w:hint="eastAsia" w:cs="Times New Roman"/>
                <w:b w:val="0"/>
                <w:bCs w:val="0"/>
                <w:color w:val="000000" w:themeColor="text1"/>
                <w:sz w:val="24"/>
                <w:lang w:val="en-US" w:eastAsia="zh-CN"/>
                <w14:textFill>
                  <w14:solidFill>
                    <w14:schemeClr w14:val="tx1"/>
                  </w14:solidFill>
                </w14:textFill>
              </w:rPr>
              <w:t>内</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地表植被分布</w:t>
            </w:r>
            <w:r>
              <w:rPr>
                <w:rFonts w:hint="eastAsia" w:cs="Times New Roman"/>
                <w:b w:val="0"/>
                <w:bCs w:val="0"/>
                <w:color w:val="000000" w:themeColor="text1"/>
                <w:sz w:val="24"/>
                <w:lang w:val="en-US" w:eastAsia="zh-CN"/>
                <w14:textFill>
                  <w14:solidFill>
                    <w14:schemeClr w14:val="tx1"/>
                  </w14:solidFill>
                </w14:textFill>
              </w:rPr>
              <w:t>较少，主要为芦苇及</w:t>
            </w:r>
            <w:r>
              <w:rPr>
                <w:rFonts w:hint="eastAsia" w:ascii="Times New Roman" w:hAnsi="Times New Roman" w:cs="Times New Roman"/>
                <w:b w:val="0"/>
                <w:bCs w:val="0"/>
                <w:color w:val="000000" w:themeColor="text1"/>
                <w:sz w:val="24"/>
                <w:lang w:val="en-US" w:eastAsia="zh-CN"/>
                <w14:textFill>
                  <w14:solidFill>
                    <w14:schemeClr w14:val="tx1"/>
                  </w14:solidFill>
                </w14:textFill>
              </w:rPr>
              <w:t>疏叶骆驼刺</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w:t>
            </w:r>
            <w:r>
              <w:rPr>
                <w:rFonts w:hint="eastAsia" w:cs="Times New Roman"/>
                <w:b w:val="0"/>
                <w:bCs w:val="0"/>
                <w:color w:val="000000" w:themeColor="text1"/>
                <w:sz w:val="24"/>
                <w:lang w:val="en-US" w:eastAsia="zh-CN"/>
                <w14:textFill>
                  <w14:solidFill>
                    <w14:schemeClr w14:val="tx1"/>
                  </w14:solidFill>
                </w14:textFill>
              </w:rPr>
              <w:t>参考</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《塔里木盆地北缘绿洲-荒漠过渡带典型植物地上生物量估测》（张殿岱，王雪梅，生态学杂志，2019，38</w:t>
            </w:r>
            <w:r>
              <w:rPr>
                <w:rFonts w:hint="eastAsia" w:cs="Times New Roman"/>
                <w:b w:val="0"/>
                <w:bCs w:val="0"/>
                <w:color w:val="000000" w:themeColor="text1"/>
                <w:sz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10</w:t>
            </w:r>
            <w:r>
              <w:rPr>
                <w:rFonts w:hint="eastAsia" w:cs="Times New Roman"/>
                <w:b w:val="0"/>
                <w:bCs w:val="0"/>
                <w:color w:val="000000" w:themeColor="text1"/>
                <w:sz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：3211-3220）中在北方荒漠地区草地生物量的研究结果，戈壁和</w:t>
            </w:r>
            <w:r>
              <w:rPr>
                <w:rFonts w:hint="eastAsia" w:cs="Times New Roman"/>
                <w:b w:val="0"/>
                <w:bCs w:val="0"/>
                <w:color w:val="000000" w:themeColor="text1"/>
                <w:sz w:val="24"/>
                <w:lang w:val="en-US" w:eastAsia="zh-CN"/>
                <w14:textFill>
                  <w14:solidFill>
                    <w14:schemeClr w14:val="tx1"/>
                  </w14:solidFill>
                </w14:textFill>
              </w:rPr>
              <w:t>荒漠</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平均生物损失量为0.049t/hm</w:t>
            </w:r>
            <w:r>
              <w:rPr>
                <w:rFonts w:hint="default" w:ascii="Times New Roman" w:hAnsi="Times New Roman" w:eastAsia="宋体" w:cs="Times New Roman"/>
                <w:b w:val="0"/>
                <w:bCs w:val="0"/>
                <w:color w:val="000000" w:themeColor="text1"/>
                <w:sz w:val="24"/>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，本项目占地面积共</w:t>
            </w:r>
            <w:r>
              <w:rPr>
                <w:rFonts w:hint="eastAsia" w:cs="Times New Roman"/>
                <w:b w:val="0"/>
                <w:bCs w:val="0"/>
                <w:color w:val="000000" w:themeColor="text1"/>
                <w:sz w:val="24"/>
                <w:lang w:val="en-US" w:eastAsia="zh-CN"/>
                <w14:textFill>
                  <w14:solidFill>
                    <w14:schemeClr w14:val="tx1"/>
                  </w14:solidFill>
                </w14:textFill>
              </w:rPr>
              <w:t>3.2222h</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。则项目生物损失量为</w:t>
            </w:r>
            <w:r>
              <w:rPr>
                <w:rFonts w:hint="eastAsia" w:cs="Times New Roman"/>
                <w:b w:val="0"/>
                <w:bCs w:val="0"/>
                <w:color w:val="000000" w:themeColor="text1"/>
                <w:sz w:val="24"/>
                <w:lang w:val="en-US" w:eastAsia="zh-CN"/>
                <w14:textFill>
                  <w14:solidFill>
                    <w14:schemeClr w14:val="tx1"/>
                  </w14:solidFill>
                </w14:textFill>
              </w:rPr>
              <w:t>0.16</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t。为保护表土资源，</w:t>
            </w:r>
            <w:r>
              <w:rPr>
                <w:rFonts w:hint="eastAsia" w:cs="Times New Roman"/>
                <w:b w:val="0"/>
                <w:bCs w:val="0"/>
                <w:color w:val="000000" w:themeColor="text1"/>
                <w:sz w:val="24"/>
                <w:lang w:val="en-US" w:eastAsia="zh-CN"/>
                <w14:textFill>
                  <w14:solidFill>
                    <w14:schemeClr w14:val="tx1"/>
                  </w14:solidFill>
                </w14:textFill>
              </w:rPr>
              <w:t>项目</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施工临时占地在施工结束后将采取机械平整压实自然恢复</w:t>
            </w:r>
            <w:r>
              <w:rPr>
                <w:rFonts w:hint="eastAsia" w:cs="Times New Roman"/>
                <w:b w:val="0"/>
                <w:bCs w:val="0"/>
                <w:color w:val="000000" w:themeColor="text1"/>
                <w:sz w:val="24"/>
                <w:lang w:val="en-US" w:eastAsia="zh-CN"/>
                <w14:textFill>
                  <w14:solidFill>
                    <w14:schemeClr w14:val="tx1"/>
                  </w14:solidFill>
                </w14:textFill>
              </w:rPr>
              <w:t>等</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措施</w:t>
            </w:r>
            <w:r>
              <w:rPr>
                <w:rFonts w:hint="eastAsia" w:cs="Times New Roman"/>
                <w:b w:val="0"/>
                <w:bCs w:val="0"/>
                <w:color w:val="000000" w:themeColor="text1"/>
                <w:sz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因此，</w:t>
            </w:r>
            <w:r>
              <w:rPr>
                <w:rFonts w:hint="eastAsia" w:cs="Times New Roman"/>
                <w:b w:val="0"/>
                <w:bCs w:val="0"/>
                <w:color w:val="000000" w:themeColor="text1"/>
                <w:sz w:val="24"/>
                <w:lang w:val="en-US" w:eastAsia="zh-CN"/>
                <w14:textFill>
                  <w14:solidFill>
                    <w14:schemeClr w14:val="tx1"/>
                  </w14:solidFill>
                </w14:textFill>
              </w:rPr>
              <w:t>项目</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施工对当地植物多样性影响很小，不会对区域内生态环境质量造成不利影响。</w:t>
            </w:r>
          </w:p>
          <w:p w14:paraId="3283886A">
            <w:pPr>
              <w:adjustRightInd w:val="0"/>
              <w:snapToGrid w:val="0"/>
              <w:spacing w:line="500" w:lineRule="exact"/>
              <w:ind w:firstLine="480" w:firstLineChars="20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w:t>
            </w:r>
            <w:r>
              <w:rPr>
                <w:rFonts w:hint="eastAsia"/>
                <w:color w:val="000000" w:themeColor="text1"/>
                <w:lang w:val="zh-CN"/>
                <w14:textFill>
                  <w14:solidFill>
                    <w14:schemeClr w14:val="tx1"/>
                  </w14:solidFill>
                </w14:textFill>
              </w:rPr>
              <w:t>对野生动物影响分析</w:t>
            </w:r>
          </w:p>
          <w:p w14:paraId="5382A8A5">
            <w:pPr>
              <w:adjustRightInd w:val="0"/>
              <w:spacing w:line="520" w:lineRule="exact"/>
              <w:ind w:firstLine="480" w:firstLineChars="200"/>
              <w:rPr>
                <w:color w:val="000000" w:themeColor="text1"/>
                <w14:textFill>
                  <w14:solidFill>
                    <w14:schemeClr w14:val="tx1"/>
                  </w14:solidFill>
                </w14:textFill>
              </w:rPr>
            </w:pPr>
            <w:r>
              <w:rPr>
                <w:rFonts w:hint="eastAsia"/>
                <w:color w:val="000000" w:themeColor="text1"/>
                <w:lang w:val="zh-CN"/>
                <w14:textFill>
                  <w14:solidFill>
                    <w14:schemeClr w14:val="tx1"/>
                  </w14:solidFill>
                </w14:textFill>
              </w:rPr>
              <w:t>本项目所在区域野生动物种类很少，现有的野生动物多为一些常见的</w:t>
            </w:r>
            <w:r>
              <w:rPr>
                <w:rFonts w:hint="default" w:ascii="Times New Roman" w:hAnsi="Times New Roman" w:cs="Times New Roman"/>
                <w:b w:val="0"/>
                <w:bCs w:val="0"/>
                <w:color w:val="000000" w:themeColor="text1"/>
                <w:lang w:val="en-US" w:eastAsia="zh-CN"/>
                <w14:textFill>
                  <w14:solidFill>
                    <w14:schemeClr w14:val="tx1"/>
                  </w14:solidFill>
                </w14:textFill>
              </w:rPr>
              <w:t>沙蜥</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沙鼠</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麻雀等小型动物</w:t>
            </w:r>
            <w:r>
              <w:rPr>
                <w:rFonts w:hint="eastAsia"/>
                <w:color w:val="000000" w:themeColor="text1"/>
                <w:lang w:val="zh-CN"/>
                <w14:textFill>
                  <w14:solidFill>
                    <w14:schemeClr w14:val="tx1"/>
                  </w14:solidFill>
                </w14:textFill>
              </w:rPr>
              <w:t>。</w:t>
            </w:r>
            <w:r>
              <w:rPr>
                <w:color w:val="000000" w:themeColor="text1"/>
                <w14:textFill>
                  <w14:solidFill>
                    <w14:schemeClr w14:val="tx1"/>
                  </w14:solidFill>
                </w14:textFill>
              </w:rPr>
              <w:t>随着项目的实施，将不可避免</w:t>
            </w:r>
            <w:r>
              <w:rPr>
                <w:rFonts w:hint="eastAsia"/>
                <w:color w:val="000000" w:themeColor="text1"/>
                <w:lang w:eastAsia="zh-CN"/>
                <w14:textFill>
                  <w14:solidFill>
                    <w14:schemeClr w14:val="tx1"/>
                  </w14:solidFill>
                </w14:textFill>
              </w:rPr>
              <w:t>地</w:t>
            </w:r>
            <w:r>
              <w:rPr>
                <w:color w:val="000000" w:themeColor="text1"/>
                <w14:textFill>
                  <w14:solidFill>
                    <w14:schemeClr w14:val="tx1"/>
                  </w14:solidFill>
                </w14:textFill>
              </w:rPr>
              <w:t>影响野生动物赖以生存的环境，但该区域内动物多为新疆广布种，以啮齿类、爬行类动物为主，由于工程占地面积较小，工期较短，</w:t>
            </w:r>
            <w:r>
              <w:rPr>
                <w:rFonts w:hint="eastAsia"/>
                <w:color w:val="000000" w:themeColor="text1"/>
                <w:lang w:eastAsia="zh-CN"/>
                <w14:textFill>
                  <w14:solidFill>
                    <w14:schemeClr w14:val="tx1"/>
                  </w14:solidFill>
                </w14:textFill>
              </w:rPr>
              <w:t>施工</w:t>
            </w:r>
            <w:r>
              <w:rPr>
                <w:bCs/>
                <w:color w:val="000000" w:themeColor="text1"/>
                <w14:textFill>
                  <w14:solidFill>
                    <w14:schemeClr w14:val="tx1"/>
                  </w14:solidFill>
                </w14:textFill>
              </w:rPr>
              <w:t>结束后，随着高噪声设备的撤离和临时占地植被的恢复，</w:t>
            </w:r>
            <w:r>
              <w:rPr>
                <w:color w:val="000000" w:themeColor="text1"/>
                <w:kern w:val="24"/>
                <w14:textFill>
                  <w14:solidFill>
                    <w14:schemeClr w14:val="tx1"/>
                  </w14:solidFill>
                </w14:textFill>
              </w:rPr>
              <w:t>野</w:t>
            </w:r>
            <w:r>
              <w:rPr>
                <w:color w:val="000000" w:themeColor="text1"/>
                <w14:textFill>
                  <w14:solidFill>
                    <w14:schemeClr w14:val="tx1"/>
                  </w14:solidFill>
                </w14:textFill>
              </w:rPr>
              <w:t>生动物将逐步回归原有生境。</w:t>
            </w:r>
          </w:p>
          <w:p w14:paraId="26506108">
            <w:pPr>
              <w:adjustRightInd w:val="0"/>
              <w:snapToGrid w:val="0"/>
              <w:spacing w:line="500" w:lineRule="exact"/>
              <w:ind w:firstLine="480" w:firstLineChars="200"/>
              <w:rPr>
                <w:color w:val="000000" w:themeColor="text1"/>
                <w:lang w:val="zh-CN"/>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w:t>
            </w:r>
            <w:r>
              <w:rPr>
                <w:rFonts w:hint="eastAsia"/>
                <w:color w:val="000000" w:themeColor="text1"/>
                <w:lang w:val="zh-CN"/>
                <w14:textFill>
                  <w14:solidFill>
                    <w14:schemeClr w14:val="tx1"/>
                  </w14:solidFill>
                </w14:textFill>
              </w:rPr>
              <w:t>水土流失影响分析</w:t>
            </w:r>
          </w:p>
          <w:p w14:paraId="2CE6FCC4">
            <w:pPr>
              <w:adjustRightInd w:val="0"/>
              <w:snapToGrid w:val="0"/>
              <w:spacing w:line="500" w:lineRule="exact"/>
              <w:ind w:firstLine="480" w:firstLineChars="200"/>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本项目的建设将带来土地占用、土方开挖、临时堆土等可能产生水土流失的工程问题，人为活动造成水土流失的原因主要是破坏地表植被、挖方的临时堆放，在大风天气易产生水土流失。</w:t>
            </w:r>
          </w:p>
          <w:p w14:paraId="52C16C32">
            <w:pPr>
              <w:adjustRightInd w:val="0"/>
              <w:snapToGrid w:val="0"/>
              <w:spacing w:line="500" w:lineRule="exact"/>
              <w:ind w:firstLine="480" w:firstLineChars="200"/>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根据《巴音郭楞蒙古自治州水土保持规划（202</w:t>
            </w:r>
            <w:r>
              <w:rPr>
                <w:rFonts w:hint="eastAsia"/>
                <w:color w:val="000000" w:themeColor="text1"/>
                <w:lang w:val="en-US" w:eastAsia="zh-CN"/>
                <w14:textFill>
                  <w14:solidFill>
                    <w14:schemeClr w14:val="tx1"/>
                  </w14:solidFill>
                </w14:textFill>
              </w:rPr>
              <w:t>0—</w:t>
            </w:r>
            <w:r>
              <w:rPr>
                <w:rFonts w:hint="eastAsia"/>
                <w:color w:val="000000" w:themeColor="text1"/>
                <w:lang w:val="zh-CN"/>
                <w14:textFill>
                  <w14:solidFill>
                    <w14:schemeClr w14:val="tx1"/>
                  </w14:solidFill>
                </w14:textFill>
              </w:rPr>
              <w:t>2030年）》，本项目所在区域属于阿尔金山国家级水土流失重点预防区。本项目的水土流失产生时段主要集中在施工期，水土流失产生区域为施工区域及周边。在建设过程中由于扰动原地貌、破坏土壤结构、破坏地表植被等情况的发生，可能造成水土流失，破坏周边生态环境，引发一系列的环境问题。</w:t>
            </w:r>
          </w:p>
          <w:p w14:paraId="4611966C">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土地沙化影响分析</w:t>
            </w:r>
          </w:p>
          <w:p w14:paraId="0757E6E5">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kern w:val="0"/>
                <w14:textFill>
                  <w14:solidFill>
                    <w14:schemeClr w14:val="tx1"/>
                  </w14:solidFill>
                </w14:textFill>
              </w:rPr>
              <w:t>项目所在区域属于</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具有明显沙化趋势的土地</w:t>
            </w:r>
            <w:r>
              <w:rPr>
                <w:rFonts w:hint="eastAsia"/>
                <w:color w:val="000000" w:themeColor="text1"/>
                <w:kern w:val="0"/>
                <w14:textFill>
                  <w14:solidFill>
                    <w14:schemeClr w14:val="tx1"/>
                  </w14:solidFill>
                </w14:textFill>
              </w:rPr>
              <w:t>。</w:t>
            </w:r>
            <w:r>
              <w:rPr>
                <w:color w:val="000000" w:themeColor="text1"/>
                <w14:textFill>
                  <w14:solidFill>
                    <w14:schemeClr w14:val="tx1"/>
                  </w14:solidFill>
                </w14:textFill>
              </w:rPr>
              <w:t>项目建设过程中对原地貌的扰动将降低项目占地范围内的土壤抗侵蚀能力，造成土地沙化</w:t>
            </w:r>
            <w:r>
              <w:rPr>
                <w:rFonts w:hint="eastAsia"/>
                <w:color w:val="000000" w:themeColor="text1"/>
                <w14:textFill>
                  <w14:solidFill>
                    <w14:schemeClr w14:val="tx1"/>
                  </w14:solidFill>
                </w14:textFill>
              </w:rPr>
              <w:t>严重</w:t>
            </w:r>
            <w:r>
              <w:rPr>
                <w:color w:val="000000" w:themeColor="text1"/>
                <w14:textFill>
                  <w14:solidFill>
                    <w14:schemeClr w14:val="tx1"/>
                  </w14:solidFill>
                </w14:textFill>
              </w:rPr>
              <w:t>；此外，由于项目地处内陆地区，风较大，空气干燥，若项目土石方堆存过程中未采取防尘网</w:t>
            </w:r>
            <w:r>
              <w:rPr>
                <w:rFonts w:hint="eastAsia"/>
                <w:color w:val="000000" w:themeColor="text1"/>
                <w14:textFill>
                  <w14:solidFill>
                    <w14:schemeClr w14:val="tx1"/>
                  </w14:solidFill>
                </w14:textFill>
              </w:rPr>
              <w:t>遮盖</w:t>
            </w:r>
            <w:r>
              <w:rPr>
                <w:color w:val="000000" w:themeColor="text1"/>
                <w14:textFill>
                  <w14:solidFill>
                    <w14:schemeClr w14:val="tx1"/>
                  </w14:solidFill>
                </w14:textFill>
              </w:rPr>
              <w:t>、洒水抑尘等措施，堆土</w:t>
            </w:r>
            <w:r>
              <w:rPr>
                <w:rFonts w:hint="eastAsia"/>
                <w:color w:val="000000" w:themeColor="text1"/>
                <w14:textFill>
                  <w14:solidFill>
                    <w14:schemeClr w14:val="tx1"/>
                  </w14:solidFill>
                </w14:textFill>
              </w:rPr>
              <w:t>及物料</w:t>
            </w:r>
            <w:r>
              <w:rPr>
                <w:color w:val="000000" w:themeColor="text1"/>
                <w14:textFill>
                  <w14:solidFill>
                    <w14:schemeClr w14:val="tx1"/>
                  </w14:solidFill>
                </w14:textFill>
              </w:rPr>
              <w:t>遇大风天气易产生严重的扬尘，形成沙尘天气。</w:t>
            </w:r>
          </w:p>
          <w:p w14:paraId="70B70E4D">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项目施工期基础开挖、场地平整等过程中对原有地表土壤造成扰动，造成地表原有结构的破坏。此外，在施工过程中，各种车辆（尤其是重型卡车）行驶将使经过的土壤变紧实。</w:t>
            </w:r>
          </w:p>
          <w:p w14:paraId="20ECBE7E">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上述施工作业过程中，对原地貌的扰动大大降低了项目占地范围内的土壤抗侵蚀能力，若未采取相应的防护措施，遇大风天气，极易加重区域沙尘天气。</w:t>
            </w:r>
          </w:p>
          <w:p w14:paraId="4EE420CE">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综上所述，施工期对周围环境有一定影响，采取相应防治措施后对周围环境的影响较小，同时施工期较短，施工结束后，影响即随之消除</w:t>
            </w:r>
            <w:r>
              <w:rPr>
                <w:rFonts w:hint="eastAsia"/>
                <w:color w:val="000000" w:themeColor="text1"/>
                <w14:textFill>
                  <w14:solidFill>
                    <w14:schemeClr w14:val="tx1"/>
                  </w14:solidFill>
                </w14:textFill>
              </w:rPr>
              <w:t>。</w:t>
            </w:r>
          </w:p>
          <w:p w14:paraId="1CFEBA8C">
            <w:pPr>
              <w:adjustRightInd w:val="0"/>
              <w:snapToGri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2</w:t>
            </w:r>
            <w:r>
              <w:rPr>
                <w:b/>
                <w:bCs/>
                <w:color w:val="000000" w:themeColor="text1"/>
                <w14:textFill>
                  <w14:solidFill>
                    <w14:schemeClr w14:val="tx1"/>
                  </w14:solidFill>
                </w14:textFill>
              </w:rPr>
              <w:t>.环境空气影响分析</w:t>
            </w:r>
          </w:p>
          <w:p w14:paraId="31D6793F">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（1）施工扬尘</w:t>
            </w:r>
          </w:p>
          <w:p w14:paraId="574B5A2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eastAsiaTheme="minorEastAsia"/>
              </w:rPr>
            </w:pPr>
            <w:r>
              <w:rPr>
                <w:rFonts w:hint="default" w:ascii="Times New Roman" w:hAnsi="Times New Roman" w:cs="Times New Roman" w:eastAsiaTheme="minorEastAsia"/>
              </w:rPr>
              <w:t>施工期间施工开挖，</w:t>
            </w:r>
            <w:r>
              <w:rPr>
                <w:rFonts w:hint="default" w:ascii="Times New Roman" w:hAnsi="Times New Roman" w:cs="Times New Roman" w:eastAsiaTheme="minorEastAsia"/>
                <w:lang w:val="en-US" w:eastAsia="zh-CN"/>
              </w:rPr>
              <w:t>回填土方，</w:t>
            </w:r>
            <w:r>
              <w:rPr>
                <w:rFonts w:hint="default" w:ascii="Times New Roman" w:hAnsi="Times New Roman" w:cs="Times New Roman" w:eastAsiaTheme="minorEastAsia"/>
              </w:rPr>
              <w:t>道路修建推平</w:t>
            </w:r>
            <w:r>
              <w:rPr>
                <w:rFonts w:hint="default" w:ascii="Times New Roman" w:hAnsi="Times New Roman" w:cs="Times New Roman" w:eastAsiaTheme="minorEastAsia"/>
                <w:lang w:eastAsia="zh-CN"/>
              </w:rPr>
              <w:t>、场地推平、</w:t>
            </w:r>
            <w:r>
              <w:rPr>
                <w:rFonts w:hint="default" w:ascii="Times New Roman" w:hAnsi="Times New Roman" w:cs="Times New Roman" w:eastAsiaTheme="minorEastAsia"/>
              </w:rPr>
              <w:t>物料堆放</w:t>
            </w:r>
            <w:r>
              <w:rPr>
                <w:rFonts w:hint="default" w:ascii="Times New Roman" w:hAnsi="Times New Roman" w:cs="Times New Roman" w:eastAsiaTheme="minorEastAsia"/>
                <w:lang w:eastAsia="zh-CN"/>
              </w:rPr>
              <w:t>过程中</w:t>
            </w:r>
            <w:r>
              <w:rPr>
                <w:rFonts w:hint="default" w:ascii="Times New Roman" w:hAnsi="Times New Roman" w:cs="Times New Roman" w:eastAsiaTheme="minorEastAsia"/>
              </w:rPr>
              <w:t>会产生扬尘</w:t>
            </w:r>
            <w:r>
              <w:rPr>
                <w:rFonts w:hint="default" w:ascii="Times New Roman" w:hAnsi="Times New Roman" w:cs="Times New Roman" w:eastAsiaTheme="minorEastAsia"/>
                <w:lang w:val="en-US" w:eastAsia="zh-CN"/>
              </w:rPr>
              <w:t>，</w:t>
            </w:r>
            <w:r>
              <w:rPr>
                <w:rFonts w:hint="default" w:ascii="Times New Roman" w:hAnsi="Times New Roman" w:cs="Times New Roman" w:eastAsiaTheme="minorEastAsia"/>
              </w:rPr>
              <w:t>施工材料的装卸、运输、堆放以及施工车辆运输等环节，也都会产生扬尘，污染物主要为TSP。</w:t>
            </w:r>
          </w:p>
          <w:p w14:paraId="72C55CD8">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color w:val="000000" w:themeColor="text1"/>
                <w:sz w:val="24"/>
                <w14:textFill>
                  <w14:solidFill>
                    <w14:schemeClr w14:val="tx1"/>
                  </w14:solidFill>
                </w14:textFill>
              </w:rPr>
            </w:pPr>
            <w:r>
              <w:rPr>
                <w:color w:val="000000" w:themeColor="text1"/>
                <w:sz w:val="24"/>
                <w14:textFill>
                  <w14:solidFill>
                    <w14:schemeClr w14:val="tx1"/>
                  </w14:solidFill>
                </w14:textFill>
              </w:rPr>
              <w:t>施工扬尘的产生及影响程度跟施工季节、施工管理和风力等气候因素有一定关系，如遇干旱大风扬尘影响则较为严重。根据类比资料，在一般气象条件下，平均风速2.6m/s的施工扬尘污染有如下特点：施工区域内TSP浓度为上风向对照点的1.5～2.3倍；在施工场地下风向150m处，TSP平均浓度可达0.49mg/N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左右。据有关研究，车辆行驶产生的扬尘占总扬尘的60%以上。扬尘的产生量及扬尘污染程度与车辆运输方式、路面状况、天气条件等因素关系密切，影响可达150～300m。如果在施工期间对车辆行驶的路面实施洒水抑尘，可使扬</w:t>
            </w:r>
            <w:r>
              <w:rPr>
                <w:rFonts w:hint="eastAsia"/>
                <w:color w:val="000000" w:themeColor="text1"/>
                <w:sz w:val="24"/>
                <w:lang w:eastAsia="zh-CN"/>
                <w14:textFill>
                  <w14:solidFill>
                    <w14:schemeClr w14:val="tx1"/>
                  </w14:solidFill>
                </w14:textFill>
              </w:rPr>
              <w:t>尘</w:t>
            </w:r>
            <w:r>
              <w:rPr>
                <w:color w:val="000000" w:themeColor="text1"/>
                <w:sz w:val="24"/>
                <w14:textFill>
                  <w14:solidFill>
                    <w14:schemeClr w14:val="tx1"/>
                  </w14:solidFill>
                </w14:textFill>
              </w:rPr>
              <w:t>影响范围</w:t>
            </w:r>
            <w:r>
              <w:rPr>
                <w:rFonts w:hint="eastAsia"/>
                <w:color w:val="000000" w:themeColor="text1"/>
                <w:sz w:val="24"/>
                <w:lang w:eastAsia="zh-CN"/>
                <w14:textFill>
                  <w14:solidFill>
                    <w14:schemeClr w14:val="tx1"/>
                  </w14:solidFill>
                </w14:textFill>
              </w:rPr>
              <w:t>减小</w:t>
            </w:r>
            <w:r>
              <w:rPr>
                <w:color w:val="000000" w:themeColor="text1"/>
                <w:sz w:val="24"/>
                <w14:textFill>
                  <w14:solidFill>
                    <w14:schemeClr w14:val="tx1"/>
                  </w14:solidFill>
                </w14:textFill>
              </w:rPr>
              <w:t>，扬尘造成的TSP污染距离可缩小到20～50m范围。</w:t>
            </w:r>
          </w:p>
          <w:p w14:paraId="71D63A43">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eastAsia="宋体"/>
                <w:color w:val="000000" w:themeColor="text1"/>
                <w:lang w:eastAsia="zh-CN"/>
                <w14:textFill>
                  <w14:solidFill>
                    <w14:schemeClr w14:val="tx1"/>
                  </w14:solidFill>
                </w14:textFill>
              </w:rPr>
            </w:pPr>
            <w:r>
              <w:rPr>
                <w:color w:val="000000" w:themeColor="text1"/>
                <w:sz w:val="24"/>
                <w14:textFill>
                  <w14:solidFill>
                    <w14:schemeClr w14:val="tx1"/>
                  </w14:solidFill>
                </w14:textFill>
              </w:rPr>
              <w:t>根据现场调查，本项目周边</w:t>
            </w:r>
            <w:r>
              <w:rPr>
                <w:rFonts w:hint="eastAsia"/>
                <w:color w:val="000000" w:themeColor="text1"/>
                <w:sz w:val="24"/>
                <w14:textFill>
                  <w14:solidFill>
                    <w14:schemeClr w14:val="tx1"/>
                  </w14:solidFill>
                </w14:textFill>
              </w:rPr>
              <w:t>无</w:t>
            </w:r>
            <w:r>
              <w:rPr>
                <w:color w:val="000000" w:themeColor="text1"/>
                <w:sz w:val="24"/>
                <w14:textFill>
                  <w14:solidFill>
                    <w14:schemeClr w14:val="tx1"/>
                  </w14:solidFill>
                </w14:textFill>
              </w:rPr>
              <w:t>大气敏感目标</w:t>
            </w:r>
            <w:r>
              <w:rPr>
                <w:bCs/>
                <w:color w:val="000000" w:themeColor="text1"/>
                <w:sz w:val="24"/>
                <w14:textFill>
                  <w14:solidFill>
                    <w14:schemeClr w14:val="tx1"/>
                  </w14:solidFill>
                </w14:textFill>
              </w:rPr>
              <w:t>，周边大气扩散条件良好，施工期间加强洒水降尘，大风等恶劣天气停止施工。施工扬尘随施工结束消失，对周边</w:t>
            </w:r>
            <w:r>
              <w:rPr>
                <w:rFonts w:hint="eastAsia"/>
                <w:bCs/>
                <w:color w:val="000000" w:themeColor="text1"/>
                <w:sz w:val="24"/>
                <w:lang w:val="en-US" w:eastAsia="zh-CN"/>
                <w14:textFill>
                  <w14:solidFill>
                    <w14:schemeClr w14:val="tx1"/>
                  </w14:solidFill>
                </w14:textFill>
              </w:rPr>
              <w:t>大气</w:t>
            </w:r>
            <w:r>
              <w:rPr>
                <w:bCs/>
                <w:color w:val="000000" w:themeColor="text1"/>
                <w:sz w:val="24"/>
                <w14:textFill>
                  <w14:solidFill>
                    <w14:schemeClr w14:val="tx1"/>
                  </w14:solidFill>
                </w14:textFill>
              </w:rPr>
              <w:t>环境影响较小</w:t>
            </w:r>
            <w:r>
              <w:rPr>
                <w:rFonts w:hint="eastAsia"/>
                <w:bCs/>
                <w:color w:val="000000" w:themeColor="text1"/>
                <w:sz w:val="24"/>
                <w:lang w:eastAsia="zh-CN"/>
                <w14:textFill>
                  <w14:solidFill>
                    <w14:schemeClr w14:val="tx1"/>
                  </w14:solidFill>
                </w14:textFill>
              </w:rPr>
              <w:t>。</w:t>
            </w:r>
          </w:p>
          <w:p w14:paraId="122050B5">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机械尾气</w:t>
            </w:r>
          </w:p>
          <w:p w14:paraId="253C90C9">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施工机械和运输车辆基本以燃油为主，燃烧尾气中含有CO、THC、NO</w:t>
            </w:r>
            <w:r>
              <w:rPr>
                <w:color w:val="000000" w:themeColor="text1"/>
                <w:vertAlign w:val="subscript"/>
                <w14:textFill>
                  <w14:solidFill>
                    <w14:schemeClr w14:val="tx1"/>
                  </w14:solidFill>
                </w14:textFill>
              </w:rPr>
              <w:t>x</w:t>
            </w:r>
            <w:r>
              <w:rPr>
                <w:color w:val="000000" w:themeColor="text1"/>
                <w14:textFill>
                  <w14:solidFill>
                    <w14:schemeClr w14:val="tx1"/>
                  </w14:solidFill>
                </w14:textFill>
              </w:rPr>
              <w:t>等大气污染物，影响施工区大气环境质量。鉴于项目排放的大气污染物相对较小，项目工程量小且施工期短，主要在施工区内，机械尾气排放与当地的大气容量相比很小，且具有流动性和间歇性的特点，废气产生后能迅速稀释扩散，对区域大气环境影响较小。</w:t>
            </w:r>
          </w:p>
          <w:p w14:paraId="3D42E40B">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（3）焊接烟尘</w:t>
            </w:r>
          </w:p>
          <w:p w14:paraId="60BD5ACD">
            <w:pPr>
              <w:adjustRightInd w:val="0"/>
              <w:snapToGrid w:val="0"/>
              <w:spacing w:line="500" w:lineRule="exact"/>
              <w:ind w:firstLine="480" w:firstLineChars="200"/>
              <w:rPr>
                <w:rFonts w:ascii="Times New Roman" w:hAnsi="Times New Roman" w:eastAsia="宋体" w:cs="Times New Roman"/>
                <w:color w:val="000000" w:themeColor="text1"/>
                <w14:textFill>
                  <w14:solidFill>
                    <w14:schemeClr w14:val="tx1"/>
                  </w14:solidFill>
                </w14:textFill>
              </w:rPr>
            </w:pPr>
            <w:r>
              <w:rPr>
                <w:color w:val="000000" w:themeColor="text1"/>
                <w14:textFill>
                  <w14:solidFill>
                    <w14:schemeClr w14:val="tx1"/>
                  </w14:solidFill>
                </w14:textFill>
              </w:rPr>
              <w:t>本</w:t>
            </w:r>
            <w:r>
              <w:rPr>
                <w:rFonts w:hint="eastAsia"/>
                <w:color w:val="000000" w:themeColor="text1"/>
                <w14:textFill>
                  <w14:solidFill>
                    <w14:schemeClr w14:val="tx1"/>
                  </w14:solidFill>
                </w14:textFill>
              </w:rPr>
              <w:t>项目组合</w:t>
            </w:r>
            <w:r>
              <w:rPr>
                <w:color w:val="000000" w:themeColor="text1"/>
                <w14:textFill>
                  <w14:solidFill>
                    <w14:schemeClr w14:val="tx1"/>
                  </w14:solidFill>
                </w14:textFill>
              </w:rPr>
              <w:t>支架较大，采取施工现场焊接方式。支架焊接过程有焊接烟尘产生，施工期采用带有焊接烟尘净化器的焊接机，焊接烟尘产生量较少，焊接烟尘呈无组织形式排放，且焊接部位较少，因此焊接烟尘产生量较少；且焊接为间断性过程、项目周边地形开阔，具有良好的空气扩散条件，烟气扩</w:t>
            </w:r>
            <w:r>
              <w:rPr>
                <w:rFonts w:ascii="Times New Roman" w:hAnsi="Times New Roman" w:eastAsia="宋体" w:cs="Times New Roman"/>
                <w:color w:val="000000" w:themeColor="text1"/>
                <w14:textFill>
                  <w14:solidFill>
                    <w14:schemeClr w14:val="tx1"/>
                  </w14:solidFill>
                </w14:textFill>
              </w:rPr>
              <w:t>散较快，对周边环境空气影响较小。</w:t>
            </w:r>
          </w:p>
          <w:p w14:paraId="1512918A">
            <w:pPr>
              <w:adjustRightInd w:val="0"/>
              <w:snapToGrid w:val="0"/>
              <w:spacing w:line="500" w:lineRule="exact"/>
              <w:ind w:firstLine="482" w:firstLineChars="200"/>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3</w:t>
            </w:r>
            <w:r>
              <w:rPr>
                <w:b/>
                <w:bCs/>
                <w:color w:val="000000" w:themeColor="text1"/>
                <w14:textFill>
                  <w14:solidFill>
                    <w14:schemeClr w14:val="tx1"/>
                  </w14:solidFill>
                </w14:textFill>
              </w:rPr>
              <w:t>.水环境影响分析</w:t>
            </w:r>
          </w:p>
          <w:p w14:paraId="70269745">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本项目施工期间产生的废水主要为施工废水和施工人员生活污水。</w:t>
            </w:r>
          </w:p>
          <w:p w14:paraId="47B6C032">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（1）施工废水</w:t>
            </w:r>
          </w:p>
          <w:p w14:paraId="002896B1">
            <w:pPr>
              <w:adjustRightInd w:val="0"/>
              <w:snapToGrid w:val="0"/>
              <w:spacing w:line="500" w:lineRule="exact"/>
              <w:ind w:firstLine="480" w:firstLineChars="200"/>
              <w:rPr>
                <w:rFonts w:hint="eastAsia" w:ascii="Times New Roman" w:eastAsia="宋体"/>
                <w:color w:val="000000" w:themeColor="text1"/>
                <w:lang w:val="en-US" w:eastAsia="zh-CN"/>
                <w14:textFill>
                  <w14:solidFill>
                    <w14:schemeClr w14:val="tx1"/>
                  </w14:solidFill>
                </w14:textFill>
              </w:rPr>
            </w:pPr>
            <w:r>
              <w:rPr>
                <w:color w:val="000000" w:themeColor="text1"/>
                <w14:textFill>
                  <w14:solidFill>
                    <w14:schemeClr w14:val="tx1"/>
                  </w14:solidFill>
                </w14:textFill>
              </w:rPr>
              <w:t>施工废水主要</w:t>
            </w:r>
            <w:r>
              <w:rPr>
                <w:rFonts w:hint="eastAsia"/>
                <w:color w:val="000000" w:themeColor="text1"/>
                <w14:textFill>
                  <w14:solidFill>
                    <w14:schemeClr w14:val="tx1"/>
                  </w14:solidFill>
                </w14:textFill>
              </w:rPr>
              <w:t>为</w:t>
            </w:r>
            <w:r>
              <w:rPr>
                <w:color w:val="000000" w:themeColor="text1"/>
                <w14:textFill>
                  <w14:solidFill>
                    <w14:schemeClr w14:val="tx1"/>
                  </w14:solidFill>
                </w14:textFill>
              </w:rPr>
              <w:t>混凝土养护、车辆冲洗</w:t>
            </w:r>
            <w:r>
              <w:rPr>
                <w:rFonts w:hint="eastAsia"/>
                <w:color w:val="000000" w:themeColor="text1"/>
                <w14:textFill>
                  <w14:solidFill>
                    <w14:schemeClr w14:val="tx1"/>
                  </w14:solidFill>
                </w14:textFill>
              </w:rPr>
              <w:t>废水</w:t>
            </w:r>
            <w:r>
              <w:rPr>
                <w:color w:val="000000" w:themeColor="text1"/>
                <w14:textFill>
                  <w14:solidFill>
                    <w14:schemeClr w14:val="tx1"/>
                  </w14:solidFill>
                </w14:textFill>
              </w:rPr>
              <w:t>，</w:t>
            </w:r>
            <w:r>
              <w:rPr>
                <w:rFonts w:hint="eastAsia" w:ascii="Times New Roman"/>
                <w:color w:val="000000" w:themeColor="text1"/>
                <w:lang w:val="en-US" w:eastAsia="zh-CN"/>
                <w14:textFill>
                  <w14:solidFill>
                    <w14:schemeClr w14:val="tx1"/>
                  </w14:solidFill>
                </w14:textFill>
              </w:rPr>
              <w:t>混凝土养护废水自然蒸发，</w:t>
            </w:r>
            <w:r>
              <w:rPr>
                <w:rFonts w:ascii="Times New Roman"/>
                <w:color w:val="000000" w:themeColor="text1"/>
                <w14:textFill>
                  <w14:solidFill>
                    <w14:schemeClr w14:val="tx1"/>
                  </w14:solidFill>
                </w14:textFill>
              </w:rPr>
              <w:t>施工</w:t>
            </w:r>
            <w:r>
              <w:rPr>
                <w:rFonts w:hint="default" w:ascii="Times New Roman"/>
                <w:color w:val="000000" w:themeColor="text1"/>
                <w14:textFill>
                  <w14:solidFill>
                    <w14:schemeClr w14:val="tx1"/>
                  </w14:solidFill>
                </w14:textFill>
              </w:rPr>
              <w:t>机械车辆定期去专业检修点维修保养</w:t>
            </w:r>
            <w:r>
              <w:rPr>
                <w:rFonts w:hint="eastAsia" w:ascii="Times New Roman"/>
                <w:color w:val="000000" w:themeColor="text1"/>
                <w:lang w:eastAsia="zh-CN"/>
                <w14:textFill>
                  <w14:solidFill>
                    <w14:schemeClr w14:val="tx1"/>
                  </w14:solidFill>
                </w14:textFill>
              </w:rPr>
              <w:t>，</w:t>
            </w:r>
            <w:r>
              <w:rPr>
                <w:rFonts w:hint="eastAsia" w:ascii="Times New Roman"/>
                <w:color w:val="000000" w:themeColor="text1"/>
                <w:lang w:val="en-US" w:eastAsia="zh-CN"/>
                <w14:textFill>
                  <w14:solidFill>
                    <w14:schemeClr w14:val="tx1"/>
                  </w14:solidFill>
                </w14:textFill>
              </w:rPr>
              <w:t>不在施工营地检修</w:t>
            </w:r>
            <w:r>
              <w:rPr>
                <w:rFonts w:ascii="Times New Roman"/>
                <w:color w:val="000000" w:themeColor="text1"/>
                <w14:textFill>
                  <w14:solidFill>
                    <w14:schemeClr w14:val="tx1"/>
                  </w14:solidFill>
                </w14:textFill>
              </w:rPr>
              <w:t>；</w:t>
            </w:r>
            <w:r>
              <w:rPr>
                <w:rFonts w:hint="default" w:ascii="Times New Roman"/>
                <w:color w:val="000000" w:themeColor="text1"/>
                <w14:textFill>
                  <w14:solidFill>
                    <w14:schemeClr w14:val="tx1"/>
                  </w14:solidFill>
                </w14:textFill>
              </w:rPr>
              <w:t>工地出入口设置洗车池，车辆冲洗废水经沉淀后回用</w:t>
            </w:r>
            <w:r>
              <w:rPr>
                <w:rFonts w:hint="eastAsia"/>
                <w:color w:val="000000" w:themeColor="text1"/>
                <w:lang w:val="en-US" w:eastAsia="zh-CN"/>
                <w14:textFill>
                  <w14:solidFill>
                    <w14:schemeClr w14:val="tx1"/>
                  </w14:solidFill>
                </w14:textFill>
              </w:rPr>
              <w:t>于施工场地</w:t>
            </w:r>
            <w:r>
              <w:rPr>
                <w:rFonts w:hint="default" w:ascii="Times New Roman"/>
                <w:color w:val="000000" w:themeColor="text1"/>
                <w14:textFill>
                  <w14:solidFill>
                    <w14:schemeClr w14:val="tx1"/>
                  </w14:solidFill>
                </w14:textFill>
              </w:rPr>
              <w:t>洒水降尘</w:t>
            </w:r>
            <w:r>
              <w:rPr>
                <w:rFonts w:hint="eastAsia" w:ascii="Times New Roman"/>
                <w:color w:val="000000" w:themeColor="text1"/>
                <w:lang w:eastAsia="zh-CN"/>
                <w14:textFill>
                  <w14:solidFill>
                    <w14:schemeClr w14:val="tx1"/>
                  </w14:solidFill>
                </w14:textFill>
              </w:rPr>
              <w:t>。</w:t>
            </w:r>
          </w:p>
          <w:p w14:paraId="5C2416BD">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（2）生活污水</w:t>
            </w:r>
          </w:p>
          <w:p w14:paraId="3E6BB182">
            <w:pPr>
              <w:adjustRightInd w:val="0"/>
              <w:snapToGrid w:val="0"/>
              <w:spacing w:line="500" w:lineRule="exact"/>
              <w:ind w:firstLine="480" w:firstLineChars="200"/>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本项目施工期间平均人数为</w:t>
            </w:r>
            <w:r>
              <w:rPr>
                <w:rFonts w:hint="eastAsia"/>
                <w:color w:val="000000" w:themeColor="text1"/>
                <w:lang w:val="en-US" w:eastAsia="zh-CN"/>
                <w14:textFill>
                  <w14:solidFill>
                    <w14:schemeClr w14:val="tx1"/>
                  </w14:solidFill>
                </w14:textFill>
              </w:rPr>
              <w:t>100</w:t>
            </w:r>
            <w:r>
              <w:rPr>
                <w:color w:val="000000" w:themeColor="text1"/>
                <w14:textFill>
                  <w14:solidFill>
                    <w14:schemeClr w14:val="tx1"/>
                  </w14:solidFill>
                </w14:textFill>
              </w:rPr>
              <w:t>人，施工期施工人员生活用水按</w:t>
            </w:r>
            <w:r>
              <w:rPr>
                <w:bCs/>
                <w:color w:val="000000" w:themeColor="text1"/>
                <w:kern w:val="0"/>
                <w:szCs w:val="20"/>
                <w14:textFill>
                  <w14:solidFill>
                    <w14:schemeClr w14:val="tx1"/>
                  </w14:solidFill>
                </w14:textFill>
              </w:rPr>
              <w:t>0.02</w:t>
            </w:r>
            <w:r>
              <w:rPr>
                <w:rFonts w:hint="eastAsia"/>
                <w:bCs/>
                <w:color w:val="000000" w:themeColor="text1"/>
                <w:kern w:val="0"/>
                <w:szCs w:val="20"/>
                <w14:textFill>
                  <w14:solidFill>
                    <w14:schemeClr w14:val="tx1"/>
                  </w14:solidFill>
                </w14:textFill>
              </w:rPr>
              <w:t>m</w:t>
            </w:r>
            <w:r>
              <w:rPr>
                <w:rFonts w:hint="eastAsia"/>
                <w:bCs/>
                <w:color w:val="000000" w:themeColor="text1"/>
                <w:kern w:val="0"/>
                <w:szCs w:val="20"/>
                <w:vertAlign w:val="superscript"/>
                <w14:textFill>
                  <w14:solidFill>
                    <w14:schemeClr w14:val="tx1"/>
                  </w14:solidFill>
                </w14:textFill>
              </w:rPr>
              <w:t>3</w:t>
            </w:r>
            <w:r>
              <w:rPr>
                <w:bCs/>
                <w:color w:val="000000" w:themeColor="text1"/>
                <w:kern w:val="0"/>
                <w:szCs w:val="20"/>
                <w14:textFill>
                  <w14:solidFill>
                    <w14:schemeClr w14:val="tx1"/>
                  </w14:solidFill>
                </w14:textFill>
              </w:rPr>
              <w:t>/人·</w:t>
            </w:r>
            <w:r>
              <w:rPr>
                <w:rFonts w:hint="eastAsia"/>
                <w:bCs/>
                <w:color w:val="000000" w:themeColor="text1"/>
                <w:kern w:val="0"/>
                <w:szCs w:val="20"/>
                <w:lang w:val="en-US" w:eastAsia="zh-CN"/>
                <w14:textFill>
                  <w14:solidFill>
                    <w14:schemeClr w14:val="tx1"/>
                  </w14:solidFill>
                </w14:textFill>
              </w:rPr>
              <w:t>日</w:t>
            </w:r>
            <w:r>
              <w:rPr>
                <w:color w:val="000000" w:themeColor="text1"/>
                <w14:textFill>
                  <w14:solidFill>
                    <w14:schemeClr w14:val="tx1"/>
                  </w14:solidFill>
                </w14:textFill>
              </w:rPr>
              <w:t>计算，</w:t>
            </w:r>
            <w:r>
              <w:rPr>
                <w:bCs/>
                <w:color w:val="000000" w:themeColor="text1"/>
                <w:kern w:val="0"/>
                <w:szCs w:val="20"/>
                <w14:textFill>
                  <w14:solidFill>
                    <w14:schemeClr w14:val="tx1"/>
                  </w14:solidFill>
                </w14:textFill>
              </w:rPr>
              <w:t>施工期生活用水</w:t>
            </w:r>
            <w:r>
              <w:rPr>
                <w:rFonts w:hint="eastAsia"/>
                <w:bCs/>
                <w:color w:val="000000" w:themeColor="text1"/>
                <w:kern w:val="0"/>
                <w:szCs w:val="20"/>
                <w:lang w:val="en-US" w:eastAsia="zh-CN"/>
                <w14:textFill>
                  <w14:solidFill>
                    <w14:schemeClr w14:val="tx1"/>
                  </w14:solidFill>
                </w14:textFill>
              </w:rPr>
              <w:t>2.0</w:t>
            </w:r>
            <w:r>
              <w:rPr>
                <w:rFonts w:hint="eastAsia"/>
                <w:bCs/>
                <w:color w:val="000000" w:themeColor="text1"/>
                <w:kern w:val="0"/>
                <w:szCs w:val="20"/>
                <w14:textFill>
                  <w14:solidFill>
                    <w14:schemeClr w14:val="tx1"/>
                  </w14:solidFill>
                </w14:textFill>
              </w:rPr>
              <w:t>m</w:t>
            </w:r>
            <w:r>
              <w:rPr>
                <w:rFonts w:hint="eastAsia"/>
                <w:bCs/>
                <w:color w:val="000000" w:themeColor="text1"/>
                <w:kern w:val="0"/>
                <w:szCs w:val="20"/>
                <w:vertAlign w:val="superscript"/>
                <w14:textFill>
                  <w14:solidFill>
                    <w14:schemeClr w14:val="tx1"/>
                  </w14:solidFill>
                </w14:textFill>
              </w:rPr>
              <w:t>3</w:t>
            </w:r>
            <w:r>
              <w:rPr>
                <w:bCs/>
                <w:color w:val="000000" w:themeColor="text1"/>
                <w:kern w:val="0"/>
                <w:szCs w:val="20"/>
                <w14:textFill>
                  <w14:solidFill>
                    <w14:schemeClr w14:val="tx1"/>
                  </w14:solidFill>
                </w14:textFill>
              </w:rPr>
              <w:t>/</w:t>
            </w:r>
            <w:r>
              <w:rPr>
                <w:rFonts w:hint="eastAsia"/>
                <w:bCs/>
                <w:color w:val="000000" w:themeColor="text1"/>
                <w:kern w:val="0"/>
                <w:szCs w:val="20"/>
                <w14:textFill>
                  <w14:solidFill>
                    <w14:schemeClr w14:val="tx1"/>
                  </w14:solidFill>
                </w14:textFill>
              </w:rPr>
              <w:t>d</w:t>
            </w:r>
            <w:r>
              <w:rPr>
                <w:bCs/>
                <w:color w:val="000000" w:themeColor="text1"/>
                <w:kern w:val="0"/>
                <w:szCs w:val="20"/>
                <w14:textFill>
                  <w14:solidFill>
                    <w14:schemeClr w14:val="tx1"/>
                  </w14:solidFill>
                </w14:textFill>
              </w:rPr>
              <w:t>，</w:t>
            </w:r>
            <w:r>
              <w:rPr>
                <w:rFonts w:hint="eastAsia"/>
                <w:bCs/>
                <w:color w:val="000000" w:themeColor="text1"/>
                <w:kern w:val="0"/>
                <w:szCs w:val="20"/>
                <w:lang w:val="en-US" w:eastAsia="zh-CN"/>
                <w14:textFill>
                  <w14:solidFill>
                    <w14:schemeClr w14:val="tx1"/>
                  </w14:solidFill>
                </w14:textFill>
              </w:rPr>
              <w:t>36</w:t>
            </w:r>
            <w:r>
              <w:rPr>
                <w:bCs/>
                <w:color w:val="000000" w:themeColor="text1"/>
                <w:kern w:val="0"/>
                <w:szCs w:val="20"/>
                <w14:textFill>
                  <w14:solidFill>
                    <w14:schemeClr w14:val="tx1"/>
                  </w14:solidFill>
                </w14:textFill>
              </w:rPr>
              <w:t>0</w:t>
            </w:r>
            <w:r>
              <w:rPr>
                <w:rFonts w:hint="eastAsia"/>
                <w:bCs/>
                <w:color w:val="000000" w:themeColor="text1"/>
                <w:kern w:val="0"/>
                <w:szCs w:val="20"/>
                <w14:textFill>
                  <w14:solidFill>
                    <w14:schemeClr w14:val="tx1"/>
                  </w14:solidFill>
                </w14:textFill>
              </w:rPr>
              <w:t>m</w:t>
            </w:r>
            <w:r>
              <w:rPr>
                <w:rFonts w:hint="eastAsia"/>
                <w:bCs/>
                <w:color w:val="000000" w:themeColor="text1"/>
                <w:kern w:val="0"/>
                <w:szCs w:val="20"/>
                <w:vertAlign w:val="superscript"/>
                <w14:textFill>
                  <w14:solidFill>
                    <w14:schemeClr w14:val="tx1"/>
                  </w14:solidFill>
                </w14:textFill>
              </w:rPr>
              <w:t>3</w:t>
            </w:r>
            <w:r>
              <w:rPr>
                <w:bCs/>
                <w:color w:val="000000" w:themeColor="text1"/>
                <w:kern w:val="0"/>
                <w:szCs w:val="20"/>
                <w14:textFill>
                  <w14:solidFill>
                    <w14:schemeClr w14:val="tx1"/>
                  </w14:solidFill>
                </w14:textFill>
              </w:rPr>
              <w:t>/施工期</w:t>
            </w:r>
            <w:r>
              <w:rPr>
                <w:color w:val="000000" w:themeColor="text1"/>
                <w14:textFill>
                  <w14:solidFill>
                    <w14:schemeClr w14:val="tx1"/>
                  </w14:solidFill>
                </w14:textFill>
              </w:rPr>
              <w:t>，生活污水排放系数按照0.8计算，则废水排放量约为</w:t>
            </w:r>
            <w:r>
              <w:rPr>
                <w:rFonts w:hint="eastAsia"/>
                <w:bCs/>
                <w:color w:val="000000" w:themeColor="text1"/>
                <w:kern w:val="0"/>
                <w:szCs w:val="20"/>
                <w:lang w:val="en-US" w:eastAsia="zh-CN"/>
                <w14:textFill>
                  <w14:solidFill>
                    <w14:schemeClr w14:val="tx1"/>
                  </w14:solidFill>
                </w14:textFill>
              </w:rPr>
              <w:t>1.6</w:t>
            </w:r>
            <w:r>
              <w:rPr>
                <w:rFonts w:hint="eastAsia"/>
                <w:bCs/>
                <w:color w:val="000000" w:themeColor="text1"/>
                <w:kern w:val="0"/>
                <w:szCs w:val="20"/>
                <w14:textFill>
                  <w14:solidFill>
                    <w14:schemeClr w14:val="tx1"/>
                  </w14:solidFill>
                </w14:textFill>
              </w:rPr>
              <w:t>m</w:t>
            </w:r>
            <w:r>
              <w:rPr>
                <w:rFonts w:hint="eastAsia"/>
                <w:bCs/>
                <w:color w:val="000000" w:themeColor="text1"/>
                <w:kern w:val="0"/>
                <w:szCs w:val="20"/>
                <w:vertAlign w:val="superscript"/>
                <w14:textFill>
                  <w14:solidFill>
                    <w14:schemeClr w14:val="tx1"/>
                  </w14:solidFill>
                </w14:textFill>
              </w:rPr>
              <w:t>3</w:t>
            </w:r>
            <w:r>
              <w:rPr>
                <w:bCs/>
                <w:color w:val="000000" w:themeColor="text1"/>
                <w:kern w:val="0"/>
                <w:szCs w:val="20"/>
                <w14:textFill>
                  <w14:solidFill>
                    <w14:schemeClr w14:val="tx1"/>
                  </w14:solidFill>
                </w14:textFill>
              </w:rPr>
              <w:t>/</w:t>
            </w:r>
            <w:r>
              <w:rPr>
                <w:rFonts w:hint="eastAsia"/>
                <w:bCs/>
                <w:color w:val="000000" w:themeColor="text1"/>
                <w:kern w:val="0"/>
                <w:szCs w:val="20"/>
                <w14:textFill>
                  <w14:solidFill>
                    <w14:schemeClr w14:val="tx1"/>
                  </w14:solidFill>
                </w14:textFill>
              </w:rPr>
              <w:t>d</w:t>
            </w:r>
            <w:r>
              <w:rPr>
                <w:bCs/>
                <w:color w:val="000000" w:themeColor="text1"/>
                <w:kern w:val="0"/>
                <w:szCs w:val="20"/>
                <w14:textFill>
                  <w14:solidFill>
                    <w14:schemeClr w14:val="tx1"/>
                  </w14:solidFill>
                </w14:textFill>
              </w:rPr>
              <w:t>，</w:t>
            </w:r>
            <w:r>
              <w:rPr>
                <w:rFonts w:hint="eastAsia"/>
                <w:bCs/>
                <w:color w:val="000000" w:themeColor="text1"/>
                <w:kern w:val="0"/>
                <w:szCs w:val="20"/>
                <w:lang w:val="en-US" w:eastAsia="zh-CN"/>
                <w14:textFill>
                  <w14:solidFill>
                    <w14:schemeClr w14:val="tx1"/>
                  </w14:solidFill>
                </w14:textFill>
              </w:rPr>
              <w:t>288</w:t>
            </w:r>
            <w:r>
              <w:rPr>
                <w:rFonts w:hint="eastAsia"/>
                <w:bCs/>
                <w:color w:val="000000" w:themeColor="text1"/>
                <w:kern w:val="0"/>
                <w:szCs w:val="20"/>
                <w14:textFill>
                  <w14:solidFill>
                    <w14:schemeClr w14:val="tx1"/>
                  </w14:solidFill>
                </w14:textFill>
              </w:rPr>
              <w:t>m</w:t>
            </w:r>
            <w:r>
              <w:rPr>
                <w:rFonts w:hint="eastAsia"/>
                <w:bCs/>
                <w:color w:val="000000" w:themeColor="text1"/>
                <w:kern w:val="0"/>
                <w:szCs w:val="20"/>
                <w:vertAlign w:val="superscript"/>
                <w14:textFill>
                  <w14:solidFill>
                    <w14:schemeClr w14:val="tx1"/>
                  </w14:solidFill>
                </w14:textFill>
              </w:rPr>
              <w:t>3</w:t>
            </w:r>
            <w:r>
              <w:rPr>
                <w:bCs/>
                <w:color w:val="000000" w:themeColor="text1"/>
                <w:kern w:val="0"/>
                <w:szCs w:val="20"/>
                <w14:textFill>
                  <w14:solidFill>
                    <w14:schemeClr w14:val="tx1"/>
                  </w14:solidFill>
                </w14:textFill>
              </w:rPr>
              <w:t>/施工期</w:t>
            </w:r>
            <w:r>
              <w:rPr>
                <w:color w:val="000000" w:themeColor="text1"/>
                <w14:textFill>
                  <w14:solidFill>
                    <w14:schemeClr w14:val="tx1"/>
                  </w14:solidFill>
                </w14:textFill>
              </w:rPr>
              <w:t>，施工营地设置</w:t>
            </w:r>
            <w:r>
              <w:rPr>
                <w:rFonts w:hint="eastAsia"/>
                <w:bCs/>
                <w:color w:val="000000" w:themeColor="text1"/>
                <w:kern w:val="0"/>
                <w:szCs w:val="20"/>
                <w14:textFill>
                  <w14:solidFill>
                    <w14:schemeClr w14:val="tx1"/>
                  </w14:solidFill>
                </w14:textFill>
              </w:rPr>
              <w:t>环保厕所</w:t>
            </w:r>
            <w:r>
              <w:rPr>
                <w:rFonts w:hint="eastAsia"/>
                <w:bCs/>
                <w:color w:val="000000" w:themeColor="text1"/>
                <w:kern w:val="0"/>
                <w:szCs w:val="20"/>
                <w:lang w:eastAsia="zh-CN"/>
                <w14:textFill>
                  <w14:solidFill>
                    <w14:schemeClr w14:val="tx1"/>
                  </w14:solidFill>
                </w14:textFill>
              </w:rPr>
              <w:t>及防渗废水收集池</w:t>
            </w:r>
            <w:r>
              <w:rPr>
                <w:rFonts w:hint="eastAsia" w:eastAsia="宋体"/>
                <w:color w:val="000000" w:themeColor="text1"/>
                <w14:textFill>
                  <w14:solidFill>
                    <w14:schemeClr w14:val="tx1"/>
                  </w14:solidFill>
                </w14:textFill>
              </w:rPr>
              <w:t>，</w:t>
            </w:r>
            <w:r>
              <w:rPr>
                <w:rFonts w:hint="eastAsia" w:eastAsia="宋体"/>
                <w:color w:val="000000" w:themeColor="text1"/>
                <w:lang w:eastAsia="zh-CN"/>
                <w14:textFill>
                  <w14:solidFill>
                    <w14:schemeClr w14:val="tx1"/>
                  </w14:solidFill>
                </w14:textFill>
              </w:rPr>
              <w:t>生活污水经收集后，</w:t>
            </w:r>
            <w:r>
              <w:rPr>
                <w:rFonts w:eastAsia="宋体"/>
                <w:color w:val="000000" w:themeColor="text1"/>
                <w14:textFill>
                  <w14:solidFill>
                    <w14:schemeClr w14:val="tx1"/>
                  </w14:solidFill>
                </w14:textFill>
              </w:rPr>
              <w:t>定期</w:t>
            </w:r>
            <w:r>
              <w:rPr>
                <w:rFonts w:hint="eastAsia" w:eastAsia="宋体"/>
                <w:color w:val="000000" w:themeColor="text1"/>
                <w:lang w:eastAsia="zh-CN"/>
                <w14:textFill>
                  <w14:solidFill>
                    <w14:schemeClr w14:val="tx1"/>
                  </w14:solidFill>
                </w14:textFill>
              </w:rPr>
              <w:t>清运至巴州且末县污水处理厂进行处理。</w:t>
            </w:r>
          </w:p>
          <w:p w14:paraId="04C77444">
            <w:pPr>
              <w:pStyle w:val="34"/>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巴州且末县污水处理厂设计</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处理规模为</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5800</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m</w:t>
            </w:r>
            <w:r>
              <w:rPr>
                <w:rFonts w:hint="default" w:ascii="Times New Roman" w:hAnsi="Times New Roman" w:eastAsia="宋体" w:cs="Times New Roman"/>
                <w:b w:val="0"/>
                <w:color w:val="000000" w:themeColor="text1"/>
                <w:kern w:val="2"/>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b w:val="0"/>
                <w:color w:val="000000" w:themeColor="text1"/>
                <w:kern w:val="2"/>
                <w:sz w:val="24"/>
                <w:szCs w:val="24"/>
                <w:lang w:val="en-US" w:eastAsia="zh-CN" w:bidi="ar-SA"/>
                <w14:textFill>
                  <w14:solidFill>
                    <w14:schemeClr w14:val="tx1"/>
                  </w14:solidFill>
                </w14:textFill>
              </w:rPr>
              <w:t>/d</w:t>
            </w:r>
            <w:r>
              <w:rPr>
                <w:rFonts w:hint="eastAsia" w:ascii="Times New Roman" w:hAnsi="Times New Roman" w:eastAsia="宋体" w:cs="Times New Roman"/>
                <w:b w:val="0"/>
                <w:color w:val="000000" w:themeColor="text1"/>
                <w:kern w:val="2"/>
                <w:sz w:val="24"/>
                <w:szCs w:val="24"/>
                <w:lang w:val="en-US" w:eastAsia="zh-CN" w:bidi="ar-SA"/>
                <w14:textFill>
                  <w14:solidFill>
                    <w14:schemeClr w14:val="tx1"/>
                  </w14:solidFill>
                </w14:textFill>
              </w:rPr>
              <w:t>，主体工艺采用生物处理和二次混凝处理工艺，出水水质达到《城镇污水处理厂污染物排放标准》（GB18918-2002）及修改单中一级A排放标准，现该污水处理厂未满负荷运行，处理余量可满足本项目施工期生活污水处理需求。</w:t>
            </w:r>
          </w:p>
          <w:p w14:paraId="40AB5FB9">
            <w:pPr>
              <w:pStyle w:val="61"/>
              <w:ind w:firstLine="480"/>
              <w:rPr>
                <w:rFonts w:hint="default" w:ascii="Times New Roman" w:hAnsi="Times New Roman" w:cs="Times New Roman" w:eastAsiaTheme="minorEastAsia"/>
                <w:b w:val="0"/>
                <w:bCs/>
                <w:color w:val="000000" w:themeColor="text1"/>
                <w14:textFill>
                  <w14:solidFill>
                    <w14:schemeClr w14:val="tx1"/>
                  </w14:solidFill>
                </w14:textFill>
              </w:rPr>
            </w:pPr>
            <w:r>
              <w:rPr>
                <w:rFonts w:hint="default" w:ascii="Times New Roman" w:hAnsi="Times New Roman" w:cs="Times New Roman" w:eastAsiaTheme="minorEastAsia"/>
                <w:b w:val="0"/>
                <w:bCs/>
                <w:color w:val="000000" w:themeColor="text1"/>
                <w14:textFill>
                  <w14:solidFill>
                    <w14:schemeClr w14:val="tx1"/>
                  </w14:solidFill>
                </w14:textFill>
              </w:rPr>
              <w:t>（3）地下水影响分析</w:t>
            </w:r>
          </w:p>
          <w:p w14:paraId="2E4D3E1A">
            <w:pPr>
              <w:pStyle w:val="98"/>
              <w:ind w:firstLine="480"/>
              <w:rPr>
                <w:rFonts w:ascii="Times New Roman"/>
                <w:color w:val="000000" w:themeColor="text1"/>
                <w14:textFill>
                  <w14:solidFill>
                    <w14:schemeClr w14:val="tx1"/>
                  </w14:solidFill>
                </w14:textFill>
              </w:rPr>
            </w:pPr>
            <w:r>
              <w:rPr>
                <w:rFonts w:hint="eastAsia" w:ascii="Times New Roman"/>
                <w:color w:val="000000" w:themeColor="text1"/>
                <w:lang w:val="en-US" w:eastAsia="zh-CN"/>
                <w14:textFill>
                  <w14:solidFill>
                    <w14:schemeClr w14:val="tx1"/>
                  </w14:solidFill>
                </w14:textFill>
              </w:rPr>
              <w:t>本项目不产生生产废水，正常工况下，</w:t>
            </w:r>
            <w:r>
              <w:rPr>
                <w:rFonts w:ascii="Times New Roman"/>
                <w:color w:val="000000" w:themeColor="text1"/>
                <w14:textFill>
                  <w14:solidFill>
                    <w14:schemeClr w14:val="tx1"/>
                  </w14:solidFill>
                </w14:textFill>
              </w:rPr>
              <w:t>本项目产生的</w:t>
            </w:r>
            <w:r>
              <w:rPr>
                <w:rFonts w:hint="eastAsia" w:ascii="Times New Roman"/>
                <w:color w:val="000000" w:themeColor="text1"/>
                <w:lang w:val="en-US" w:eastAsia="zh-CN"/>
                <w14:textFill>
                  <w14:solidFill>
                    <w14:schemeClr w14:val="tx1"/>
                  </w14:solidFill>
                </w14:textFill>
              </w:rPr>
              <w:t>生活污水</w:t>
            </w:r>
            <w:r>
              <w:rPr>
                <w:rFonts w:ascii="Times New Roman"/>
                <w:color w:val="000000" w:themeColor="text1"/>
                <w14:textFill>
                  <w14:solidFill>
                    <w14:schemeClr w14:val="tx1"/>
                  </w14:solidFill>
                </w14:textFill>
              </w:rPr>
              <w:t>均可得到妥善处置，</w:t>
            </w:r>
            <w:r>
              <w:rPr>
                <w:rFonts w:hint="eastAsia" w:ascii="Times New Roman"/>
                <w:color w:val="000000" w:themeColor="text1"/>
                <w:lang w:val="en-US" w:eastAsia="zh-CN"/>
                <w14:textFill>
                  <w14:solidFill>
                    <w14:schemeClr w14:val="tx1"/>
                  </w14:solidFill>
                </w14:textFill>
              </w:rPr>
              <w:t>在做好防渗的情况下，</w:t>
            </w:r>
            <w:r>
              <w:rPr>
                <w:rFonts w:ascii="Times New Roman"/>
                <w:color w:val="000000" w:themeColor="text1"/>
                <w14:textFill>
                  <w14:solidFill>
                    <w14:schemeClr w14:val="tx1"/>
                  </w14:solidFill>
                </w14:textFill>
              </w:rPr>
              <w:t>对</w:t>
            </w:r>
            <w:r>
              <w:rPr>
                <w:rFonts w:hint="eastAsia" w:ascii="Times New Roman"/>
                <w:color w:val="000000" w:themeColor="text1"/>
                <w14:textFill>
                  <w14:solidFill>
                    <w14:schemeClr w14:val="tx1"/>
                  </w14:solidFill>
                </w14:textFill>
              </w:rPr>
              <w:t>地下水</w:t>
            </w:r>
            <w:r>
              <w:rPr>
                <w:rFonts w:ascii="Times New Roman"/>
                <w:color w:val="000000" w:themeColor="text1"/>
                <w14:textFill>
                  <w14:solidFill>
                    <w14:schemeClr w14:val="tx1"/>
                  </w14:solidFill>
                </w14:textFill>
              </w:rPr>
              <w:t>环境影响较小。</w:t>
            </w:r>
          </w:p>
          <w:p w14:paraId="307175FB">
            <w:pPr>
              <w:adjustRightInd w:val="0"/>
              <w:snapToGrid w:val="0"/>
              <w:spacing w:line="500" w:lineRule="exact"/>
              <w:ind w:firstLine="482" w:firstLineChars="200"/>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4</w:t>
            </w:r>
            <w:r>
              <w:rPr>
                <w:b/>
                <w:bCs/>
                <w:color w:val="000000" w:themeColor="text1"/>
                <w14:textFill>
                  <w14:solidFill>
                    <w14:schemeClr w14:val="tx1"/>
                  </w14:solidFill>
                </w14:textFill>
              </w:rPr>
              <w:t>.噪声环境影响分析</w:t>
            </w:r>
          </w:p>
          <w:p w14:paraId="402FD915">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lang w:val="zh-CN"/>
                <w14:textFill>
                  <w14:solidFill>
                    <w14:schemeClr w14:val="tx1"/>
                  </w14:solidFill>
                </w14:textFill>
              </w:rPr>
              <w:t>施工期噪声具有临时性、阶段性和不固定性等特点，随着施工的结束，项目对周围环境的影响也会停止。施工期噪声主要为施工机械设备所产生的作业噪声，施工机械如</w:t>
            </w:r>
            <w:r>
              <w:rPr>
                <w:rFonts w:hint="eastAsia"/>
                <w:color w:val="000000" w:themeColor="text1"/>
                <w:lang w:val="zh-CN"/>
                <w14:textFill>
                  <w14:solidFill>
                    <w14:schemeClr w14:val="tx1"/>
                  </w14:solidFill>
                </w14:textFill>
              </w:rPr>
              <w:t>装载机、</w:t>
            </w:r>
            <w:r>
              <w:rPr>
                <w:rFonts w:hint="eastAsia"/>
                <w:color w:val="000000" w:themeColor="text1"/>
                <w:lang w:eastAsia="zh-CN"/>
                <w14:textFill>
                  <w14:solidFill>
                    <w14:schemeClr w14:val="tx1"/>
                  </w14:solidFill>
                </w14:textFill>
              </w:rPr>
              <w:t>捣振棒、</w:t>
            </w:r>
            <w:r>
              <w:rPr>
                <w:color w:val="000000" w:themeColor="text1"/>
                <w:lang w:val="zh-CN"/>
                <w14:textFill>
                  <w14:solidFill>
                    <w14:schemeClr w14:val="tx1"/>
                  </w14:solidFill>
                </w14:textFill>
              </w:rPr>
              <w:t>推土机、挖掘机、升降机、运输车辆</w:t>
            </w:r>
            <w:r>
              <w:rPr>
                <w:rFonts w:hint="eastAsia"/>
                <w:color w:val="000000" w:themeColor="text1"/>
                <w:lang w:val="zh-CN"/>
                <w14:textFill>
                  <w14:solidFill>
                    <w14:schemeClr w14:val="tx1"/>
                  </w14:solidFill>
                </w14:textFill>
              </w:rPr>
              <w:t>、汽车吊</w:t>
            </w:r>
            <w:r>
              <w:rPr>
                <w:color w:val="000000" w:themeColor="text1"/>
                <w:lang w:val="zh-CN"/>
                <w14:textFill>
                  <w14:solidFill>
                    <w14:schemeClr w14:val="tx1"/>
                  </w14:solidFill>
                </w14:textFill>
              </w:rPr>
              <w:t>等。根据类比调查和有关资料：这些建筑施工机械的声源噪声强度大多在</w:t>
            </w:r>
            <w:r>
              <w:rPr>
                <w:rFonts w:hint="eastAsia"/>
                <w:color w:val="000000" w:themeColor="text1"/>
                <w:lang w:val="en-US" w:eastAsia="zh-CN"/>
                <w14:textFill>
                  <w14:solidFill>
                    <w14:schemeClr w14:val="tx1"/>
                  </w14:solidFill>
                </w14:textFill>
              </w:rPr>
              <w:t>90</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95</w:t>
            </w:r>
            <w:r>
              <w:rPr>
                <w:color w:val="000000" w:themeColor="text1"/>
                <w:lang w:val="zh-CN"/>
                <w14:textFill>
                  <w14:solidFill>
                    <w14:schemeClr w14:val="tx1"/>
                  </w14:solidFill>
                </w14:textFill>
              </w:rPr>
              <w:t>dB</w:t>
            </w:r>
            <w:r>
              <w:rPr>
                <w:rFonts w:hint="eastAsia"/>
                <w:color w:val="000000" w:themeColor="text1"/>
                <w:lang w:val="en-US" w:eastAsia="zh-CN"/>
                <w14:textFill>
                  <w14:solidFill>
                    <w14:schemeClr w14:val="tx1"/>
                  </w14:solidFill>
                </w14:textFill>
              </w:rPr>
              <w:t>(</w:t>
            </w:r>
            <w:r>
              <w:rPr>
                <w:color w:val="000000" w:themeColor="text1"/>
                <w:lang w:val="zh-CN"/>
                <w14:textFill>
                  <w14:solidFill>
                    <w14:schemeClr w14:val="tx1"/>
                  </w14:solidFill>
                </w14:textFill>
              </w:rPr>
              <w:t>A</w:t>
            </w:r>
            <w:r>
              <w:rPr>
                <w:rFonts w:hint="eastAsia"/>
                <w:color w:val="000000" w:themeColor="text1"/>
                <w:lang w:val="en-US" w:eastAsia="zh-CN"/>
                <w14:textFill>
                  <w14:solidFill>
                    <w14:schemeClr w14:val="tx1"/>
                  </w14:solidFill>
                </w14:textFill>
              </w:rPr>
              <w:t>)</w:t>
            </w:r>
            <w:r>
              <w:rPr>
                <w:color w:val="000000" w:themeColor="text1"/>
                <w:lang w:val="zh-CN"/>
                <w14:textFill>
                  <w14:solidFill>
                    <w14:schemeClr w14:val="tx1"/>
                  </w14:solidFill>
                </w14:textFill>
              </w:rPr>
              <w:t>左右。施工过程中</w:t>
            </w:r>
            <w:r>
              <w:rPr>
                <w:rFonts w:hint="eastAsia"/>
                <w:snapToGrid w:val="0"/>
                <w:color w:val="000000" w:themeColor="text1"/>
                <w:sz w:val="24"/>
                <w:szCs w:val="24"/>
                <w14:textFill>
                  <w14:solidFill>
                    <w14:schemeClr w14:val="tx1"/>
                  </w14:solidFill>
                </w14:textFill>
              </w:rPr>
              <w:t>220kV升压汇集站</w:t>
            </w: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外送线路建设</w:t>
            </w:r>
            <w:r>
              <w:rPr>
                <w:color w:val="000000" w:themeColor="text1"/>
                <w:lang w:val="zh-CN"/>
                <w14:textFill>
                  <w14:solidFill>
                    <w14:schemeClr w14:val="tx1"/>
                  </w14:solidFill>
                </w14:textFill>
              </w:rPr>
              <w:t>等活动均选择在</w:t>
            </w:r>
            <w:r>
              <w:rPr>
                <w:rFonts w:hint="eastAsia"/>
                <w:color w:val="000000" w:themeColor="text1"/>
                <w:lang w:val="en-US" w:eastAsia="zh-CN"/>
                <w14:textFill>
                  <w14:solidFill>
                    <w14:schemeClr w14:val="tx1"/>
                  </w14:solidFill>
                </w14:textFill>
              </w:rPr>
              <w:t>昼间</w:t>
            </w:r>
            <w:r>
              <w:rPr>
                <w:color w:val="000000" w:themeColor="text1"/>
                <w:lang w:val="zh-CN"/>
                <w14:textFill>
                  <w14:solidFill>
                    <w14:schemeClr w14:val="tx1"/>
                  </w14:solidFill>
                </w14:textFill>
              </w:rPr>
              <w:t>进行</w:t>
            </w:r>
            <w:r>
              <w:rPr>
                <w:rFonts w:hint="eastAsia"/>
                <w:color w:val="000000" w:themeColor="text1"/>
                <w:lang w:val="zh-CN"/>
                <w14:textFill>
                  <w14:solidFill>
                    <w14:schemeClr w14:val="tx1"/>
                  </w14:solidFill>
                </w14:textFill>
              </w:rPr>
              <w:t>，</w:t>
            </w:r>
            <w:r>
              <w:rPr>
                <w:rFonts w:hint="eastAsia"/>
                <w:color w:val="000000" w:themeColor="text1"/>
                <w:lang w:val="en-US" w:eastAsia="zh-CN"/>
                <w14:textFill>
                  <w14:solidFill>
                    <w14:schemeClr w14:val="tx1"/>
                  </w14:solidFill>
                </w14:textFill>
              </w:rPr>
              <w:t>夜间不进行施工</w:t>
            </w:r>
            <w:r>
              <w:rPr>
                <w:color w:val="000000" w:themeColor="text1"/>
                <w:lang w:val="zh-CN"/>
                <w14:textFill>
                  <w14:solidFill>
                    <w14:schemeClr w14:val="tx1"/>
                  </w14:solidFill>
                </w14:textFill>
              </w:rPr>
              <w:t>，噪声影响主要在</w:t>
            </w:r>
            <w:r>
              <w:rPr>
                <w:rFonts w:hint="eastAsia"/>
                <w:color w:val="000000" w:themeColor="text1"/>
                <w:lang w:val="en-US" w:eastAsia="zh-CN"/>
                <w14:textFill>
                  <w14:solidFill>
                    <w14:schemeClr w14:val="tx1"/>
                  </w14:solidFill>
                </w14:textFill>
              </w:rPr>
              <w:t>昼间</w:t>
            </w:r>
            <w:r>
              <w:rPr>
                <w:color w:val="000000" w:themeColor="text1"/>
                <w:lang w:val="zh-CN"/>
                <w14:textFill>
                  <w14:solidFill>
                    <w14:schemeClr w14:val="tx1"/>
                  </w14:solidFill>
                </w14:textFill>
              </w:rPr>
              <w:t>。施工阶段使用的主要施工机械及其声源强度见表</w:t>
            </w:r>
            <w:r>
              <w:rPr>
                <w:color w:val="000000" w:themeColor="text1"/>
                <w14:textFill>
                  <w14:solidFill>
                    <w14:schemeClr w14:val="tx1"/>
                  </w14:solidFill>
                </w14:textFill>
              </w:rPr>
              <w:t>4-1。</w:t>
            </w:r>
          </w:p>
          <w:p w14:paraId="552795A1">
            <w:pPr>
              <w:tabs>
                <w:tab w:val="left" w:pos="4586"/>
                <w:tab w:val="left" w:pos="5786"/>
              </w:tabs>
              <w:autoSpaceDE w:val="0"/>
              <w:autoSpaceDN w:val="0"/>
              <w:adjustRightInd w:val="0"/>
              <w:snapToGrid w:val="0"/>
              <w:spacing w:line="500" w:lineRule="exact"/>
              <w:jc w:val="center"/>
              <w:rPr>
                <w:rFonts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 xml:space="preserve">表4-1  </w:t>
            </w:r>
            <w:r>
              <w:rPr>
                <w:rFonts w:hint="eastAsia" w:ascii="黑体" w:hAnsi="黑体" w:eastAsia="黑体" w:cs="黑体"/>
                <w:color w:val="000000" w:themeColor="text1"/>
                <w:sz w:val="21"/>
                <w:szCs w:val="21"/>
                <w:lang w:val="en-US" w:eastAsia="zh-CN"/>
                <w14:textFill>
                  <w14:solidFill>
                    <w14:schemeClr w14:val="tx1"/>
                  </w14:solidFill>
                </w14:textFill>
              </w:rPr>
              <w:t xml:space="preserve"> </w:t>
            </w:r>
            <w:r>
              <w:rPr>
                <w:rFonts w:hint="eastAsia" w:ascii="黑体" w:hAnsi="黑体" w:eastAsia="黑体" w:cs="黑体"/>
                <w:color w:val="000000" w:themeColor="text1"/>
                <w:sz w:val="21"/>
                <w:szCs w:val="21"/>
                <w14:textFill>
                  <w14:solidFill>
                    <w14:schemeClr w14:val="tx1"/>
                  </w14:solidFill>
                </w14:textFill>
              </w:rPr>
              <w:t xml:space="preserve"> 主要施工机械噪声</w:t>
            </w:r>
          </w:p>
          <w:tbl>
            <w:tblPr>
              <w:tblStyle w:val="28"/>
              <w:tblW w:w="4995"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3202"/>
              <w:gridCol w:w="2379"/>
              <w:gridCol w:w="1430"/>
            </w:tblGrid>
            <w:tr w14:paraId="4648AF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6" w:type="pct"/>
                  <w:tcBorders>
                    <w:tl2br w:val="nil"/>
                    <w:tr2bl w:val="nil"/>
                  </w:tcBorders>
                  <w:vAlign w:val="center"/>
                </w:tcPr>
                <w:p w14:paraId="5B147753">
                  <w:pPr>
                    <w:adjustRightInd w:val="0"/>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序号</w:t>
                  </w:r>
                </w:p>
              </w:tc>
              <w:tc>
                <w:tcPr>
                  <w:tcW w:w="1997" w:type="pct"/>
                  <w:tcBorders>
                    <w:tl2br w:val="nil"/>
                    <w:tr2bl w:val="nil"/>
                  </w:tcBorders>
                  <w:vAlign w:val="center"/>
                </w:tcPr>
                <w:p w14:paraId="4A520F16">
                  <w:pPr>
                    <w:adjustRightInd w:val="0"/>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施工机械</w:t>
                  </w:r>
                </w:p>
              </w:tc>
              <w:tc>
                <w:tcPr>
                  <w:tcW w:w="1484" w:type="pct"/>
                  <w:tcBorders>
                    <w:tl2br w:val="nil"/>
                    <w:tr2bl w:val="nil"/>
                  </w:tcBorders>
                  <w:vAlign w:val="center"/>
                </w:tcPr>
                <w:p w14:paraId="066EA057">
                  <w:pPr>
                    <w:adjustRightInd w:val="0"/>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噪声dB（A）</w:t>
                  </w:r>
                </w:p>
              </w:tc>
              <w:tc>
                <w:tcPr>
                  <w:tcW w:w="892" w:type="pct"/>
                  <w:tcBorders>
                    <w:tl2br w:val="nil"/>
                    <w:tr2bl w:val="nil"/>
                  </w:tcBorders>
                  <w:vAlign w:val="center"/>
                </w:tcPr>
                <w:p w14:paraId="10F2B371">
                  <w:pPr>
                    <w:adjustRightInd w:val="0"/>
                    <w:snapToGrid w:val="0"/>
                    <w:spacing w:line="240" w:lineRule="auto"/>
                    <w:jc w:val="center"/>
                    <w:rPr>
                      <w:b/>
                      <w:bCs/>
                      <w:color w:val="000000" w:themeColor="text1"/>
                      <w:sz w:val="21"/>
                      <w:szCs w:val="18"/>
                      <w14:textFill>
                        <w14:solidFill>
                          <w14:schemeClr w14:val="tx1"/>
                        </w14:solidFill>
                      </w14:textFill>
                    </w:rPr>
                  </w:pPr>
                  <w:r>
                    <w:rPr>
                      <w:b/>
                      <w:bCs/>
                      <w:color w:val="000000" w:themeColor="text1"/>
                      <w:sz w:val="21"/>
                      <w:szCs w:val="18"/>
                      <w14:textFill>
                        <w14:solidFill>
                          <w14:schemeClr w14:val="tx1"/>
                        </w14:solidFill>
                      </w14:textFill>
                    </w:rPr>
                    <w:t>声源性质</w:t>
                  </w:r>
                </w:p>
              </w:tc>
            </w:tr>
            <w:tr w14:paraId="6FB731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626" w:type="pct"/>
                  <w:tcBorders>
                    <w:tl2br w:val="nil"/>
                    <w:tr2bl w:val="nil"/>
                  </w:tcBorders>
                  <w:vAlign w:val="center"/>
                </w:tcPr>
                <w:p w14:paraId="4C8384A4">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1997" w:type="pct"/>
                  <w:tcBorders>
                    <w:tl2br w:val="nil"/>
                    <w:tr2bl w:val="nil"/>
                  </w:tcBorders>
                  <w:vAlign w:val="center"/>
                </w:tcPr>
                <w:p w14:paraId="08D67321">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lang w:val="zh-CN"/>
                      <w14:textFill>
                        <w14:solidFill>
                          <w14:schemeClr w14:val="tx1"/>
                        </w14:solidFill>
                      </w14:textFill>
                    </w:rPr>
                    <w:t>挖掘机</w:t>
                  </w:r>
                </w:p>
              </w:tc>
              <w:tc>
                <w:tcPr>
                  <w:tcW w:w="1484" w:type="pct"/>
                  <w:tcBorders>
                    <w:tl2br w:val="nil"/>
                    <w:tr2bl w:val="nil"/>
                  </w:tcBorders>
                  <w:vAlign w:val="center"/>
                </w:tcPr>
                <w:p w14:paraId="0BB75B35">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9</w:t>
                  </w:r>
                  <w:r>
                    <w:rPr>
                      <w:rFonts w:hint="eastAsia"/>
                      <w:color w:val="000000" w:themeColor="text1"/>
                      <w:sz w:val="21"/>
                      <w:szCs w:val="21"/>
                      <w14:textFill>
                        <w14:solidFill>
                          <w14:schemeClr w14:val="tx1"/>
                        </w14:solidFill>
                      </w14:textFill>
                    </w:rPr>
                    <w:t>5</w:t>
                  </w:r>
                </w:p>
              </w:tc>
              <w:tc>
                <w:tcPr>
                  <w:tcW w:w="892" w:type="pct"/>
                  <w:vMerge w:val="restart"/>
                  <w:tcBorders>
                    <w:tl2br w:val="nil"/>
                    <w:tr2bl w:val="nil"/>
                  </w:tcBorders>
                  <w:vAlign w:val="center"/>
                </w:tcPr>
                <w:p w14:paraId="33CF2A48">
                  <w:pPr>
                    <w:adjustRightInd w:val="0"/>
                    <w:snapToGrid w:val="0"/>
                    <w:spacing w:line="240" w:lineRule="auto"/>
                    <w:jc w:val="center"/>
                    <w:rPr>
                      <w:color w:val="000000" w:themeColor="text1"/>
                      <w:sz w:val="21"/>
                      <w:szCs w:val="18"/>
                      <w14:textFill>
                        <w14:solidFill>
                          <w14:schemeClr w14:val="tx1"/>
                        </w14:solidFill>
                      </w14:textFill>
                    </w:rPr>
                  </w:pPr>
                  <w:r>
                    <w:rPr>
                      <w:color w:val="000000" w:themeColor="text1"/>
                      <w:sz w:val="21"/>
                      <w:szCs w:val="18"/>
                      <w14:textFill>
                        <w14:solidFill>
                          <w14:schemeClr w14:val="tx1"/>
                        </w14:solidFill>
                      </w14:textFill>
                    </w:rPr>
                    <w:t>间歇</w:t>
                  </w:r>
                </w:p>
              </w:tc>
            </w:tr>
            <w:tr w14:paraId="45E500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6" w:type="pct"/>
                  <w:tcBorders>
                    <w:tl2br w:val="nil"/>
                    <w:tr2bl w:val="nil"/>
                  </w:tcBorders>
                  <w:vAlign w:val="center"/>
                </w:tcPr>
                <w:p w14:paraId="268288E9">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p>
              </w:tc>
              <w:tc>
                <w:tcPr>
                  <w:tcW w:w="1997" w:type="pct"/>
                  <w:tcBorders>
                    <w:tl2br w:val="nil"/>
                    <w:tr2bl w:val="nil"/>
                  </w:tcBorders>
                  <w:vAlign w:val="center"/>
                </w:tcPr>
                <w:p w14:paraId="5D694F08">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lang w:val="zh-CN"/>
                      <w14:textFill>
                        <w14:solidFill>
                          <w14:schemeClr w14:val="tx1"/>
                        </w14:solidFill>
                      </w14:textFill>
                    </w:rPr>
                    <w:t>推土机</w:t>
                  </w:r>
                </w:p>
              </w:tc>
              <w:tc>
                <w:tcPr>
                  <w:tcW w:w="1484" w:type="pct"/>
                  <w:tcBorders>
                    <w:tl2br w:val="nil"/>
                    <w:tr2bl w:val="nil"/>
                  </w:tcBorders>
                  <w:vAlign w:val="center"/>
                </w:tcPr>
                <w:p w14:paraId="37ABDADF">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95</w:t>
                  </w:r>
                </w:p>
              </w:tc>
              <w:tc>
                <w:tcPr>
                  <w:tcW w:w="892" w:type="pct"/>
                  <w:vMerge w:val="continue"/>
                  <w:tcBorders>
                    <w:tl2br w:val="nil"/>
                    <w:tr2bl w:val="nil"/>
                  </w:tcBorders>
                  <w:vAlign w:val="center"/>
                </w:tcPr>
                <w:p w14:paraId="25F94443">
                  <w:pPr>
                    <w:adjustRightInd w:val="0"/>
                    <w:snapToGrid w:val="0"/>
                    <w:spacing w:line="240" w:lineRule="auto"/>
                    <w:ind w:firstLine="480" w:firstLineChars="200"/>
                    <w:jc w:val="center"/>
                    <w:rPr>
                      <w:color w:val="000000" w:themeColor="text1"/>
                      <w:szCs w:val="21"/>
                      <w14:textFill>
                        <w14:solidFill>
                          <w14:schemeClr w14:val="tx1"/>
                        </w14:solidFill>
                      </w14:textFill>
                    </w:rPr>
                  </w:pPr>
                </w:p>
              </w:tc>
            </w:tr>
            <w:tr w14:paraId="553F7A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6" w:type="pct"/>
                  <w:tcBorders>
                    <w:tl2br w:val="nil"/>
                    <w:tr2bl w:val="nil"/>
                  </w:tcBorders>
                  <w:vAlign w:val="center"/>
                </w:tcPr>
                <w:p w14:paraId="06E10AAA">
                  <w:pPr>
                    <w:adjustRightInd w:val="0"/>
                    <w:snapToGrid w:val="0"/>
                    <w:spacing w:line="240" w:lineRule="auto"/>
                    <w:jc w:val="center"/>
                    <w:rPr>
                      <w:rFonts w:hint="eastAsia"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w:t>
                  </w:r>
                </w:p>
              </w:tc>
              <w:tc>
                <w:tcPr>
                  <w:tcW w:w="1997" w:type="pct"/>
                  <w:tcBorders>
                    <w:tl2br w:val="nil"/>
                    <w:tr2bl w:val="nil"/>
                  </w:tcBorders>
                  <w:vAlign w:val="center"/>
                </w:tcPr>
                <w:p w14:paraId="2D83D7A8">
                  <w:pPr>
                    <w:adjustRightInd w:val="0"/>
                    <w:snapToGrid w:val="0"/>
                    <w:spacing w:line="240" w:lineRule="auto"/>
                    <w:jc w:val="center"/>
                    <w:rPr>
                      <w:color w:val="000000" w:themeColor="text1"/>
                      <w:sz w:val="21"/>
                      <w:szCs w:val="21"/>
                      <w:lang w:val="zh-CN"/>
                      <w14:textFill>
                        <w14:solidFill>
                          <w14:schemeClr w14:val="tx1"/>
                        </w14:solidFill>
                      </w14:textFill>
                    </w:rPr>
                  </w:pPr>
                  <w:r>
                    <w:rPr>
                      <w:rFonts w:hint="eastAsia"/>
                      <w:color w:val="000000" w:themeColor="text1"/>
                      <w:sz w:val="21"/>
                      <w:szCs w:val="21"/>
                      <w:lang w:val="zh-CN"/>
                      <w14:textFill>
                        <w14:solidFill>
                          <w14:schemeClr w14:val="tx1"/>
                        </w14:solidFill>
                      </w14:textFill>
                    </w:rPr>
                    <w:t>捣振棒</w:t>
                  </w:r>
                </w:p>
              </w:tc>
              <w:tc>
                <w:tcPr>
                  <w:tcW w:w="1484" w:type="pct"/>
                  <w:tcBorders>
                    <w:tl2br w:val="nil"/>
                    <w:tr2bl w:val="nil"/>
                  </w:tcBorders>
                  <w:vAlign w:val="center"/>
                </w:tcPr>
                <w:p w14:paraId="101DF38F">
                  <w:pPr>
                    <w:adjustRightInd w:val="0"/>
                    <w:snapToGrid w:val="0"/>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95</w:t>
                  </w:r>
                </w:p>
              </w:tc>
              <w:tc>
                <w:tcPr>
                  <w:tcW w:w="892" w:type="pct"/>
                  <w:vMerge w:val="continue"/>
                  <w:tcBorders>
                    <w:tl2br w:val="nil"/>
                    <w:tr2bl w:val="nil"/>
                  </w:tcBorders>
                  <w:vAlign w:val="center"/>
                </w:tcPr>
                <w:p w14:paraId="1287FFD4">
                  <w:pPr>
                    <w:adjustRightInd w:val="0"/>
                    <w:snapToGrid w:val="0"/>
                    <w:spacing w:line="240" w:lineRule="auto"/>
                    <w:ind w:firstLine="480" w:firstLineChars="200"/>
                    <w:jc w:val="center"/>
                    <w:rPr>
                      <w:color w:val="000000" w:themeColor="text1"/>
                      <w:szCs w:val="21"/>
                      <w14:textFill>
                        <w14:solidFill>
                          <w14:schemeClr w14:val="tx1"/>
                        </w14:solidFill>
                      </w14:textFill>
                    </w:rPr>
                  </w:pPr>
                </w:p>
              </w:tc>
            </w:tr>
            <w:tr w14:paraId="1868EF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6" w:type="pct"/>
                  <w:tcBorders>
                    <w:tl2br w:val="nil"/>
                    <w:tr2bl w:val="nil"/>
                  </w:tcBorders>
                  <w:shd w:val="clear" w:color="auto" w:fill="auto"/>
                  <w:vAlign w:val="center"/>
                </w:tcPr>
                <w:p w14:paraId="1E9D76F5">
                  <w:pPr>
                    <w:adjustRightInd w:val="0"/>
                    <w:snapToGrid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s="Times New Roman"/>
                      <w:color w:val="000000" w:themeColor="text1"/>
                      <w:kern w:val="2"/>
                      <w:sz w:val="21"/>
                      <w:szCs w:val="21"/>
                      <w:lang w:val="en-US" w:eastAsia="zh-CN" w:bidi="ar-SA"/>
                      <w14:textFill>
                        <w14:solidFill>
                          <w14:schemeClr w14:val="tx1"/>
                        </w14:solidFill>
                      </w14:textFill>
                    </w:rPr>
                    <w:t>4</w:t>
                  </w:r>
                </w:p>
              </w:tc>
              <w:tc>
                <w:tcPr>
                  <w:tcW w:w="1997" w:type="pct"/>
                  <w:tcBorders>
                    <w:tl2br w:val="nil"/>
                    <w:tr2bl w:val="nil"/>
                  </w:tcBorders>
                  <w:shd w:val="clear" w:color="auto" w:fill="auto"/>
                  <w:vAlign w:val="center"/>
                </w:tcPr>
                <w:p w14:paraId="1F5FAD44">
                  <w:pPr>
                    <w:adjustRightInd w:val="0"/>
                    <w:snapToGrid w:val="0"/>
                    <w:spacing w:line="240" w:lineRule="auto"/>
                    <w:jc w:val="center"/>
                    <w:rPr>
                      <w:rFonts w:ascii="Times New Roman" w:hAnsi="Times New Roman" w:eastAsia="宋体" w:cs="Times New Roman"/>
                      <w:color w:val="000000" w:themeColor="text1"/>
                      <w:kern w:val="2"/>
                      <w:sz w:val="21"/>
                      <w:szCs w:val="21"/>
                      <w:lang w:val="zh-CN" w:eastAsia="zh-CN" w:bidi="ar-SA"/>
                      <w14:textFill>
                        <w14:solidFill>
                          <w14:schemeClr w14:val="tx1"/>
                        </w14:solidFill>
                      </w14:textFill>
                    </w:rPr>
                  </w:pPr>
                  <w:r>
                    <w:rPr>
                      <w:color w:val="000000" w:themeColor="text1"/>
                      <w:sz w:val="21"/>
                      <w:szCs w:val="21"/>
                      <w:lang w:val="zh-CN"/>
                      <w14:textFill>
                        <w14:solidFill>
                          <w14:schemeClr w14:val="tx1"/>
                        </w14:solidFill>
                      </w14:textFill>
                    </w:rPr>
                    <w:t>汽车吊</w:t>
                  </w:r>
                </w:p>
              </w:tc>
              <w:tc>
                <w:tcPr>
                  <w:tcW w:w="1484" w:type="pct"/>
                  <w:tcBorders>
                    <w:tl2br w:val="nil"/>
                    <w:tr2bl w:val="nil"/>
                  </w:tcBorders>
                  <w:shd w:val="clear" w:color="auto" w:fill="auto"/>
                  <w:vAlign w:val="center"/>
                </w:tcPr>
                <w:p w14:paraId="4C33A961">
                  <w:pPr>
                    <w:adjustRightInd w:val="0"/>
                    <w:snapToGrid w:val="0"/>
                    <w:spacing w:line="240" w:lineRule="auto"/>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92</w:t>
                  </w:r>
                </w:p>
              </w:tc>
              <w:tc>
                <w:tcPr>
                  <w:tcW w:w="892" w:type="pct"/>
                  <w:vMerge w:val="continue"/>
                  <w:tcBorders>
                    <w:tl2br w:val="nil"/>
                    <w:tr2bl w:val="nil"/>
                  </w:tcBorders>
                  <w:vAlign w:val="center"/>
                </w:tcPr>
                <w:p w14:paraId="1D70F398">
                  <w:pPr>
                    <w:adjustRightInd w:val="0"/>
                    <w:snapToGrid w:val="0"/>
                    <w:spacing w:line="240" w:lineRule="auto"/>
                    <w:ind w:firstLine="480" w:firstLineChars="200"/>
                    <w:jc w:val="center"/>
                    <w:rPr>
                      <w:color w:val="000000" w:themeColor="text1"/>
                      <w:szCs w:val="21"/>
                      <w14:textFill>
                        <w14:solidFill>
                          <w14:schemeClr w14:val="tx1"/>
                        </w14:solidFill>
                      </w14:textFill>
                    </w:rPr>
                  </w:pPr>
                </w:p>
              </w:tc>
            </w:tr>
            <w:tr w14:paraId="061C51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6" w:type="pct"/>
                  <w:tcBorders>
                    <w:tl2br w:val="nil"/>
                    <w:tr2bl w:val="nil"/>
                  </w:tcBorders>
                  <w:shd w:val="clear" w:color="auto" w:fill="auto"/>
                  <w:vAlign w:val="center"/>
                </w:tcPr>
                <w:p w14:paraId="20F26F67">
                  <w:pPr>
                    <w:adjustRightInd w:val="0"/>
                    <w:snapToGrid w:val="0"/>
                    <w:spacing w:line="240" w:lineRule="auto"/>
                    <w:jc w:val="cente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1997" w:type="pct"/>
                  <w:tcBorders>
                    <w:tl2br w:val="nil"/>
                    <w:tr2bl w:val="nil"/>
                  </w:tcBorders>
                  <w:shd w:val="clear" w:color="auto" w:fill="auto"/>
                  <w:vAlign w:val="center"/>
                </w:tcPr>
                <w:p w14:paraId="76147F01">
                  <w:pPr>
                    <w:adjustRightInd w:val="0"/>
                    <w:snapToGrid w:val="0"/>
                    <w:spacing w:line="240" w:lineRule="auto"/>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 w:val="21"/>
                      <w:szCs w:val="21"/>
                      <w:lang w:val="zh-CN"/>
                      <w14:textFill>
                        <w14:solidFill>
                          <w14:schemeClr w14:val="tx1"/>
                        </w14:solidFill>
                      </w14:textFill>
                    </w:rPr>
                    <w:t>运输车辆</w:t>
                  </w:r>
                </w:p>
              </w:tc>
              <w:tc>
                <w:tcPr>
                  <w:tcW w:w="1484" w:type="pct"/>
                  <w:tcBorders>
                    <w:tl2br w:val="nil"/>
                    <w:tr2bl w:val="nil"/>
                  </w:tcBorders>
                  <w:shd w:val="clear" w:color="auto" w:fill="auto"/>
                  <w:vAlign w:val="center"/>
                </w:tcPr>
                <w:p w14:paraId="2D21F9A4">
                  <w:pPr>
                    <w:adjustRightInd w:val="0"/>
                    <w:snapToGrid w:val="0"/>
                    <w:spacing w:line="240" w:lineRule="auto"/>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color w:val="000000" w:themeColor="text1"/>
                      <w:sz w:val="21"/>
                      <w:szCs w:val="21"/>
                      <w14:textFill>
                        <w14:solidFill>
                          <w14:schemeClr w14:val="tx1"/>
                        </w14:solidFill>
                      </w14:textFill>
                    </w:rPr>
                    <w:t>9</w:t>
                  </w:r>
                  <w:r>
                    <w:rPr>
                      <w:rFonts w:hint="eastAsia"/>
                      <w:color w:val="000000" w:themeColor="text1"/>
                      <w:sz w:val="21"/>
                      <w:szCs w:val="21"/>
                      <w14:textFill>
                        <w14:solidFill>
                          <w14:schemeClr w14:val="tx1"/>
                        </w14:solidFill>
                      </w14:textFill>
                    </w:rPr>
                    <w:t>0</w:t>
                  </w:r>
                </w:p>
              </w:tc>
              <w:tc>
                <w:tcPr>
                  <w:tcW w:w="892" w:type="pct"/>
                  <w:vMerge w:val="continue"/>
                  <w:tcBorders>
                    <w:tl2br w:val="nil"/>
                    <w:tr2bl w:val="nil"/>
                  </w:tcBorders>
                  <w:vAlign w:val="center"/>
                </w:tcPr>
                <w:p w14:paraId="7250A6E5">
                  <w:pPr>
                    <w:adjustRightInd w:val="0"/>
                    <w:snapToGrid w:val="0"/>
                    <w:spacing w:line="240" w:lineRule="auto"/>
                    <w:ind w:firstLine="480" w:firstLineChars="200"/>
                    <w:jc w:val="center"/>
                    <w:rPr>
                      <w:color w:val="000000" w:themeColor="text1"/>
                      <w:szCs w:val="21"/>
                      <w14:textFill>
                        <w14:solidFill>
                          <w14:schemeClr w14:val="tx1"/>
                        </w14:solidFill>
                      </w14:textFill>
                    </w:rPr>
                  </w:pPr>
                </w:p>
              </w:tc>
            </w:tr>
            <w:tr w14:paraId="1D2C84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6" w:type="pct"/>
                  <w:tcBorders>
                    <w:tl2br w:val="nil"/>
                    <w:tr2bl w:val="nil"/>
                  </w:tcBorders>
                  <w:shd w:val="clear" w:color="auto" w:fill="auto"/>
                  <w:vAlign w:val="center"/>
                </w:tcPr>
                <w:p w14:paraId="5A7B7A76">
                  <w:pPr>
                    <w:adjustRightInd w:val="0"/>
                    <w:snapToGrid w:val="0"/>
                    <w:spacing w:line="24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p>
              </w:tc>
              <w:tc>
                <w:tcPr>
                  <w:tcW w:w="1997" w:type="pct"/>
                  <w:tcBorders>
                    <w:tl2br w:val="nil"/>
                    <w:tr2bl w:val="nil"/>
                  </w:tcBorders>
                  <w:shd w:val="clear" w:color="auto" w:fill="auto"/>
                  <w:vAlign w:val="center"/>
                </w:tcPr>
                <w:p w14:paraId="33793CF2">
                  <w:pPr>
                    <w:adjustRightInd w:val="0"/>
                    <w:snapToGrid w:val="0"/>
                    <w:spacing w:line="240" w:lineRule="auto"/>
                    <w:jc w:val="center"/>
                    <w:rPr>
                      <w:rFonts w:ascii="Times New Roman" w:hAnsi="Times New Roman" w:eastAsia="宋体" w:cs="Times New Roman"/>
                      <w:color w:val="000000" w:themeColor="text1"/>
                      <w:kern w:val="2"/>
                      <w:sz w:val="21"/>
                      <w:szCs w:val="21"/>
                      <w:lang w:val="zh-CN" w:eastAsia="zh-CN" w:bidi="ar-SA"/>
                      <w14:textFill>
                        <w14:solidFill>
                          <w14:schemeClr w14:val="tx1"/>
                        </w14:solidFill>
                      </w14:textFill>
                    </w:rPr>
                  </w:pPr>
                  <w:r>
                    <w:rPr>
                      <w:rFonts w:hint="eastAsia"/>
                      <w:color w:val="000000" w:themeColor="text1"/>
                      <w:sz w:val="21"/>
                      <w:szCs w:val="21"/>
                      <w:lang w:val="zh-CN"/>
                      <w14:textFill>
                        <w14:solidFill>
                          <w14:schemeClr w14:val="tx1"/>
                        </w14:solidFill>
                      </w14:textFill>
                    </w:rPr>
                    <w:t>装载机</w:t>
                  </w:r>
                </w:p>
              </w:tc>
              <w:tc>
                <w:tcPr>
                  <w:tcW w:w="1484" w:type="pct"/>
                  <w:tcBorders>
                    <w:tl2br w:val="nil"/>
                    <w:tr2bl w:val="nil"/>
                  </w:tcBorders>
                  <w:shd w:val="clear" w:color="auto" w:fill="auto"/>
                  <w:vAlign w:val="center"/>
                </w:tcPr>
                <w:p w14:paraId="3762341F">
                  <w:pPr>
                    <w:adjustRightInd w:val="0"/>
                    <w:snapToGrid w:val="0"/>
                    <w:spacing w:line="240" w:lineRule="auto"/>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95</w:t>
                  </w:r>
                </w:p>
              </w:tc>
              <w:tc>
                <w:tcPr>
                  <w:tcW w:w="892" w:type="pct"/>
                  <w:vMerge w:val="continue"/>
                  <w:tcBorders>
                    <w:tl2br w:val="nil"/>
                    <w:tr2bl w:val="nil"/>
                  </w:tcBorders>
                  <w:vAlign w:val="center"/>
                </w:tcPr>
                <w:p w14:paraId="3DE1B81B">
                  <w:pPr>
                    <w:adjustRightInd w:val="0"/>
                    <w:snapToGrid w:val="0"/>
                    <w:spacing w:line="240" w:lineRule="auto"/>
                    <w:ind w:firstLine="480" w:firstLineChars="200"/>
                    <w:jc w:val="center"/>
                    <w:rPr>
                      <w:color w:val="000000" w:themeColor="text1"/>
                      <w:szCs w:val="21"/>
                      <w14:textFill>
                        <w14:solidFill>
                          <w14:schemeClr w14:val="tx1"/>
                        </w14:solidFill>
                      </w14:textFill>
                    </w:rPr>
                  </w:pPr>
                </w:p>
              </w:tc>
            </w:tr>
          </w:tbl>
          <w:p w14:paraId="50ACBD59">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根据本项目施工期间主要噪声源的特征，可采用点声源距离衰减公式对主要声源产生声环境质量影响进行预测，具体公式如下：</w:t>
            </w:r>
          </w:p>
          <w:p w14:paraId="3B40250F">
            <w:pPr>
              <w:adjustRightInd w:val="0"/>
              <w:snapToGrid w:val="0"/>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1751965" cy="373380"/>
                  <wp:effectExtent l="0" t="0" r="0" b="0"/>
                  <wp:docPr id="1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
                          <pic:cNvPicPr>
                            <a:picLocks noChangeAspect="1"/>
                          </pic:cNvPicPr>
                        </pic:nvPicPr>
                        <pic:blipFill>
                          <a:blip r:embed="rId12"/>
                          <a:srcRect t="-22500"/>
                          <a:stretch>
                            <a:fillRect/>
                          </a:stretch>
                        </pic:blipFill>
                        <pic:spPr>
                          <a:xfrm>
                            <a:off x="0" y="0"/>
                            <a:ext cx="1751965" cy="373380"/>
                          </a:xfrm>
                          <a:prstGeom prst="rect">
                            <a:avLst/>
                          </a:prstGeom>
                          <a:noFill/>
                          <a:ln>
                            <a:noFill/>
                          </a:ln>
                        </pic:spPr>
                      </pic:pic>
                    </a:graphicData>
                  </a:graphic>
                </wp:inline>
              </w:drawing>
            </w:r>
          </w:p>
          <w:p w14:paraId="6818B627">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式中：</w:t>
            </w:r>
            <w:r>
              <w:rPr>
                <w:rFonts w:hint="eastAsia"/>
                <w:i/>
                <w:iCs/>
                <w:color w:val="000000" w:themeColor="text1"/>
                <w14:textFill>
                  <w14:solidFill>
                    <w14:schemeClr w14:val="tx1"/>
                  </w14:solidFill>
                </w14:textFill>
              </w:rPr>
              <w:t>L</w:t>
            </w:r>
            <w:r>
              <w:rPr>
                <w:rFonts w:hint="eastAsia"/>
                <w:i/>
                <w:iCs/>
                <w:color w:val="000000" w:themeColor="text1"/>
                <w:vertAlign w:val="subscript"/>
                <w14:textFill>
                  <w14:solidFill>
                    <w14:schemeClr w14:val="tx1"/>
                  </w14:solidFill>
                </w14:textFill>
              </w:rPr>
              <w:t>p(r)</w:t>
            </w:r>
            <w:r>
              <w:rPr>
                <w:rFonts w:hint="eastAsia"/>
                <w:color w:val="000000" w:themeColor="text1"/>
                <w14:textFill>
                  <w14:solidFill>
                    <w14:schemeClr w14:val="tx1"/>
                  </w14:solidFill>
                </w14:textFill>
              </w:rPr>
              <w:t>—预测点处声压级，dB；</w:t>
            </w:r>
          </w:p>
          <w:p w14:paraId="48861301">
            <w:pPr>
              <w:adjustRightInd w:val="0"/>
              <w:spacing w:line="500" w:lineRule="exact"/>
              <w:ind w:firstLine="1200" w:firstLineChars="500"/>
              <w:rPr>
                <w:color w:val="000000" w:themeColor="text1"/>
                <w14:textFill>
                  <w14:solidFill>
                    <w14:schemeClr w14:val="tx1"/>
                  </w14:solidFill>
                </w14:textFill>
              </w:rPr>
            </w:pPr>
            <w:r>
              <w:rPr>
                <w:rFonts w:hint="eastAsia"/>
                <w:i/>
                <w:iCs/>
                <w:color w:val="000000" w:themeColor="text1"/>
                <w14:textFill>
                  <w14:solidFill>
                    <w14:schemeClr w14:val="tx1"/>
                  </w14:solidFill>
                </w14:textFill>
              </w:rPr>
              <w:t>L</w:t>
            </w:r>
            <w:r>
              <w:rPr>
                <w:rFonts w:hint="eastAsia"/>
                <w:i/>
                <w:iCs/>
                <w:color w:val="000000" w:themeColor="text1"/>
                <w:vertAlign w:val="subscript"/>
                <w14:textFill>
                  <w14:solidFill>
                    <w14:schemeClr w14:val="tx1"/>
                  </w14:solidFill>
                </w14:textFill>
              </w:rPr>
              <w:t>p(ro)</w:t>
            </w:r>
            <w:r>
              <w:rPr>
                <w:rFonts w:hint="eastAsia"/>
                <w:color w:val="000000" w:themeColor="text1"/>
                <w14:textFill>
                  <w14:solidFill>
                    <w14:schemeClr w14:val="tx1"/>
                  </w14:solidFill>
                </w14:textFill>
              </w:rPr>
              <w:t>—参考位置处的声压级，dB；</w:t>
            </w:r>
          </w:p>
          <w:p w14:paraId="0ED116DE">
            <w:pPr>
              <w:adjustRightInd w:val="0"/>
              <w:spacing w:line="500" w:lineRule="exact"/>
              <w:ind w:firstLine="1200" w:firstLineChars="500"/>
              <w:rPr>
                <w:color w:val="000000" w:themeColor="text1"/>
                <w14:textFill>
                  <w14:solidFill>
                    <w14:schemeClr w14:val="tx1"/>
                  </w14:solidFill>
                </w14:textFill>
              </w:rPr>
            </w:pPr>
            <w:r>
              <w:rPr>
                <w:rFonts w:hint="eastAsia"/>
                <w:i/>
                <w:iCs/>
                <w:color w:val="000000" w:themeColor="text1"/>
                <w14:textFill>
                  <w14:solidFill>
                    <w14:schemeClr w14:val="tx1"/>
                  </w14:solidFill>
                </w14:textFill>
              </w:rPr>
              <w:t>r</w:t>
            </w:r>
            <w:r>
              <w:rPr>
                <w:rFonts w:hint="eastAsia"/>
                <w:color w:val="000000" w:themeColor="text1"/>
                <w14:textFill>
                  <w14:solidFill>
                    <w14:schemeClr w14:val="tx1"/>
                  </w14:solidFill>
                </w14:textFill>
              </w:rPr>
              <w:t>—预测点距声源的距离；</w:t>
            </w:r>
          </w:p>
          <w:p w14:paraId="65682758">
            <w:pPr>
              <w:adjustRightInd w:val="0"/>
              <w:spacing w:line="500" w:lineRule="exact"/>
              <w:ind w:firstLine="1200" w:firstLineChars="500"/>
              <w:rPr>
                <w:color w:val="000000" w:themeColor="text1"/>
                <w14:textFill>
                  <w14:solidFill>
                    <w14:schemeClr w14:val="tx1"/>
                  </w14:solidFill>
                </w14:textFill>
              </w:rPr>
            </w:pPr>
            <w:r>
              <w:rPr>
                <w:rFonts w:hint="eastAsia"/>
                <w:i/>
                <w:iCs/>
                <w:color w:val="000000" w:themeColor="text1"/>
                <w14:textFill>
                  <w14:solidFill>
                    <w14:schemeClr w14:val="tx1"/>
                  </w14:solidFill>
                </w14:textFill>
              </w:rPr>
              <w:t>r</w:t>
            </w:r>
            <w:r>
              <w:rPr>
                <w:rFonts w:hint="eastAsia"/>
                <w:i/>
                <w:iCs/>
                <w:color w:val="000000" w:themeColor="text1"/>
                <w:vertAlign w:val="subscript"/>
                <w14:textFill>
                  <w14:solidFill>
                    <w14:schemeClr w14:val="tx1"/>
                  </w14:solidFill>
                </w14:textFill>
              </w:rPr>
              <w:t>o</w:t>
            </w:r>
            <w:r>
              <w:rPr>
                <w:rFonts w:hint="eastAsia"/>
                <w:color w:val="000000" w:themeColor="text1"/>
                <w14:textFill>
                  <w14:solidFill>
                    <w14:schemeClr w14:val="tx1"/>
                  </w14:solidFill>
                </w14:textFill>
              </w:rPr>
              <w:t>—参考位置距声源的距离。</w:t>
            </w:r>
          </w:p>
          <w:p w14:paraId="6E15CD2B">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施工设备噪声的距离衰减情况见表</w:t>
            </w:r>
            <w:r>
              <w:rPr>
                <w:rFonts w:hint="eastAsia"/>
                <w:color w:val="000000" w:themeColor="text1"/>
                <w14:textFill>
                  <w14:solidFill>
                    <w14:schemeClr w14:val="tx1"/>
                  </w14:solidFill>
                </w14:textFill>
              </w:rPr>
              <w:t>4-2</w:t>
            </w:r>
            <w:r>
              <w:rPr>
                <w:color w:val="000000" w:themeColor="text1"/>
                <w14:textFill>
                  <w14:solidFill>
                    <w14:schemeClr w14:val="tx1"/>
                  </w14:solidFill>
                </w14:textFill>
              </w:rPr>
              <w:t>。</w:t>
            </w:r>
          </w:p>
          <w:p w14:paraId="7F2D263E">
            <w:pPr>
              <w:tabs>
                <w:tab w:val="left" w:pos="4586"/>
                <w:tab w:val="left" w:pos="5786"/>
              </w:tabs>
              <w:autoSpaceDE w:val="0"/>
              <w:autoSpaceDN w:val="0"/>
              <w:adjustRightInd w:val="0"/>
              <w:snapToGrid w:val="0"/>
              <w:jc w:val="center"/>
              <w:rPr>
                <w:rFonts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表4-2   主要施工噪声值随距离的衰减情况   单位：dB（A）</w:t>
            </w:r>
          </w:p>
          <w:tbl>
            <w:tblPr>
              <w:tblStyle w:val="28"/>
              <w:tblW w:w="499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1292"/>
              <w:gridCol w:w="935"/>
              <w:gridCol w:w="848"/>
              <w:gridCol w:w="773"/>
              <w:gridCol w:w="999"/>
              <w:gridCol w:w="1244"/>
            </w:tblGrid>
            <w:tr w14:paraId="2E2C1C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97" w:type="pct"/>
                  <w:tcBorders>
                    <w:tl2br w:val="nil"/>
                    <w:tr2bl w:val="nil"/>
                  </w:tcBorders>
                  <w:vAlign w:val="center"/>
                </w:tcPr>
                <w:p w14:paraId="000F7821">
                  <w:pPr>
                    <w:adjustRightInd w:val="0"/>
                    <w:snapToGrid w:val="0"/>
                    <w:spacing w:line="240" w:lineRule="auto"/>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机械名称</w:t>
                  </w:r>
                </w:p>
              </w:tc>
              <w:tc>
                <w:tcPr>
                  <w:tcW w:w="806" w:type="pct"/>
                  <w:tcBorders>
                    <w:tl2br w:val="nil"/>
                    <w:tr2bl w:val="nil"/>
                  </w:tcBorders>
                  <w:vAlign w:val="center"/>
                </w:tcPr>
                <w:p w14:paraId="54D83CB5">
                  <w:pPr>
                    <w:adjustRightInd w:val="0"/>
                    <w:snapToGrid w:val="0"/>
                    <w:spacing w:line="240" w:lineRule="auto"/>
                    <w:jc w:val="center"/>
                    <w:rPr>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源强</w:t>
                  </w:r>
                </w:p>
              </w:tc>
              <w:tc>
                <w:tcPr>
                  <w:tcW w:w="583" w:type="pct"/>
                  <w:tcBorders>
                    <w:tl2br w:val="nil"/>
                    <w:tr2bl w:val="nil"/>
                  </w:tcBorders>
                  <w:vAlign w:val="center"/>
                </w:tcPr>
                <w:p w14:paraId="71B4BFBF">
                  <w:pPr>
                    <w:adjustRightInd w:val="0"/>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10</w:t>
                  </w:r>
                  <w:r>
                    <w:rPr>
                      <w:rFonts w:hint="eastAsia"/>
                      <w:b/>
                      <w:bCs/>
                      <w:color w:val="000000" w:themeColor="text1"/>
                      <w:sz w:val="21"/>
                      <w:szCs w:val="21"/>
                      <w14:textFill>
                        <w14:solidFill>
                          <w14:schemeClr w14:val="tx1"/>
                        </w14:solidFill>
                      </w14:textFill>
                    </w:rPr>
                    <w:t>m</w:t>
                  </w:r>
                </w:p>
              </w:tc>
              <w:tc>
                <w:tcPr>
                  <w:tcW w:w="529" w:type="pct"/>
                  <w:tcBorders>
                    <w:tl2br w:val="nil"/>
                    <w:tr2bl w:val="nil"/>
                  </w:tcBorders>
                  <w:vAlign w:val="center"/>
                </w:tcPr>
                <w:p w14:paraId="6FABF753">
                  <w:pPr>
                    <w:adjustRightInd w:val="0"/>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50</w:t>
                  </w:r>
                  <w:r>
                    <w:rPr>
                      <w:rFonts w:hint="eastAsia"/>
                      <w:b/>
                      <w:bCs/>
                      <w:color w:val="000000" w:themeColor="text1"/>
                      <w:sz w:val="21"/>
                      <w:szCs w:val="21"/>
                      <w14:textFill>
                        <w14:solidFill>
                          <w14:schemeClr w14:val="tx1"/>
                        </w14:solidFill>
                      </w14:textFill>
                    </w:rPr>
                    <w:t>m</w:t>
                  </w:r>
                </w:p>
              </w:tc>
              <w:tc>
                <w:tcPr>
                  <w:tcW w:w="482" w:type="pct"/>
                  <w:tcBorders>
                    <w:tl2br w:val="nil"/>
                    <w:tr2bl w:val="nil"/>
                  </w:tcBorders>
                  <w:vAlign w:val="center"/>
                </w:tcPr>
                <w:p w14:paraId="53085B0B">
                  <w:pPr>
                    <w:adjustRightInd w:val="0"/>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100</w:t>
                  </w:r>
                  <w:r>
                    <w:rPr>
                      <w:rFonts w:hint="eastAsia"/>
                      <w:b/>
                      <w:bCs/>
                      <w:color w:val="000000" w:themeColor="text1"/>
                      <w:sz w:val="21"/>
                      <w:szCs w:val="21"/>
                      <w14:textFill>
                        <w14:solidFill>
                          <w14:schemeClr w14:val="tx1"/>
                        </w14:solidFill>
                      </w14:textFill>
                    </w:rPr>
                    <w:t>m</w:t>
                  </w:r>
                </w:p>
              </w:tc>
              <w:tc>
                <w:tcPr>
                  <w:tcW w:w="623" w:type="pct"/>
                  <w:tcBorders>
                    <w:tl2br w:val="nil"/>
                    <w:tr2bl w:val="nil"/>
                  </w:tcBorders>
                  <w:vAlign w:val="center"/>
                </w:tcPr>
                <w:p w14:paraId="3225AB25">
                  <w:pPr>
                    <w:adjustRightInd w:val="0"/>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200</w:t>
                  </w:r>
                  <w:r>
                    <w:rPr>
                      <w:rFonts w:hint="eastAsia"/>
                      <w:b/>
                      <w:bCs/>
                      <w:color w:val="000000" w:themeColor="text1"/>
                      <w:sz w:val="21"/>
                      <w:szCs w:val="21"/>
                      <w14:textFill>
                        <w14:solidFill>
                          <w14:schemeClr w14:val="tx1"/>
                        </w14:solidFill>
                      </w14:textFill>
                    </w:rPr>
                    <w:t>m</w:t>
                  </w:r>
                </w:p>
              </w:tc>
              <w:tc>
                <w:tcPr>
                  <w:tcW w:w="776" w:type="pct"/>
                  <w:tcBorders>
                    <w:tl2br w:val="nil"/>
                    <w:tr2bl w:val="nil"/>
                  </w:tcBorders>
                  <w:vAlign w:val="center"/>
                </w:tcPr>
                <w:p w14:paraId="2AE91F79">
                  <w:pPr>
                    <w:adjustRightInd w:val="0"/>
                    <w:snapToGrid w:val="0"/>
                    <w:spacing w:line="240" w:lineRule="auto"/>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标准</w:t>
                  </w:r>
                </w:p>
              </w:tc>
            </w:tr>
            <w:tr w14:paraId="440D0F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97" w:type="pct"/>
                  <w:tcBorders>
                    <w:tl2br w:val="nil"/>
                    <w:tr2bl w:val="nil"/>
                  </w:tcBorders>
                  <w:vAlign w:val="center"/>
                </w:tcPr>
                <w:p w14:paraId="40D6AFA6">
                  <w:pPr>
                    <w:adjustRightInd w:val="0"/>
                    <w:snapToGrid w:val="0"/>
                    <w:spacing w:line="240" w:lineRule="auto"/>
                    <w:jc w:val="center"/>
                    <w:rPr>
                      <w:color w:val="000000" w:themeColor="text1"/>
                      <w:sz w:val="21"/>
                      <w:szCs w:val="21"/>
                      <w:lang w:val="zh-CN"/>
                      <w14:textFill>
                        <w14:solidFill>
                          <w14:schemeClr w14:val="tx1"/>
                        </w14:solidFill>
                      </w14:textFill>
                    </w:rPr>
                  </w:pPr>
                  <w:r>
                    <w:rPr>
                      <w:color w:val="000000" w:themeColor="text1"/>
                      <w:sz w:val="21"/>
                      <w:szCs w:val="21"/>
                      <w:lang w:val="zh-CN"/>
                      <w14:textFill>
                        <w14:solidFill>
                          <w14:schemeClr w14:val="tx1"/>
                        </w14:solidFill>
                      </w14:textFill>
                    </w:rPr>
                    <w:t>挖掘机</w:t>
                  </w:r>
                </w:p>
              </w:tc>
              <w:tc>
                <w:tcPr>
                  <w:tcW w:w="806" w:type="pct"/>
                  <w:tcBorders>
                    <w:tl2br w:val="nil"/>
                    <w:tr2bl w:val="nil"/>
                  </w:tcBorders>
                  <w:vAlign w:val="center"/>
                </w:tcPr>
                <w:p w14:paraId="6AAC00D5">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95</w:t>
                  </w:r>
                </w:p>
              </w:tc>
              <w:tc>
                <w:tcPr>
                  <w:tcW w:w="583" w:type="pct"/>
                  <w:tcBorders>
                    <w:tl2br w:val="nil"/>
                    <w:tr2bl w:val="nil"/>
                  </w:tcBorders>
                  <w:vAlign w:val="center"/>
                </w:tcPr>
                <w:p w14:paraId="0B92140A">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75</w:t>
                  </w:r>
                </w:p>
              </w:tc>
              <w:tc>
                <w:tcPr>
                  <w:tcW w:w="529" w:type="pct"/>
                  <w:tcBorders>
                    <w:tl2br w:val="nil"/>
                    <w:tr2bl w:val="nil"/>
                  </w:tcBorders>
                  <w:vAlign w:val="center"/>
                </w:tcPr>
                <w:p w14:paraId="5EC46679">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61</w:t>
                  </w:r>
                </w:p>
              </w:tc>
              <w:tc>
                <w:tcPr>
                  <w:tcW w:w="482" w:type="pct"/>
                  <w:tcBorders>
                    <w:tl2br w:val="nil"/>
                    <w:tr2bl w:val="nil"/>
                  </w:tcBorders>
                  <w:vAlign w:val="center"/>
                </w:tcPr>
                <w:p w14:paraId="0004773F">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55</w:t>
                  </w:r>
                </w:p>
              </w:tc>
              <w:tc>
                <w:tcPr>
                  <w:tcW w:w="623" w:type="pct"/>
                  <w:tcBorders>
                    <w:tl2br w:val="nil"/>
                    <w:tr2bl w:val="nil"/>
                  </w:tcBorders>
                  <w:vAlign w:val="center"/>
                </w:tcPr>
                <w:p w14:paraId="1511400C">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49</w:t>
                  </w:r>
                </w:p>
              </w:tc>
              <w:tc>
                <w:tcPr>
                  <w:tcW w:w="776" w:type="pct"/>
                  <w:vMerge w:val="restart"/>
                  <w:tcBorders>
                    <w:tl2br w:val="nil"/>
                    <w:tr2bl w:val="nil"/>
                  </w:tcBorders>
                  <w:vAlign w:val="center"/>
                </w:tcPr>
                <w:p w14:paraId="52E4A634">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昼间：</w:t>
                  </w:r>
                  <w:r>
                    <w:rPr>
                      <w:rFonts w:hint="eastAsia"/>
                      <w:color w:val="000000" w:themeColor="text1"/>
                      <w:sz w:val="21"/>
                      <w:szCs w:val="21"/>
                      <w14:textFill>
                        <w14:solidFill>
                          <w14:schemeClr w14:val="tx1"/>
                        </w14:solidFill>
                      </w14:textFill>
                    </w:rPr>
                    <w:t>70</w:t>
                  </w:r>
                </w:p>
                <w:p w14:paraId="53C78EFB">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夜间：55</w:t>
                  </w:r>
                </w:p>
              </w:tc>
            </w:tr>
            <w:tr w14:paraId="40F52A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97" w:type="pct"/>
                  <w:tcBorders>
                    <w:tl2br w:val="nil"/>
                    <w:tr2bl w:val="nil"/>
                  </w:tcBorders>
                  <w:vAlign w:val="center"/>
                </w:tcPr>
                <w:p w14:paraId="2911AE23">
                  <w:pPr>
                    <w:adjustRightInd w:val="0"/>
                    <w:snapToGrid w:val="0"/>
                    <w:spacing w:line="240" w:lineRule="auto"/>
                    <w:jc w:val="center"/>
                    <w:rPr>
                      <w:color w:val="000000" w:themeColor="text1"/>
                      <w:sz w:val="21"/>
                      <w:szCs w:val="21"/>
                      <w:lang w:val="zh-CN"/>
                      <w14:textFill>
                        <w14:solidFill>
                          <w14:schemeClr w14:val="tx1"/>
                        </w14:solidFill>
                      </w14:textFill>
                    </w:rPr>
                  </w:pPr>
                  <w:r>
                    <w:rPr>
                      <w:color w:val="000000" w:themeColor="text1"/>
                      <w:sz w:val="21"/>
                      <w:szCs w:val="21"/>
                      <w:lang w:val="zh-CN"/>
                      <w14:textFill>
                        <w14:solidFill>
                          <w14:schemeClr w14:val="tx1"/>
                        </w14:solidFill>
                      </w14:textFill>
                    </w:rPr>
                    <w:t>推土机</w:t>
                  </w:r>
                </w:p>
              </w:tc>
              <w:tc>
                <w:tcPr>
                  <w:tcW w:w="806" w:type="pct"/>
                  <w:tcBorders>
                    <w:tl2br w:val="nil"/>
                    <w:tr2bl w:val="nil"/>
                  </w:tcBorders>
                  <w:vAlign w:val="center"/>
                </w:tcPr>
                <w:p w14:paraId="251E9067">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95</w:t>
                  </w:r>
                </w:p>
              </w:tc>
              <w:tc>
                <w:tcPr>
                  <w:tcW w:w="583" w:type="pct"/>
                  <w:tcBorders>
                    <w:tl2br w:val="nil"/>
                    <w:tr2bl w:val="nil"/>
                  </w:tcBorders>
                  <w:vAlign w:val="center"/>
                </w:tcPr>
                <w:p w14:paraId="2CBDDD77">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75</w:t>
                  </w:r>
                </w:p>
              </w:tc>
              <w:tc>
                <w:tcPr>
                  <w:tcW w:w="529" w:type="pct"/>
                  <w:tcBorders>
                    <w:tl2br w:val="nil"/>
                    <w:tr2bl w:val="nil"/>
                  </w:tcBorders>
                  <w:vAlign w:val="center"/>
                </w:tcPr>
                <w:p w14:paraId="27855A06">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61</w:t>
                  </w:r>
                </w:p>
              </w:tc>
              <w:tc>
                <w:tcPr>
                  <w:tcW w:w="482" w:type="pct"/>
                  <w:tcBorders>
                    <w:tl2br w:val="nil"/>
                    <w:tr2bl w:val="nil"/>
                  </w:tcBorders>
                  <w:vAlign w:val="center"/>
                </w:tcPr>
                <w:p w14:paraId="2470EC96">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55</w:t>
                  </w:r>
                </w:p>
              </w:tc>
              <w:tc>
                <w:tcPr>
                  <w:tcW w:w="623" w:type="pct"/>
                  <w:tcBorders>
                    <w:tl2br w:val="nil"/>
                    <w:tr2bl w:val="nil"/>
                  </w:tcBorders>
                  <w:vAlign w:val="center"/>
                </w:tcPr>
                <w:p w14:paraId="15749BD3">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49</w:t>
                  </w:r>
                </w:p>
              </w:tc>
              <w:tc>
                <w:tcPr>
                  <w:tcW w:w="776" w:type="pct"/>
                  <w:vMerge w:val="continue"/>
                  <w:tcBorders>
                    <w:tl2br w:val="nil"/>
                    <w:tr2bl w:val="nil"/>
                  </w:tcBorders>
                  <w:vAlign w:val="center"/>
                </w:tcPr>
                <w:p w14:paraId="26D90B61">
                  <w:pPr>
                    <w:adjustRightInd w:val="0"/>
                    <w:snapToGrid w:val="0"/>
                    <w:spacing w:line="240" w:lineRule="auto"/>
                    <w:ind w:firstLine="480" w:firstLineChars="200"/>
                    <w:jc w:val="center"/>
                    <w:rPr>
                      <w:color w:val="000000" w:themeColor="text1"/>
                      <w:lang w:val="zh-CN"/>
                      <w14:textFill>
                        <w14:solidFill>
                          <w14:schemeClr w14:val="tx1"/>
                        </w14:solidFill>
                      </w14:textFill>
                    </w:rPr>
                  </w:pPr>
                </w:p>
              </w:tc>
            </w:tr>
            <w:tr w14:paraId="77326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97" w:type="pct"/>
                  <w:tcBorders>
                    <w:tl2br w:val="nil"/>
                    <w:tr2bl w:val="nil"/>
                  </w:tcBorders>
                  <w:vAlign w:val="center"/>
                </w:tcPr>
                <w:p w14:paraId="12F339B5">
                  <w:pPr>
                    <w:adjustRightInd w:val="0"/>
                    <w:snapToGrid w:val="0"/>
                    <w:spacing w:line="240" w:lineRule="auto"/>
                    <w:jc w:val="center"/>
                    <w:rPr>
                      <w:rFonts w:hint="eastAsia"/>
                      <w:color w:val="000000" w:themeColor="text1"/>
                      <w:sz w:val="21"/>
                      <w:szCs w:val="21"/>
                      <w:lang w:val="zh-CN"/>
                      <w14:textFill>
                        <w14:solidFill>
                          <w14:schemeClr w14:val="tx1"/>
                        </w14:solidFill>
                      </w14:textFill>
                    </w:rPr>
                  </w:pPr>
                  <w:r>
                    <w:rPr>
                      <w:rFonts w:hint="eastAsia"/>
                      <w:color w:val="000000" w:themeColor="text1"/>
                      <w:sz w:val="21"/>
                      <w:szCs w:val="21"/>
                      <w:lang w:val="zh-CN"/>
                      <w14:textFill>
                        <w14:solidFill>
                          <w14:schemeClr w14:val="tx1"/>
                        </w14:solidFill>
                      </w14:textFill>
                    </w:rPr>
                    <w:t>捣振棒</w:t>
                  </w:r>
                </w:p>
              </w:tc>
              <w:tc>
                <w:tcPr>
                  <w:tcW w:w="806" w:type="pct"/>
                  <w:tcBorders>
                    <w:tl2br w:val="nil"/>
                    <w:tr2bl w:val="nil"/>
                  </w:tcBorders>
                  <w:vAlign w:val="center"/>
                </w:tcPr>
                <w:p w14:paraId="233B77E8">
                  <w:pPr>
                    <w:adjustRightInd w:val="0"/>
                    <w:snapToGrid w:val="0"/>
                    <w:spacing w:line="24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95</w:t>
                  </w:r>
                </w:p>
              </w:tc>
              <w:tc>
                <w:tcPr>
                  <w:tcW w:w="583" w:type="pct"/>
                  <w:tcBorders>
                    <w:tl2br w:val="nil"/>
                    <w:tr2bl w:val="nil"/>
                  </w:tcBorders>
                  <w:vAlign w:val="center"/>
                </w:tcPr>
                <w:p w14:paraId="16467236">
                  <w:pPr>
                    <w:adjustRightInd w:val="0"/>
                    <w:snapToGrid w:val="0"/>
                    <w:spacing w:line="24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75</w:t>
                  </w:r>
                </w:p>
              </w:tc>
              <w:tc>
                <w:tcPr>
                  <w:tcW w:w="529" w:type="pct"/>
                  <w:tcBorders>
                    <w:tl2br w:val="nil"/>
                    <w:tr2bl w:val="nil"/>
                  </w:tcBorders>
                  <w:vAlign w:val="center"/>
                </w:tcPr>
                <w:p w14:paraId="01DEDBC1">
                  <w:pPr>
                    <w:adjustRightInd w:val="0"/>
                    <w:snapToGrid w:val="0"/>
                    <w:spacing w:line="24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61</w:t>
                  </w:r>
                </w:p>
              </w:tc>
              <w:tc>
                <w:tcPr>
                  <w:tcW w:w="482" w:type="pct"/>
                  <w:tcBorders>
                    <w:tl2br w:val="nil"/>
                    <w:tr2bl w:val="nil"/>
                  </w:tcBorders>
                  <w:vAlign w:val="center"/>
                </w:tcPr>
                <w:p w14:paraId="3E5BF844">
                  <w:pPr>
                    <w:adjustRightInd w:val="0"/>
                    <w:snapToGrid w:val="0"/>
                    <w:spacing w:line="24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55</w:t>
                  </w:r>
                </w:p>
              </w:tc>
              <w:tc>
                <w:tcPr>
                  <w:tcW w:w="623" w:type="pct"/>
                  <w:tcBorders>
                    <w:tl2br w:val="nil"/>
                    <w:tr2bl w:val="nil"/>
                  </w:tcBorders>
                  <w:vAlign w:val="center"/>
                </w:tcPr>
                <w:p w14:paraId="6988C27A">
                  <w:pPr>
                    <w:adjustRightInd w:val="0"/>
                    <w:snapToGrid w:val="0"/>
                    <w:spacing w:line="240" w:lineRule="auto"/>
                    <w:jc w:val="cente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49</w:t>
                  </w:r>
                </w:p>
              </w:tc>
              <w:tc>
                <w:tcPr>
                  <w:tcW w:w="776" w:type="pct"/>
                  <w:vMerge w:val="continue"/>
                  <w:tcBorders>
                    <w:tl2br w:val="nil"/>
                    <w:tr2bl w:val="nil"/>
                  </w:tcBorders>
                  <w:vAlign w:val="center"/>
                </w:tcPr>
                <w:p w14:paraId="57BFBC89">
                  <w:pPr>
                    <w:adjustRightInd w:val="0"/>
                    <w:snapToGrid w:val="0"/>
                    <w:spacing w:line="240" w:lineRule="auto"/>
                    <w:ind w:firstLine="480" w:firstLineChars="200"/>
                    <w:jc w:val="center"/>
                    <w:rPr>
                      <w:color w:val="000000" w:themeColor="text1"/>
                      <w:lang w:val="zh-CN"/>
                      <w14:textFill>
                        <w14:solidFill>
                          <w14:schemeClr w14:val="tx1"/>
                        </w14:solidFill>
                      </w14:textFill>
                    </w:rPr>
                  </w:pPr>
                </w:p>
              </w:tc>
            </w:tr>
            <w:tr w14:paraId="3BED36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197" w:type="pct"/>
                  <w:tcBorders>
                    <w:tl2br w:val="nil"/>
                    <w:tr2bl w:val="nil"/>
                  </w:tcBorders>
                  <w:vAlign w:val="center"/>
                </w:tcPr>
                <w:p w14:paraId="2DAA0AD3">
                  <w:pPr>
                    <w:adjustRightInd w:val="0"/>
                    <w:snapToGrid w:val="0"/>
                    <w:spacing w:line="240" w:lineRule="auto"/>
                    <w:jc w:val="center"/>
                    <w:rPr>
                      <w:color w:val="000000" w:themeColor="text1"/>
                      <w:sz w:val="21"/>
                      <w:szCs w:val="21"/>
                      <w:lang w:val="zh-CN"/>
                      <w14:textFill>
                        <w14:solidFill>
                          <w14:schemeClr w14:val="tx1"/>
                        </w14:solidFill>
                      </w14:textFill>
                    </w:rPr>
                  </w:pPr>
                  <w:r>
                    <w:rPr>
                      <w:color w:val="000000" w:themeColor="text1"/>
                      <w:sz w:val="21"/>
                      <w:szCs w:val="21"/>
                      <w:lang w:val="zh-CN"/>
                      <w14:textFill>
                        <w14:solidFill>
                          <w14:schemeClr w14:val="tx1"/>
                        </w14:solidFill>
                      </w14:textFill>
                    </w:rPr>
                    <w:t>汽车吊</w:t>
                  </w:r>
                </w:p>
              </w:tc>
              <w:tc>
                <w:tcPr>
                  <w:tcW w:w="806" w:type="pct"/>
                  <w:tcBorders>
                    <w:tl2br w:val="nil"/>
                    <w:tr2bl w:val="nil"/>
                  </w:tcBorders>
                  <w:vAlign w:val="center"/>
                </w:tcPr>
                <w:p w14:paraId="50215F23">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92</w:t>
                  </w:r>
                </w:p>
              </w:tc>
              <w:tc>
                <w:tcPr>
                  <w:tcW w:w="583" w:type="pct"/>
                  <w:tcBorders>
                    <w:tl2br w:val="nil"/>
                    <w:tr2bl w:val="nil"/>
                  </w:tcBorders>
                  <w:vAlign w:val="center"/>
                </w:tcPr>
                <w:p w14:paraId="3F92D2CD">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72</w:t>
                  </w:r>
                </w:p>
              </w:tc>
              <w:tc>
                <w:tcPr>
                  <w:tcW w:w="529" w:type="pct"/>
                  <w:tcBorders>
                    <w:tl2br w:val="nil"/>
                    <w:tr2bl w:val="nil"/>
                  </w:tcBorders>
                  <w:vAlign w:val="center"/>
                </w:tcPr>
                <w:p w14:paraId="48DE31C2">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58</w:t>
                  </w:r>
                </w:p>
              </w:tc>
              <w:tc>
                <w:tcPr>
                  <w:tcW w:w="482" w:type="pct"/>
                  <w:tcBorders>
                    <w:tl2br w:val="nil"/>
                    <w:tr2bl w:val="nil"/>
                  </w:tcBorders>
                  <w:vAlign w:val="center"/>
                </w:tcPr>
                <w:p w14:paraId="7E6F1071">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52</w:t>
                  </w:r>
                </w:p>
              </w:tc>
              <w:tc>
                <w:tcPr>
                  <w:tcW w:w="623" w:type="pct"/>
                  <w:tcBorders>
                    <w:tl2br w:val="nil"/>
                    <w:tr2bl w:val="nil"/>
                  </w:tcBorders>
                  <w:vAlign w:val="center"/>
                </w:tcPr>
                <w:p w14:paraId="75D91EBE">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46</w:t>
                  </w:r>
                </w:p>
              </w:tc>
              <w:tc>
                <w:tcPr>
                  <w:tcW w:w="776" w:type="pct"/>
                  <w:vMerge w:val="continue"/>
                  <w:tcBorders>
                    <w:tl2br w:val="nil"/>
                    <w:tr2bl w:val="nil"/>
                  </w:tcBorders>
                  <w:vAlign w:val="center"/>
                </w:tcPr>
                <w:p w14:paraId="7D6FC709">
                  <w:pPr>
                    <w:adjustRightInd w:val="0"/>
                    <w:snapToGrid w:val="0"/>
                    <w:spacing w:line="240" w:lineRule="auto"/>
                    <w:ind w:firstLine="480" w:firstLineChars="200"/>
                    <w:jc w:val="center"/>
                    <w:rPr>
                      <w:color w:val="000000" w:themeColor="text1"/>
                      <w:lang w:val="zh-CN"/>
                      <w14:textFill>
                        <w14:solidFill>
                          <w14:schemeClr w14:val="tx1"/>
                        </w14:solidFill>
                      </w14:textFill>
                    </w:rPr>
                  </w:pPr>
                </w:p>
              </w:tc>
            </w:tr>
            <w:tr w14:paraId="0AFFE3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7" w:type="pct"/>
                  <w:tcBorders>
                    <w:tl2br w:val="nil"/>
                    <w:tr2bl w:val="nil"/>
                  </w:tcBorders>
                  <w:vAlign w:val="center"/>
                </w:tcPr>
                <w:p w14:paraId="78F8D49F">
                  <w:pPr>
                    <w:adjustRightInd w:val="0"/>
                    <w:snapToGrid w:val="0"/>
                    <w:spacing w:line="240" w:lineRule="auto"/>
                    <w:jc w:val="center"/>
                    <w:rPr>
                      <w:color w:val="000000" w:themeColor="text1"/>
                      <w:sz w:val="21"/>
                      <w:szCs w:val="21"/>
                      <w:lang w:val="zh-CN"/>
                      <w14:textFill>
                        <w14:solidFill>
                          <w14:schemeClr w14:val="tx1"/>
                        </w14:solidFill>
                      </w14:textFill>
                    </w:rPr>
                  </w:pPr>
                  <w:r>
                    <w:rPr>
                      <w:color w:val="000000" w:themeColor="text1"/>
                      <w:sz w:val="21"/>
                      <w:szCs w:val="21"/>
                      <w:lang w:val="zh-CN"/>
                      <w14:textFill>
                        <w14:solidFill>
                          <w14:schemeClr w14:val="tx1"/>
                        </w14:solidFill>
                      </w14:textFill>
                    </w:rPr>
                    <w:t>运输车辆</w:t>
                  </w:r>
                </w:p>
              </w:tc>
              <w:tc>
                <w:tcPr>
                  <w:tcW w:w="806" w:type="pct"/>
                  <w:tcBorders>
                    <w:tl2br w:val="nil"/>
                    <w:tr2bl w:val="nil"/>
                  </w:tcBorders>
                  <w:vAlign w:val="center"/>
                </w:tcPr>
                <w:p w14:paraId="02B4B108">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90</w:t>
                  </w:r>
                </w:p>
              </w:tc>
              <w:tc>
                <w:tcPr>
                  <w:tcW w:w="583" w:type="pct"/>
                  <w:tcBorders>
                    <w:tl2br w:val="nil"/>
                    <w:tr2bl w:val="nil"/>
                  </w:tcBorders>
                  <w:vAlign w:val="center"/>
                </w:tcPr>
                <w:p w14:paraId="5064BE3A">
                  <w:pPr>
                    <w:adjustRightInd w:val="0"/>
                    <w:snapToGrid w:val="0"/>
                    <w:spacing w:line="240" w:lineRule="auto"/>
                    <w:jc w:val="center"/>
                    <w:rPr>
                      <w:color w:val="000000" w:themeColor="text1"/>
                      <w:sz w:val="21"/>
                      <w:szCs w:val="21"/>
                      <w:lang w:val="zh-CN"/>
                      <w14:textFill>
                        <w14:solidFill>
                          <w14:schemeClr w14:val="tx1"/>
                        </w14:solidFill>
                      </w14:textFill>
                    </w:rPr>
                  </w:pPr>
                  <w:r>
                    <w:rPr>
                      <w:rFonts w:hint="eastAsia"/>
                      <w:color w:val="000000" w:themeColor="text1"/>
                      <w:sz w:val="21"/>
                      <w:szCs w:val="21"/>
                      <w14:textFill>
                        <w14:solidFill>
                          <w14:schemeClr w14:val="tx1"/>
                        </w14:solidFill>
                      </w14:textFill>
                    </w:rPr>
                    <w:t>70</w:t>
                  </w:r>
                </w:p>
              </w:tc>
              <w:tc>
                <w:tcPr>
                  <w:tcW w:w="529" w:type="pct"/>
                  <w:tcBorders>
                    <w:tl2br w:val="nil"/>
                    <w:tr2bl w:val="nil"/>
                  </w:tcBorders>
                  <w:vAlign w:val="center"/>
                </w:tcPr>
                <w:p w14:paraId="22F98E93">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56</w:t>
                  </w:r>
                </w:p>
              </w:tc>
              <w:tc>
                <w:tcPr>
                  <w:tcW w:w="482" w:type="pct"/>
                  <w:tcBorders>
                    <w:tl2br w:val="nil"/>
                    <w:tr2bl w:val="nil"/>
                  </w:tcBorders>
                  <w:vAlign w:val="center"/>
                </w:tcPr>
                <w:p w14:paraId="661DC1B1">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50</w:t>
                  </w:r>
                </w:p>
              </w:tc>
              <w:tc>
                <w:tcPr>
                  <w:tcW w:w="623" w:type="pct"/>
                  <w:tcBorders>
                    <w:tl2br w:val="nil"/>
                    <w:tr2bl w:val="nil"/>
                  </w:tcBorders>
                  <w:vAlign w:val="center"/>
                </w:tcPr>
                <w:p w14:paraId="2CFAEA2D">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44</w:t>
                  </w:r>
                </w:p>
              </w:tc>
              <w:tc>
                <w:tcPr>
                  <w:tcW w:w="776" w:type="pct"/>
                  <w:vMerge w:val="continue"/>
                  <w:tcBorders>
                    <w:tl2br w:val="nil"/>
                    <w:tr2bl w:val="nil"/>
                  </w:tcBorders>
                  <w:vAlign w:val="center"/>
                </w:tcPr>
                <w:p w14:paraId="2F09A201">
                  <w:pPr>
                    <w:adjustRightInd w:val="0"/>
                    <w:snapToGrid w:val="0"/>
                    <w:spacing w:line="240" w:lineRule="auto"/>
                    <w:ind w:firstLine="480" w:firstLineChars="200"/>
                    <w:jc w:val="center"/>
                    <w:rPr>
                      <w:color w:val="000000" w:themeColor="text1"/>
                      <w:lang w:val="zh-CN"/>
                      <w14:textFill>
                        <w14:solidFill>
                          <w14:schemeClr w14:val="tx1"/>
                        </w14:solidFill>
                      </w14:textFill>
                    </w:rPr>
                  </w:pPr>
                </w:p>
              </w:tc>
            </w:tr>
            <w:tr w14:paraId="55588B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7" w:type="pct"/>
                  <w:tcBorders>
                    <w:tl2br w:val="nil"/>
                    <w:tr2bl w:val="nil"/>
                  </w:tcBorders>
                  <w:vAlign w:val="center"/>
                </w:tcPr>
                <w:p w14:paraId="1BB17E10">
                  <w:pPr>
                    <w:adjustRightInd w:val="0"/>
                    <w:snapToGrid w:val="0"/>
                    <w:spacing w:line="240" w:lineRule="auto"/>
                    <w:jc w:val="center"/>
                    <w:rPr>
                      <w:color w:val="000000" w:themeColor="text1"/>
                      <w:sz w:val="21"/>
                      <w:szCs w:val="21"/>
                      <w:lang w:val="zh-CN"/>
                      <w14:textFill>
                        <w14:solidFill>
                          <w14:schemeClr w14:val="tx1"/>
                        </w14:solidFill>
                      </w14:textFill>
                    </w:rPr>
                  </w:pPr>
                  <w:r>
                    <w:rPr>
                      <w:rFonts w:hint="eastAsia"/>
                      <w:color w:val="000000" w:themeColor="text1"/>
                      <w:sz w:val="21"/>
                      <w:szCs w:val="21"/>
                      <w:lang w:val="zh-CN"/>
                      <w14:textFill>
                        <w14:solidFill>
                          <w14:schemeClr w14:val="tx1"/>
                        </w14:solidFill>
                      </w14:textFill>
                    </w:rPr>
                    <w:t>装载机</w:t>
                  </w:r>
                </w:p>
              </w:tc>
              <w:tc>
                <w:tcPr>
                  <w:tcW w:w="806" w:type="pct"/>
                  <w:tcBorders>
                    <w:tl2br w:val="nil"/>
                    <w:tr2bl w:val="nil"/>
                  </w:tcBorders>
                  <w:vAlign w:val="center"/>
                </w:tcPr>
                <w:p w14:paraId="14FF1A11">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95</w:t>
                  </w:r>
                </w:p>
              </w:tc>
              <w:tc>
                <w:tcPr>
                  <w:tcW w:w="583" w:type="pct"/>
                  <w:tcBorders>
                    <w:tl2br w:val="nil"/>
                    <w:tr2bl w:val="nil"/>
                  </w:tcBorders>
                  <w:vAlign w:val="center"/>
                </w:tcPr>
                <w:p w14:paraId="779267A1">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75</w:t>
                  </w:r>
                </w:p>
              </w:tc>
              <w:tc>
                <w:tcPr>
                  <w:tcW w:w="529" w:type="pct"/>
                  <w:tcBorders>
                    <w:tl2br w:val="nil"/>
                    <w:tr2bl w:val="nil"/>
                  </w:tcBorders>
                  <w:vAlign w:val="center"/>
                </w:tcPr>
                <w:p w14:paraId="608523DF">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61</w:t>
                  </w:r>
                </w:p>
              </w:tc>
              <w:tc>
                <w:tcPr>
                  <w:tcW w:w="482" w:type="pct"/>
                  <w:tcBorders>
                    <w:tl2br w:val="nil"/>
                    <w:tr2bl w:val="nil"/>
                  </w:tcBorders>
                  <w:vAlign w:val="center"/>
                </w:tcPr>
                <w:p w14:paraId="32EECA5F">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55</w:t>
                  </w:r>
                </w:p>
              </w:tc>
              <w:tc>
                <w:tcPr>
                  <w:tcW w:w="623" w:type="pct"/>
                  <w:tcBorders>
                    <w:tl2br w:val="nil"/>
                    <w:tr2bl w:val="nil"/>
                  </w:tcBorders>
                  <w:vAlign w:val="center"/>
                </w:tcPr>
                <w:p w14:paraId="0F399D3E">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49</w:t>
                  </w:r>
                </w:p>
              </w:tc>
              <w:tc>
                <w:tcPr>
                  <w:tcW w:w="776" w:type="pct"/>
                  <w:vMerge w:val="continue"/>
                  <w:tcBorders>
                    <w:tl2br w:val="nil"/>
                    <w:tr2bl w:val="nil"/>
                  </w:tcBorders>
                  <w:vAlign w:val="center"/>
                </w:tcPr>
                <w:p w14:paraId="6ADDD636">
                  <w:pPr>
                    <w:adjustRightInd w:val="0"/>
                    <w:snapToGrid w:val="0"/>
                    <w:spacing w:line="240" w:lineRule="auto"/>
                    <w:ind w:firstLine="480" w:firstLineChars="200"/>
                    <w:jc w:val="center"/>
                    <w:rPr>
                      <w:color w:val="000000" w:themeColor="text1"/>
                      <w:lang w:val="zh-CN"/>
                      <w14:textFill>
                        <w14:solidFill>
                          <w14:schemeClr w14:val="tx1"/>
                        </w14:solidFill>
                      </w14:textFill>
                    </w:rPr>
                  </w:pPr>
                </w:p>
              </w:tc>
            </w:tr>
          </w:tbl>
          <w:p w14:paraId="6BFFF40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lang w:val="zh-CN"/>
              </w:rPr>
              <w:t>由上述数据可知，昼间50m以内即可满足施工场界70dB</w:t>
            </w:r>
            <w:r>
              <w:rPr>
                <w:rFonts w:hint="eastAsia" w:cs="Times New Roman" w:eastAsiaTheme="minorEastAsia"/>
                <w:sz w:val="24"/>
                <w:szCs w:val="24"/>
                <w:lang w:val="en-US" w:eastAsia="zh-CN"/>
              </w:rPr>
              <w:t>(</w:t>
            </w:r>
            <w:r>
              <w:rPr>
                <w:rFonts w:hint="default" w:ascii="Times New Roman" w:hAnsi="Times New Roman" w:cs="Times New Roman" w:eastAsiaTheme="minorEastAsia"/>
                <w:sz w:val="24"/>
                <w:szCs w:val="24"/>
                <w:lang w:val="zh-CN"/>
              </w:rPr>
              <w:t>A</w:t>
            </w:r>
            <w:r>
              <w:rPr>
                <w:rFonts w:hint="eastAsia" w:cs="Times New Roman" w:eastAsiaTheme="minorEastAsia"/>
                <w:sz w:val="24"/>
                <w:szCs w:val="24"/>
                <w:lang w:val="en-US" w:eastAsia="zh-CN"/>
              </w:rPr>
              <w:t>)</w:t>
            </w:r>
            <w:r>
              <w:rPr>
                <w:rFonts w:hint="default" w:ascii="Times New Roman" w:hAnsi="Times New Roman" w:cs="Times New Roman" w:eastAsiaTheme="minorEastAsia"/>
                <w:sz w:val="24"/>
                <w:szCs w:val="24"/>
                <w:lang w:val="zh-CN"/>
              </w:rPr>
              <w:t>标准要求，项目夜间不施工。</w:t>
            </w:r>
            <w:r>
              <w:rPr>
                <w:rFonts w:hint="default" w:ascii="Times New Roman" w:hAnsi="Times New Roman" w:cs="Times New Roman" w:eastAsiaTheme="minorEastAsia"/>
                <w:sz w:val="24"/>
                <w:szCs w:val="24"/>
              </w:rPr>
              <w:t>本项目施工区域附近</w:t>
            </w:r>
            <w:r>
              <w:rPr>
                <w:rFonts w:hint="default" w:ascii="Times New Roman" w:hAnsi="Times New Roman" w:cs="Times New Roman" w:eastAsiaTheme="minorEastAsia"/>
                <w:sz w:val="24"/>
                <w:szCs w:val="24"/>
                <w:lang w:val="en-US"/>
              </w:rPr>
              <w:t>200</w:t>
            </w:r>
            <w:r>
              <w:rPr>
                <w:rFonts w:hint="default" w:ascii="Times New Roman" w:hAnsi="Times New Roman" w:cs="Times New Roman" w:eastAsiaTheme="minorEastAsia"/>
                <w:sz w:val="24"/>
                <w:szCs w:val="24"/>
              </w:rPr>
              <w:t>m范围内无居民区、学校等声环境敏感目标，施工期机械噪声经过距离衰减后在施工项目边界</w:t>
            </w:r>
            <w:r>
              <w:rPr>
                <w:rFonts w:hint="default" w:ascii="Times New Roman" w:hAnsi="Times New Roman" w:cs="Times New Roman" w:eastAsiaTheme="minorEastAsia"/>
                <w:sz w:val="24"/>
                <w:szCs w:val="24"/>
                <w:lang w:val="en-US"/>
              </w:rPr>
              <w:t>50m范围内</w:t>
            </w:r>
            <w:r>
              <w:rPr>
                <w:rFonts w:hint="default" w:ascii="Times New Roman" w:hAnsi="Times New Roman" w:cs="Times New Roman" w:eastAsiaTheme="minorEastAsia"/>
                <w:sz w:val="24"/>
                <w:szCs w:val="24"/>
              </w:rPr>
              <w:t>噪声值可满足《</w:t>
            </w:r>
            <w:r>
              <w:rPr>
                <w:rFonts w:hint="default" w:ascii="Times New Roman" w:hAnsi="Times New Roman" w:cs="Times New Roman" w:eastAsiaTheme="minorEastAsia"/>
                <w:sz w:val="24"/>
                <w:szCs w:val="24"/>
                <w:lang w:eastAsia="zh-CN"/>
              </w:rPr>
              <w:t>建筑施工噪声排放标准</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sz w:val="24"/>
                <w:szCs w:val="24"/>
                <w:lang w:eastAsia="zh-CN"/>
              </w:rPr>
              <w:t>GB12523-2025</w:t>
            </w:r>
            <w:r>
              <w:rPr>
                <w:rFonts w:hint="default" w:ascii="Times New Roman" w:hAnsi="Times New Roman" w:cs="Times New Roman" w:eastAsiaTheme="minorEastAsia"/>
                <w:sz w:val="24"/>
                <w:szCs w:val="24"/>
              </w:rPr>
              <w:t>）中限值要求。因此，不会对声环境产生明显影响。</w:t>
            </w:r>
          </w:p>
          <w:p w14:paraId="39BF4B4A">
            <w:pPr>
              <w:adjustRightInd w:val="0"/>
              <w:snapToGrid w:val="0"/>
              <w:spacing w:line="500" w:lineRule="exact"/>
              <w:ind w:firstLine="482" w:firstLineChars="200"/>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5.</w:t>
            </w:r>
            <w:r>
              <w:rPr>
                <w:b/>
                <w:bCs/>
                <w:color w:val="000000" w:themeColor="text1"/>
                <w14:textFill>
                  <w14:solidFill>
                    <w14:schemeClr w14:val="tx1"/>
                  </w14:solidFill>
                </w14:textFill>
              </w:rPr>
              <w:t>固体废弃物环境影响分析</w:t>
            </w:r>
          </w:p>
          <w:p w14:paraId="66C79044">
            <w:pPr>
              <w:adjustRightInd w:val="0"/>
              <w:spacing w:line="500" w:lineRule="exact"/>
              <w:ind w:firstLine="480" w:firstLineChars="200"/>
              <w:rPr>
                <w:color w:val="000000" w:themeColor="text1"/>
                <w:kern w:val="0"/>
                <w14:textFill>
                  <w14:solidFill>
                    <w14:schemeClr w14:val="tx1"/>
                  </w14:solidFill>
                </w14:textFill>
              </w:rPr>
            </w:pPr>
            <w:r>
              <w:rPr>
                <w:color w:val="000000" w:themeColor="text1"/>
                <w:kern w:val="0"/>
                <w14:textFill>
                  <w14:solidFill>
                    <w14:schemeClr w14:val="tx1"/>
                  </w14:solidFill>
                </w14:textFill>
              </w:rPr>
              <w:t>本项目</w:t>
            </w:r>
            <w:r>
              <w:rPr>
                <w:rFonts w:hint="eastAsia"/>
                <w:color w:val="000000" w:themeColor="text1"/>
                <w:kern w:val="0"/>
                <w14:textFill>
                  <w14:solidFill>
                    <w14:schemeClr w14:val="tx1"/>
                  </w14:solidFill>
                </w14:textFill>
              </w:rPr>
              <w:t>施工过程中</w:t>
            </w:r>
            <w:r>
              <w:rPr>
                <w:rFonts w:hint="eastAsia"/>
                <w:color w:val="000000" w:themeColor="text1"/>
                <w:kern w:val="0"/>
                <w:lang w:eastAsia="zh-CN"/>
                <w14:textFill>
                  <w14:solidFill>
                    <w14:schemeClr w14:val="tx1"/>
                  </w14:solidFill>
                </w14:textFill>
              </w:rPr>
              <w:t>挖方用于回填及场地平整，无弃方</w:t>
            </w:r>
            <w:r>
              <w:rPr>
                <w:rFonts w:hint="eastAsia"/>
                <w:color w:val="000000" w:themeColor="text1"/>
                <w:kern w:val="0"/>
                <w:lang w:val="en-US" w:eastAsia="zh-CN"/>
                <w14:textFill>
                  <w14:solidFill>
                    <w14:schemeClr w14:val="tx1"/>
                  </w14:solidFill>
                </w14:textFill>
              </w:rPr>
              <w:t>；</w:t>
            </w:r>
            <w:r>
              <w:rPr>
                <w:rFonts w:hint="eastAsia"/>
                <w:color w:val="000000" w:themeColor="text1"/>
                <w:spacing w:val="0"/>
                <w:sz w:val="24"/>
                <w:lang w:eastAsia="zh-CN"/>
                <w14:textFill>
                  <w14:solidFill>
                    <w14:schemeClr w14:val="tx1"/>
                  </w14:solidFill>
                </w14:textFill>
              </w:rPr>
              <w:t>施工期间机械维护保养依托周边乡镇。</w:t>
            </w:r>
          </w:p>
          <w:p w14:paraId="05C28126">
            <w:pPr>
              <w:adjustRightInd w:val="0"/>
              <w:spacing w:line="500" w:lineRule="exact"/>
              <w:ind w:firstLine="480" w:firstLineChars="200"/>
              <w:rPr>
                <w:rFonts w:hint="eastAsia" w:ascii="Times New Roman" w:hAnsi="Times New Roman" w:cs="Times New Roman"/>
                <w:color w:val="000000" w:themeColor="text1"/>
                <w:highlight w:val="none"/>
                <w:lang w:val="en-US" w:eastAsia="zh-CN"/>
                <w14:textFill>
                  <w14:solidFill>
                    <w14:schemeClr w14:val="tx1"/>
                  </w14:solidFill>
                </w14:textFill>
              </w:rPr>
            </w:pPr>
            <w:r>
              <w:rPr>
                <w:color w:val="000000" w:themeColor="text1"/>
                <w:kern w:val="0"/>
                <w14:textFill>
                  <w14:solidFill>
                    <w14:schemeClr w14:val="tx1"/>
                  </w14:solidFill>
                </w14:textFill>
              </w:rPr>
              <w:t>本项目建筑垃圾主要为建筑材料包装、施工废弃材料</w:t>
            </w:r>
            <w:r>
              <w:rPr>
                <w:rFonts w:hint="eastAsia"/>
                <w:color w:val="000000" w:themeColor="text1"/>
                <w:kern w:val="0"/>
                <w:lang w:eastAsia="zh-CN"/>
                <w14:textFill>
                  <w14:solidFill>
                    <w14:schemeClr w14:val="tx1"/>
                  </w14:solidFill>
                </w14:textFill>
              </w:rPr>
              <w:t>及弃渣</w:t>
            </w:r>
            <w:r>
              <w:rPr>
                <w:color w:val="000000" w:themeColor="text1"/>
                <w:kern w:val="0"/>
                <w14:textFill>
                  <w14:solidFill>
                    <w14:schemeClr w14:val="tx1"/>
                  </w14:solidFill>
                </w14:textFill>
              </w:rPr>
              <w:t>等，由施工单位统一回收，综合利用，不能综合利用</w:t>
            </w:r>
            <w:r>
              <w:rPr>
                <w:rFonts w:hint="eastAsia"/>
                <w:color w:val="000000" w:themeColor="text1"/>
                <w:kern w:val="0"/>
                <w:lang w:eastAsia="zh-CN"/>
                <w14:textFill>
                  <w14:solidFill>
                    <w14:schemeClr w14:val="tx1"/>
                  </w14:solidFill>
                </w14:textFill>
              </w:rPr>
              <w:t>的部分</w:t>
            </w:r>
            <w:r>
              <w:rPr>
                <w:rFonts w:hint="eastAsia" w:ascii="Times New Roman" w:hAnsi="Times New Roman" w:cs="Times New Roman"/>
                <w:color w:val="000000" w:themeColor="text1"/>
                <w:highlight w:val="none"/>
                <w:lang w:val="en-US" w:eastAsia="zh-CN"/>
                <w14:textFill>
                  <w14:solidFill>
                    <w14:schemeClr w14:val="tx1"/>
                  </w14:solidFill>
                </w14:textFill>
              </w:rPr>
              <w:t>统一收集至住建部门指定场所进行处理。</w:t>
            </w:r>
          </w:p>
          <w:p w14:paraId="25732EB2">
            <w:pPr>
              <w:adjustRightInd w:val="0"/>
              <w:spacing w:line="500" w:lineRule="exact"/>
              <w:ind w:firstLine="480" w:firstLineChars="200"/>
              <w:rPr>
                <w:color w:val="000000" w:themeColor="text1"/>
                <w:kern w:val="0"/>
                <w14:textFill>
                  <w14:solidFill>
                    <w14:schemeClr w14:val="tx1"/>
                  </w14:solidFill>
                </w14:textFill>
              </w:rPr>
            </w:pPr>
            <w:r>
              <w:rPr>
                <w:color w:val="000000" w:themeColor="text1"/>
                <w:kern w:val="0"/>
                <w:lang w:val="zh-CN"/>
                <w14:textFill>
                  <w14:solidFill>
                    <w14:schemeClr w14:val="tx1"/>
                  </w14:solidFill>
                </w14:textFill>
              </w:rPr>
              <w:t>本工程施工人员约</w:t>
            </w:r>
            <w:r>
              <w:rPr>
                <w:rFonts w:hint="eastAsia"/>
                <w:color w:val="000000" w:themeColor="text1"/>
                <w:kern w:val="0"/>
                <w:lang w:val="en-US" w:eastAsia="zh-CN"/>
                <w14:textFill>
                  <w14:solidFill>
                    <w14:schemeClr w14:val="tx1"/>
                  </w14:solidFill>
                </w14:textFill>
              </w:rPr>
              <w:t>100</w:t>
            </w:r>
            <w:r>
              <w:rPr>
                <w:color w:val="000000" w:themeColor="text1"/>
                <w:kern w:val="0"/>
                <w:lang w:val="zh-CN"/>
                <w14:textFill>
                  <w14:solidFill>
                    <w14:schemeClr w14:val="tx1"/>
                  </w14:solidFill>
                </w14:textFill>
              </w:rPr>
              <w:t>人，施工期为</w:t>
            </w:r>
            <w:r>
              <w:rPr>
                <w:rFonts w:hint="eastAsia"/>
                <w:color w:val="000000" w:themeColor="text1"/>
                <w:kern w:val="0"/>
                <w:lang w:val="en-US" w:eastAsia="zh-CN"/>
                <w14:textFill>
                  <w14:solidFill>
                    <w14:schemeClr w14:val="tx1"/>
                  </w14:solidFill>
                </w14:textFill>
              </w:rPr>
              <w:t>6</w:t>
            </w:r>
            <w:r>
              <w:rPr>
                <w:color w:val="000000" w:themeColor="text1"/>
                <w:kern w:val="0"/>
                <w14:textFill>
                  <w14:solidFill>
                    <w14:schemeClr w14:val="tx1"/>
                  </w14:solidFill>
                </w14:textFill>
              </w:rPr>
              <w:t>个月</w:t>
            </w:r>
            <w:r>
              <w:rPr>
                <w:rFonts w:hint="eastAsia"/>
                <w:color w:val="000000" w:themeColor="text1"/>
                <w:kern w:val="0"/>
                <w:lang w:eastAsia="zh-CN"/>
                <w14:textFill>
                  <w14:solidFill>
                    <w14:schemeClr w14:val="tx1"/>
                  </w14:solidFill>
                </w14:textFill>
              </w:rPr>
              <w:t>（</w:t>
            </w:r>
            <w:r>
              <w:rPr>
                <w:rFonts w:hint="eastAsia"/>
                <w:color w:val="000000" w:themeColor="text1"/>
                <w:kern w:val="0"/>
                <w:lang w:val="en-US" w:eastAsia="zh-CN"/>
                <w14:textFill>
                  <w14:solidFill>
                    <w14:schemeClr w14:val="tx1"/>
                  </w14:solidFill>
                </w14:textFill>
              </w:rPr>
              <w:t>按180天</w:t>
            </w:r>
            <w:r>
              <w:rPr>
                <w:rFonts w:hint="eastAsia"/>
                <w:color w:val="000000" w:themeColor="text1"/>
                <w:kern w:val="0"/>
                <w:lang w:eastAsia="zh-CN"/>
                <w14:textFill>
                  <w14:solidFill>
                    <w14:schemeClr w14:val="tx1"/>
                  </w14:solidFill>
                </w14:textFill>
              </w:rPr>
              <w:t>）</w:t>
            </w:r>
            <w:r>
              <w:rPr>
                <w:color w:val="000000" w:themeColor="text1"/>
                <w:kern w:val="0"/>
                <w:lang w:val="zh-CN"/>
                <w14:textFill>
                  <w14:solidFill>
                    <w14:schemeClr w14:val="tx1"/>
                  </w14:solidFill>
                </w14:textFill>
              </w:rPr>
              <w:t>，生活垃圾</w:t>
            </w:r>
            <w:r>
              <w:rPr>
                <w:rFonts w:hint="default" w:ascii="Times New Roman" w:hAnsi="Times New Roman" w:cs="Times New Roman"/>
                <w:color w:val="000000" w:themeColor="text1"/>
                <w:kern w:val="0"/>
                <w:lang w:val="zh-CN"/>
                <w14:textFill>
                  <w14:solidFill>
                    <w14:schemeClr w14:val="tx1"/>
                  </w14:solidFill>
                </w14:textFill>
              </w:rPr>
              <w:t>按0.</w:t>
            </w:r>
            <w:r>
              <w:rPr>
                <w:rFonts w:hint="default" w:ascii="Times New Roman" w:hAnsi="Times New Roman" w:cs="Times New Roman"/>
                <w:color w:val="000000" w:themeColor="text1"/>
                <w:kern w:val="0"/>
                <w14:textFill>
                  <w14:solidFill>
                    <w14:schemeClr w14:val="tx1"/>
                  </w14:solidFill>
                </w14:textFill>
              </w:rPr>
              <w:t>5</w:t>
            </w:r>
            <w:r>
              <w:rPr>
                <w:rFonts w:hint="default" w:ascii="Times New Roman" w:hAnsi="Times New Roman" w:cs="Times New Roman"/>
                <w:color w:val="000000" w:themeColor="text1"/>
                <w:kern w:val="0"/>
                <w:lang w:val="zh-CN"/>
                <w14:textFill>
                  <w14:solidFill>
                    <w14:schemeClr w14:val="tx1"/>
                  </w14:solidFill>
                </w14:textFill>
              </w:rPr>
              <w:t>kg/人</w:t>
            </w:r>
            <w:r>
              <w:rPr>
                <w:rFonts w:hint="default" w:ascii="Times New Roman" w:hAnsi="Times New Roman" w:cs="Times New Roman"/>
                <w:color w:val="000000" w:themeColor="text1"/>
                <w:kern w:val="0"/>
                <w:lang w:val="en-US" w:eastAsia="zh-CN"/>
                <w14:textFill>
                  <w14:solidFill>
                    <w14:schemeClr w14:val="tx1"/>
                  </w14:solidFill>
                </w14:textFill>
              </w:rPr>
              <w:t>·</w:t>
            </w:r>
            <w:r>
              <w:rPr>
                <w:rFonts w:hint="default" w:ascii="Times New Roman" w:hAnsi="Times New Roman" w:cs="Times New Roman"/>
                <w:color w:val="000000" w:themeColor="text1"/>
                <w:kern w:val="0"/>
                <w:lang w:val="zh-CN"/>
                <w14:textFill>
                  <w14:solidFill>
                    <w14:schemeClr w14:val="tx1"/>
                  </w14:solidFill>
                </w14:textFill>
              </w:rPr>
              <w:t>天</w:t>
            </w:r>
            <w:r>
              <w:rPr>
                <w:color w:val="000000" w:themeColor="text1"/>
                <w:kern w:val="0"/>
                <w:lang w:val="zh-CN"/>
                <w14:textFill>
                  <w14:solidFill>
                    <w14:schemeClr w14:val="tx1"/>
                  </w14:solidFill>
                </w14:textFill>
              </w:rPr>
              <w:t>计算，则施工期产生的垃圾总量约</w:t>
            </w:r>
            <w:r>
              <w:rPr>
                <w:rFonts w:hint="eastAsia"/>
                <w:color w:val="000000" w:themeColor="text1"/>
                <w:kern w:val="0"/>
                <w:lang w:val="en-US" w:eastAsia="zh-CN"/>
                <w14:textFill>
                  <w14:solidFill>
                    <w14:schemeClr w14:val="tx1"/>
                  </w14:solidFill>
                </w14:textFill>
              </w:rPr>
              <w:t>9.0</w:t>
            </w:r>
            <w:r>
              <w:rPr>
                <w:rFonts w:hint="eastAsia"/>
                <w:color w:val="000000" w:themeColor="text1"/>
                <w:kern w:val="0"/>
                <w14:textFill>
                  <w14:solidFill>
                    <w14:schemeClr w14:val="tx1"/>
                  </w14:solidFill>
                </w14:textFill>
              </w:rPr>
              <w:t>t</w:t>
            </w:r>
            <w:r>
              <w:rPr>
                <w:color w:val="000000" w:themeColor="text1"/>
                <w:kern w:val="0"/>
                <w:lang w:val="zh-CN"/>
                <w14:textFill>
                  <w14:solidFill>
                    <w14:schemeClr w14:val="tx1"/>
                  </w14:solidFill>
                </w14:textFill>
              </w:rPr>
              <w:t>。本工程施工期产生的生活垃圾集中收集后交由当地环卫部门</w:t>
            </w:r>
            <w:r>
              <w:rPr>
                <w:rFonts w:hint="eastAsia"/>
                <w:color w:val="000000" w:themeColor="text1"/>
                <w:kern w:val="0"/>
                <w:lang w:val="zh-CN"/>
                <w14:textFill>
                  <w14:solidFill>
                    <w14:schemeClr w14:val="tx1"/>
                  </w14:solidFill>
                </w14:textFill>
              </w:rPr>
              <w:t>清运至且末县生活垃圾填埋场</w:t>
            </w:r>
            <w:r>
              <w:rPr>
                <w:color w:val="000000" w:themeColor="text1"/>
                <w:kern w:val="0"/>
                <w14:textFill>
                  <w14:solidFill>
                    <w14:schemeClr w14:val="tx1"/>
                  </w14:solidFill>
                </w14:textFill>
              </w:rPr>
              <w:t>。</w:t>
            </w:r>
          </w:p>
          <w:p w14:paraId="64E5A35E">
            <w:pPr>
              <w:adjustRightInd w:val="0"/>
              <w:spacing w:line="500" w:lineRule="exact"/>
              <w:ind w:firstLine="480" w:firstLineChars="200"/>
              <w:rPr>
                <w:color w:val="000000" w:themeColor="text1"/>
                <w14:textFill>
                  <w14:solidFill>
                    <w14:schemeClr w14:val="tx1"/>
                  </w14:solidFill>
                </w14:textFill>
              </w:rPr>
            </w:pPr>
            <w:r>
              <w:rPr>
                <w:color w:val="000000" w:themeColor="text1"/>
                <w:kern w:val="0"/>
                <w:lang w:val="zh-CN"/>
                <w14:textFill>
                  <w14:solidFill>
                    <w14:schemeClr w14:val="tx1"/>
                  </w14:solidFill>
                </w14:textFill>
              </w:rPr>
              <w:t>施工期的固体废物影响是暂时的，施工结束后便会消失，施工期采取以上处置措施后产生的固体废物不会对周围环境造成不利影响。</w:t>
            </w:r>
          </w:p>
        </w:tc>
      </w:tr>
      <w:tr w14:paraId="318839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tcMar>
              <w:left w:w="28" w:type="dxa"/>
              <w:right w:w="28" w:type="dxa"/>
            </w:tcMar>
            <w:vAlign w:val="center"/>
          </w:tcPr>
          <w:p w14:paraId="59BF6BC8">
            <w:pPr>
              <w:pStyle w:val="22"/>
              <w:adjustRightInd w:val="0"/>
              <w:snapToGrid w:val="0"/>
              <w:spacing w:before="0" w:beforeAutospacing="0" w:after="0" w:afterAutospacing="0"/>
              <w:jc w:val="center"/>
              <w:rPr>
                <w:rFonts w:ascii="Times New Roman" w:hAnsi="Times New Roman"/>
                <w:bCs/>
                <w:color w:val="000000" w:themeColor="text1"/>
                <w:kern w:val="2"/>
                <w:sz w:val="21"/>
                <w:szCs w:val="21"/>
                <w14:textFill>
                  <w14:solidFill>
                    <w14:schemeClr w14:val="tx1"/>
                  </w14:solidFill>
                </w14:textFill>
              </w:rPr>
            </w:pPr>
            <w:r>
              <w:rPr>
                <w:rFonts w:ascii="Times New Roman" w:hAnsi="Times New Roman"/>
                <w:bCs/>
                <w:color w:val="000000" w:themeColor="text1"/>
                <w:kern w:val="2"/>
                <w14:textFill>
                  <w14:solidFill>
                    <w14:schemeClr w14:val="tx1"/>
                  </w14:solidFill>
                </w14:textFill>
              </w:rPr>
              <w:t>运营期生态环境影响分析</w:t>
            </w:r>
          </w:p>
        </w:tc>
        <w:tc>
          <w:tcPr>
            <w:tcW w:w="8239" w:type="dxa"/>
          </w:tcPr>
          <w:p w14:paraId="24868D0B">
            <w:pPr>
              <w:keepNext w:val="0"/>
              <w:keepLines w:val="0"/>
              <w:pageBreakBefore w:val="0"/>
              <w:kinsoku/>
              <w:wordWrap/>
              <w:overflowPunct/>
              <w:topLinePunct w:val="0"/>
              <w:autoSpaceDE/>
              <w:autoSpaceDN/>
              <w:bidi w:val="0"/>
              <w:adjustRightInd w:val="0"/>
              <w:snapToGrid/>
              <w:spacing w:line="500" w:lineRule="exact"/>
              <w:ind w:firstLine="482"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1</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运营期生态环境影响分析</w:t>
            </w:r>
          </w:p>
          <w:p w14:paraId="720E1EDA">
            <w:pPr>
              <w:pStyle w:val="26"/>
              <w:keepNext w:val="0"/>
              <w:keepLines w:val="0"/>
              <w:pageBreakBefore w:val="0"/>
              <w:kinsoku/>
              <w:wordWrap/>
              <w:overflowPunct/>
              <w:topLinePunct w:val="0"/>
              <w:autoSpaceDE/>
              <w:autoSpaceDN/>
              <w:bidi w:val="0"/>
              <w:snapToGrid/>
              <w:spacing w:after="0" w:line="500" w:lineRule="exact"/>
              <w:ind w:left="0" w:leftChars="0" w:firstLine="480"/>
              <w:jc w:val="both"/>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1</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对植物的影响</w:t>
            </w:r>
          </w:p>
          <w:p w14:paraId="216F679F">
            <w:pPr>
              <w:pStyle w:val="83"/>
              <w:keepNext w:val="0"/>
              <w:keepLines w:val="0"/>
              <w:pageBreakBefore w:val="0"/>
              <w:widowControl/>
              <w:kinsoku/>
              <w:wordWrap/>
              <w:overflowPunct/>
              <w:topLinePunct w:val="0"/>
              <w:autoSpaceDE/>
              <w:autoSpaceDN/>
              <w:bidi w:val="0"/>
              <w:adjustRightInd w:val="0"/>
              <w:snapToGrid/>
              <w:spacing w:line="500" w:lineRule="exact"/>
              <w:ind w:left="0" w:leftChars="0" w:firstLine="480"/>
              <w:jc w:val="both"/>
              <w:textAlignment w:val="auto"/>
              <w:rPr>
                <w:rFonts w:hint="default" w:ascii="Times New Roman" w:hAnsi="Times New Roman" w:eastAsia="宋体" w:cs="Times New Roman"/>
                <w:bCs/>
                <w:color w:val="000000" w:themeColor="text1"/>
                <w14:textFill>
                  <w14:solidFill>
                    <w14:schemeClr w14:val="tx1"/>
                  </w14:solidFill>
                </w14:textFill>
              </w:rPr>
            </w:pPr>
            <w:r>
              <w:rPr>
                <w:color w:val="000000" w:themeColor="text1"/>
                <w:sz w:val="24"/>
                <w14:textFill>
                  <w14:solidFill>
                    <w14:schemeClr w14:val="tx1"/>
                  </w14:solidFill>
                </w14:textFill>
              </w:rPr>
              <w:t>项目永久占地</w:t>
            </w:r>
            <w:r>
              <w:rPr>
                <w:rFonts w:hint="eastAsia"/>
                <w:color w:val="000000" w:themeColor="text1"/>
                <w:sz w:val="24"/>
                <w:lang w:val="en-US" w:eastAsia="zh-CN"/>
                <w14:textFill>
                  <w14:solidFill>
                    <w14:schemeClr w14:val="tx1"/>
                  </w14:solidFill>
                </w14:textFill>
              </w:rPr>
              <w:t>主要</w:t>
            </w:r>
            <w:r>
              <w:rPr>
                <w:color w:val="000000" w:themeColor="text1"/>
                <w:sz w:val="24"/>
                <w14:textFill>
                  <w14:solidFill>
                    <w14:schemeClr w14:val="tx1"/>
                  </w14:solidFill>
                </w14:textFill>
              </w:rPr>
              <w:t>为</w:t>
            </w:r>
            <w:r>
              <w:rPr>
                <w:rFonts w:hint="eastAsia"/>
                <w:color w:val="000000" w:themeColor="text1"/>
                <w:sz w:val="24"/>
                <w:lang w:val="en-US" w:eastAsia="zh-CN"/>
                <w14:textFill>
                  <w14:solidFill>
                    <w14:schemeClr w14:val="tx1"/>
                  </w14:solidFill>
                </w14:textFill>
              </w:rPr>
              <w:t>沙地及后备耕地（现状为其他草地）</w:t>
            </w:r>
            <w:r>
              <w:rPr>
                <w:color w:val="000000" w:themeColor="text1"/>
                <w:sz w:val="24"/>
                <w14:textFill>
                  <w14:solidFill>
                    <w14:schemeClr w14:val="tx1"/>
                  </w14:solidFill>
                </w14:textFill>
              </w:rPr>
              <w:t>，本项目建成后，</w:t>
            </w:r>
            <w:r>
              <w:rPr>
                <w:rFonts w:hint="eastAsia"/>
                <w:color w:val="000000" w:themeColor="text1"/>
                <w:sz w:val="24"/>
                <w:lang w:val="en-US" w:eastAsia="zh-CN"/>
                <w14:textFill>
                  <w14:solidFill>
                    <w14:schemeClr w14:val="tx1"/>
                  </w14:solidFill>
                </w14:textFill>
              </w:rPr>
              <w:t>占地面积相对区域较小，</w:t>
            </w:r>
            <w:r>
              <w:rPr>
                <w:color w:val="000000" w:themeColor="text1"/>
                <w:sz w:val="24"/>
                <w14:textFill>
                  <w14:solidFill>
                    <w14:schemeClr w14:val="tx1"/>
                  </w14:solidFill>
                </w14:textFill>
              </w:rPr>
              <w:t>不会改变整个区域的生态稳定性，项目区无珍稀保护植物，工程的建设对区域植物影响不大。</w:t>
            </w:r>
          </w:p>
          <w:p w14:paraId="0F949E1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2</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对</w:t>
            </w:r>
            <w:r>
              <w:rPr>
                <w:rFonts w:hint="eastAsia"/>
                <w:color w:val="000000" w:themeColor="text1"/>
                <w:sz w:val="24"/>
                <w:lang w:val="en-US" w:eastAsia="zh-CN"/>
                <w14:textFill>
                  <w14:solidFill>
                    <w14:schemeClr w14:val="tx1"/>
                  </w14:solidFill>
                </w14:textFill>
              </w:rPr>
              <w:t>野生</w:t>
            </w:r>
            <w:r>
              <w:rPr>
                <w:color w:val="000000" w:themeColor="text1"/>
                <w:sz w:val="24"/>
                <w14:textFill>
                  <w14:solidFill>
                    <w14:schemeClr w14:val="tx1"/>
                  </w14:solidFill>
                </w14:textFill>
              </w:rPr>
              <w:t>动物的影响</w:t>
            </w:r>
          </w:p>
          <w:p w14:paraId="7A4B18FE">
            <w:pPr>
              <w:keepNext w:val="0"/>
              <w:keepLines w:val="0"/>
              <w:pageBreakBefore w:val="0"/>
              <w:widowControl/>
              <w:kinsoku/>
              <w:wordWrap/>
              <w:overflowPunct/>
              <w:topLinePunct w:val="0"/>
              <w:autoSpaceDE/>
              <w:autoSpaceDN/>
              <w:bidi w:val="0"/>
              <w:spacing w:line="500" w:lineRule="exact"/>
              <w:ind w:firstLine="480" w:firstLineChars="200"/>
              <w:jc w:val="both"/>
              <w:textAlignment w:val="auto"/>
              <w:rPr>
                <w:rFonts w:hint="default"/>
                <w:color w:val="000000" w:themeColor="text1"/>
                <w:sz w:val="24"/>
                <w:lang w:val="en-US" w:eastAsia="zh-CN"/>
                <w14:textFill>
                  <w14:solidFill>
                    <w14:schemeClr w14:val="tx1"/>
                  </w14:solidFill>
                </w14:textFill>
              </w:rPr>
            </w:pPr>
            <w:r>
              <w:rPr>
                <w:rFonts w:hint="eastAsia"/>
                <w:color w:val="000000" w:themeColor="text1"/>
                <w:sz w:val="24"/>
                <w:lang w:val="en-US" w:eastAsia="zh-CN"/>
                <w14:textFill>
                  <w14:solidFill>
                    <w14:schemeClr w14:val="tx1"/>
                  </w14:solidFill>
                </w14:textFill>
              </w:rPr>
              <w:t>本项目周边无大型野生动物出没，区域</w:t>
            </w:r>
            <w:r>
              <w:rPr>
                <w:rFonts w:hint="eastAsia"/>
                <w:color w:val="000000" w:themeColor="text1"/>
                <w:lang w:val="zh-CN"/>
                <w14:textFill>
                  <w14:solidFill>
                    <w14:schemeClr w14:val="tx1"/>
                  </w14:solidFill>
                </w14:textFill>
              </w:rPr>
              <w:t>野生动物多为一些常见的</w:t>
            </w:r>
            <w:r>
              <w:rPr>
                <w:rFonts w:hint="default" w:ascii="Times New Roman" w:hAnsi="Times New Roman" w:cs="Times New Roman"/>
                <w:b w:val="0"/>
                <w:bCs w:val="0"/>
                <w:color w:val="000000" w:themeColor="text1"/>
                <w:lang w:val="en-US" w:eastAsia="zh-CN"/>
                <w14:textFill>
                  <w14:solidFill>
                    <w14:schemeClr w14:val="tx1"/>
                  </w14:solidFill>
                </w14:textFill>
              </w:rPr>
              <w:t>沙蜥</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沙鼠</w:t>
            </w:r>
            <w:r>
              <w:rPr>
                <w:rFonts w:hint="eastAsia" w:ascii="Times New Roman" w:hAnsi="Times New Roman" w:cs="Times New Roman"/>
                <w:b w:val="0"/>
                <w:bCs w:val="0"/>
                <w:color w:val="000000" w:themeColor="text1"/>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麻雀等小型动物</w:t>
            </w:r>
            <w:r>
              <w:rPr>
                <w:rFonts w:hint="eastAsia"/>
                <w:color w:val="000000" w:themeColor="text1"/>
                <w:sz w:val="24"/>
                <w:lang w:val="en-US" w:eastAsia="zh-CN"/>
                <w14:textFill>
                  <w14:solidFill>
                    <w14:schemeClr w14:val="tx1"/>
                  </w14:solidFill>
                </w14:textFill>
              </w:rPr>
              <w:t>，站址人类活动增加后，野生动物会趋向远离该区域，项目运营期加强工作人员保护野生动物教育，严禁捕杀野生动物，项目建设对周边野生动物影响可以接受。</w:t>
            </w:r>
          </w:p>
          <w:p w14:paraId="27FB57D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3</w:t>
            </w:r>
            <w:r>
              <w:rPr>
                <w:rFonts w:hint="default" w:ascii="Times New Roman" w:hAnsi="Times New Roman" w:eastAsia="宋体" w:cs="Times New Roman"/>
                <w:color w:val="000000" w:themeColor="text1"/>
                <w:sz w:val="24"/>
                <w:lang w:val="en-US" w:eastAsia="zh-CN"/>
                <w14:textFill>
                  <w14:solidFill>
                    <w14:schemeClr w14:val="tx1"/>
                  </w14:solidFill>
                </w14:textFill>
              </w:rPr>
              <w:t>）占地影响评价</w:t>
            </w:r>
          </w:p>
          <w:p w14:paraId="7242A2E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cs="Times New Roman"/>
                <w:color w:val="000000" w:themeColor="text1"/>
                <w:sz w:val="24"/>
                <w:lang w:val="en-US" w:eastAsia="zh-CN"/>
                <w14:textFill>
                  <w14:solidFill>
                    <w14:schemeClr w14:val="tx1"/>
                  </w14:solidFill>
                </w14:textFill>
              </w:rPr>
            </w:pPr>
            <w:r>
              <w:rPr>
                <w:rFonts w:hint="eastAsia" w:cs="Times New Roman"/>
                <w:color w:val="000000" w:themeColor="text1"/>
                <w:sz w:val="24"/>
                <w:lang w:val="en-US" w:eastAsia="zh-CN"/>
                <w14:textFill>
                  <w14:solidFill>
                    <w14:schemeClr w14:val="tx1"/>
                  </w14:solidFill>
                </w14:textFill>
              </w:rPr>
              <w:t>经现场踏勘和调查，场址占地区内未发现受国家及自治区保护的野生动植物，项目周边没有迁徙动物，无生态阻隔影响。在对升压汇集站及杆塔基础进行混凝土浇筑、站区绿化，可起到防止水土流失的作用，进而改善生态环境。</w:t>
            </w:r>
          </w:p>
          <w:p w14:paraId="2BFDECA3">
            <w:pPr>
              <w:adjustRightInd w:val="0"/>
              <w:spacing w:line="500" w:lineRule="exact"/>
              <w:ind w:firstLine="482" w:firstLineChars="200"/>
              <w:rPr>
                <w:b/>
                <w:bCs/>
                <w:color w:val="000000" w:themeColor="text1"/>
                <w14:textFill>
                  <w14:solidFill>
                    <w14:schemeClr w14:val="tx1"/>
                  </w14:solidFill>
                </w14:textFill>
              </w:rPr>
            </w:pPr>
            <w:r>
              <w:rPr>
                <w:b/>
                <w:bCs/>
                <w:color w:val="000000" w:themeColor="text1"/>
                <w14:textFill>
                  <w14:solidFill>
                    <w14:schemeClr w14:val="tx1"/>
                  </w14:solidFill>
                </w14:textFill>
              </w:rPr>
              <w:t>2</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运营期大气环境影响分析</w:t>
            </w:r>
          </w:p>
          <w:p w14:paraId="28FFC8D2">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项目运营期冬季采暖使用电采暖，运营期间不产生生产废气。</w:t>
            </w:r>
          </w:p>
          <w:p w14:paraId="5A35B74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本项目建成后劳动定员</w:t>
            </w:r>
            <w:r>
              <w:rPr>
                <w:rFonts w:hint="eastAsia"/>
                <w:color w:val="000000" w:themeColor="text1"/>
                <w:lang w:val="en-US" w:eastAsia="zh-CN"/>
                <w14:textFill>
                  <w14:solidFill>
                    <w14:schemeClr w14:val="tx1"/>
                  </w14:solidFill>
                </w14:textFill>
              </w:rPr>
              <w:t>18</w:t>
            </w:r>
            <w:r>
              <w:rPr>
                <w:color w:val="000000" w:themeColor="text1"/>
                <w14:textFill>
                  <w14:solidFill>
                    <w14:schemeClr w14:val="tx1"/>
                  </w14:solidFill>
                </w14:textFill>
              </w:rPr>
              <w:t>人，年生产天数约</w:t>
            </w:r>
            <w:r>
              <w:rPr>
                <w:rFonts w:hint="eastAsia"/>
                <w:color w:val="000000" w:themeColor="text1"/>
                <w14:textFill>
                  <w14:solidFill>
                    <w14:schemeClr w14:val="tx1"/>
                  </w14:solidFill>
                </w14:textFill>
              </w:rPr>
              <w:t>365天</w:t>
            </w:r>
            <w:r>
              <w:rPr>
                <w:color w:val="000000" w:themeColor="text1"/>
                <w14:textFill>
                  <w14:solidFill>
                    <w14:schemeClr w14:val="tx1"/>
                  </w14:solidFill>
                </w14:textFill>
              </w:rPr>
              <w:t>。项目餐饮</w:t>
            </w:r>
            <w:r>
              <w:rPr>
                <w:rFonts w:hint="eastAsia"/>
                <w:color w:val="000000" w:themeColor="text1"/>
                <w14:textFill>
                  <w14:solidFill>
                    <w14:schemeClr w14:val="tx1"/>
                  </w14:solidFill>
                </w14:textFill>
              </w:rPr>
              <w:t>热源使用电炉。项目食堂</w:t>
            </w:r>
            <w:r>
              <w:rPr>
                <w:color w:val="000000" w:themeColor="text1"/>
                <w14:textFill>
                  <w14:solidFill>
                    <w14:schemeClr w14:val="tx1"/>
                  </w14:solidFill>
                </w14:textFill>
              </w:rPr>
              <w:t>按人均食用油日用量约30</w:t>
            </w:r>
            <w:r>
              <w:rPr>
                <w:rFonts w:hint="eastAsia"/>
                <w:color w:val="000000" w:themeColor="text1"/>
                <w14:textFill>
                  <w14:solidFill>
                    <w14:schemeClr w14:val="tx1"/>
                  </w14:solidFill>
                </w14:textFill>
              </w:rPr>
              <w:t>g</w:t>
            </w:r>
            <w:r>
              <w:rPr>
                <w:color w:val="000000" w:themeColor="text1"/>
                <w14:textFill>
                  <w14:solidFill>
                    <w14:schemeClr w14:val="tx1"/>
                  </w14:solidFill>
                </w14:textFill>
              </w:rPr>
              <w:t>/人·</w:t>
            </w:r>
            <w:r>
              <w:rPr>
                <w:rFonts w:hint="eastAsia"/>
                <w:color w:val="000000" w:themeColor="text1"/>
                <w14:textFill>
                  <w14:solidFill>
                    <w14:schemeClr w14:val="tx1"/>
                  </w14:solidFill>
                </w14:textFill>
              </w:rPr>
              <w:t>天</w:t>
            </w:r>
            <w:r>
              <w:rPr>
                <w:color w:val="000000" w:themeColor="text1"/>
                <w14:textFill>
                  <w14:solidFill>
                    <w14:schemeClr w14:val="tx1"/>
                  </w14:solidFill>
                </w14:textFill>
              </w:rPr>
              <w:t>计，本项目餐饮食用油消耗量为</w:t>
            </w:r>
            <w:r>
              <w:rPr>
                <w:rFonts w:hint="eastAsia"/>
                <w:color w:val="000000" w:themeColor="text1"/>
                <w:lang w:val="en-US" w:eastAsia="zh-CN"/>
                <w14:textFill>
                  <w14:solidFill>
                    <w14:schemeClr w14:val="tx1"/>
                  </w14:solidFill>
                </w14:textFill>
              </w:rPr>
              <w:t>197.1</w:t>
            </w:r>
            <w:r>
              <w:rPr>
                <w:rFonts w:hint="eastAsia"/>
                <w:color w:val="000000" w:themeColor="text1"/>
                <w14:textFill>
                  <w14:solidFill>
                    <w14:schemeClr w14:val="tx1"/>
                  </w14:solidFill>
                </w14:textFill>
              </w:rPr>
              <w:t>kg</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a</w:t>
            </w:r>
            <w:r>
              <w:rPr>
                <w:color w:val="000000" w:themeColor="text1"/>
                <w14:textFill>
                  <w14:solidFill>
                    <w14:schemeClr w14:val="tx1"/>
                  </w14:solidFill>
                </w14:textFill>
              </w:rPr>
              <w:t>。油烟挥发按3%计，则油烟产生量为</w:t>
            </w:r>
            <w:r>
              <w:rPr>
                <w:rFonts w:hint="eastAsia"/>
                <w:color w:val="000000" w:themeColor="text1"/>
                <w:lang w:val="en-US" w:eastAsia="zh-CN"/>
                <w14:textFill>
                  <w14:solidFill>
                    <w14:schemeClr w14:val="tx1"/>
                  </w14:solidFill>
                </w14:textFill>
              </w:rPr>
              <w:t>5.91</w:t>
            </w:r>
            <w:r>
              <w:rPr>
                <w:rFonts w:hint="eastAsia"/>
                <w:color w:val="000000" w:themeColor="text1"/>
                <w14:textFill>
                  <w14:solidFill>
                    <w14:schemeClr w14:val="tx1"/>
                  </w14:solidFill>
                </w14:textFill>
              </w:rPr>
              <w:t>kg</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a</w:t>
            </w:r>
            <w:r>
              <w:rPr>
                <w:color w:val="000000" w:themeColor="text1"/>
                <w14:textFill>
                  <w14:solidFill>
                    <w14:schemeClr w14:val="tx1"/>
                  </w14:solidFill>
                </w14:textFill>
              </w:rPr>
              <w:t>。环评要求</w:t>
            </w:r>
            <w:r>
              <w:rPr>
                <w:rFonts w:hint="eastAsia"/>
                <w:color w:val="000000" w:themeColor="text1"/>
                <w14:textFill>
                  <w14:solidFill>
                    <w14:schemeClr w14:val="tx1"/>
                  </w14:solidFill>
                </w14:textFill>
              </w:rPr>
              <w:t>食堂</w:t>
            </w:r>
            <w:r>
              <w:rPr>
                <w:color w:val="000000" w:themeColor="text1"/>
                <w14:textFill>
                  <w14:solidFill>
                    <w14:schemeClr w14:val="tx1"/>
                  </w14:solidFill>
                </w14:textFill>
              </w:rPr>
              <w:t>安装油烟净化器，其净化效率按</w:t>
            </w:r>
            <w:r>
              <w:rPr>
                <w:rFonts w:hint="eastAsia"/>
                <w:color w:val="000000" w:themeColor="text1"/>
                <w14:textFill>
                  <w14:solidFill>
                    <w14:schemeClr w14:val="tx1"/>
                  </w14:solidFill>
                </w14:textFill>
              </w:rPr>
              <w:t>60</w:t>
            </w:r>
            <w:r>
              <w:rPr>
                <w:color w:val="000000" w:themeColor="text1"/>
                <w14:textFill>
                  <w14:solidFill>
                    <w14:schemeClr w14:val="tx1"/>
                  </w14:solidFill>
                </w14:textFill>
              </w:rPr>
              <w:t>%计算，可满足</w:t>
            </w:r>
            <w:r>
              <w:rPr>
                <w:color w:val="000000" w:themeColor="text1"/>
                <w:lang w:val="zh-CN"/>
                <w14:textFill>
                  <w14:solidFill>
                    <w14:schemeClr w14:val="tx1"/>
                  </w14:solidFill>
                </w14:textFill>
              </w:rPr>
              <w:t>《饮食业油烟排放标准（试行）》（GB18483-2001）</w:t>
            </w:r>
            <w:r>
              <w:rPr>
                <w:color w:val="000000" w:themeColor="text1"/>
                <w14:textFill>
                  <w14:solidFill>
                    <w14:schemeClr w14:val="tx1"/>
                  </w14:solidFill>
                </w14:textFill>
              </w:rPr>
              <w:t>中相关要求，</w:t>
            </w:r>
            <w:r>
              <w:rPr>
                <w:color w:val="000000" w:themeColor="text1"/>
                <w:lang w:val="zh-CN"/>
                <w14:textFill>
                  <w14:solidFill>
                    <w14:schemeClr w14:val="tx1"/>
                  </w14:solidFill>
                </w14:textFill>
              </w:rPr>
              <w:t>净化处理后油烟排放量为</w:t>
            </w:r>
            <w:r>
              <w:rPr>
                <w:rFonts w:hint="eastAsia"/>
                <w:color w:val="000000" w:themeColor="text1"/>
                <w:lang w:val="en-US" w:eastAsia="zh-CN"/>
                <w14:textFill>
                  <w14:solidFill>
                    <w14:schemeClr w14:val="tx1"/>
                  </w14:solidFill>
                </w14:textFill>
              </w:rPr>
              <w:t>2.37</w:t>
            </w:r>
            <w:r>
              <w:rPr>
                <w:rFonts w:hint="eastAsia"/>
                <w:color w:val="000000" w:themeColor="text1"/>
                <w14:textFill>
                  <w14:solidFill>
                    <w14:schemeClr w14:val="tx1"/>
                  </w14:solidFill>
                </w14:textFill>
              </w:rPr>
              <w:t>kg</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a</w:t>
            </w:r>
            <w:r>
              <w:rPr>
                <w:color w:val="000000" w:themeColor="text1"/>
                <w14:textFill>
                  <w14:solidFill>
                    <w14:schemeClr w14:val="tx1"/>
                  </w14:solidFill>
                </w14:textFill>
              </w:rPr>
              <w:t>，食堂风机风量为</w:t>
            </w:r>
            <w:r>
              <w:rPr>
                <w:rFonts w:hint="eastAsia"/>
                <w:color w:val="000000" w:themeColor="text1"/>
                <w14:textFill>
                  <w14:solidFill>
                    <w14:schemeClr w14:val="tx1"/>
                  </w14:solidFill>
                </w14:textFill>
              </w:rPr>
              <w:t>2</w:t>
            </w:r>
            <w:r>
              <w:rPr>
                <w:color w:val="000000" w:themeColor="text1"/>
                <w14:textFill>
                  <w14:solidFill>
                    <w14:schemeClr w14:val="tx1"/>
                  </w14:solidFill>
                </w14:textFill>
              </w:rPr>
              <w:t>000</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h</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每天运行时间为</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h，则油烟排放浓度为</w:t>
            </w:r>
            <w:r>
              <w:rPr>
                <w:rFonts w:hint="eastAsia"/>
                <w:color w:val="000000" w:themeColor="text1"/>
                <w:lang w:val="en-US" w:eastAsia="zh-CN"/>
                <w14:textFill>
                  <w14:solidFill>
                    <w14:schemeClr w14:val="tx1"/>
                  </w14:solidFill>
                </w14:textFill>
              </w:rPr>
              <w:t>1.08</w:t>
            </w:r>
            <w:r>
              <w:rPr>
                <w:rFonts w:hint="eastAsia"/>
                <w:color w:val="000000" w:themeColor="text1"/>
                <w14:textFill>
                  <w14:solidFill>
                    <w14:schemeClr w14:val="tx1"/>
                  </w14:solidFill>
                </w14:textFill>
              </w:rPr>
              <w:t>mg/m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其排放浓度能够达到《饮食业油烟排放标准</w:t>
            </w:r>
            <w:r>
              <w:rPr>
                <w:color w:val="000000" w:themeColor="text1"/>
                <w:lang w:val="zh-CN"/>
                <w14:textFill>
                  <w14:solidFill>
                    <w14:schemeClr w14:val="tx1"/>
                  </w14:solidFill>
                </w14:textFill>
              </w:rPr>
              <w:t>（试行）</w:t>
            </w:r>
            <w:r>
              <w:rPr>
                <w:color w:val="000000" w:themeColor="text1"/>
                <w14:textFill>
                  <w14:solidFill>
                    <w14:schemeClr w14:val="tx1"/>
                  </w14:solidFill>
                </w14:textFill>
              </w:rPr>
              <w:t>》（GB18483-2001）中</w:t>
            </w:r>
            <w:r>
              <w:rPr>
                <w:rFonts w:hint="eastAsia"/>
                <w:color w:val="000000" w:themeColor="text1"/>
                <w14:textFill>
                  <w14:solidFill>
                    <w14:schemeClr w14:val="tx1"/>
                  </w14:solidFill>
                </w14:textFill>
              </w:rPr>
              <w:t>油烟排放浓度</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2.0</w:t>
            </w:r>
            <w:r>
              <w:rPr>
                <w:rFonts w:hint="eastAsia"/>
                <w:color w:val="000000" w:themeColor="text1"/>
                <w:lang w:val="en-US" w:eastAsia="zh-CN"/>
                <w14:textFill>
                  <w14:solidFill>
                    <w14:schemeClr w14:val="tx1"/>
                  </w14:solidFill>
                </w14:textFill>
              </w:rPr>
              <w:t>mg</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m</w:t>
            </w:r>
            <w:r>
              <w:rPr>
                <w:rFonts w:hint="eastAsia"/>
                <w:color w:val="000000" w:themeColor="text1"/>
                <w:vertAlign w:val="superscript"/>
                <w:lang w:val="en-US" w:eastAsia="zh-CN"/>
                <w14:textFill>
                  <w14:solidFill>
                    <w14:schemeClr w14:val="tx1"/>
                  </w14:solidFill>
                </w14:textFill>
              </w:rPr>
              <w:t>3</w:t>
            </w:r>
            <w:r>
              <w:rPr>
                <w:color w:val="000000" w:themeColor="text1"/>
                <w14:textFill>
                  <w14:solidFill>
                    <w14:schemeClr w14:val="tx1"/>
                  </w14:solidFill>
                </w14:textFill>
              </w:rPr>
              <w:t>的标准</w:t>
            </w:r>
            <w:r>
              <w:rPr>
                <w:rFonts w:hint="eastAsia"/>
                <w:color w:val="000000" w:themeColor="text1"/>
                <w14:textFill>
                  <w14:solidFill>
                    <w14:schemeClr w14:val="tx1"/>
                  </w14:solidFill>
                </w14:textFill>
              </w:rPr>
              <w:t>，对周围大气环境影响较小。</w:t>
            </w:r>
          </w:p>
          <w:p w14:paraId="27DCE03E">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b/>
                <w:bCs/>
                <w:color w:val="000000" w:themeColor="text1"/>
                <w14:textFill>
                  <w14:solidFill>
                    <w14:schemeClr w14:val="tx1"/>
                  </w14:solidFill>
                </w14:textFill>
              </w:rPr>
            </w:pPr>
            <w:r>
              <w:rPr>
                <w:b/>
                <w:bCs/>
                <w:color w:val="000000" w:themeColor="text1"/>
                <w14:textFill>
                  <w14:solidFill>
                    <w14:schemeClr w14:val="tx1"/>
                  </w14:solidFill>
                </w14:textFill>
              </w:rPr>
              <w:t>3</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运营期水环境影响分析</w:t>
            </w:r>
          </w:p>
          <w:p w14:paraId="1A7994E9">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本项目运营期间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产生的废水主要包括</w:t>
            </w:r>
            <w:r>
              <w:rPr>
                <w:rFonts w:hint="eastAsia" w:cs="Times New Roman"/>
                <w:color w:val="000000" w:themeColor="text1"/>
                <w:spacing w:val="8"/>
                <w:sz w:val="24"/>
                <w:szCs w:val="24"/>
                <w:lang w:eastAsia="zh-CN"/>
                <w14:textFill>
                  <w14:solidFill>
                    <w14:schemeClr w14:val="tx1"/>
                  </w14:solidFill>
                </w14:textFill>
              </w:rPr>
              <w:t>升压</w:t>
            </w:r>
            <w:r>
              <w:rPr>
                <w:rFonts w:hint="eastAsia" w:cs="Times New Roman"/>
                <w:color w:val="000000" w:themeColor="text1"/>
                <w:spacing w:val="8"/>
                <w:sz w:val="24"/>
                <w:szCs w:val="24"/>
                <w:lang w:val="en-US" w:eastAsia="zh-CN"/>
                <w14:textFill>
                  <w14:solidFill>
                    <w14:schemeClr w14:val="tx1"/>
                  </w14:solidFill>
                </w14:textFill>
              </w:rPr>
              <w:t>汇集</w:t>
            </w:r>
            <w:r>
              <w:rPr>
                <w:rFonts w:hint="eastAsia" w:cs="Times New Roman"/>
                <w:color w:val="000000" w:themeColor="text1"/>
                <w:spacing w:val="8"/>
                <w:sz w:val="24"/>
                <w:szCs w:val="24"/>
                <w:lang w:eastAsia="zh-CN"/>
                <w14:textFill>
                  <w14:solidFill>
                    <w14:schemeClr w14:val="tx1"/>
                  </w14:solidFill>
                </w14:textFill>
              </w:rPr>
              <w:t>站员工生活污水，</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本项目升压</w:t>
            </w:r>
            <w:r>
              <w:rPr>
                <w:rFonts w:hint="eastAsia" w:cs="Times New Roman"/>
                <w:color w:val="000000" w:themeColor="text1"/>
                <w:sz w:val="24"/>
                <w:szCs w:val="24"/>
                <w:lang w:val="en-US" w:eastAsia="zh-CN"/>
                <w14:textFill>
                  <w14:solidFill>
                    <w14:schemeClr w14:val="tx1"/>
                  </w14:solidFill>
                </w14:textFill>
              </w:rPr>
              <w:t>汇集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站</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新增劳动人员</w:t>
            </w:r>
            <w:r>
              <w:rPr>
                <w:rFonts w:hint="eastAsia" w:cs="Times New Roman"/>
                <w:color w:val="000000" w:themeColor="text1"/>
                <w:sz w:val="24"/>
                <w:szCs w:val="24"/>
                <w:lang w:val="en-US" w:eastAsia="zh-CN"/>
                <w14:textFill>
                  <w14:solidFill>
                    <w14:schemeClr w14:val="tx1"/>
                  </w14:solidFill>
                </w14:textFill>
              </w:rPr>
              <w:t>18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人，生活污水量按80%计，则</w:t>
            </w:r>
            <w:r>
              <w:rPr>
                <w:rFonts w:hint="eastAsia" w:cs="Times New Roman"/>
                <w:color w:val="000000" w:themeColor="text1"/>
                <w:sz w:val="24"/>
                <w:szCs w:val="24"/>
                <w:lang w:val="en-US" w:eastAsia="zh-CN"/>
                <w14:textFill>
                  <w14:solidFill>
                    <w14:schemeClr w14:val="tx1"/>
                  </w14:solidFill>
                </w14:textFill>
              </w:rPr>
              <w:t>升压汇集站</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内生活污水产生量为</w:t>
            </w:r>
            <w:r>
              <w:rPr>
                <w:rFonts w:hint="eastAsia" w:cs="Times New Roman"/>
                <w:color w:val="000000" w:themeColor="text1"/>
                <w:sz w:val="24"/>
                <w:szCs w:val="24"/>
                <w:lang w:val="en-US" w:eastAsia="zh-CN"/>
                <w14:textFill>
                  <w14:solidFill>
                    <w14:schemeClr w14:val="tx1"/>
                  </w14:solidFill>
                </w14:textFill>
              </w:rPr>
              <w:t>0.86m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/d</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315.4m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07CB90FB">
            <w:pPr>
              <w:pStyle w:val="66"/>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ascii="Times New Roman" w:hAnsi="Times New Roman" w:cs="Times New Roman"/>
                <w:color w:val="000000" w:themeColor="text1"/>
                <w:sz w:val="24"/>
                <w:szCs w:val="24"/>
                <w14:textFill>
                  <w14:solidFill>
                    <w14:schemeClr w14:val="tx1"/>
                  </w14:solidFill>
                </w14:textFill>
              </w:rPr>
            </w:pPr>
            <w:r>
              <w:rPr>
                <w:rFonts w:hint="eastAsia" w:cs="Times New Roman"/>
                <w:b w:val="0"/>
                <w:bCs w:val="0"/>
                <w:color w:val="000000" w:themeColor="text1"/>
                <w:sz w:val="24"/>
                <w:lang w:eastAsia="zh-CN"/>
                <w14:textFill>
                  <w14:solidFill>
                    <w14:schemeClr w14:val="tx1"/>
                  </w14:solidFill>
                </w14:textFill>
              </w:rPr>
              <w:t>生活污水中的食堂餐饮废水经隔油池处理后与其他生活污水一起排入新建的地埋式一体化污水处理设施处理</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根据有关资料提供的生活污水中有关污染物的浓度值</w:t>
            </w:r>
            <w:r>
              <w:rPr>
                <w:rFonts w:hint="eastAsia" w:cs="Times New Roman"/>
                <w:color w:val="000000" w:themeColor="text1"/>
                <w:sz w:val="24"/>
                <w:szCs w:val="24"/>
                <w:lang w:eastAsia="zh-CN"/>
                <w14:textFill>
                  <w14:solidFill>
                    <w14:schemeClr w14:val="tx1"/>
                  </w14:solidFill>
                </w14:textFill>
              </w:rPr>
              <w:t>及</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地埋式一体化污水处理设施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处理后</w:t>
            </w:r>
            <w:r>
              <w:rPr>
                <w:rFonts w:hint="default" w:ascii="Times New Roman" w:hAnsi="Times New Roman" w:cs="Times New Roman"/>
                <w:color w:val="000000" w:themeColor="text1"/>
                <w:sz w:val="24"/>
                <w:szCs w:val="24"/>
                <w14:textFill>
                  <w14:solidFill>
                    <w14:schemeClr w14:val="tx1"/>
                  </w14:solidFill>
                </w14:textFill>
              </w:rPr>
              <w:t>水质参数，可知本项目生活污水中各污染物的排放情况，详见表</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eastAsia" w:cs="Times New Roman"/>
                <w:color w:val="000000" w:themeColor="text1"/>
                <w:sz w:val="24"/>
                <w:szCs w:val="24"/>
                <w:lang w:val="en-US" w:eastAsia="zh-CN"/>
                <w14:textFill>
                  <w14:solidFill>
                    <w14:schemeClr w14:val="tx1"/>
                  </w14:solidFill>
                </w14:textFill>
              </w:rPr>
              <w:t>3</w:t>
            </w:r>
            <w:r>
              <w:rPr>
                <w:rFonts w:hint="default" w:ascii="Times New Roman" w:hAnsi="Times New Roman" w:cs="Times New Roman"/>
                <w:color w:val="000000" w:themeColor="text1"/>
                <w:sz w:val="24"/>
                <w:szCs w:val="24"/>
                <w14:textFill>
                  <w14:solidFill>
                    <w14:schemeClr w14:val="tx1"/>
                  </w14:solidFill>
                </w14:textFill>
              </w:rPr>
              <w:t>。</w:t>
            </w:r>
          </w:p>
          <w:p w14:paraId="2CF994FF">
            <w:pPr>
              <w:keepNext w:val="0"/>
              <w:keepLines w:val="0"/>
              <w:pageBreakBefore w:val="0"/>
              <w:widowControl w:val="0"/>
              <w:tabs>
                <w:tab w:val="left" w:pos="540"/>
                <w:tab w:val="left" w:pos="1080"/>
                <w:tab w:val="left" w:pos="1260"/>
                <w:tab w:val="left" w:pos="1440"/>
              </w:tabs>
              <w:kinsoku/>
              <w:wordWrap/>
              <w:overflowPunct/>
              <w:topLinePunct w:val="0"/>
              <w:autoSpaceDE/>
              <w:autoSpaceDN/>
              <w:bidi w:val="0"/>
              <w:adjustRightInd/>
              <w:snapToGrid/>
              <w:jc w:val="center"/>
              <w:textAlignment w:val="auto"/>
              <w:rPr>
                <w:rFonts w:hint="eastAsia" w:ascii="黑体" w:hAnsi="黑体" w:eastAsia="黑体" w:cs="黑体"/>
                <w:b w:val="0"/>
                <w:bCs w:val="0"/>
                <w:color w:val="000000" w:themeColor="text1"/>
                <w:sz w:val="21"/>
                <w:szCs w:val="21"/>
                <w14:textFill>
                  <w14:solidFill>
                    <w14:schemeClr w14:val="tx1"/>
                  </w14:solidFill>
                </w14:textFill>
              </w:rPr>
            </w:pPr>
            <w:r>
              <w:rPr>
                <w:rFonts w:hint="eastAsia" w:ascii="黑体" w:hAnsi="黑体" w:eastAsia="黑体" w:cs="黑体"/>
                <w:b w:val="0"/>
                <w:bCs w:val="0"/>
                <w:color w:val="000000" w:themeColor="text1"/>
                <w:kern w:val="0"/>
                <w:sz w:val="21"/>
                <w:szCs w:val="21"/>
                <w14:textFill>
                  <w14:solidFill>
                    <w14:schemeClr w14:val="tx1"/>
                  </w14:solidFill>
                </w14:textFill>
              </w:rPr>
              <w:t>表</w:t>
            </w:r>
            <w:r>
              <w:rPr>
                <w:rFonts w:hint="eastAsia" w:ascii="黑体" w:hAnsi="黑体" w:eastAsia="黑体" w:cs="黑体"/>
                <w:b w:val="0"/>
                <w:bCs w:val="0"/>
                <w:color w:val="000000" w:themeColor="text1"/>
                <w:kern w:val="0"/>
                <w:sz w:val="21"/>
                <w:szCs w:val="21"/>
                <w:lang w:val="en-US" w:eastAsia="zh-CN"/>
                <w14:textFill>
                  <w14:solidFill>
                    <w14:schemeClr w14:val="tx1"/>
                  </w14:solidFill>
                </w14:textFill>
              </w:rPr>
              <w:t>4-3</w:t>
            </w:r>
            <w:r>
              <w:rPr>
                <w:rFonts w:hint="eastAsia" w:ascii="黑体" w:hAnsi="黑体" w:eastAsia="黑体" w:cs="黑体"/>
                <w:b w:val="0"/>
                <w:bCs w:val="0"/>
                <w:color w:val="000000" w:themeColor="text1"/>
                <w:kern w:val="0"/>
                <w:sz w:val="21"/>
                <w:szCs w:val="21"/>
                <w14:textFill>
                  <w14:solidFill>
                    <w14:schemeClr w14:val="tx1"/>
                  </w14:solidFill>
                </w14:textFill>
              </w:rPr>
              <w:t xml:space="preserve">     废水主要污染物情况</w:t>
            </w:r>
          </w:p>
          <w:tbl>
            <w:tblPr>
              <w:tblStyle w:val="27"/>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34"/>
              <w:gridCol w:w="1693"/>
              <w:gridCol w:w="749"/>
              <w:gridCol w:w="967"/>
              <w:gridCol w:w="884"/>
              <w:gridCol w:w="898"/>
              <w:gridCol w:w="947"/>
              <w:gridCol w:w="945"/>
            </w:tblGrid>
            <w:tr w14:paraId="469434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638" w:type="pct"/>
                  <w:gridSpan w:val="2"/>
                  <w:tcBorders>
                    <w:tl2br w:val="nil"/>
                    <w:tr2bl w:val="nil"/>
                  </w:tcBorders>
                  <w:noWrap w:val="0"/>
                  <w:vAlign w:val="center"/>
                </w:tcPr>
                <w:p w14:paraId="75483A6B">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主要污染物</w:t>
                  </w:r>
                </w:p>
              </w:tc>
              <w:tc>
                <w:tcPr>
                  <w:tcW w:w="467" w:type="pct"/>
                  <w:tcBorders>
                    <w:tl2br w:val="nil"/>
                    <w:tr2bl w:val="nil"/>
                  </w:tcBorders>
                  <w:noWrap w:val="0"/>
                  <w:vAlign w:val="center"/>
                </w:tcPr>
                <w:p w14:paraId="028A9D20">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排水量</w:t>
                  </w:r>
                </w:p>
              </w:tc>
              <w:tc>
                <w:tcPr>
                  <w:tcW w:w="603" w:type="pct"/>
                  <w:tcBorders>
                    <w:tl2br w:val="nil"/>
                    <w:tr2bl w:val="nil"/>
                  </w:tcBorders>
                  <w:noWrap w:val="0"/>
                  <w:vAlign w:val="center"/>
                </w:tcPr>
                <w:p w14:paraId="60E4B61A">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COD</w:t>
                  </w:r>
                  <w:r>
                    <w:rPr>
                      <w:rFonts w:hint="default" w:ascii="Times New Roman" w:hAnsi="Times New Roman" w:cs="Times New Roman"/>
                      <w:color w:val="000000" w:themeColor="text1"/>
                      <w:sz w:val="21"/>
                      <w:szCs w:val="21"/>
                      <w:vertAlign w:val="subscript"/>
                      <w14:textFill>
                        <w14:solidFill>
                          <w14:schemeClr w14:val="tx1"/>
                        </w14:solidFill>
                      </w14:textFill>
                    </w:rPr>
                    <w:t>cr</w:t>
                  </w:r>
                </w:p>
              </w:tc>
              <w:tc>
                <w:tcPr>
                  <w:tcW w:w="551" w:type="pct"/>
                  <w:tcBorders>
                    <w:tl2br w:val="nil"/>
                    <w:tr2bl w:val="nil"/>
                  </w:tcBorders>
                  <w:noWrap w:val="0"/>
                  <w:vAlign w:val="center"/>
                </w:tcPr>
                <w:p w14:paraId="2919386A">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vertAlign w:val="subscript"/>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BOD</w:t>
                  </w:r>
                  <w:r>
                    <w:rPr>
                      <w:rFonts w:hint="default" w:ascii="Times New Roman" w:hAnsi="Times New Roman" w:cs="Times New Roman"/>
                      <w:color w:val="000000" w:themeColor="text1"/>
                      <w:sz w:val="21"/>
                      <w:szCs w:val="21"/>
                      <w:vertAlign w:val="subscript"/>
                      <w14:textFill>
                        <w14:solidFill>
                          <w14:schemeClr w14:val="tx1"/>
                        </w14:solidFill>
                      </w14:textFill>
                    </w:rPr>
                    <w:t>5</w:t>
                  </w:r>
                </w:p>
              </w:tc>
              <w:tc>
                <w:tcPr>
                  <w:tcW w:w="560" w:type="pct"/>
                  <w:tcBorders>
                    <w:tl2br w:val="nil"/>
                    <w:tr2bl w:val="nil"/>
                  </w:tcBorders>
                  <w:noWrap w:val="0"/>
                  <w:vAlign w:val="center"/>
                </w:tcPr>
                <w:p w14:paraId="4FDDF86B">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SS</w:t>
                  </w:r>
                </w:p>
              </w:tc>
              <w:tc>
                <w:tcPr>
                  <w:tcW w:w="590" w:type="pct"/>
                  <w:tcBorders>
                    <w:tl2br w:val="nil"/>
                    <w:tr2bl w:val="nil"/>
                  </w:tcBorders>
                  <w:noWrap w:val="0"/>
                  <w:vAlign w:val="center"/>
                </w:tcPr>
                <w:p w14:paraId="50B328E5">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NH</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-N</w:t>
                  </w:r>
                </w:p>
              </w:tc>
              <w:tc>
                <w:tcPr>
                  <w:tcW w:w="589" w:type="pct"/>
                  <w:tcBorders>
                    <w:tl2br w:val="nil"/>
                    <w:tr2bl w:val="nil"/>
                  </w:tcBorders>
                  <w:noWrap w:val="0"/>
                  <w:vAlign w:val="center"/>
                </w:tcPr>
                <w:p w14:paraId="41C2BCEE">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动植物油</w:t>
                  </w:r>
                </w:p>
              </w:tc>
            </w:tr>
            <w:tr w14:paraId="19539E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582" w:type="pct"/>
                  <w:vMerge w:val="restart"/>
                  <w:tcBorders>
                    <w:tl2br w:val="nil"/>
                    <w:tr2bl w:val="nil"/>
                  </w:tcBorders>
                  <w:noWrap w:val="0"/>
                  <w:vAlign w:val="center"/>
                </w:tcPr>
                <w:p w14:paraId="62F81BFE">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处理前</w:t>
                  </w:r>
                </w:p>
              </w:tc>
              <w:tc>
                <w:tcPr>
                  <w:tcW w:w="1055" w:type="pct"/>
                  <w:tcBorders>
                    <w:tl2br w:val="nil"/>
                    <w:tr2bl w:val="nil"/>
                  </w:tcBorders>
                  <w:noWrap w:val="0"/>
                  <w:vAlign w:val="center"/>
                </w:tcPr>
                <w:p w14:paraId="391ACBB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浓度（</w:t>
                  </w:r>
                  <w:r>
                    <w:rPr>
                      <w:rFonts w:hint="eastAsia" w:cs="Times New Roman"/>
                      <w:color w:val="000000" w:themeColor="text1"/>
                      <w:sz w:val="21"/>
                      <w:szCs w:val="21"/>
                      <w:lang w:val="en-US" w:eastAsia="zh-CN"/>
                      <w14:textFill>
                        <w14:solidFill>
                          <w14:schemeClr w14:val="tx1"/>
                        </w14:solidFill>
                      </w14:textFill>
                    </w:rPr>
                    <w:t>mg</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L</w:t>
                  </w:r>
                  <w:r>
                    <w:rPr>
                      <w:rFonts w:hint="default" w:ascii="Times New Roman" w:hAnsi="Times New Roman" w:cs="Times New Roman"/>
                      <w:color w:val="000000" w:themeColor="text1"/>
                      <w:sz w:val="21"/>
                      <w:szCs w:val="21"/>
                      <w14:textFill>
                        <w14:solidFill>
                          <w14:schemeClr w14:val="tx1"/>
                        </w14:solidFill>
                      </w14:textFill>
                    </w:rPr>
                    <w:t>）</w:t>
                  </w:r>
                </w:p>
              </w:tc>
              <w:tc>
                <w:tcPr>
                  <w:tcW w:w="467" w:type="pct"/>
                  <w:vMerge w:val="restart"/>
                  <w:tcBorders>
                    <w:tl2br w:val="nil"/>
                    <w:tr2bl w:val="nil"/>
                  </w:tcBorders>
                  <w:noWrap w:val="0"/>
                  <w:vAlign w:val="center"/>
                </w:tcPr>
                <w:p w14:paraId="274ED847">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315.4m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/a</w:t>
                  </w:r>
                </w:p>
              </w:tc>
              <w:tc>
                <w:tcPr>
                  <w:tcW w:w="603" w:type="pct"/>
                  <w:tcBorders>
                    <w:tl2br w:val="nil"/>
                    <w:tr2bl w:val="nil"/>
                  </w:tcBorders>
                  <w:noWrap w:val="0"/>
                  <w:vAlign w:val="center"/>
                </w:tcPr>
                <w:p w14:paraId="32C7C2D0">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0</w:t>
                  </w:r>
                </w:p>
              </w:tc>
              <w:tc>
                <w:tcPr>
                  <w:tcW w:w="551" w:type="pct"/>
                  <w:tcBorders>
                    <w:tl2br w:val="nil"/>
                    <w:tr2bl w:val="nil"/>
                  </w:tcBorders>
                  <w:noWrap w:val="0"/>
                  <w:vAlign w:val="center"/>
                </w:tcPr>
                <w:p w14:paraId="7C191E38">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200</w:t>
                  </w:r>
                </w:p>
              </w:tc>
              <w:tc>
                <w:tcPr>
                  <w:tcW w:w="560" w:type="pct"/>
                  <w:tcBorders>
                    <w:tl2br w:val="nil"/>
                    <w:tr2bl w:val="nil"/>
                  </w:tcBorders>
                  <w:noWrap w:val="0"/>
                  <w:vAlign w:val="center"/>
                </w:tcPr>
                <w:p w14:paraId="78C17911">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200</w:t>
                  </w:r>
                </w:p>
              </w:tc>
              <w:tc>
                <w:tcPr>
                  <w:tcW w:w="590" w:type="pct"/>
                  <w:tcBorders>
                    <w:tl2br w:val="nil"/>
                    <w:tr2bl w:val="nil"/>
                  </w:tcBorders>
                  <w:noWrap w:val="0"/>
                  <w:vAlign w:val="center"/>
                </w:tcPr>
                <w:p w14:paraId="30619A85">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w:t>
                  </w:r>
                </w:p>
              </w:tc>
              <w:tc>
                <w:tcPr>
                  <w:tcW w:w="589" w:type="pct"/>
                  <w:tcBorders>
                    <w:tl2br w:val="nil"/>
                    <w:tr2bl w:val="nil"/>
                  </w:tcBorders>
                  <w:noWrap w:val="0"/>
                  <w:vAlign w:val="center"/>
                </w:tcPr>
                <w:p w14:paraId="64500ADD">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100</w:t>
                  </w:r>
                </w:p>
              </w:tc>
            </w:tr>
            <w:tr w14:paraId="1E849A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582" w:type="pct"/>
                  <w:vMerge w:val="continue"/>
                  <w:tcBorders>
                    <w:tl2br w:val="nil"/>
                    <w:tr2bl w:val="nil"/>
                  </w:tcBorders>
                  <w:noWrap w:val="0"/>
                  <w:vAlign w:val="center"/>
                </w:tcPr>
                <w:p w14:paraId="028050B9">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055" w:type="pct"/>
                  <w:tcBorders>
                    <w:tl2br w:val="nil"/>
                    <w:tr2bl w:val="nil"/>
                  </w:tcBorders>
                  <w:noWrap w:val="0"/>
                  <w:vAlign w:val="center"/>
                </w:tcPr>
                <w:p w14:paraId="58520508">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产生量（</w:t>
                  </w:r>
                  <w:r>
                    <w:rPr>
                      <w:rFonts w:hint="eastAsia" w:cs="Times New Roman"/>
                      <w:color w:val="000000" w:themeColor="text1"/>
                      <w:sz w:val="21"/>
                      <w:szCs w:val="21"/>
                      <w:lang w:val="en-US" w:eastAsia="zh-CN"/>
                      <w14:textFill>
                        <w14:solidFill>
                          <w14:schemeClr w14:val="tx1"/>
                        </w14:solidFill>
                      </w14:textFill>
                    </w:rPr>
                    <w:t>t</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a</w:t>
                  </w:r>
                  <w:r>
                    <w:rPr>
                      <w:rFonts w:hint="default" w:ascii="Times New Roman" w:hAnsi="Times New Roman" w:cs="Times New Roman"/>
                      <w:color w:val="000000" w:themeColor="text1"/>
                      <w:sz w:val="21"/>
                      <w:szCs w:val="21"/>
                      <w14:textFill>
                        <w14:solidFill>
                          <w14:schemeClr w14:val="tx1"/>
                        </w14:solidFill>
                      </w14:textFill>
                    </w:rPr>
                    <w:t>）</w:t>
                  </w:r>
                </w:p>
              </w:tc>
              <w:tc>
                <w:tcPr>
                  <w:tcW w:w="467" w:type="pct"/>
                  <w:vMerge w:val="continue"/>
                  <w:tcBorders>
                    <w:tl2br w:val="nil"/>
                    <w:tr2bl w:val="nil"/>
                  </w:tcBorders>
                  <w:noWrap w:val="0"/>
                  <w:vAlign w:val="center"/>
                </w:tcPr>
                <w:p w14:paraId="7A8EFA1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vertAlign w:val="superscript"/>
                      <w14:textFill>
                        <w14:solidFill>
                          <w14:schemeClr w14:val="tx1"/>
                        </w14:solidFill>
                      </w14:textFill>
                    </w:rPr>
                  </w:pPr>
                </w:p>
              </w:tc>
              <w:tc>
                <w:tcPr>
                  <w:tcW w:w="603" w:type="pct"/>
                  <w:tcBorders>
                    <w:tl2br w:val="nil"/>
                    <w:tr2bl w:val="nil"/>
                  </w:tcBorders>
                  <w:shd w:val="clear" w:color="auto" w:fill="auto"/>
                  <w:noWrap w:val="0"/>
                  <w:vAlign w:val="center"/>
                </w:tcPr>
                <w:p w14:paraId="5F2151A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0.110</w:t>
                  </w:r>
                </w:p>
              </w:tc>
              <w:tc>
                <w:tcPr>
                  <w:tcW w:w="551" w:type="pct"/>
                  <w:tcBorders>
                    <w:tl2br w:val="nil"/>
                    <w:tr2bl w:val="nil"/>
                  </w:tcBorders>
                  <w:shd w:val="clear" w:color="auto" w:fill="auto"/>
                  <w:noWrap w:val="0"/>
                  <w:vAlign w:val="center"/>
                </w:tcPr>
                <w:p w14:paraId="5968C87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0.063</w:t>
                  </w:r>
                </w:p>
              </w:tc>
              <w:tc>
                <w:tcPr>
                  <w:tcW w:w="560" w:type="pct"/>
                  <w:tcBorders>
                    <w:tl2br w:val="nil"/>
                    <w:tr2bl w:val="nil"/>
                  </w:tcBorders>
                  <w:shd w:val="clear" w:color="auto" w:fill="auto"/>
                  <w:noWrap w:val="0"/>
                  <w:vAlign w:val="center"/>
                </w:tcPr>
                <w:p w14:paraId="12C784E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0.063</w:t>
                  </w:r>
                </w:p>
              </w:tc>
              <w:tc>
                <w:tcPr>
                  <w:tcW w:w="590" w:type="pct"/>
                  <w:tcBorders>
                    <w:tl2br w:val="nil"/>
                    <w:tr2bl w:val="nil"/>
                  </w:tcBorders>
                  <w:shd w:val="clear" w:color="auto" w:fill="auto"/>
                  <w:noWrap w:val="0"/>
                  <w:vAlign w:val="center"/>
                </w:tcPr>
                <w:p w14:paraId="7B83C59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0.006</w:t>
                  </w:r>
                </w:p>
              </w:tc>
              <w:tc>
                <w:tcPr>
                  <w:tcW w:w="589" w:type="pct"/>
                  <w:tcBorders>
                    <w:tl2br w:val="nil"/>
                    <w:tr2bl w:val="nil"/>
                  </w:tcBorders>
                  <w:shd w:val="clear" w:color="auto" w:fill="auto"/>
                  <w:noWrap w:val="0"/>
                  <w:vAlign w:val="center"/>
                </w:tcPr>
                <w:p w14:paraId="793FDF9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0.032</w:t>
                  </w:r>
                </w:p>
              </w:tc>
            </w:tr>
            <w:tr w14:paraId="192F4D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582" w:type="pct"/>
                  <w:vMerge w:val="restart"/>
                  <w:tcBorders>
                    <w:tl2br w:val="nil"/>
                    <w:tr2bl w:val="nil"/>
                  </w:tcBorders>
                  <w:noWrap w:val="0"/>
                  <w:vAlign w:val="center"/>
                </w:tcPr>
                <w:p w14:paraId="5B03BB65">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处理后</w:t>
                  </w:r>
                </w:p>
              </w:tc>
              <w:tc>
                <w:tcPr>
                  <w:tcW w:w="1055" w:type="pct"/>
                  <w:tcBorders>
                    <w:tl2br w:val="nil"/>
                    <w:tr2bl w:val="nil"/>
                  </w:tcBorders>
                  <w:noWrap w:val="0"/>
                  <w:vAlign w:val="center"/>
                </w:tcPr>
                <w:p w14:paraId="12D05B12">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浓度（</w:t>
                  </w:r>
                  <w:r>
                    <w:rPr>
                      <w:rFonts w:hint="eastAsia" w:cs="Times New Roman"/>
                      <w:color w:val="000000" w:themeColor="text1"/>
                      <w:sz w:val="21"/>
                      <w:szCs w:val="21"/>
                      <w:lang w:val="en-US" w:eastAsia="zh-CN"/>
                      <w14:textFill>
                        <w14:solidFill>
                          <w14:schemeClr w14:val="tx1"/>
                        </w14:solidFill>
                      </w14:textFill>
                    </w:rPr>
                    <w:t>mg</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L</w:t>
                  </w:r>
                  <w:r>
                    <w:rPr>
                      <w:rFonts w:hint="default" w:ascii="Times New Roman" w:hAnsi="Times New Roman" w:cs="Times New Roman"/>
                      <w:color w:val="000000" w:themeColor="text1"/>
                      <w:sz w:val="21"/>
                      <w:szCs w:val="21"/>
                      <w14:textFill>
                        <w14:solidFill>
                          <w14:schemeClr w14:val="tx1"/>
                        </w14:solidFill>
                      </w14:textFill>
                    </w:rPr>
                    <w:t>）</w:t>
                  </w:r>
                </w:p>
              </w:tc>
              <w:tc>
                <w:tcPr>
                  <w:tcW w:w="467" w:type="pct"/>
                  <w:vMerge w:val="continue"/>
                  <w:tcBorders>
                    <w:tl2br w:val="nil"/>
                    <w:tr2bl w:val="nil"/>
                  </w:tcBorders>
                  <w:noWrap w:val="0"/>
                  <w:vAlign w:val="center"/>
                </w:tcPr>
                <w:p w14:paraId="046CE15C">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vertAlign w:val="superscript"/>
                      <w14:textFill>
                        <w14:solidFill>
                          <w14:schemeClr w14:val="tx1"/>
                        </w14:solidFill>
                      </w14:textFill>
                    </w:rPr>
                  </w:pPr>
                </w:p>
              </w:tc>
              <w:tc>
                <w:tcPr>
                  <w:tcW w:w="603" w:type="pct"/>
                  <w:tcBorders>
                    <w:tl2br w:val="nil"/>
                    <w:tr2bl w:val="nil"/>
                  </w:tcBorders>
                  <w:noWrap w:val="0"/>
                  <w:vAlign w:val="center"/>
                </w:tcPr>
                <w:p w14:paraId="468AC90F">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60</w:t>
                  </w:r>
                </w:p>
              </w:tc>
              <w:tc>
                <w:tcPr>
                  <w:tcW w:w="551" w:type="pct"/>
                  <w:tcBorders>
                    <w:tl2br w:val="nil"/>
                    <w:tr2bl w:val="nil"/>
                  </w:tcBorders>
                  <w:noWrap w:val="0"/>
                  <w:vAlign w:val="center"/>
                </w:tcPr>
                <w:p w14:paraId="3250C33C">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30</w:t>
                  </w:r>
                </w:p>
              </w:tc>
              <w:tc>
                <w:tcPr>
                  <w:tcW w:w="560" w:type="pct"/>
                  <w:tcBorders>
                    <w:tl2br w:val="nil"/>
                    <w:tr2bl w:val="nil"/>
                  </w:tcBorders>
                  <w:noWrap w:val="0"/>
                  <w:vAlign w:val="center"/>
                </w:tcPr>
                <w:p w14:paraId="19ACD650">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30</w:t>
                  </w:r>
                </w:p>
              </w:tc>
              <w:tc>
                <w:tcPr>
                  <w:tcW w:w="590" w:type="pct"/>
                  <w:tcBorders>
                    <w:tl2br w:val="nil"/>
                    <w:tr2bl w:val="nil"/>
                  </w:tcBorders>
                  <w:noWrap w:val="0"/>
                  <w:vAlign w:val="center"/>
                </w:tcPr>
                <w:p w14:paraId="10026E2C">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w:t>
                  </w:r>
                </w:p>
              </w:tc>
              <w:tc>
                <w:tcPr>
                  <w:tcW w:w="589" w:type="pct"/>
                  <w:tcBorders>
                    <w:tl2br w:val="nil"/>
                    <w:tr2bl w:val="nil"/>
                  </w:tcBorders>
                  <w:noWrap w:val="0"/>
                  <w:vAlign w:val="center"/>
                </w:tcPr>
                <w:p w14:paraId="76A1AA2D">
                  <w:pPr>
                    <w:keepNext w:val="0"/>
                    <w:keepLines w:val="0"/>
                    <w:pageBreakBefore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w:t>
                  </w:r>
                </w:p>
              </w:tc>
            </w:tr>
            <w:tr w14:paraId="27D9AC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2" w:type="pct"/>
                  <w:vMerge w:val="continue"/>
                  <w:tcBorders>
                    <w:tl2br w:val="nil"/>
                    <w:tr2bl w:val="nil"/>
                  </w:tcBorders>
                  <w:noWrap w:val="0"/>
                  <w:vAlign w:val="center"/>
                </w:tcPr>
                <w:p w14:paraId="40D5D20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055" w:type="pct"/>
                  <w:tcBorders>
                    <w:tl2br w:val="nil"/>
                    <w:tr2bl w:val="nil"/>
                  </w:tcBorders>
                  <w:noWrap w:val="0"/>
                  <w:vAlign w:val="center"/>
                </w:tcPr>
                <w:p w14:paraId="081D0AEE">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排放</w:t>
                  </w:r>
                  <w:r>
                    <w:rPr>
                      <w:rFonts w:hint="default" w:ascii="Times New Roman" w:hAnsi="Times New Roman" w:cs="Times New Roman"/>
                      <w:color w:val="000000" w:themeColor="text1"/>
                      <w:sz w:val="21"/>
                      <w:szCs w:val="21"/>
                      <w14:textFill>
                        <w14:solidFill>
                          <w14:schemeClr w14:val="tx1"/>
                        </w14:solidFill>
                      </w14:textFill>
                    </w:rPr>
                    <w:t>量（</w:t>
                  </w:r>
                  <w:r>
                    <w:rPr>
                      <w:rFonts w:hint="eastAsia" w:cs="Times New Roman"/>
                      <w:color w:val="000000" w:themeColor="text1"/>
                      <w:sz w:val="21"/>
                      <w:szCs w:val="21"/>
                      <w:lang w:val="en-US" w:eastAsia="zh-CN"/>
                      <w14:textFill>
                        <w14:solidFill>
                          <w14:schemeClr w14:val="tx1"/>
                        </w14:solidFill>
                      </w14:textFill>
                    </w:rPr>
                    <w:t>t</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a</w:t>
                  </w:r>
                  <w:r>
                    <w:rPr>
                      <w:rFonts w:hint="default" w:ascii="Times New Roman" w:hAnsi="Times New Roman" w:cs="Times New Roman"/>
                      <w:color w:val="000000" w:themeColor="text1"/>
                      <w:sz w:val="21"/>
                      <w:szCs w:val="21"/>
                      <w14:textFill>
                        <w14:solidFill>
                          <w14:schemeClr w14:val="tx1"/>
                        </w14:solidFill>
                      </w14:textFill>
                    </w:rPr>
                    <w:t>）</w:t>
                  </w:r>
                </w:p>
              </w:tc>
              <w:tc>
                <w:tcPr>
                  <w:tcW w:w="467" w:type="pct"/>
                  <w:vMerge w:val="continue"/>
                  <w:tcBorders>
                    <w:tl2br w:val="nil"/>
                    <w:tr2bl w:val="nil"/>
                  </w:tcBorders>
                  <w:noWrap w:val="0"/>
                  <w:vAlign w:val="center"/>
                </w:tcPr>
                <w:p w14:paraId="64D62BC4">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cs="Times New Roman"/>
                      <w:color w:val="000000" w:themeColor="text1"/>
                      <w:sz w:val="21"/>
                      <w:szCs w:val="21"/>
                      <w:vertAlign w:val="superscript"/>
                      <w14:textFill>
                        <w14:solidFill>
                          <w14:schemeClr w14:val="tx1"/>
                        </w14:solidFill>
                      </w14:textFill>
                    </w:rPr>
                  </w:pPr>
                </w:p>
              </w:tc>
              <w:tc>
                <w:tcPr>
                  <w:tcW w:w="603" w:type="pct"/>
                  <w:tcBorders>
                    <w:tl2br w:val="nil"/>
                    <w:tr2bl w:val="nil"/>
                  </w:tcBorders>
                  <w:shd w:val="clear" w:color="auto" w:fill="auto"/>
                  <w:noWrap w:val="0"/>
                  <w:vAlign w:val="center"/>
                </w:tcPr>
                <w:p w14:paraId="221B17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0.019</w:t>
                  </w:r>
                </w:p>
              </w:tc>
              <w:tc>
                <w:tcPr>
                  <w:tcW w:w="551" w:type="pct"/>
                  <w:tcBorders>
                    <w:tl2br w:val="nil"/>
                    <w:tr2bl w:val="nil"/>
                  </w:tcBorders>
                  <w:shd w:val="clear" w:color="auto" w:fill="auto"/>
                  <w:noWrap w:val="0"/>
                  <w:vAlign w:val="center"/>
                </w:tcPr>
                <w:p w14:paraId="0C7541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560" w:type="pct"/>
                  <w:tcBorders>
                    <w:tl2br w:val="nil"/>
                    <w:tr2bl w:val="nil"/>
                  </w:tcBorders>
                  <w:shd w:val="clear" w:color="auto" w:fill="auto"/>
                  <w:noWrap w:val="0"/>
                  <w:vAlign w:val="center"/>
                </w:tcPr>
                <w:p w14:paraId="0681A50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0.009</w:t>
                  </w:r>
                </w:p>
              </w:tc>
              <w:tc>
                <w:tcPr>
                  <w:tcW w:w="590" w:type="pct"/>
                  <w:tcBorders>
                    <w:tl2br w:val="nil"/>
                    <w:tr2bl w:val="nil"/>
                  </w:tcBorders>
                  <w:shd w:val="clear" w:color="auto" w:fill="auto"/>
                  <w:noWrap w:val="0"/>
                  <w:vAlign w:val="center"/>
                </w:tcPr>
                <w:p w14:paraId="7E2F1ED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0.003</w:t>
                  </w:r>
                </w:p>
              </w:tc>
              <w:tc>
                <w:tcPr>
                  <w:tcW w:w="589" w:type="pct"/>
                  <w:tcBorders>
                    <w:tl2br w:val="nil"/>
                    <w:tr2bl w:val="nil"/>
                  </w:tcBorders>
                  <w:shd w:val="clear" w:color="auto" w:fill="auto"/>
                  <w:noWrap w:val="0"/>
                  <w:vAlign w:val="center"/>
                </w:tcPr>
                <w:p w14:paraId="45D4A7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0.002</w:t>
                  </w:r>
                </w:p>
              </w:tc>
            </w:tr>
            <w:tr w14:paraId="3EFB86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105" w:type="pct"/>
                  <w:gridSpan w:val="3"/>
                  <w:tcBorders>
                    <w:tl2br w:val="nil"/>
                    <w:tr2bl w:val="nil"/>
                  </w:tcBorders>
                  <w:noWrap w:val="0"/>
                  <w:vAlign w:val="center"/>
                </w:tcPr>
                <w:p w14:paraId="68941F25">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pPr>
                  <w:r>
                    <w:rPr>
                      <w:rFonts w:hint="default" w:ascii="Times New Roman" w:hAnsi="Times New Roman" w:cs="Times New Roman"/>
                      <w:color w:val="000000" w:themeColor="text1"/>
                      <w:sz w:val="21"/>
                      <w:szCs w:val="21"/>
                      <w:vertAlign w:val="baseline"/>
                      <w14:textFill>
                        <w14:solidFill>
                          <w14:schemeClr w14:val="tx1"/>
                        </w14:solidFill>
                      </w14:textFill>
                    </w:rPr>
                    <w:t>DB654275-2019</w:t>
                  </w:r>
                  <w:r>
                    <w:rPr>
                      <w:rFonts w:hint="default" w:ascii="Times New Roman" w:hAnsi="Times New Roman" w:cs="Times New Roman"/>
                      <w:color w:val="000000" w:themeColor="text1"/>
                      <w:sz w:val="21"/>
                      <w:szCs w:val="21"/>
                      <w:vertAlign w:val="baseline"/>
                      <w:lang w:eastAsia="zh-CN"/>
                      <w14:textFill>
                        <w14:solidFill>
                          <w14:schemeClr w14:val="tx1"/>
                        </w14:solidFill>
                      </w14:textFill>
                    </w:rPr>
                    <w:t>中</w:t>
                  </w:r>
                  <w:r>
                    <w:rPr>
                      <w:rFonts w:hint="eastAsia" w:cs="Times New Roman"/>
                      <w:color w:val="000000" w:themeColor="text1"/>
                      <w:sz w:val="21"/>
                      <w:szCs w:val="21"/>
                      <w:vertAlign w:val="baseline"/>
                      <w:lang w:val="en-US" w:eastAsia="zh-CN"/>
                      <w14:textFill>
                        <w14:solidFill>
                          <w14:schemeClr w14:val="tx1"/>
                        </w14:solidFill>
                      </w14:textFill>
                    </w:rPr>
                    <w:t>B</w:t>
                  </w:r>
                  <w:r>
                    <w:rPr>
                      <w:rFonts w:hint="default" w:ascii="Times New Roman" w:hAnsi="Times New Roman" w:cs="Times New Roman"/>
                      <w:color w:val="000000" w:themeColor="text1"/>
                      <w:sz w:val="21"/>
                      <w:szCs w:val="21"/>
                      <w:vertAlign w:val="baseline"/>
                      <w:lang w:val="en-US" w:eastAsia="zh-CN"/>
                      <w14:textFill>
                        <w14:solidFill>
                          <w14:schemeClr w14:val="tx1"/>
                        </w14:solidFill>
                      </w14:textFill>
                    </w:rPr>
                    <w:t>级标准</w:t>
                  </w:r>
                </w:p>
              </w:tc>
              <w:tc>
                <w:tcPr>
                  <w:tcW w:w="603" w:type="pct"/>
                  <w:tcBorders>
                    <w:tl2br w:val="nil"/>
                    <w:tr2bl w:val="nil"/>
                  </w:tcBorders>
                  <w:noWrap w:val="0"/>
                  <w:vAlign w:val="center"/>
                </w:tcPr>
                <w:p w14:paraId="00176EB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2"/>
                      <w:sz w:val="21"/>
                      <w:szCs w:val="21"/>
                      <w:u w:val="none"/>
                      <w:lang w:val="en-US" w:eastAsia="zh-CN" w:bidi="ar-SA"/>
                      <w14:textFill>
                        <w14:solidFill>
                          <w14:schemeClr w14:val="tx1"/>
                        </w14:solidFill>
                      </w14:textFill>
                    </w:rPr>
                    <w:t>180</w:t>
                  </w:r>
                </w:p>
              </w:tc>
              <w:tc>
                <w:tcPr>
                  <w:tcW w:w="551" w:type="pct"/>
                  <w:tcBorders>
                    <w:tl2br w:val="nil"/>
                    <w:tr2bl w:val="nil"/>
                  </w:tcBorders>
                  <w:noWrap w:val="0"/>
                  <w:vAlign w:val="center"/>
                </w:tcPr>
                <w:p w14:paraId="43D8519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w:t>
                  </w:r>
                </w:p>
              </w:tc>
              <w:tc>
                <w:tcPr>
                  <w:tcW w:w="560" w:type="pct"/>
                  <w:tcBorders>
                    <w:tl2br w:val="nil"/>
                    <w:tr2bl w:val="nil"/>
                  </w:tcBorders>
                  <w:noWrap w:val="0"/>
                  <w:vAlign w:val="center"/>
                </w:tcPr>
                <w:p w14:paraId="6E88F92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eastAsia" w:cs="Times New Roman"/>
                      <w:i w:val="0"/>
                      <w:iCs w:val="0"/>
                      <w:color w:val="000000" w:themeColor="text1"/>
                      <w:kern w:val="2"/>
                      <w:sz w:val="21"/>
                      <w:szCs w:val="21"/>
                      <w:u w:val="none"/>
                      <w:lang w:val="en-US" w:eastAsia="zh-CN" w:bidi="ar-SA"/>
                      <w14:textFill>
                        <w14:solidFill>
                          <w14:schemeClr w14:val="tx1"/>
                        </w14:solidFill>
                      </w14:textFill>
                    </w:rPr>
                    <w:t>90</w:t>
                  </w:r>
                </w:p>
              </w:tc>
              <w:tc>
                <w:tcPr>
                  <w:tcW w:w="590" w:type="pct"/>
                  <w:tcBorders>
                    <w:tl2br w:val="nil"/>
                    <w:tr2bl w:val="nil"/>
                  </w:tcBorders>
                  <w:noWrap w:val="0"/>
                  <w:vAlign w:val="center"/>
                </w:tcPr>
                <w:p w14:paraId="3AA5B9F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w:t>
                  </w:r>
                </w:p>
              </w:tc>
              <w:tc>
                <w:tcPr>
                  <w:tcW w:w="589" w:type="pct"/>
                  <w:tcBorders>
                    <w:tl2br w:val="nil"/>
                    <w:tr2bl w:val="nil"/>
                  </w:tcBorders>
                  <w:noWrap w:val="0"/>
                  <w:vAlign w:val="center"/>
                </w:tcPr>
                <w:p w14:paraId="68D3CD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t>/</w:t>
                  </w:r>
                </w:p>
              </w:tc>
            </w:tr>
          </w:tbl>
          <w:p w14:paraId="327CAAA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本项目生活污水经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处理</w:t>
            </w:r>
            <w:r>
              <w:rPr>
                <w:rFonts w:hint="eastAsia" w:cs="Times New Roman"/>
                <w:color w:val="000000" w:themeColor="text1"/>
                <w:sz w:val="24"/>
                <w:szCs w:val="24"/>
                <w:lang w:val="en-US" w:eastAsia="zh-CN"/>
                <w14:textFill>
                  <w14:solidFill>
                    <w14:schemeClr w14:val="tx1"/>
                  </w14:solidFill>
                </w14:textFill>
              </w:rPr>
              <w:t>后污染物浓度</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满足《农村生活污水处理排放标准》（DB654275-2019）中</w:t>
            </w:r>
            <w:r>
              <w:rPr>
                <w:rFonts w:hint="eastAsia" w:cs="Times New Roman"/>
                <w:color w:val="000000" w:themeColor="text1"/>
                <w:sz w:val="24"/>
                <w:szCs w:val="24"/>
                <w:lang w:val="en-US" w:eastAsia="zh-CN"/>
                <w14:textFill>
                  <w14:solidFill>
                    <w14:schemeClr w14:val="tx1"/>
                  </w14:solidFill>
                </w14:textFill>
              </w:rPr>
              <w:t>B</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级标准，灌溉季节用于升压</w:t>
            </w:r>
            <w:r>
              <w:rPr>
                <w:rFonts w:hint="eastAsia" w:cs="Times New Roman"/>
                <w:color w:val="000000" w:themeColor="text1"/>
                <w:sz w:val="24"/>
                <w:szCs w:val="24"/>
                <w:lang w:val="en-US" w:eastAsia="zh-CN"/>
                <w14:textFill>
                  <w14:solidFill>
                    <w14:schemeClr w14:val="tx1"/>
                  </w14:solidFill>
                </w14:textFill>
              </w:rPr>
              <w:t>汇集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站办公生活区绿化，</w:t>
            </w:r>
            <w:r>
              <w:rPr>
                <w:rFonts w:hint="eastAsia" w:cs="Times New Roman"/>
                <w:color w:val="000000" w:themeColor="text1"/>
                <w:sz w:val="24"/>
                <w:szCs w:val="24"/>
                <w:lang w:val="en-US" w:eastAsia="zh-CN"/>
                <w14:textFill>
                  <w14:solidFill>
                    <w14:schemeClr w14:val="tx1"/>
                  </w14:solidFill>
                </w14:textFill>
              </w:rPr>
              <w:t>非灌溉季</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排入</w:t>
            </w:r>
            <w:r>
              <w:rPr>
                <w:rFonts w:hint="eastAsia" w:cs="Times New Roman"/>
                <w:color w:val="000000" w:themeColor="text1"/>
                <w:sz w:val="24"/>
                <w:szCs w:val="24"/>
                <w:lang w:val="en-US" w:eastAsia="zh-CN"/>
                <w14:textFill>
                  <w14:solidFill>
                    <w14:schemeClr w14:val="tx1"/>
                  </w14:solidFill>
                </w14:textFill>
              </w:rPr>
              <w:t>120m</w:t>
            </w:r>
            <w:r>
              <w:rPr>
                <w:rFonts w:hint="eastAsia"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的防渗</w:t>
            </w:r>
            <w:r>
              <w:rPr>
                <w:rFonts w:hint="eastAsia" w:cs="Times New Roman"/>
                <w:color w:val="000000" w:themeColor="text1"/>
                <w:sz w:val="24"/>
                <w:szCs w:val="24"/>
                <w:lang w:val="en-US" w:eastAsia="zh-CN"/>
                <w14:textFill>
                  <w14:solidFill>
                    <w14:schemeClr w14:val="tx1"/>
                  </w14:solidFill>
                </w14:textFill>
              </w:rPr>
              <w:t>储集池</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中存储，待灌溉季节用于绿化，因此</w:t>
            </w:r>
            <w:r>
              <w:rPr>
                <w:rFonts w:hint="default" w:ascii="Times New Roman" w:hAnsi="Times New Roman" w:cs="Times New Roman"/>
                <w:color w:val="000000" w:themeColor="text1"/>
                <w:sz w:val="24"/>
                <w:szCs w:val="24"/>
                <w:lang w:val="en-US" w:eastAsia="zh-CN"/>
                <w14:textFill>
                  <w14:solidFill>
                    <w14:schemeClr w14:val="tx1"/>
                  </w14:solidFill>
                </w14:textFill>
              </w:rPr>
              <w:t>生活污水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不会对项目区地表水、地下水产生影响</w:t>
            </w:r>
            <w:r>
              <w:rPr>
                <w:rFonts w:hint="default" w:ascii="Times New Roman" w:hAnsi="Times New Roman" w:cs="Times New Roman"/>
                <w:color w:val="000000" w:themeColor="text1"/>
                <w:sz w:val="24"/>
                <w:szCs w:val="24"/>
                <w:lang w:val="en-US" w:eastAsia="zh-CN"/>
                <w14:textFill>
                  <w14:solidFill>
                    <w14:schemeClr w14:val="tx1"/>
                  </w14:solidFill>
                </w14:textFill>
              </w:rPr>
              <w:t>。</w:t>
            </w:r>
          </w:p>
          <w:p w14:paraId="549056F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szCs w:val="24"/>
                <w:lang w:eastAsia="zh-CN"/>
                <w14:textFill>
                  <w14:solidFill>
                    <w14:schemeClr w14:val="tx1"/>
                  </w14:solidFill>
                </w14:textFill>
              </w:rPr>
              <w:t>办公生活区绿化用水量为1270.5</w:t>
            </w:r>
            <w:r>
              <w:rPr>
                <w:rFonts w:hint="eastAsia" w:cs="Times New Roman"/>
                <w:color w:val="000000" w:themeColor="text1"/>
                <w:sz w:val="24"/>
                <w:szCs w:val="24"/>
                <w:lang w:val="en-US" w:eastAsia="zh-CN"/>
                <w14:textFill>
                  <w14:solidFill>
                    <w14:schemeClr w14:val="tx1"/>
                  </w14:solidFill>
                </w14:textFill>
              </w:rPr>
              <w:t>m</w:t>
            </w:r>
            <w:r>
              <w:rPr>
                <w:rFonts w:hint="eastAsia" w:cs="Times New Roman"/>
                <w:color w:val="000000" w:themeColor="text1"/>
                <w:sz w:val="24"/>
                <w:szCs w:val="24"/>
                <w:vertAlign w:val="superscript"/>
                <w:lang w:val="en-US" w:eastAsia="zh-CN"/>
                <w14:textFill>
                  <w14:solidFill>
                    <w14:schemeClr w14:val="tx1"/>
                  </w14:solidFill>
                </w14:textFill>
              </w:rPr>
              <w:t>3</w:t>
            </w:r>
            <w:r>
              <w:rPr>
                <w:rFonts w:hint="eastAsia" w:cs="Times New Roman"/>
                <w:color w:val="000000" w:themeColor="text1"/>
                <w:sz w:val="24"/>
                <w:szCs w:val="24"/>
                <w:lang w:val="en-US" w:eastAsia="zh-CN"/>
                <w14:textFill>
                  <w14:solidFill>
                    <w14:schemeClr w14:val="tx1"/>
                  </w14:solidFill>
                </w14:textFill>
              </w:rPr>
              <w:t>/a</w:t>
            </w:r>
            <w:r>
              <w:rPr>
                <w:rFonts w:hint="eastAsia"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项目生活污水产生量315.4m</w:t>
            </w:r>
            <w:r>
              <w:rPr>
                <w:rFonts w:hint="default" w:ascii="Times New Roman" w:hAnsi="Times New Roman" w:eastAsia="宋体" w:cs="Times New Roman"/>
                <w:color w:val="000000" w:themeColor="text1"/>
                <w:sz w:val="24"/>
                <w:szCs w:val="24"/>
                <w:vertAlign w:val="superscript"/>
                <w:lang w:eastAsia="zh-CN"/>
                <w14:textFill>
                  <w14:solidFill>
                    <w14:schemeClr w14:val="tx1"/>
                  </w14:solidFill>
                </w14:textFill>
              </w:rPr>
              <w:t>3</w:t>
            </w:r>
            <w:r>
              <w:rPr>
                <w:rFonts w:hint="default" w:ascii="Times New Roman" w:hAnsi="Times New Roman" w:eastAsia="宋体" w:cs="Times New Roman"/>
                <w:color w:val="000000" w:themeColor="text1"/>
                <w:sz w:val="24"/>
                <w:szCs w:val="24"/>
                <w:lang w:eastAsia="zh-CN"/>
                <w14:textFill>
                  <w14:solidFill>
                    <w14:schemeClr w14:val="tx1"/>
                  </w14:solidFill>
                </w14:textFill>
              </w:rPr>
              <w:t>/a，生活污水</w:t>
            </w:r>
            <w:r>
              <w:rPr>
                <w:rFonts w:hint="eastAsia" w:cs="Times New Roman"/>
                <w:color w:val="000000" w:themeColor="text1"/>
                <w:sz w:val="24"/>
                <w:szCs w:val="24"/>
                <w:lang w:eastAsia="zh-CN"/>
                <w14:textFill>
                  <w14:solidFill>
                    <w14:schemeClr w14:val="tx1"/>
                  </w14:solidFill>
                </w14:textFill>
              </w:rPr>
              <w:t>经处理后</w:t>
            </w:r>
            <w:r>
              <w:rPr>
                <w:rFonts w:hint="default" w:ascii="Times New Roman" w:hAnsi="Times New Roman" w:eastAsia="宋体" w:cs="Times New Roman"/>
                <w:color w:val="000000" w:themeColor="text1"/>
                <w:sz w:val="24"/>
                <w:szCs w:val="24"/>
                <w:lang w:eastAsia="zh-CN"/>
                <w14:textFill>
                  <w14:solidFill>
                    <w14:schemeClr w14:val="tx1"/>
                  </w14:solidFill>
                </w14:textFill>
              </w:rPr>
              <w:t>可全部消耗于</w:t>
            </w:r>
            <w:r>
              <w:rPr>
                <w:rFonts w:hint="eastAsia" w:cs="Times New Roman"/>
                <w:color w:val="000000" w:themeColor="text1"/>
                <w:sz w:val="24"/>
                <w:szCs w:val="24"/>
                <w:lang w:eastAsia="zh-CN"/>
                <w14:textFill>
                  <w14:solidFill>
                    <w14:schemeClr w14:val="tx1"/>
                  </w14:solidFill>
                </w14:textFill>
              </w:rPr>
              <w:t>升压</w:t>
            </w:r>
            <w:r>
              <w:rPr>
                <w:rFonts w:hint="eastAsia" w:cs="Times New Roman"/>
                <w:color w:val="000000" w:themeColor="text1"/>
                <w:sz w:val="24"/>
                <w:szCs w:val="24"/>
                <w:lang w:val="en-US" w:eastAsia="zh-CN"/>
                <w14:textFill>
                  <w14:solidFill>
                    <w14:schemeClr w14:val="tx1"/>
                  </w14:solidFill>
                </w14:textFill>
              </w:rPr>
              <w:t>汇集</w:t>
            </w:r>
            <w:r>
              <w:rPr>
                <w:rFonts w:hint="eastAsia" w:cs="Times New Roman"/>
                <w:color w:val="000000" w:themeColor="text1"/>
                <w:sz w:val="24"/>
                <w:szCs w:val="24"/>
                <w:lang w:eastAsia="zh-CN"/>
                <w14:textFill>
                  <w14:solidFill>
                    <w14:schemeClr w14:val="tx1"/>
                  </w14:solidFill>
                </w14:textFill>
              </w:rPr>
              <w:t>站</w:t>
            </w:r>
            <w:r>
              <w:rPr>
                <w:rFonts w:hint="default" w:ascii="Times New Roman" w:hAnsi="Times New Roman" w:eastAsia="宋体" w:cs="Times New Roman"/>
                <w:color w:val="000000" w:themeColor="text1"/>
                <w:sz w:val="24"/>
                <w:szCs w:val="24"/>
                <w:lang w:eastAsia="zh-CN"/>
                <w14:textFill>
                  <w14:solidFill>
                    <w14:schemeClr w14:val="tx1"/>
                  </w14:solidFill>
                </w14:textFill>
              </w:rPr>
              <w:t>绿化带内</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0DAE3C0D">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color w:val="000000" w:themeColor="text1"/>
                <w:lang w:val="en-US" w:eastAsia="zh-CN"/>
                <w14:textFill>
                  <w14:solidFill>
                    <w14:schemeClr w14:val="tx1"/>
                  </w14:solidFill>
                </w14:textFill>
              </w:rPr>
              <w:t>220kV升压汇集站</w:t>
            </w:r>
            <w:r>
              <w:rPr>
                <w:color w:val="000000" w:themeColor="text1"/>
                <w14:textFill>
                  <w14:solidFill>
                    <w14:schemeClr w14:val="tx1"/>
                  </w14:solidFill>
                </w14:textFill>
              </w:rPr>
              <w:t>办公生活区绿化用水量为</w:t>
            </w:r>
            <w:r>
              <w:rPr>
                <w:rFonts w:hint="default" w:ascii="Times New Roman" w:hAnsi="Times New Roman" w:eastAsia="宋体" w:cs="Times New Roman"/>
                <w:color w:val="000000" w:themeColor="text1"/>
                <w:sz w:val="24"/>
                <w:szCs w:val="24"/>
                <w:lang w:eastAsia="zh-CN"/>
                <w14:textFill>
                  <w14:solidFill>
                    <w14:schemeClr w14:val="tx1"/>
                  </w14:solidFill>
                </w14:textFill>
              </w:rPr>
              <w:t>1270.5</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w:t>
            </w:r>
            <w:r>
              <w:rPr>
                <w:color w:val="000000" w:themeColor="text1"/>
                <w14:textFill>
                  <w14:solidFill>
                    <w14:schemeClr w14:val="tx1"/>
                  </w14:solidFill>
                </w14:textFill>
              </w:rPr>
              <w:t>，项目生活污水产生量</w:t>
            </w:r>
            <w:r>
              <w:rPr>
                <w:rFonts w:hint="eastAsia"/>
                <w:color w:val="000000" w:themeColor="text1"/>
                <w14:textFill>
                  <w14:solidFill>
                    <w14:schemeClr w14:val="tx1"/>
                  </w14:solidFill>
                </w14:textFill>
              </w:rPr>
              <w:t>315.4m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w:t>
            </w:r>
            <w:r>
              <w:rPr>
                <w:color w:val="000000" w:themeColor="text1"/>
                <w14:textFill>
                  <w14:solidFill>
                    <w14:schemeClr w14:val="tx1"/>
                  </w14:solidFill>
                </w14:textFill>
              </w:rPr>
              <w:t>，生活污水可全部消耗于绿化带内；</w:t>
            </w:r>
            <w:r>
              <w:rPr>
                <w:rFonts w:hint="eastAsia"/>
                <w:color w:val="000000" w:themeColor="text1"/>
                <w14:textFill>
                  <w14:solidFill>
                    <w14:schemeClr w14:val="tx1"/>
                  </w14:solidFill>
                </w14:textFill>
              </w:rPr>
              <w:t>本项目</w:t>
            </w:r>
            <w:r>
              <w:rPr>
                <w:rFonts w:hint="eastAsia"/>
                <w:color w:val="000000" w:themeColor="text1"/>
                <w:lang w:val="en-US" w:eastAsia="zh-CN"/>
                <w14:textFill>
                  <w14:solidFill>
                    <w14:schemeClr w14:val="tx1"/>
                  </w14:solidFill>
                </w14:textFill>
              </w:rPr>
              <w:t>所在区域</w:t>
            </w:r>
            <w:r>
              <w:rPr>
                <w:color w:val="000000" w:themeColor="text1"/>
                <w14:textFill>
                  <w14:solidFill>
                    <w14:schemeClr w14:val="tx1"/>
                  </w14:solidFill>
                </w14:textFill>
              </w:rPr>
              <w:t>非灌溉时间约</w:t>
            </w:r>
            <w:r>
              <w:rPr>
                <w:rFonts w:hint="eastAsia"/>
                <w:color w:val="000000" w:themeColor="text1"/>
                <w:lang w:val="en-US" w:eastAsia="zh-CN"/>
                <w14:textFill>
                  <w14:solidFill>
                    <w14:schemeClr w14:val="tx1"/>
                  </w14:solidFill>
                </w14:textFill>
              </w:rPr>
              <w:t>135</w:t>
            </w:r>
            <w:r>
              <w:rPr>
                <w:color w:val="000000" w:themeColor="text1"/>
                <w14:textFill>
                  <w14:solidFill>
                    <w14:schemeClr w14:val="tx1"/>
                  </w14:solidFill>
                </w14:textFill>
              </w:rPr>
              <w:t>天，生活污水量约</w:t>
            </w:r>
            <w:r>
              <w:rPr>
                <w:rFonts w:hint="eastAsia"/>
                <w:color w:val="000000" w:themeColor="text1"/>
                <w:lang w:val="en-US" w:eastAsia="zh-CN"/>
                <w14:textFill>
                  <w14:solidFill>
                    <w14:schemeClr w14:val="tx1"/>
                  </w14:solidFill>
                </w14:textFill>
              </w:rPr>
              <w:t>116.6</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color w:val="000000" w:themeColor="text1"/>
                <w14:textFill>
                  <w14:solidFill>
                    <w14:schemeClr w14:val="tx1"/>
                  </w14:solidFill>
                </w14:textFill>
              </w:rPr>
              <w:t>，本项目</w:t>
            </w:r>
            <w:r>
              <w:rPr>
                <w:rFonts w:hint="eastAsia"/>
                <w:color w:val="000000" w:themeColor="text1"/>
                <w14:textFill>
                  <w14:solidFill>
                    <w14:schemeClr w14:val="tx1"/>
                  </w14:solidFill>
                </w14:textFill>
              </w:rPr>
              <w:t>需</w:t>
            </w:r>
            <w:r>
              <w:rPr>
                <w:color w:val="000000" w:themeColor="text1"/>
                <w14:textFill>
                  <w14:solidFill>
                    <w14:schemeClr w14:val="tx1"/>
                  </w14:solidFill>
                </w14:textFill>
              </w:rPr>
              <w:t>建设一座</w:t>
            </w:r>
            <w:r>
              <w:rPr>
                <w:rFonts w:hint="eastAsia"/>
                <w:color w:val="000000" w:themeColor="text1"/>
                <w:lang w:val="en-US" w:eastAsia="zh-CN"/>
                <w14:textFill>
                  <w14:solidFill>
                    <w14:schemeClr w14:val="tx1"/>
                  </w14:solidFill>
                </w14:textFill>
              </w:rPr>
              <w:t>120</w:t>
            </w:r>
            <w:r>
              <w:rPr>
                <w:rFonts w:hint="eastAsia"/>
                <w:color w:val="000000" w:themeColor="text1"/>
                <w14:textFill>
                  <w14:solidFill>
                    <w14:schemeClr w14:val="tx1"/>
                  </w14:solidFill>
                </w14:textFill>
              </w:rPr>
              <w:t>m</w:t>
            </w:r>
            <w:r>
              <w:rPr>
                <w:rFonts w:hint="eastAsia"/>
                <w:color w:val="000000" w:themeColor="text1"/>
                <w:vertAlign w:val="superscript"/>
                <w14:textFill>
                  <w14:solidFill>
                    <w14:schemeClr w14:val="tx1"/>
                  </w14:solidFill>
                </w14:textFill>
              </w:rPr>
              <w:t>3</w:t>
            </w:r>
            <w:r>
              <w:rPr>
                <w:color w:val="000000" w:themeColor="text1"/>
                <w14:textFill>
                  <w14:solidFill>
                    <w14:schemeClr w14:val="tx1"/>
                  </w14:solidFill>
                </w14:textFill>
              </w:rPr>
              <w:t>的防渗</w:t>
            </w:r>
            <w:r>
              <w:rPr>
                <w:rFonts w:hint="eastAsia"/>
                <w:color w:val="000000" w:themeColor="text1"/>
                <w:lang w:eastAsia="zh-CN"/>
                <w14:textFill>
                  <w14:solidFill>
                    <w14:schemeClr w14:val="tx1"/>
                  </w14:solidFill>
                </w14:textFill>
              </w:rPr>
              <w:t>废水</w:t>
            </w:r>
            <w:r>
              <w:rPr>
                <w:rFonts w:hint="eastAsia"/>
                <w:color w:val="000000" w:themeColor="text1"/>
                <w:lang w:val="en-US" w:eastAsia="zh-CN"/>
                <w14:textFill>
                  <w14:solidFill>
                    <w14:schemeClr w14:val="tx1"/>
                  </w14:solidFill>
                </w14:textFill>
              </w:rPr>
              <w:t>收集池</w:t>
            </w:r>
            <w:r>
              <w:rPr>
                <w:color w:val="000000" w:themeColor="text1"/>
                <w14:textFill>
                  <w14:solidFill>
                    <w14:schemeClr w14:val="tx1"/>
                  </w14:solidFill>
                </w14:textFill>
              </w:rPr>
              <w:t>用于储存非灌溉季节经处理后的生活污水，</w:t>
            </w:r>
            <w:r>
              <w:rPr>
                <w:rFonts w:hint="eastAsia"/>
                <w:color w:val="000000" w:themeColor="text1"/>
                <w:lang w:val="en-US" w:eastAsia="zh-CN"/>
                <w14:textFill>
                  <w14:solidFill>
                    <w14:schemeClr w14:val="tx1"/>
                  </w14:solidFill>
                </w14:textFill>
              </w:rPr>
              <w:t>收集池</w:t>
            </w:r>
            <w:r>
              <w:rPr>
                <w:rFonts w:hint="eastAsia"/>
                <w:color w:val="000000" w:themeColor="text1"/>
                <w:lang w:eastAsia="zh-CN"/>
                <w14:textFill>
                  <w14:solidFill>
                    <w14:schemeClr w14:val="tx1"/>
                  </w14:solidFill>
                </w14:textFill>
              </w:rPr>
              <w:t>位于一体化污水处理设施旁，且满足一般污染防渗区防渗要求，</w:t>
            </w:r>
            <w:r>
              <w:rPr>
                <w:color w:val="000000" w:themeColor="text1"/>
                <w14:textFill>
                  <w14:solidFill>
                    <w14:schemeClr w14:val="tx1"/>
                  </w14:solidFill>
                </w14:textFill>
              </w:rPr>
              <w:t>设置的容积可行。</w:t>
            </w:r>
          </w:p>
          <w:p w14:paraId="44039830">
            <w:pPr>
              <w:adjustRightInd w:val="0"/>
              <w:snapToGrid w:val="0"/>
              <w:spacing w:line="500" w:lineRule="exact"/>
              <w:ind w:firstLine="482" w:firstLineChars="200"/>
              <w:rPr>
                <w:b/>
                <w:bCs/>
                <w:color w:val="000000" w:themeColor="text1"/>
                <w14:textFill>
                  <w14:solidFill>
                    <w14:schemeClr w14:val="tx1"/>
                  </w14:solidFill>
                </w14:textFill>
              </w:rPr>
            </w:pPr>
            <w:r>
              <w:rPr>
                <w:b/>
                <w:bCs/>
                <w:color w:val="000000" w:themeColor="text1"/>
                <w14:textFill>
                  <w14:solidFill>
                    <w14:schemeClr w14:val="tx1"/>
                  </w14:solidFill>
                </w14:textFill>
              </w:rPr>
              <w:t>4</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运营期噪声环境影响分析</w:t>
            </w:r>
          </w:p>
          <w:p w14:paraId="6604BE07">
            <w:pPr>
              <w:pStyle w:val="10"/>
              <w:spacing w:before="0" w:after="0" w:line="500" w:lineRule="exact"/>
              <w:ind w:right="0" w:firstLine="482" w:firstLineChars="200"/>
              <w:rPr>
                <w:rFonts w:hint="default" w:eastAsia="宋体"/>
                <w:b/>
                <w:bCs/>
                <w:color w:val="000000" w:themeColor="text1"/>
                <w:sz w:val="24"/>
                <w:szCs w:val="24"/>
                <w:lang w:val="en-US" w:eastAsia="zh-CN"/>
                <w14:textFill>
                  <w14:solidFill>
                    <w14:schemeClr w14:val="tx1"/>
                  </w14:solidFill>
                </w14:textFill>
              </w:rPr>
            </w:pPr>
            <w:r>
              <w:rPr>
                <w:rFonts w:hint="eastAsia"/>
                <w:b/>
                <w:bCs/>
                <w:color w:val="000000" w:themeColor="text1"/>
                <w:sz w:val="24"/>
                <w:szCs w:val="24"/>
                <w:lang w:val="en-US" w:eastAsia="zh-CN"/>
                <w14:textFill>
                  <w14:solidFill>
                    <w14:schemeClr w14:val="tx1"/>
                  </w14:solidFill>
                </w14:textFill>
              </w:rPr>
              <w:t>4.1升压汇集站</w:t>
            </w:r>
          </w:p>
          <w:p w14:paraId="75DFE755">
            <w:pPr>
              <w:pStyle w:val="10"/>
              <w:spacing w:before="0" w:after="0" w:line="500" w:lineRule="exact"/>
              <w:ind w:right="0"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（1）计算模式</w:t>
            </w:r>
          </w:p>
          <w:p w14:paraId="5B2EDDCF">
            <w:pPr>
              <w:pStyle w:val="8"/>
              <w:adjustRightInd w:val="0"/>
              <w:snapToGrid w:val="0"/>
              <w:spacing w:line="500" w:lineRule="exact"/>
              <w:ind w:firstLine="480" w:firstLineChars="200"/>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本项目根据《环境影响评价技术导则 声环境》（HJ2.4-2021）中规定的工业噪声预测模式，采用</w:t>
            </w:r>
            <w:r>
              <w:rPr>
                <w:rFonts w:hint="eastAsia" w:ascii="Times New Roman" w:hAnsi="Times New Roman"/>
                <w:color w:val="000000" w:themeColor="text1"/>
                <w:sz w:val="24"/>
                <w14:textFill>
                  <w14:solidFill>
                    <w14:schemeClr w14:val="tx1"/>
                  </w14:solidFill>
                </w14:textFill>
              </w:rPr>
              <w:t>衰减模式</w:t>
            </w:r>
            <w:r>
              <w:rPr>
                <w:rFonts w:ascii="Times New Roman" w:hAnsi="Times New Roman"/>
                <w:color w:val="000000" w:themeColor="text1"/>
                <w:sz w:val="24"/>
                <w14:textFill>
                  <w14:solidFill>
                    <w14:schemeClr w14:val="tx1"/>
                  </w14:solidFill>
                </w14:textFill>
              </w:rPr>
              <w:t>预测升压</w:t>
            </w:r>
            <w:r>
              <w:rPr>
                <w:rFonts w:hint="eastAsia" w:ascii="Times New Roman" w:hAnsi="Times New Roman"/>
                <w:color w:val="000000" w:themeColor="text1"/>
                <w:sz w:val="24"/>
                <w:lang w:val="en-US" w:eastAsia="zh-CN"/>
                <w14:textFill>
                  <w14:solidFill>
                    <w14:schemeClr w14:val="tx1"/>
                  </w14:solidFill>
                </w14:textFill>
              </w:rPr>
              <w:t>汇集</w:t>
            </w:r>
            <w:r>
              <w:rPr>
                <w:rFonts w:ascii="Times New Roman" w:hAnsi="Times New Roman"/>
                <w:color w:val="000000" w:themeColor="text1"/>
                <w:sz w:val="24"/>
                <w14:textFill>
                  <w14:solidFill>
                    <w14:schemeClr w14:val="tx1"/>
                  </w14:solidFill>
                </w14:textFill>
              </w:rPr>
              <w:t>站主要噪声源的噪声贡献值，</w:t>
            </w:r>
            <w:r>
              <w:rPr>
                <w:rFonts w:hint="eastAsia" w:ascii="Times New Roman" w:hAnsi="Times New Roman"/>
                <w:color w:val="000000" w:themeColor="text1"/>
                <w:sz w:val="24"/>
                <w14:textFill>
                  <w14:solidFill>
                    <w14:schemeClr w14:val="tx1"/>
                  </w14:solidFill>
                </w14:textFill>
              </w:rPr>
              <w:t>并</w:t>
            </w:r>
            <w:r>
              <w:rPr>
                <w:rFonts w:ascii="Times New Roman" w:hAnsi="Times New Roman"/>
                <w:color w:val="000000" w:themeColor="text1"/>
                <w:sz w:val="24"/>
                <w14:textFill>
                  <w14:solidFill>
                    <w14:schemeClr w14:val="tx1"/>
                  </w14:solidFill>
                </w14:textFill>
              </w:rPr>
              <w:t>与环境标准对比进行评价。</w:t>
            </w:r>
          </w:p>
          <w:p w14:paraId="2BEDDCE4">
            <w:pPr>
              <w:pStyle w:val="10"/>
              <w:spacing w:before="0" w:after="0" w:line="500" w:lineRule="exact"/>
              <w:ind w:right="0" w:firstLine="480" w:firstLineChars="20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（2）计算条件</w:t>
            </w:r>
          </w:p>
          <w:p w14:paraId="576351E4">
            <w:pPr>
              <w:pStyle w:val="8"/>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outlineLvl w:val="1"/>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①预测时段</w:t>
            </w:r>
          </w:p>
          <w:p w14:paraId="1F6C6D83">
            <w:pPr>
              <w:pStyle w:val="8"/>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升压</w:t>
            </w:r>
            <w:r>
              <w:rPr>
                <w:rFonts w:hint="eastAsia" w:ascii="Times New Roman" w:hAnsi="Times New Roman"/>
                <w:color w:val="000000" w:themeColor="text1"/>
                <w:sz w:val="24"/>
                <w:lang w:val="en-US" w:eastAsia="zh-CN"/>
                <w14:textFill>
                  <w14:solidFill>
                    <w14:schemeClr w14:val="tx1"/>
                  </w14:solidFill>
                </w14:textFill>
              </w:rPr>
              <w:t>汇集</w:t>
            </w:r>
            <w:r>
              <w:rPr>
                <w:rFonts w:ascii="Times New Roman" w:hAnsi="Times New Roman"/>
                <w:color w:val="000000" w:themeColor="text1"/>
                <w:sz w:val="24"/>
                <w14:textFill>
                  <w14:solidFill>
                    <w14:schemeClr w14:val="tx1"/>
                  </w14:solidFill>
                </w14:textFill>
              </w:rPr>
              <w:t>站一般为24</w:t>
            </w:r>
            <w:r>
              <w:rPr>
                <w:rFonts w:hint="eastAsia" w:ascii="Times New Roman" w:hAnsi="Times New Roman"/>
                <w:color w:val="000000" w:themeColor="text1"/>
                <w:sz w:val="24"/>
                <w14:textFill>
                  <w14:solidFill>
                    <w14:schemeClr w14:val="tx1"/>
                  </w14:solidFill>
                </w14:textFill>
              </w:rPr>
              <w:t>小时</w:t>
            </w:r>
            <w:r>
              <w:rPr>
                <w:rFonts w:ascii="Times New Roman" w:hAnsi="Times New Roman"/>
                <w:color w:val="000000" w:themeColor="text1"/>
                <w:sz w:val="24"/>
                <w14:textFill>
                  <w14:solidFill>
                    <w14:schemeClr w14:val="tx1"/>
                  </w14:solidFill>
                </w14:textFill>
              </w:rPr>
              <w:t>连续运行，噪声源稳定，对周围声环境的贡献值昼夜基本相同。故本次评价重点对升压</w:t>
            </w:r>
            <w:r>
              <w:rPr>
                <w:rFonts w:hint="eastAsia" w:ascii="Times New Roman" w:hAnsi="Times New Roman"/>
                <w:color w:val="000000" w:themeColor="text1"/>
                <w:sz w:val="24"/>
                <w:lang w:val="en-US" w:eastAsia="zh-CN"/>
                <w14:textFill>
                  <w14:solidFill>
                    <w14:schemeClr w14:val="tx1"/>
                  </w14:solidFill>
                </w14:textFill>
              </w:rPr>
              <w:t>汇集</w:t>
            </w:r>
            <w:r>
              <w:rPr>
                <w:rFonts w:ascii="Times New Roman" w:hAnsi="Times New Roman"/>
                <w:color w:val="000000" w:themeColor="text1"/>
                <w:sz w:val="24"/>
                <w14:textFill>
                  <w14:solidFill>
                    <w14:schemeClr w14:val="tx1"/>
                  </w14:solidFill>
                </w14:textFill>
              </w:rPr>
              <w:t>站运行期的噪声进行预测。</w:t>
            </w:r>
          </w:p>
          <w:p w14:paraId="1B3FB220">
            <w:pPr>
              <w:pStyle w:val="8"/>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outlineLvl w:val="1"/>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②衰减因素选取</w:t>
            </w:r>
          </w:p>
          <w:p w14:paraId="6B0AB238">
            <w:pPr>
              <w:pStyle w:val="8"/>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sz w:val="24"/>
                <w14:textFill>
                  <w14:solidFill>
                    <w14:schemeClr w14:val="tx1"/>
                  </w14:solidFill>
                </w14:textFill>
              </w:rPr>
              <w:t>预测计算时，在满足工程所需精度的前提下，采用了较为保守的考虑，在噪声衰减时考虑了配电室、辅助用房等站内建筑物的遮挡屏蔽效应，不考虑围墙遮挡屏蔽效应。</w:t>
            </w:r>
          </w:p>
          <w:p w14:paraId="1939706E">
            <w:pPr>
              <w:pStyle w:val="10"/>
              <w:keepNext w:val="0"/>
              <w:keepLines w:val="0"/>
              <w:pageBreakBefore w:val="0"/>
              <w:kinsoku/>
              <w:wordWrap/>
              <w:overflowPunct/>
              <w:topLinePunct w:val="0"/>
              <w:autoSpaceDE/>
              <w:autoSpaceDN/>
              <w:bidi w:val="0"/>
              <w:snapToGrid w:val="0"/>
              <w:spacing w:before="0" w:after="0" w:line="500" w:lineRule="exact"/>
              <w:ind w:right="0" w:firstLine="480" w:firstLineChars="200"/>
              <w:textAlignment w:val="auto"/>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（3）预测参数</w:t>
            </w:r>
            <w:r>
              <w:rPr>
                <w:rFonts w:hint="eastAsia"/>
                <w:color w:val="000000" w:themeColor="text1"/>
                <w:sz w:val="24"/>
                <w:szCs w:val="24"/>
                <w:lang w:eastAsia="zh-CN"/>
                <w14:textFill>
                  <w14:solidFill>
                    <w14:schemeClr w14:val="tx1"/>
                  </w14:solidFill>
                </w14:textFill>
              </w:rPr>
              <w:t>及结果</w:t>
            </w:r>
          </w:p>
          <w:p w14:paraId="21582065">
            <w:pPr>
              <w:pStyle w:val="8"/>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Times New Roman" w:hAnsi="Times New Roman" w:cs="Times New Roman"/>
                <w:color w:val="000000" w:themeColor="text1"/>
                <w:sz w:val="24"/>
                <w:lang w:eastAsia="zh-CN"/>
                <w14:textFill>
                  <w14:solidFill>
                    <w14:schemeClr w14:val="tx1"/>
                  </w14:solidFill>
                </w14:textFill>
              </w:rPr>
            </w:pPr>
            <w:r>
              <w:rPr>
                <w:rFonts w:ascii="Times New Roman" w:hAnsi="Times New Roman"/>
                <w:color w:val="000000" w:themeColor="text1"/>
                <w:sz w:val="24"/>
                <w14:textFill>
                  <w14:solidFill>
                    <w14:schemeClr w14:val="tx1"/>
                  </w14:solidFill>
                </w14:textFill>
              </w:rPr>
              <w:t>根据对本项目运行期的噪声源分</w:t>
            </w:r>
            <w:r>
              <w:rPr>
                <w:rFonts w:ascii="Times New Roman" w:hAnsi="Times New Roman" w:eastAsia="宋体"/>
                <w:color w:val="000000" w:themeColor="text1"/>
                <w:sz w:val="24"/>
                <w14:textFill>
                  <w14:solidFill>
                    <w14:schemeClr w14:val="tx1"/>
                  </w14:solidFill>
                </w14:textFill>
              </w:rPr>
              <w:t>析，</w:t>
            </w:r>
            <w:r>
              <w:rPr>
                <w:rFonts w:hint="eastAsia" w:ascii="Times New Roman" w:hAnsi="Times New Roman" w:eastAsia="宋体"/>
                <w:color w:val="000000" w:themeColor="text1"/>
                <w:sz w:val="24"/>
                <w:lang w:val="en-US" w:eastAsia="zh-CN"/>
                <w14:textFill>
                  <w14:solidFill>
                    <w14:schemeClr w14:val="tx1"/>
                  </w14:solidFill>
                </w14:textFill>
              </w:rPr>
              <w:t>220kV</w:t>
            </w:r>
            <w:r>
              <w:rPr>
                <w:rFonts w:ascii="Times New Roman" w:hAnsi="Times New Roman" w:eastAsia="宋体"/>
                <w:color w:val="000000" w:themeColor="text1"/>
                <w:sz w:val="24"/>
                <w14:textFill>
                  <w14:solidFill>
                    <w14:schemeClr w14:val="tx1"/>
                  </w14:solidFill>
                </w14:textFill>
              </w:rPr>
              <w:t>升压</w:t>
            </w:r>
            <w:r>
              <w:rPr>
                <w:rFonts w:hint="eastAsia" w:ascii="Times New Roman" w:hAnsi="Times New Roman" w:eastAsia="宋体"/>
                <w:color w:val="000000" w:themeColor="text1"/>
                <w:sz w:val="24"/>
                <w:lang w:eastAsia="zh-CN"/>
                <w14:textFill>
                  <w14:solidFill>
                    <w14:schemeClr w14:val="tx1"/>
                  </w14:solidFill>
                </w14:textFill>
              </w:rPr>
              <w:t>汇集</w:t>
            </w:r>
            <w:r>
              <w:rPr>
                <w:rFonts w:ascii="Times New Roman" w:hAnsi="Times New Roman" w:eastAsia="宋体"/>
                <w:color w:val="000000" w:themeColor="text1"/>
                <w:sz w:val="24"/>
                <w14:textFill>
                  <w14:solidFill>
                    <w14:schemeClr w14:val="tx1"/>
                  </w14:solidFill>
                </w14:textFill>
              </w:rPr>
              <w:t>站运行期间</w:t>
            </w:r>
            <w:r>
              <w:rPr>
                <w:rFonts w:ascii="Times New Roman" w:hAnsi="Times New Roman"/>
                <w:color w:val="000000" w:themeColor="text1"/>
                <w:sz w:val="24"/>
                <w14:textFill>
                  <w14:solidFill>
                    <w14:schemeClr w14:val="tx1"/>
                  </w14:solidFill>
                </w14:textFill>
              </w:rPr>
              <w:t>的噪声主要是变压器产生，本项目新建的</w:t>
            </w:r>
            <w:r>
              <w:rPr>
                <w:rFonts w:hint="eastAsia" w:ascii="Times New Roman" w:hAnsi="Times New Roman"/>
                <w:color w:val="000000" w:themeColor="text1"/>
                <w:sz w:val="24"/>
                <w:lang w:val="en-US" w:eastAsia="zh-CN"/>
                <w14:textFill>
                  <w14:solidFill>
                    <w14:schemeClr w14:val="tx1"/>
                  </w14:solidFill>
                </w14:textFill>
              </w:rPr>
              <w:t>1</w:t>
            </w:r>
            <w:r>
              <w:rPr>
                <w:rFonts w:ascii="Times New Roman" w:hAnsi="Times New Roman"/>
                <w:color w:val="000000" w:themeColor="text1"/>
                <w:sz w:val="24"/>
                <w14:textFill>
                  <w14:solidFill>
                    <w14:schemeClr w14:val="tx1"/>
                  </w14:solidFill>
                </w14:textFill>
              </w:rPr>
              <w:t>台</w:t>
            </w:r>
            <w:r>
              <w:rPr>
                <w:rFonts w:ascii="Times New Roman" w:hAnsi="Times New Roman"/>
                <w:color w:val="000000" w:themeColor="text1"/>
                <w:sz w:val="24"/>
                <w:highlight w:val="none"/>
                <w14:textFill>
                  <w14:solidFill>
                    <w14:schemeClr w14:val="tx1"/>
                  </w14:solidFill>
                </w14:textFill>
              </w:rPr>
              <w:t>主变为自冷主变</w:t>
            </w:r>
            <w:r>
              <w:rPr>
                <w:rFonts w:ascii="Times New Roman" w:hAnsi="Times New Roman"/>
                <w:color w:val="000000" w:themeColor="text1"/>
                <w:sz w:val="24"/>
                <w14:textFill>
                  <w14:solidFill>
                    <w14:schemeClr w14:val="tx1"/>
                  </w14:solidFill>
                </w14:textFill>
              </w:rPr>
              <w:t>，结合搜集的同类工程铭牌数据以及类比监测数</w:t>
            </w:r>
            <w:r>
              <w:rPr>
                <w:rFonts w:hint="default" w:ascii="Times New Roman" w:hAnsi="Times New Roman"/>
                <w:color w:val="000000" w:themeColor="text1"/>
                <w:sz w:val="24"/>
                <w14:textFill>
                  <w14:solidFill>
                    <w14:schemeClr w14:val="tx1"/>
                  </w14:solidFill>
                </w14:textFill>
              </w:rPr>
              <w:t>据，单台</w:t>
            </w:r>
            <w:r>
              <w:rPr>
                <w:rFonts w:hint="default" w:ascii="Times New Roman" w:hAnsi="Times New Roman"/>
                <w:color w:val="000000" w:themeColor="text1"/>
                <w:sz w:val="24"/>
                <w:lang w:eastAsia="zh-CN"/>
                <w14:textFill>
                  <w14:solidFill>
                    <w14:schemeClr w14:val="tx1"/>
                  </w14:solidFill>
                </w14:textFill>
              </w:rPr>
              <w:t>变压器</w:t>
            </w:r>
            <w:r>
              <w:rPr>
                <w:rFonts w:hint="default" w:ascii="Times New Roman" w:hAnsi="Times New Roman"/>
                <w:color w:val="000000" w:themeColor="text1"/>
                <w:sz w:val="24"/>
                <w14:textFill>
                  <w14:solidFill>
                    <w14:schemeClr w14:val="tx1"/>
                  </w14:solidFill>
                </w14:textFill>
              </w:rPr>
              <w:t>噪声源强</w:t>
            </w:r>
            <w:r>
              <w:rPr>
                <w:rFonts w:hint="default" w:ascii="Times New Roman" w:hAnsi="Times New Roman"/>
                <w:color w:val="000000" w:themeColor="text1"/>
                <w:sz w:val="24"/>
                <w:lang w:eastAsia="zh-CN"/>
                <w14:textFill>
                  <w14:solidFill>
                    <w14:schemeClr w14:val="tx1"/>
                  </w14:solidFill>
                </w14:textFill>
              </w:rPr>
              <w:t>为</w:t>
            </w:r>
            <w:r>
              <w:rPr>
                <w:rFonts w:hint="default" w:ascii="Times New Roman" w:hAnsi="Times New Roman"/>
                <w:color w:val="000000" w:themeColor="text1"/>
                <w:sz w:val="24"/>
                <w14:textFill>
                  <w14:solidFill>
                    <w14:schemeClr w14:val="tx1"/>
                  </w14:solidFill>
                </w14:textFill>
              </w:rPr>
              <w:t>70dB(A</w:t>
            </w:r>
            <w:r>
              <w:rPr>
                <w:rFonts w:hint="eastAsia" w:ascii="Times New Roman" w:hAnsi="Times New Roman"/>
                <w:color w:val="000000" w:themeColor="text1"/>
                <w:sz w:val="24"/>
                <w:lang w:val="en-US" w:eastAsia="zh-CN"/>
                <w14:textFill>
                  <w14:solidFill>
                    <w14:schemeClr w14:val="tx1"/>
                  </w14:solidFill>
                </w14:textFill>
              </w:rPr>
              <w:t>)</w:t>
            </w:r>
            <w:r>
              <w:rPr>
                <w:rFonts w:hint="default" w:ascii="Times New Roman" w:hAnsi="Times New Roman"/>
                <w:color w:val="000000" w:themeColor="text1"/>
                <w:sz w:val="24"/>
                <w14:textFill>
                  <w14:solidFill>
                    <w14:schemeClr w14:val="tx1"/>
                  </w14:solidFill>
                </w14:textFill>
              </w:rPr>
              <w:t>；主变压器为户外布置，一年四季持续运行</w:t>
            </w:r>
            <w:r>
              <w:rPr>
                <w:rFonts w:hint="eastAsia" w:ascii="Times New Roman" w:hAnsi="Times New Roman" w:cs="Times New Roman"/>
                <w:color w:val="000000" w:themeColor="text1"/>
                <w:sz w:val="24"/>
                <w:lang w:eastAsia="zh-CN"/>
                <w14:textFill>
                  <w14:solidFill>
                    <w14:schemeClr w14:val="tx1"/>
                  </w14:solidFill>
                </w14:textFill>
              </w:rPr>
              <w:t>。</w:t>
            </w:r>
          </w:p>
          <w:p w14:paraId="347B314E">
            <w:pPr>
              <w:pStyle w:val="8"/>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Times New Roman" w:hAnsi="Times New Roman"/>
                <w:color w:val="000000" w:themeColor="text1"/>
                <w:sz w:val="24"/>
                <w14:textFill>
                  <w14:solidFill>
                    <w14:schemeClr w14:val="tx1"/>
                  </w14:solidFill>
                </w14:textFill>
              </w:rPr>
            </w:pPr>
            <w:r>
              <w:rPr>
                <w:rFonts w:hint="eastAsia" w:ascii="Times New Roman" w:hAnsi="Times New Roman"/>
                <w:color w:val="000000" w:themeColor="text1"/>
                <w:sz w:val="24"/>
                <w14:textFill>
                  <w14:solidFill>
                    <w14:schemeClr w14:val="tx1"/>
                  </w14:solidFill>
                </w14:textFill>
              </w:rPr>
              <w:t>本项目</w:t>
            </w:r>
            <w:r>
              <w:rPr>
                <w:rFonts w:hint="eastAsia" w:ascii="Times New Roman" w:hAnsi="Times New Roman"/>
                <w:color w:val="000000" w:themeColor="text1"/>
                <w:sz w:val="24"/>
                <w:lang w:val="en-US" w:eastAsia="zh-CN"/>
                <w14:textFill>
                  <w14:solidFill>
                    <w14:schemeClr w14:val="tx1"/>
                  </w14:solidFill>
                </w14:textFill>
              </w:rPr>
              <w:t>升压汇集站</w:t>
            </w:r>
            <w:r>
              <w:rPr>
                <w:rFonts w:hint="eastAsia" w:ascii="Times New Roman" w:hAnsi="Times New Roman"/>
                <w:color w:val="000000" w:themeColor="text1"/>
                <w:sz w:val="24"/>
                <w14:textFill>
                  <w14:solidFill>
                    <w14:schemeClr w14:val="tx1"/>
                  </w14:solidFill>
                </w14:textFill>
              </w:rPr>
              <w:t>噪声源强调查清单见表4-4，运行后噪声预测结果见表4-5。</w:t>
            </w:r>
          </w:p>
          <w:p w14:paraId="3B672625">
            <w:pPr>
              <w:tabs>
                <w:tab w:val="left" w:pos="4586"/>
                <w:tab w:val="left" w:pos="5786"/>
              </w:tabs>
              <w:autoSpaceDE w:val="0"/>
              <w:autoSpaceDN w:val="0"/>
              <w:adjustRightInd w:val="0"/>
              <w:jc w:val="center"/>
              <w:rPr>
                <w:rFonts w:hint="eastAsia" w:ascii="黑体" w:hAnsi="黑体" w:eastAsia="黑体" w:cs="黑体"/>
                <w:color w:val="000000" w:themeColor="text1"/>
                <w:sz w:val="21"/>
                <w:szCs w:val="21"/>
                <w14:textFill>
                  <w14:solidFill>
                    <w14:schemeClr w14:val="tx1"/>
                  </w14:solidFill>
                </w14:textFill>
              </w:rPr>
            </w:pPr>
          </w:p>
          <w:p w14:paraId="180632A5">
            <w:pPr>
              <w:tabs>
                <w:tab w:val="left" w:pos="4586"/>
                <w:tab w:val="left" w:pos="5786"/>
              </w:tabs>
              <w:autoSpaceDE w:val="0"/>
              <w:autoSpaceDN w:val="0"/>
              <w:adjustRightInd w:val="0"/>
              <w:jc w:val="center"/>
              <w:rPr>
                <w:rFonts w:hint="eastAsia" w:ascii="黑体" w:hAnsi="黑体" w:eastAsia="黑体" w:cs="黑体"/>
                <w:color w:val="000000" w:themeColor="text1"/>
                <w:sz w:val="21"/>
                <w:szCs w:val="21"/>
                <w14:textFill>
                  <w14:solidFill>
                    <w14:schemeClr w14:val="tx1"/>
                  </w14:solidFill>
                </w14:textFill>
              </w:rPr>
            </w:pPr>
          </w:p>
          <w:p w14:paraId="15188584">
            <w:pPr>
              <w:tabs>
                <w:tab w:val="left" w:pos="4586"/>
                <w:tab w:val="left" w:pos="5786"/>
              </w:tabs>
              <w:autoSpaceDE w:val="0"/>
              <w:autoSpaceDN w:val="0"/>
              <w:adjustRightInd w:val="0"/>
              <w:jc w:val="center"/>
              <w:rPr>
                <w:rFonts w:hint="eastAsia" w:ascii="黑体" w:hAnsi="黑体" w:eastAsia="黑体" w:cs="黑体"/>
                <w:color w:val="000000" w:themeColor="text1"/>
                <w:sz w:val="21"/>
                <w:szCs w:val="21"/>
                <w14:textFill>
                  <w14:solidFill>
                    <w14:schemeClr w14:val="tx1"/>
                  </w14:solidFill>
                </w14:textFill>
              </w:rPr>
            </w:pPr>
          </w:p>
          <w:p w14:paraId="04B75121">
            <w:pPr>
              <w:tabs>
                <w:tab w:val="left" w:pos="4586"/>
                <w:tab w:val="left" w:pos="5786"/>
              </w:tabs>
              <w:autoSpaceDE w:val="0"/>
              <w:autoSpaceDN w:val="0"/>
              <w:adjustRightInd w:val="0"/>
              <w:jc w:val="center"/>
              <w:rPr>
                <w:rFonts w:hint="eastAsia" w:ascii="黑体" w:hAnsi="黑体" w:eastAsia="黑体" w:cs="黑体"/>
                <w:color w:val="000000" w:themeColor="text1"/>
                <w:sz w:val="21"/>
                <w:szCs w:val="21"/>
                <w14:textFill>
                  <w14:solidFill>
                    <w14:schemeClr w14:val="tx1"/>
                  </w14:solidFill>
                </w14:textFill>
              </w:rPr>
            </w:pPr>
          </w:p>
          <w:p w14:paraId="6961DD02">
            <w:pPr>
              <w:tabs>
                <w:tab w:val="left" w:pos="4586"/>
                <w:tab w:val="left" w:pos="5786"/>
              </w:tabs>
              <w:autoSpaceDE w:val="0"/>
              <w:autoSpaceDN w:val="0"/>
              <w:adjustRightInd w:val="0"/>
              <w:jc w:val="center"/>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表4-4    本项目</w:t>
            </w:r>
            <w:r>
              <w:rPr>
                <w:rFonts w:hint="eastAsia" w:ascii="黑体" w:hAnsi="黑体" w:eastAsia="黑体" w:cs="黑体"/>
                <w:color w:val="000000" w:themeColor="text1"/>
                <w:sz w:val="21"/>
                <w:szCs w:val="21"/>
                <w:lang w:val="en-US" w:eastAsia="zh-CN"/>
                <w14:textFill>
                  <w14:solidFill>
                    <w14:schemeClr w14:val="tx1"/>
                  </w14:solidFill>
                </w14:textFill>
              </w:rPr>
              <w:t>升压汇集站</w:t>
            </w:r>
            <w:r>
              <w:rPr>
                <w:rFonts w:hint="eastAsia" w:ascii="黑体" w:hAnsi="黑体" w:eastAsia="黑体" w:cs="黑体"/>
                <w:color w:val="000000" w:themeColor="text1"/>
                <w:sz w:val="21"/>
                <w:szCs w:val="21"/>
                <w14:textFill>
                  <w14:solidFill>
                    <w14:schemeClr w14:val="tx1"/>
                  </w14:solidFill>
                </w14:textFill>
              </w:rPr>
              <w:t>噪声源强调查清单</w:t>
            </w:r>
            <w:r>
              <w:rPr>
                <w:rFonts w:hint="eastAsia" w:ascii="黑体" w:hAnsi="黑体" w:eastAsia="黑体" w:cs="黑体"/>
                <w:color w:val="000000" w:themeColor="text1"/>
                <w:sz w:val="21"/>
                <w:szCs w:val="21"/>
                <w:lang w:eastAsia="zh-CN"/>
                <w14:textFill>
                  <w14:solidFill>
                    <w14:schemeClr w14:val="tx1"/>
                  </w14:solidFill>
                </w14:textFill>
              </w:rPr>
              <w:t>（</w:t>
            </w:r>
            <w:r>
              <w:rPr>
                <w:rFonts w:hint="eastAsia" w:ascii="黑体" w:hAnsi="黑体" w:eastAsia="黑体" w:cs="黑体"/>
                <w:color w:val="000000" w:themeColor="text1"/>
                <w:sz w:val="21"/>
                <w:szCs w:val="21"/>
                <w14:textFill>
                  <w14:solidFill>
                    <w14:schemeClr w14:val="tx1"/>
                  </w14:solidFill>
                </w14:textFill>
              </w:rPr>
              <w:t>室外声源</w:t>
            </w:r>
            <w:r>
              <w:rPr>
                <w:rFonts w:hint="eastAsia" w:ascii="黑体" w:hAnsi="黑体" w:eastAsia="黑体" w:cs="黑体"/>
                <w:color w:val="000000" w:themeColor="text1"/>
                <w:sz w:val="21"/>
                <w:szCs w:val="21"/>
                <w:lang w:eastAsia="zh-CN"/>
                <w14:textFill>
                  <w14:solidFill>
                    <w14:schemeClr w14:val="tx1"/>
                  </w14:solidFill>
                </w14:textFill>
              </w:rPr>
              <w:t>）</w:t>
            </w:r>
          </w:p>
          <w:tbl>
            <w:tblPr>
              <w:tblStyle w:val="27"/>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23"/>
              <w:gridCol w:w="685"/>
              <w:gridCol w:w="1217"/>
              <w:gridCol w:w="729"/>
              <w:gridCol w:w="658"/>
              <w:gridCol w:w="518"/>
              <w:gridCol w:w="1266"/>
              <w:gridCol w:w="838"/>
              <w:gridCol w:w="747"/>
              <w:gridCol w:w="939"/>
            </w:tblGrid>
            <w:tr w14:paraId="2C181A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63" w:type="pct"/>
                  <w:vMerge w:val="restart"/>
                  <w:tcBorders>
                    <w:tl2br w:val="nil"/>
                    <w:tr2bl w:val="nil"/>
                  </w:tcBorders>
                  <w:noWrap w:val="0"/>
                  <w:vAlign w:val="center"/>
                </w:tcPr>
                <w:p w14:paraId="3F19AD86">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序号</w:t>
                  </w:r>
                </w:p>
              </w:tc>
              <w:tc>
                <w:tcPr>
                  <w:tcW w:w="427" w:type="pct"/>
                  <w:vMerge w:val="restart"/>
                  <w:tcBorders>
                    <w:tl2br w:val="nil"/>
                    <w:tr2bl w:val="nil"/>
                  </w:tcBorders>
                  <w:noWrap w:val="0"/>
                  <w:vAlign w:val="center"/>
                </w:tcPr>
                <w:p w14:paraId="1F38368E">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声源名称</w:t>
                  </w:r>
                </w:p>
              </w:tc>
              <w:tc>
                <w:tcPr>
                  <w:tcW w:w="758" w:type="pct"/>
                  <w:vMerge w:val="restart"/>
                  <w:tcBorders>
                    <w:tl2br w:val="nil"/>
                    <w:tr2bl w:val="nil"/>
                  </w:tcBorders>
                  <w:noWrap w:val="0"/>
                  <w:vAlign w:val="center"/>
                </w:tcPr>
                <w:p w14:paraId="5D1E8DEE">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型号</w:t>
                  </w:r>
                </w:p>
              </w:tc>
              <w:tc>
                <w:tcPr>
                  <w:tcW w:w="1187" w:type="pct"/>
                  <w:gridSpan w:val="3"/>
                  <w:tcBorders>
                    <w:tl2br w:val="nil"/>
                    <w:tr2bl w:val="nil"/>
                  </w:tcBorders>
                  <w:noWrap w:val="0"/>
                  <w:vAlign w:val="center"/>
                </w:tcPr>
                <w:p w14:paraId="36B5E30A">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空间相对位置/米</w:t>
                  </w:r>
                </w:p>
              </w:tc>
              <w:tc>
                <w:tcPr>
                  <w:tcW w:w="1311" w:type="pct"/>
                  <w:gridSpan w:val="2"/>
                  <w:tcBorders>
                    <w:tl2br w:val="nil"/>
                    <w:tr2bl w:val="nil"/>
                  </w:tcBorders>
                  <w:noWrap w:val="0"/>
                  <w:vAlign w:val="center"/>
                </w:tcPr>
                <w:p w14:paraId="166DE897">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声源源强</w:t>
                  </w:r>
                  <w:r>
                    <w:rPr>
                      <w:rFonts w:hint="eastAsia" w:ascii="Times New Roman" w:hAnsi="Times New Roman" w:cs="Times New Roman" w:eastAsiaTheme="minorEastAsia"/>
                      <w:color w:val="000000" w:themeColor="text1"/>
                      <w:spacing w:val="0"/>
                      <w:w w:val="10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任选一种</w:t>
                  </w:r>
                  <w:r>
                    <w:rPr>
                      <w:rFonts w:hint="eastAsia" w:ascii="Times New Roman" w:hAnsi="Times New Roman" w:cs="Times New Roman" w:eastAsiaTheme="minorEastAsia"/>
                      <w:color w:val="000000" w:themeColor="text1"/>
                      <w:spacing w:val="0"/>
                      <w:w w:val="100"/>
                      <w:sz w:val="21"/>
                      <w:szCs w:val="21"/>
                      <w:lang w:eastAsia="zh-CN"/>
                      <w14:textFill>
                        <w14:solidFill>
                          <w14:schemeClr w14:val="tx1"/>
                        </w14:solidFill>
                      </w14:textFill>
                    </w:rPr>
                    <w:t>）</w:t>
                  </w:r>
                </w:p>
              </w:tc>
              <w:tc>
                <w:tcPr>
                  <w:tcW w:w="465" w:type="pct"/>
                  <w:vMerge w:val="restart"/>
                  <w:tcBorders>
                    <w:tl2br w:val="nil"/>
                    <w:tr2bl w:val="nil"/>
                  </w:tcBorders>
                  <w:noWrap w:val="0"/>
                  <w:vAlign w:val="center"/>
                </w:tcPr>
                <w:p w14:paraId="1B82D211">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声源控制措施</w:t>
                  </w:r>
                </w:p>
              </w:tc>
              <w:tc>
                <w:tcPr>
                  <w:tcW w:w="585" w:type="pct"/>
                  <w:vMerge w:val="restart"/>
                  <w:tcBorders>
                    <w:tl2br w:val="nil"/>
                    <w:tr2bl w:val="nil"/>
                  </w:tcBorders>
                  <w:noWrap w:val="0"/>
                  <w:vAlign w:val="center"/>
                </w:tcPr>
                <w:p w14:paraId="61E8336B">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运行时段</w:t>
                  </w:r>
                </w:p>
              </w:tc>
            </w:tr>
            <w:tr w14:paraId="599689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trPr>
              <w:tc>
                <w:tcPr>
                  <w:tcW w:w="263" w:type="pct"/>
                  <w:vMerge w:val="continue"/>
                  <w:tcBorders>
                    <w:tl2br w:val="nil"/>
                    <w:tr2bl w:val="nil"/>
                  </w:tcBorders>
                  <w:noWrap w:val="0"/>
                  <w:vAlign w:val="center"/>
                </w:tcPr>
                <w:p w14:paraId="172F0D8A">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p>
              </w:tc>
              <w:tc>
                <w:tcPr>
                  <w:tcW w:w="427" w:type="pct"/>
                  <w:vMerge w:val="continue"/>
                  <w:tcBorders>
                    <w:tl2br w:val="nil"/>
                    <w:tr2bl w:val="nil"/>
                  </w:tcBorders>
                  <w:noWrap w:val="0"/>
                  <w:vAlign w:val="center"/>
                </w:tcPr>
                <w:p w14:paraId="6A323A1B">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p>
              </w:tc>
              <w:tc>
                <w:tcPr>
                  <w:tcW w:w="758" w:type="pct"/>
                  <w:vMerge w:val="continue"/>
                  <w:tcBorders>
                    <w:tl2br w:val="nil"/>
                    <w:tr2bl w:val="nil"/>
                  </w:tcBorders>
                  <w:noWrap w:val="0"/>
                  <w:vAlign w:val="center"/>
                </w:tcPr>
                <w:p w14:paraId="1D4DB0A1">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p>
              </w:tc>
              <w:tc>
                <w:tcPr>
                  <w:tcW w:w="454" w:type="pct"/>
                  <w:tcBorders>
                    <w:tl2br w:val="nil"/>
                    <w:tr2bl w:val="nil"/>
                  </w:tcBorders>
                  <w:noWrap w:val="0"/>
                  <w:vAlign w:val="center"/>
                </w:tcPr>
                <w:p w14:paraId="3004AFC6">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eastAsia" w:ascii="Times New Roman" w:hAnsi="Times New Roman" w:cs="Times New Roman" w:eastAsiaTheme="minorEastAsia"/>
                      <w:color w:val="000000" w:themeColor="text1"/>
                      <w:spacing w:val="0"/>
                      <w:w w:val="100"/>
                      <w:sz w:val="21"/>
                      <w:szCs w:val="21"/>
                      <w:lang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sz w:val="21"/>
                      <w:szCs w:val="21"/>
                      <w:lang w:val="en-US" w:eastAsia="zh-CN"/>
                      <w14:textFill>
                        <w14:solidFill>
                          <w14:schemeClr w14:val="tx1"/>
                        </w14:solidFill>
                      </w14:textFill>
                    </w:rPr>
                    <w:t>X</w:t>
                  </w:r>
                </w:p>
              </w:tc>
              <w:tc>
                <w:tcPr>
                  <w:tcW w:w="410" w:type="pct"/>
                  <w:tcBorders>
                    <w:tl2br w:val="nil"/>
                    <w:tr2bl w:val="nil"/>
                  </w:tcBorders>
                  <w:noWrap w:val="0"/>
                  <w:vAlign w:val="center"/>
                </w:tcPr>
                <w:p w14:paraId="05135E70">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eastAsia" w:ascii="Times New Roman" w:hAnsi="Times New Roman" w:cs="Times New Roman" w:eastAsiaTheme="minorEastAsia"/>
                      <w:color w:val="000000" w:themeColor="text1"/>
                      <w:spacing w:val="0"/>
                      <w:w w:val="100"/>
                      <w:sz w:val="21"/>
                      <w:szCs w:val="21"/>
                      <w:lang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sz w:val="21"/>
                      <w:szCs w:val="21"/>
                      <w:lang w:val="en-US" w:eastAsia="zh-CN"/>
                      <w14:textFill>
                        <w14:solidFill>
                          <w14:schemeClr w14:val="tx1"/>
                        </w14:solidFill>
                      </w14:textFill>
                    </w:rPr>
                    <w:t>Y</w:t>
                  </w:r>
                </w:p>
              </w:tc>
              <w:tc>
                <w:tcPr>
                  <w:tcW w:w="322" w:type="pct"/>
                  <w:tcBorders>
                    <w:tl2br w:val="nil"/>
                    <w:tr2bl w:val="nil"/>
                  </w:tcBorders>
                  <w:noWrap w:val="0"/>
                  <w:vAlign w:val="center"/>
                </w:tcPr>
                <w:p w14:paraId="02C80D7B">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eastAsia" w:ascii="Times New Roman" w:hAnsi="Times New Roman" w:cs="Times New Roman" w:eastAsiaTheme="minorEastAsia"/>
                      <w:color w:val="000000" w:themeColor="text1"/>
                      <w:spacing w:val="0"/>
                      <w:w w:val="100"/>
                      <w:sz w:val="21"/>
                      <w:szCs w:val="21"/>
                      <w:lang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sz w:val="21"/>
                      <w:szCs w:val="21"/>
                      <w:lang w:val="en-US" w:eastAsia="zh-CN"/>
                      <w14:textFill>
                        <w14:solidFill>
                          <w14:schemeClr w14:val="tx1"/>
                        </w14:solidFill>
                      </w14:textFill>
                    </w:rPr>
                    <w:t>Z</w:t>
                  </w:r>
                </w:p>
              </w:tc>
              <w:tc>
                <w:tcPr>
                  <w:tcW w:w="789" w:type="pct"/>
                  <w:tcBorders>
                    <w:tl2br w:val="nil"/>
                    <w:tr2bl w:val="nil"/>
                  </w:tcBorders>
                  <w:noWrap w:val="0"/>
                  <w:vAlign w:val="center"/>
                </w:tcPr>
                <w:p w14:paraId="610ABBF0">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eastAsia" w:ascii="Times New Roman" w:hAnsi="Times New Roman" w:cs="Times New Roman" w:eastAsiaTheme="minorEastAsia"/>
                      <w:color w:val="000000" w:themeColor="text1"/>
                      <w:spacing w:val="0"/>
                      <w:w w:val="10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声压级/距声源距离</w:t>
                  </w:r>
                  <w:r>
                    <w:rPr>
                      <w:rFonts w:hint="eastAsia" w:ascii="Times New Roman" w:hAnsi="Times New Roman" w:cs="Times New Roman" w:eastAsiaTheme="minorEastAsia"/>
                      <w:color w:val="000000" w:themeColor="text1"/>
                      <w:spacing w:val="0"/>
                      <w:w w:val="10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w:t>
                  </w:r>
                  <w:r>
                    <w:rPr>
                      <w:rFonts w:hint="eastAsia" w:ascii="Times New Roman" w:hAnsi="Times New Roman" w:cs="Times New Roman" w:eastAsiaTheme="minorEastAsia"/>
                      <w:color w:val="000000" w:themeColor="text1"/>
                      <w:spacing w:val="0"/>
                      <w:w w:val="10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dB(A)/米</w:t>
                  </w:r>
                  <w:r>
                    <w:rPr>
                      <w:rFonts w:hint="eastAsia" w:ascii="Times New Roman" w:hAnsi="Times New Roman" w:cs="Times New Roman" w:eastAsiaTheme="minorEastAsia"/>
                      <w:color w:val="000000" w:themeColor="text1"/>
                      <w:spacing w:val="0"/>
                      <w:w w:val="100"/>
                      <w:sz w:val="21"/>
                      <w:szCs w:val="21"/>
                      <w:lang w:eastAsia="zh-CN"/>
                      <w14:textFill>
                        <w14:solidFill>
                          <w14:schemeClr w14:val="tx1"/>
                        </w14:solidFill>
                      </w14:textFill>
                    </w:rPr>
                    <w:t>）</w:t>
                  </w:r>
                </w:p>
              </w:tc>
              <w:tc>
                <w:tcPr>
                  <w:tcW w:w="522" w:type="pct"/>
                  <w:tcBorders>
                    <w:tl2br w:val="nil"/>
                    <w:tr2bl w:val="nil"/>
                  </w:tcBorders>
                  <w:noWrap w:val="0"/>
                  <w:vAlign w:val="center"/>
                </w:tcPr>
                <w:p w14:paraId="4B55E219">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声功率级/dB(A)</w:t>
                  </w:r>
                </w:p>
              </w:tc>
              <w:tc>
                <w:tcPr>
                  <w:tcW w:w="465" w:type="pct"/>
                  <w:vMerge w:val="continue"/>
                  <w:tcBorders>
                    <w:tl2br w:val="nil"/>
                    <w:tr2bl w:val="nil"/>
                  </w:tcBorders>
                  <w:noWrap w:val="0"/>
                  <w:vAlign w:val="center"/>
                </w:tcPr>
                <w:p w14:paraId="3151FD8D">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p>
              </w:tc>
              <w:tc>
                <w:tcPr>
                  <w:tcW w:w="585" w:type="pct"/>
                  <w:vMerge w:val="continue"/>
                  <w:tcBorders>
                    <w:tl2br w:val="nil"/>
                    <w:tr2bl w:val="nil"/>
                  </w:tcBorders>
                  <w:noWrap w:val="0"/>
                  <w:vAlign w:val="center"/>
                </w:tcPr>
                <w:p w14:paraId="61D2FCB7">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p>
              </w:tc>
            </w:tr>
            <w:tr w14:paraId="691F6A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263" w:type="pct"/>
                  <w:tcBorders>
                    <w:tl2br w:val="nil"/>
                    <w:tr2bl w:val="nil"/>
                  </w:tcBorders>
                  <w:noWrap w:val="0"/>
                  <w:vAlign w:val="center"/>
                </w:tcPr>
                <w:p w14:paraId="59182689">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1</w:t>
                  </w:r>
                </w:p>
              </w:tc>
              <w:tc>
                <w:tcPr>
                  <w:tcW w:w="427" w:type="pct"/>
                  <w:tcBorders>
                    <w:tl2br w:val="nil"/>
                    <w:tr2bl w:val="nil"/>
                  </w:tcBorders>
                  <w:noWrap w:val="0"/>
                  <w:vAlign w:val="center"/>
                </w:tcPr>
                <w:p w14:paraId="7D89C2ED">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1#主变</w:t>
                  </w:r>
                </w:p>
              </w:tc>
              <w:tc>
                <w:tcPr>
                  <w:tcW w:w="758" w:type="pct"/>
                  <w:tcBorders>
                    <w:tl2br w:val="nil"/>
                    <w:tr2bl w:val="nil"/>
                  </w:tcBorders>
                  <w:noWrap w:val="0"/>
                  <w:vAlign w:val="center"/>
                </w:tcPr>
                <w:p w14:paraId="59CB1C95">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120" w:leftChars="-50" w:right="-120" w:rightChars="-5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SFZ20-250000/220</w:t>
                  </w:r>
                </w:p>
              </w:tc>
              <w:tc>
                <w:tcPr>
                  <w:tcW w:w="454" w:type="pct"/>
                  <w:tcBorders>
                    <w:tl2br w:val="nil"/>
                    <w:tr2bl w:val="nil"/>
                  </w:tcBorders>
                  <w:noWrap w:val="0"/>
                  <w:vAlign w:val="center"/>
                </w:tcPr>
                <w:p w14:paraId="7E82BE85">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sz w:val="21"/>
                      <w:szCs w:val="21"/>
                      <w:lang w:val="en-US" w:eastAsia="zh-CN"/>
                      <w14:textFill>
                        <w14:solidFill>
                          <w14:schemeClr w14:val="tx1"/>
                        </w14:solidFill>
                      </w14:textFill>
                    </w:rPr>
                    <w:t>55</w:t>
                  </w:r>
                </w:p>
              </w:tc>
              <w:tc>
                <w:tcPr>
                  <w:tcW w:w="410" w:type="pct"/>
                  <w:tcBorders>
                    <w:tl2br w:val="nil"/>
                    <w:tr2bl w:val="nil"/>
                  </w:tcBorders>
                  <w:noWrap w:val="0"/>
                  <w:vAlign w:val="center"/>
                </w:tcPr>
                <w:p w14:paraId="0EA33686">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lang w:val="en-US" w:eastAsia="zh-CN"/>
                      <w14:textFill>
                        <w14:solidFill>
                          <w14:schemeClr w14:val="tx1"/>
                        </w14:solidFill>
                      </w14:textFill>
                    </w:rPr>
                  </w:pPr>
                  <w:r>
                    <w:rPr>
                      <w:rFonts w:hint="eastAsia" w:ascii="Times New Roman" w:hAnsi="Times New Roman" w:cs="Times New Roman" w:eastAsiaTheme="minorEastAsia"/>
                      <w:color w:val="000000" w:themeColor="text1"/>
                      <w:spacing w:val="0"/>
                      <w:w w:val="100"/>
                      <w:sz w:val="21"/>
                      <w:szCs w:val="21"/>
                      <w:lang w:val="en-US" w:eastAsia="zh-CN"/>
                      <w14:textFill>
                        <w14:solidFill>
                          <w14:schemeClr w14:val="tx1"/>
                        </w14:solidFill>
                      </w14:textFill>
                    </w:rPr>
                    <w:t>120</w:t>
                  </w:r>
                </w:p>
              </w:tc>
              <w:tc>
                <w:tcPr>
                  <w:tcW w:w="322" w:type="pct"/>
                  <w:tcBorders>
                    <w:tl2br w:val="nil"/>
                    <w:tr2bl w:val="nil"/>
                  </w:tcBorders>
                  <w:noWrap w:val="0"/>
                  <w:vAlign w:val="center"/>
                </w:tcPr>
                <w:p w14:paraId="66148807">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3</w:t>
                  </w:r>
                </w:p>
              </w:tc>
              <w:tc>
                <w:tcPr>
                  <w:tcW w:w="789" w:type="pct"/>
                  <w:tcBorders>
                    <w:tl2br w:val="nil"/>
                    <w:tr2bl w:val="nil"/>
                  </w:tcBorders>
                  <w:noWrap w:val="0"/>
                  <w:vAlign w:val="center"/>
                </w:tcPr>
                <w:p w14:paraId="13D41E84">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70/1</w:t>
                  </w:r>
                </w:p>
              </w:tc>
              <w:tc>
                <w:tcPr>
                  <w:tcW w:w="522" w:type="pct"/>
                  <w:tcBorders>
                    <w:tl2br w:val="nil"/>
                    <w:tr2bl w:val="nil"/>
                  </w:tcBorders>
                  <w:noWrap w:val="0"/>
                  <w:vAlign w:val="center"/>
                </w:tcPr>
                <w:p w14:paraId="153CE997">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w:t>
                  </w:r>
                </w:p>
              </w:tc>
              <w:tc>
                <w:tcPr>
                  <w:tcW w:w="465" w:type="pct"/>
                  <w:tcBorders>
                    <w:tl2br w:val="nil"/>
                    <w:tr2bl w:val="nil"/>
                  </w:tcBorders>
                  <w:noWrap w:val="0"/>
                  <w:vAlign w:val="center"/>
                </w:tcPr>
                <w:p w14:paraId="1A5DE6F5">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基础减振</w:t>
                  </w:r>
                </w:p>
              </w:tc>
              <w:tc>
                <w:tcPr>
                  <w:tcW w:w="585" w:type="pct"/>
                  <w:tcBorders>
                    <w:tl2br w:val="nil"/>
                    <w:tr2bl w:val="nil"/>
                  </w:tcBorders>
                  <w:noWrap w:val="0"/>
                  <w:vAlign w:val="center"/>
                </w:tcPr>
                <w:p w14:paraId="33EF4318">
                  <w:pPr>
                    <w:pStyle w:val="68"/>
                    <w:keepNext w:val="0"/>
                    <w:keepLines w:val="0"/>
                    <w:pageBreakBefore w:val="0"/>
                    <w:widowControl w:val="0"/>
                    <w:kinsoku w:val="0"/>
                    <w:wordWrap/>
                    <w:overflowPunct w:val="0"/>
                    <w:topLinePunct w:val="0"/>
                    <w:autoSpaceDE w:val="0"/>
                    <w:autoSpaceDN w:val="0"/>
                    <w:bidi w:val="0"/>
                    <w:adjustRightInd w:val="0"/>
                    <w:snapToGrid/>
                    <w:spacing w:beforeLines="0" w:afterLines="0" w:line="240" w:lineRule="auto"/>
                    <w:ind w:left="0" w:right="0" w:firstLine="0" w:firstLineChars="0"/>
                    <w:jc w:val="center"/>
                    <w:textAlignment w:val="auto"/>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pP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0</w:t>
                  </w:r>
                  <w:r>
                    <w:rPr>
                      <w:rFonts w:hint="eastAsia" w:ascii="Times New Roman" w:hAnsi="Times New Roman" w:cs="Times New Roman" w:eastAsiaTheme="minorEastAsia"/>
                      <w:color w:val="000000" w:themeColor="text1"/>
                      <w:spacing w:val="0"/>
                      <w:w w:val="10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00-24</w:t>
                  </w:r>
                  <w:r>
                    <w:rPr>
                      <w:rFonts w:hint="eastAsia" w:ascii="Times New Roman" w:hAnsi="Times New Roman" w:cs="Times New Roman" w:eastAsiaTheme="minorEastAsia"/>
                      <w:color w:val="000000" w:themeColor="text1"/>
                      <w:spacing w:val="0"/>
                      <w:w w:val="100"/>
                      <w:sz w:val="21"/>
                      <w:szCs w:val="21"/>
                      <w:lang w:val="en-US" w:eastAsia="zh-CN"/>
                      <w14:textFill>
                        <w14:solidFill>
                          <w14:schemeClr w14:val="tx1"/>
                        </w14:solidFill>
                      </w14:textFill>
                    </w:rPr>
                    <w:t>:</w:t>
                  </w:r>
                  <w:r>
                    <w:rPr>
                      <w:rFonts w:hint="default" w:ascii="Times New Roman" w:hAnsi="Times New Roman" w:cs="Times New Roman" w:eastAsiaTheme="minorEastAsia"/>
                      <w:color w:val="000000" w:themeColor="text1"/>
                      <w:spacing w:val="0"/>
                      <w:w w:val="100"/>
                      <w:sz w:val="21"/>
                      <w:szCs w:val="21"/>
                      <w14:textFill>
                        <w14:solidFill>
                          <w14:schemeClr w14:val="tx1"/>
                        </w14:solidFill>
                      </w14:textFill>
                    </w:rPr>
                    <w:t>00</w:t>
                  </w:r>
                </w:p>
              </w:tc>
            </w:tr>
          </w:tbl>
          <w:p w14:paraId="0B69AD56">
            <w:pPr>
              <w:tabs>
                <w:tab w:val="left" w:pos="4586"/>
                <w:tab w:val="left" w:pos="5786"/>
              </w:tabs>
              <w:autoSpaceDE w:val="0"/>
              <w:autoSpaceDN w:val="0"/>
              <w:adjustRightInd w:val="0"/>
              <w:jc w:val="center"/>
              <w:rPr>
                <w:rFonts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表4-</w:t>
            </w:r>
            <w:r>
              <w:rPr>
                <w:rFonts w:hint="eastAsia" w:ascii="黑体" w:hAnsi="黑体" w:eastAsia="黑体" w:cs="黑体"/>
                <w:color w:val="000000" w:themeColor="text1"/>
                <w:sz w:val="21"/>
                <w:szCs w:val="21"/>
                <w:lang w:val="en-US" w:eastAsia="zh-CN"/>
                <w14:textFill>
                  <w14:solidFill>
                    <w14:schemeClr w14:val="tx1"/>
                  </w14:solidFill>
                </w14:textFill>
              </w:rPr>
              <w:t>5</w:t>
            </w:r>
            <w:r>
              <w:rPr>
                <w:rFonts w:hint="eastAsia" w:ascii="黑体" w:hAnsi="黑体" w:eastAsia="黑体" w:cs="黑体"/>
                <w:color w:val="000000" w:themeColor="text1"/>
                <w:sz w:val="21"/>
                <w:szCs w:val="21"/>
                <w14:textFill>
                  <w14:solidFill>
                    <w14:schemeClr w14:val="tx1"/>
                  </w14:solidFill>
                </w14:textFill>
              </w:rPr>
              <w:t xml:space="preserve">    本期新建</w:t>
            </w:r>
            <w:r>
              <w:rPr>
                <w:rFonts w:hint="eastAsia" w:ascii="黑体" w:hAnsi="黑体" w:eastAsia="黑体" w:cs="黑体"/>
                <w:color w:val="000000" w:themeColor="text1"/>
                <w:sz w:val="21"/>
                <w:szCs w:val="21"/>
                <w:lang w:val="en-US" w:eastAsia="zh-CN"/>
                <w14:textFill>
                  <w14:solidFill>
                    <w14:schemeClr w14:val="tx1"/>
                  </w14:solidFill>
                </w14:textFill>
              </w:rPr>
              <w:t>220kV</w:t>
            </w:r>
            <w:r>
              <w:rPr>
                <w:rFonts w:hint="eastAsia" w:ascii="黑体" w:hAnsi="黑体" w:eastAsia="黑体" w:cs="黑体"/>
                <w:color w:val="000000" w:themeColor="text1"/>
                <w:sz w:val="21"/>
                <w:szCs w:val="21"/>
                <w14:textFill>
                  <w14:solidFill>
                    <w14:schemeClr w14:val="tx1"/>
                  </w14:solidFill>
                </w14:textFill>
              </w:rPr>
              <w:t>升压</w:t>
            </w:r>
            <w:r>
              <w:rPr>
                <w:rFonts w:hint="eastAsia" w:ascii="黑体" w:hAnsi="黑体" w:eastAsia="黑体" w:cs="黑体"/>
                <w:color w:val="000000" w:themeColor="text1"/>
                <w:sz w:val="21"/>
                <w:szCs w:val="21"/>
                <w:lang w:eastAsia="zh-CN"/>
                <w14:textFill>
                  <w14:solidFill>
                    <w14:schemeClr w14:val="tx1"/>
                  </w14:solidFill>
                </w14:textFill>
              </w:rPr>
              <w:t>汇集</w:t>
            </w:r>
            <w:r>
              <w:rPr>
                <w:rFonts w:hint="eastAsia" w:ascii="黑体" w:hAnsi="黑体" w:eastAsia="黑体" w:cs="黑体"/>
                <w:color w:val="000000" w:themeColor="text1"/>
                <w:sz w:val="21"/>
                <w:szCs w:val="21"/>
                <w14:textFill>
                  <w14:solidFill>
                    <w14:schemeClr w14:val="tx1"/>
                  </w14:solidFill>
                </w14:textFill>
              </w:rPr>
              <w:t>站噪声预测结果     单位：dB(A)</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4402"/>
              <w:gridCol w:w="2315"/>
            </w:tblGrid>
            <w:tr w14:paraId="201875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812" w:type="pct"/>
                  <w:tcBorders>
                    <w:tl2br w:val="nil"/>
                    <w:tr2bl w:val="nil"/>
                  </w:tcBorders>
                  <w:vAlign w:val="center"/>
                </w:tcPr>
                <w:p w14:paraId="34292268">
                  <w:pPr>
                    <w:pStyle w:val="8"/>
                    <w:adjustRightInd w:val="0"/>
                    <w:snapToGrid w:val="0"/>
                    <w:spacing w:line="240" w:lineRule="auto"/>
                    <w:jc w:val="center"/>
                    <w:rPr>
                      <w:rFonts w:ascii="Times New Roman" w:hAnsi="Times New Roman"/>
                      <w:b/>
                      <w:bCs w:val="0"/>
                      <w:color w:val="000000" w:themeColor="text1"/>
                      <w:sz w:val="21"/>
                      <w:szCs w:val="21"/>
                      <w14:textFill>
                        <w14:solidFill>
                          <w14:schemeClr w14:val="tx1"/>
                        </w14:solidFill>
                      </w14:textFill>
                    </w:rPr>
                  </w:pPr>
                  <w:r>
                    <w:rPr>
                      <w:rFonts w:ascii="Times New Roman" w:hAnsi="Times New Roman"/>
                      <w:b/>
                      <w:bCs w:val="0"/>
                      <w:color w:val="000000" w:themeColor="text1"/>
                      <w:sz w:val="21"/>
                      <w:szCs w:val="21"/>
                      <w14:textFill>
                        <w14:solidFill>
                          <w14:schemeClr w14:val="tx1"/>
                        </w14:solidFill>
                      </w14:textFill>
                    </w:rPr>
                    <w:t>序号</w:t>
                  </w:r>
                </w:p>
              </w:tc>
              <w:tc>
                <w:tcPr>
                  <w:tcW w:w="2744" w:type="pct"/>
                  <w:tcBorders>
                    <w:tl2br w:val="nil"/>
                    <w:tr2bl w:val="nil"/>
                  </w:tcBorders>
                  <w:vAlign w:val="center"/>
                </w:tcPr>
                <w:p w14:paraId="3F9EE098">
                  <w:pPr>
                    <w:pStyle w:val="8"/>
                    <w:adjustRightInd w:val="0"/>
                    <w:snapToGrid w:val="0"/>
                    <w:spacing w:line="240" w:lineRule="auto"/>
                    <w:jc w:val="center"/>
                    <w:rPr>
                      <w:rFonts w:ascii="Times New Roman" w:hAnsi="Times New Roman"/>
                      <w:b/>
                      <w:bCs w:val="0"/>
                      <w:color w:val="000000" w:themeColor="text1"/>
                      <w:sz w:val="21"/>
                      <w:szCs w:val="21"/>
                      <w14:textFill>
                        <w14:solidFill>
                          <w14:schemeClr w14:val="tx1"/>
                        </w14:solidFill>
                      </w14:textFill>
                    </w:rPr>
                  </w:pPr>
                  <w:r>
                    <w:rPr>
                      <w:rFonts w:ascii="Times New Roman" w:hAnsi="Times New Roman"/>
                      <w:b/>
                      <w:bCs w:val="0"/>
                      <w:color w:val="000000" w:themeColor="text1"/>
                      <w:sz w:val="21"/>
                      <w:szCs w:val="21"/>
                      <w14:textFill>
                        <w14:solidFill>
                          <w14:schemeClr w14:val="tx1"/>
                        </w14:solidFill>
                      </w14:textFill>
                    </w:rPr>
                    <w:t>预测点</w:t>
                  </w:r>
                </w:p>
              </w:tc>
              <w:tc>
                <w:tcPr>
                  <w:tcW w:w="1443" w:type="pct"/>
                  <w:tcBorders>
                    <w:tl2br w:val="nil"/>
                    <w:tr2bl w:val="nil"/>
                  </w:tcBorders>
                  <w:vAlign w:val="center"/>
                </w:tcPr>
                <w:p w14:paraId="3CD8BF6C">
                  <w:pPr>
                    <w:pStyle w:val="8"/>
                    <w:adjustRightInd w:val="0"/>
                    <w:snapToGrid w:val="0"/>
                    <w:spacing w:line="240" w:lineRule="auto"/>
                    <w:jc w:val="center"/>
                    <w:rPr>
                      <w:rFonts w:ascii="Times New Roman" w:hAnsi="Times New Roman"/>
                      <w:b/>
                      <w:bCs w:val="0"/>
                      <w:color w:val="000000" w:themeColor="text1"/>
                      <w:sz w:val="21"/>
                      <w:szCs w:val="21"/>
                      <w14:textFill>
                        <w14:solidFill>
                          <w14:schemeClr w14:val="tx1"/>
                        </w14:solidFill>
                      </w14:textFill>
                    </w:rPr>
                  </w:pPr>
                  <w:r>
                    <w:rPr>
                      <w:rFonts w:ascii="Times New Roman" w:hAnsi="Times New Roman"/>
                      <w:b/>
                      <w:bCs w:val="0"/>
                      <w:color w:val="000000" w:themeColor="text1"/>
                      <w:sz w:val="21"/>
                      <w:szCs w:val="21"/>
                      <w14:textFill>
                        <w14:solidFill>
                          <w14:schemeClr w14:val="tx1"/>
                        </w14:solidFill>
                      </w14:textFill>
                    </w:rPr>
                    <w:t>贡献值</w:t>
                  </w:r>
                </w:p>
              </w:tc>
            </w:tr>
            <w:tr w14:paraId="34C395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12" w:type="pct"/>
                  <w:tcBorders>
                    <w:tl2br w:val="nil"/>
                    <w:tr2bl w:val="nil"/>
                  </w:tcBorders>
                  <w:vAlign w:val="center"/>
                </w:tcPr>
                <w:p w14:paraId="6F4B537E">
                  <w:pPr>
                    <w:pStyle w:val="8"/>
                    <w:adjustRightInd w:val="0"/>
                    <w:snapToGrid w:val="0"/>
                    <w:spacing w:line="240" w:lineRule="auto"/>
                    <w:jc w:val="center"/>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1</w:t>
                  </w:r>
                </w:p>
              </w:tc>
              <w:tc>
                <w:tcPr>
                  <w:tcW w:w="2744" w:type="pct"/>
                  <w:tcBorders>
                    <w:tl2br w:val="nil"/>
                    <w:tr2bl w:val="nil"/>
                  </w:tcBorders>
                  <w:vAlign w:val="center"/>
                </w:tcPr>
                <w:p w14:paraId="782DE032">
                  <w:pPr>
                    <w:pStyle w:val="8"/>
                    <w:adjustRightInd w:val="0"/>
                    <w:snapToGrid w:val="0"/>
                    <w:spacing w:line="240" w:lineRule="auto"/>
                    <w:jc w:val="center"/>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拟建</w:t>
                  </w:r>
                  <w:r>
                    <w:rPr>
                      <w:rFonts w:hint="eastAsia" w:ascii="Times New Roman" w:hAnsi="Times New Roman"/>
                      <w:bCs/>
                      <w:color w:val="000000" w:themeColor="text1"/>
                      <w:sz w:val="21"/>
                      <w:szCs w:val="21"/>
                      <w14:textFill>
                        <w14:solidFill>
                          <w14:schemeClr w14:val="tx1"/>
                        </w14:solidFill>
                      </w14:textFill>
                    </w:rPr>
                    <w:t>22</w:t>
                  </w:r>
                  <w:r>
                    <w:rPr>
                      <w:rFonts w:ascii="Times New Roman" w:hAnsi="Times New Roman"/>
                      <w:bCs/>
                      <w:color w:val="000000" w:themeColor="text1"/>
                      <w:sz w:val="21"/>
                      <w:szCs w:val="21"/>
                      <w14:textFill>
                        <w14:solidFill>
                          <w14:schemeClr w14:val="tx1"/>
                        </w14:solidFill>
                      </w14:textFill>
                    </w:rPr>
                    <w:t>0</w:t>
                  </w:r>
                  <w:r>
                    <w:rPr>
                      <w:rFonts w:hint="eastAsia" w:ascii="Times New Roman" w:hAnsi="Times New Roman"/>
                      <w:bCs/>
                      <w:color w:val="000000" w:themeColor="text1"/>
                      <w:sz w:val="21"/>
                      <w:szCs w:val="21"/>
                      <w14:textFill>
                        <w14:solidFill>
                          <w14:schemeClr w14:val="tx1"/>
                        </w14:solidFill>
                      </w14:textFill>
                    </w:rPr>
                    <w:t>kV</w:t>
                  </w:r>
                  <w:r>
                    <w:rPr>
                      <w:rFonts w:ascii="Times New Roman" w:hAnsi="Times New Roman"/>
                      <w:bCs/>
                      <w:color w:val="000000" w:themeColor="text1"/>
                      <w:sz w:val="21"/>
                      <w:szCs w:val="21"/>
                      <w14:textFill>
                        <w14:solidFill>
                          <w14:schemeClr w14:val="tx1"/>
                        </w14:solidFill>
                      </w14:textFill>
                    </w:rPr>
                    <w:t>升压</w:t>
                  </w:r>
                  <w:r>
                    <w:rPr>
                      <w:rFonts w:hint="eastAsia" w:ascii="Times New Roman" w:hAnsi="Times New Roman"/>
                      <w:bCs/>
                      <w:color w:val="000000" w:themeColor="text1"/>
                      <w:sz w:val="21"/>
                      <w:szCs w:val="21"/>
                      <w:lang w:eastAsia="zh-CN"/>
                      <w14:textFill>
                        <w14:solidFill>
                          <w14:schemeClr w14:val="tx1"/>
                        </w14:solidFill>
                      </w14:textFill>
                    </w:rPr>
                    <w:t>汇集</w:t>
                  </w:r>
                  <w:r>
                    <w:rPr>
                      <w:rFonts w:ascii="Times New Roman" w:hAnsi="Times New Roman"/>
                      <w:bCs/>
                      <w:color w:val="000000" w:themeColor="text1"/>
                      <w:sz w:val="21"/>
                      <w:szCs w:val="21"/>
                      <w14:textFill>
                        <w14:solidFill>
                          <w14:schemeClr w14:val="tx1"/>
                        </w14:solidFill>
                      </w14:textFill>
                    </w:rPr>
                    <w:t>站北侧</w:t>
                  </w:r>
                  <w:r>
                    <w:rPr>
                      <w:rFonts w:hint="eastAsia" w:ascii="Times New Roman" w:hAnsi="Times New Roman"/>
                      <w:bCs/>
                      <w:color w:val="000000" w:themeColor="text1"/>
                      <w:sz w:val="21"/>
                      <w:szCs w:val="21"/>
                      <w14:textFill>
                        <w14:solidFill>
                          <w14:schemeClr w14:val="tx1"/>
                        </w14:solidFill>
                      </w14:textFill>
                    </w:rPr>
                    <w:t>围墙外</w:t>
                  </w:r>
                  <w:r>
                    <w:rPr>
                      <w:rFonts w:hint="eastAsia" w:ascii="Times New Roman" w:hAnsi="Times New Roman"/>
                      <w:bCs/>
                      <w:color w:val="000000" w:themeColor="text1"/>
                      <w:sz w:val="21"/>
                      <w:szCs w:val="21"/>
                      <w:lang w:val="en-US" w:eastAsia="zh-CN"/>
                      <w14:textFill>
                        <w14:solidFill>
                          <w14:schemeClr w14:val="tx1"/>
                        </w14:solidFill>
                      </w14:textFill>
                    </w:rPr>
                    <w:t xml:space="preserve">1  </w:t>
                  </w:r>
                  <w:r>
                    <w:rPr>
                      <w:rFonts w:hint="eastAsia" w:ascii="Times New Roman" w:hAnsi="Times New Roman"/>
                      <w:bCs/>
                      <w:color w:val="000000" w:themeColor="text1"/>
                      <w:sz w:val="21"/>
                      <w:szCs w:val="21"/>
                      <w14:textFill>
                        <w14:solidFill>
                          <w14:schemeClr w14:val="tx1"/>
                        </w14:solidFill>
                      </w14:textFill>
                    </w:rPr>
                    <w:t>1</w:t>
                  </w:r>
                  <w:r>
                    <w:rPr>
                      <w:rFonts w:hint="eastAsia" w:ascii="Times New Roman" w:hAnsi="Times New Roman"/>
                      <w:bCs/>
                      <w:color w:val="000000" w:themeColor="text1"/>
                      <w:sz w:val="21"/>
                      <w:szCs w:val="21"/>
                      <w:lang w:val="en-US" w:eastAsia="zh-CN"/>
                      <w14:textFill>
                        <w14:solidFill>
                          <w14:schemeClr w14:val="tx1"/>
                        </w14:solidFill>
                      </w14:textFill>
                    </w:rPr>
                    <w:t>m</w:t>
                  </w:r>
                  <w:r>
                    <w:rPr>
                      <w:rFonts w:hint="eastAsia" w:ascii="Times New Roman" w:hAnsi="Times New Roman"/>
                      <w:bCs/>
                      <w:color w:val="000000" w:themeColor="text1"/>
                      <w:sz w:val="21"/>
                      <w:szCs w:val="21"/>
                      <w14:textFill>
                        <w14:solidFill>
                          <w14:schemeClr w14:val="tx1"/>
                        </w14:solidFill>
                      </w14:textFill>
                    </w:rPr>
                    <w:t>处</w:t>
                  </w:r>
                </w:p>
              </w:tc>
              <w:tc>
                <w:tcPr>
                  <w:tcW w:w="1443" w:type="pct"/>
                  <w:tcBorders>
                    <w:tl2br w:val="nil"/>
                    <w:tr2bl w:val="nil"/>
                  </w:tcBorders>
                  <w:vAlign w:val="center"/>
                </w:tcPr>
                <w:p w14:paraId="21958AE7">
                  <w:pPr>
                    <w:pStyle w:val="8"/>
                    <w:adjustRightInd w:val="0"/>
                    <w:snapToGrid w:val="0"/>
                    <w:spacing w:line="240" w:lineRule="auto"/>
                    <w:jc w:val="center"/>
                    <w:rPr>
                      <w:rFonts w:hint="default" w:ascii="Times New Roman" w:hAnsi="Times New Roman" w:eastAsia="宋体"/>
                      <w:bCs/>
                      <w:color w:val="000000" w:themeColor="text1"/>
                      <w:sz w:val="21"/>
                      <w:szCs w:val="21"/>
                      <w:lang w:val="en-US"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43</w:t>
                  </w:r>
                </w:p>
              </w:tc>
            </w:tr>
            <w:tr w14:paraId="09FCBB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12" w:type="pct"/>
                  <w:tcBorders>
                    <w:tl2br w:val="nil"/>
                    <w:tr2bl w:val="nil"/>
                  </w:tcBorders>
                  <w:vAlign w:val="center"/>
                </w:tcPr>
                <w:p w14:paraId="087B01F1">
                  <w:pPr>
                    <w:pStyle w:val="8"/>
                    <w:adjustRightInd w:val="0"/>
                    <w:snapToGrid w:val="0"/>
                    <w:spacing w:line="240" w:lineRule="auto"/>
                    <w:jc w:val="center"/>
                    <w:rPr>
                      <w:rFonts w:hint="eastAsia" w:ascii="Times New Roman" w:hAnsi="Times New Roman" w:eastAsia="宋体"/>
                      <w:bCs/>
                      <w:color w:val="000000" w:themeColor="text1"/>
                      <w:sz w:val="21"/>
                      <w:szCs w:val="21"/>
                      <w:lang w:val="en-US"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2</w:t>
                  </w:r>
                </w:p>
              </w:tc>
              <w:tc>
                <w:tcPr>
                  <w:tcW w:w="2744" w:type="pct"/>
                  <w:tcBorders>
                    <w:tl2br w:val="nil"/>
                    <w:tr2bl w:val="nil"/>
                  </w:tcBorders>
                  <w:vAlign w:val="center"/>
                </w:tcPr>
                <w:p w14:paraId="2B614169">
                  <w:pPr>
                    <w:pStyle w:val="8"/>
                    <w:adjustRightInd w:val="0"/>
                    <w:snapToGrid w:val="0"/>
                    <w:spacing w:line="240" w:lineRule="auto"/>
                    <w:jc w:val="center"/>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拟建</w:t>
                  </w:r>
                  <w:r>
                    <w:rPr>
                      <w:rFonts w:hint="eastAsia" w:ascii="Times New Roman" w:hAnsi="Times New Roman"/>
                      <w:bCs/>
                      <w:color w:val="000000" w:themeColor="text1"/>
                      <w:sz w:val="21"/>
                      <w:szCs w:val="21"/>
                      <w14:textFill>
                        <w14:solidFill>
                          <w14:schemeClr w14:val="tx1"/>
                        </w14:solidFill>
                      </w14:textFill>
                    </w:rPr>
                    <w:t>22</w:t>
                  </w:r>
                  <w:r>
                    <w:rPr>
                      <w:rFonts w:ascii="Times New Roman" w:hAnsi="Times New Roman"/>
                      <w:bCs/>
                      <w:color w:val="000000" w:themeColor="text1"/>
                      <w:sz w:val="21"/>
                      <w:szCs w:val="21"/>
                      <w14:textFill>
                        <w14:solidFill>
                          <w14:schemeClr w14:val="tx1"/>
                        </w14:solidFill>
                      </w14:textFill>
                    </w:rPr>
                    <w:t>0</w:t>
                  </w:r>
                  <w:r>
                    <w:rPr>
                      <w:rFonts w:hint="eastAsia" w:ascii="Times New Roman" w:hAnsi="Times New Roman"/>
                      <w:bCs/>
                      <w:color w:val="000000" w:themeColor="text1"/>
                      <w:sz w:val="21"/>
                      <w:szCs w:val="21"/>
                      <w14:textFill>
                        <w14:solidFill>
                          <w14:schemeClr w14:val="tx1"/>
                        </w14:solidFill>
                      </w14:textFill>
                    </w:rPr>
                    <w:t>kV</w:t>
                  </w:r>
                  <w:r>
                    <w:rPr>
                      <w:rFonts w:ascii="Times New Roman" w:hAnsi="Times New Roman"/>
                      <w:bCs/>
                      <w:color w:val="000000" w:themeColor="text1"/>
                      <w:sz w:val="21"/>
                      <w:szCs w:val="21"/>
                      <w14:textFill>
                        <w14:solidFill>
                          <w14:schemeClr w14:val="tx1"/>
                        </w14:solidFill>
                      </w14:textFill>
                    </w:rPr>
                    <w:t>升压</w:t>
                  </w:r>
                  <w:r>
                    <w:rPr>
                      <w:rFonts w:hint="eastAsia" w:ascii="Times New Roman" w:hAnsi="Times New Roman"/>
                      <w:bCs/>
                      <w:color w:val="000000" w:themeColor="text1"/>
                      <w:sz w:val="21"/>
                      <w:szCs w:val="21"/>
                      <w:lang w:eastAsia="zh-CN"/>
                      <w14:textFill>
                        <w14:solidFill>
                          <w14:schemeClr w14:val="tx1"/>
                        </w14:solidFill>
                      </w14:textFill>
                    </w:rPr>
                    <w:t>汇集</w:t>
                  </w:r>
                  <w:r>
                    <w:rPr>
                      <w:rFonts w:ascii="Times New Roman" w:hAnsi="Times New Roman"/>
                      <w:bCs/>
                      <w:color w:val="000000" w:themeColor="text1"/>
                      <w:sz w:val="21"/>
                      <w:szCs w:val="21"/>
                      <w14:textFill>
                        <w14:solidFill>
                          <w14:schemeClr w14:val="tx1"/>
                        </w14:solidFill>
                      </w14:textFill>
                    </w:rPr>
                    <w:t>站北侧</w:t>
                  </w:r>
                  <w:r>
                    <w:rPr>
                      <w:rFonts w:hint="eastAsia" w:ascii="Times New Roman" w:hAnsi="Times New Roman"/>
                      <w:bCs/>
                      <w:color w:val="000000" w:themeColor="text1"/>
                      <w:sz w:val="21"/>
                      <w:szCs w:val="21"/>
                      <w14:textFill>
                        <w14:solidFill>
                          <w14:schemeClr w14:val="tx1"/>
                        </w14:solidFill>
                      </w14:textFill>
                    </w:rPr>
                    <w:t>围墙外</w:t>
                  </w:r>
                  <w:r>
                    <w:rPr>
                      <w:rFonts w:hint="eastAsia" w:ascii="Times New Roman" w:hAnsi="Times New Roman"/>
                      <w:bCs/>
                      <w:color w:val="000000" w:themeColor="text1"/>
                      <w:sz w:val="21"/>
                      <w:szCs w:val="21"/>
                      <w:lang w:val="en-US" w:eastAsia="zh-CN"/>
                      <w14:textFill>
                        <w14:solidFill>
                          <w14:schemeClr w14:val="tx1"/>
                        </w14:solidFill>
                      </w14:textFill>
                    </w:rPr>
                    <w:t xml:space="preserve">2  </w:t>
                  </w:r>
                  <w:r>
                    <w:rPr>
                      <w:rFonts w:hint="eastAsia" w:ascii="Times New Roman" w:hAnsi="Times New Roman"/>
                      <w:bCs/>
                      <w:color w:val="000000" w:themeColor="text1"/>
                      <w:sz w:val="21"/>
                      <w:szCs w:val="21"/>
                      <w14:textFill>
                        <w14:solidFill>
                          <w14:schemeClr w14:val="tx1"/>
                        </w14:solidFill>
                      </w14:textFill>
                    </w:rPr>
                    <w:t>1</w:t>
                  </w:r>
                  <w:r>
                    <w:rPr>
                      <w:rFonts w:hint="eastAsia" w:ascii="Times New Roman" w:hAnsi="Times New Roman"/>
                      <w:bCs/>
                      <w:color w:val="000000" w:themeColor="text1"/>
                      <w:sz w:val="21"/>
                      <w:szCs w:val="21"/>
                      <w:lang w:val="en-US" w:eastAsia="zh-CN"/>
                      <w14:textFill>
                        <w14:solidFill>
                          <w14:schemeClr w14:val="tx1"/>
                        </w14:solidFill>
                      </w14:textFill>
                    </w:rPr>
                    <w:t>m</w:t>
                  </w:r>
                  <w:r>
                    <w:rPr>
                      <w:rFonts w:hint="eastAsia" w:ascii="Times New Roman" w:hAnsi="Times New Roman"/>
                      <w:bCs/>
                      <w:color w:val="000000" w:themeColor="text1"/>
                      <w:sz w:val="21"/>
                      <w:szCs w:val="21"/>
                      <w14:textFill>
                        <w14:solidFill>
                          <w14:schemeClr w14:val="tx1"/>
                        </w14:solidFill>
                      </w14:textFill>
                    </w:rPr>
                    <w:t>处</w:t>
                  </w:r>
                </w:p>
              </w:tc>
              <w:tc>
                <w:tcPr>
                  <w:tcW w:w="1443" w:type="pct"/>
                  <w:tcBorders>
                    <w:tl2br w:val="nil"/>
                    <w:tr2bl w:val="nil"/>
                  </w:tcBorders>
                  <w:vAlign w:val="center"/>
                </w:tcPr>
                <w:p w14:paraId="7578BC4E">
                  <w:pPr>
                    <w:pStyle w:val="8"/>
                    <w:adjustRightInd w:val="0"/>
                    <w:snapToGrid w:val="0"/>
                    <w:spacing w:line="240" w:lineRule="auto"/>
                    <w:jc w:val="center"/>
                    <w:rPr>
                      <w:rFonts w:hint="default" w:ascii="Times New Roman" w:hAnsi="Times New Roman"/>
                      <w:bCs/>
                      <w:color w:val="000000" w:themeColor="text1"/>
                      <w:sz w:val="21"/>
                      <w:szCs w:val="21"/>
                      <w:lang w:val="en-US"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27</w:t>
                  </w:r>
                </w:p>
              </w:tc>
            </w:tr>
            <w:tr w14:paraId="73F97B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812" w:type="pct"/>
                  <w:tcBorders>
                    <w:tl2br w:val="nil"/>
                    <w:tr2bl w:val="nil"/>
                  </w:tcBorders>
                  <w:vAlign w:val="center"/>
                </w:tcPr>
                <w:p w14:paraId="30BD10F0">
                  <w:pPr>
                    <w:pStyle w:val="8"/>
                    <w:adjustRightInd w:val="0"/>
                    <w:snapToGrid w:val="0"/>
                    <w:spacing w:line="240" w:lineRule="auto"/>
                    <w:jc w:val="center"/>
                    <w:rPr>
                      <w:rFonts w:hint="eastAsia" w:ascii="Times New Roman" w:hAnsi="Times New Roman" w:eastAsia="宋体"/>
                      <w:bCs/>
                      <w:color w:val="000000" w:themeColor="text1"/>
                      <w:sz w:val="21"/>
                      <w:szCs w:val="21"/>
                      <w:lang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3</w:t>
                  </w:r>
                </w:p>
              </w:tc>
              <w:tc>
                <w:tcPr>
                  <w:tcW w:w="2744" w:type="pct"/>
                  <w:tcBorders>
                    <w:tl2br w:val="nil"/>
                    <w:tr2bl w:val="nil"/>
                  </w:tcBorders>
                  <w:vAlign w:val="center"/>
                </w:tcPr>
                <w:p w14:paraId="7042B141">
                  <w:pPr>
                    <w:pStyle w:val="8"/>
                    <w:adjustRightInd w:val="0"/>
                    <w:snapToGrid w:val="0"/>
                    <w:spacing w:line="240" w:lineRule="auto"/>
                    <w:jc w:val="center"/>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拟建</w:t>
                  </w:r>
                  <w:r>
                    <w:rPr>
                      <w:rFonts w:hint="eastAsia" w:ascii="Times New Roman" w:hAnsi="Times New Roman"/>
                      <w:bCs/>
                      <w:color w:val="000000" w:themeColor="text1"/>
                      <w:sz w:val="21"/>
                      <w:szCs w:val="21"/>
                      <w14:textFill>
                        <w14:solidFill>
                          <w14:schemeClr w14:val="tx1"/>
                        </w14:solidFill>
                      </w14:textFill>
                    </w:rPr>
                    <w:t>22</w:t>
                  </w:r>
                  <w:r>
                    <w:rPr>
                      <w:rFonts w:ascii="Times New Roman" w:hAnsi="Times New Roman"/>
                      <w:bCs/>
                      <w:color w:val="000000" w:themeColor="text1"/>
                      <w:sz w:val="21"/>
                      <w:szCs w:val="21"/>
                      <w14:textFill>
                        <w14:solidFill>
                          <w14:schemeClr w14:val="tx1"/>
                        </w14:solidFill>
                      </w14:textFill>
                    </w:rPr>
                    <w:t>0</w:t>
                  </w:r>
                  <w:r>
                    <w:rPr>
                      <w:rFonts w:hint="eastAsia" w:ascii="Times New Roman" w:hAnsi="Times New Roman"/>
                      <w:bCs/>
                      <w:color w:val="000000" w:themeColor="text1"/>
                      <w:sz w:val="21"/>
                      <w:szCs w:val="21"/>
                      <w14:textFill>
                        <w14:solidFill>
                          <w14:schemeClr w14:val="tx1"/>
                        </w14:solidFill>
                      </w14:textFill>
                    </w:rPr>
                    <w:t>kV</w:t>
                  </w:r>
                  <w:r>
                    <w:rPr>
                      <w:rFonts w:ascii="Times New Roman" w:hAnsi="Times New Roman"/>
                      <w:bCs/>
                      <w:color w:val="000000" w:themeColor="text1"/>
                      <w:sz w:val="21"/>
                      <w:szCs w:val="21"/>
                      <w14:textFill>
                        <w14:solidFill>
                          <w14:schemeClr w14:val="tx1"/>
                        </w14:solidFill>
                      </w14:textFill>
                    </w:rPr>
                    <w:t>升压</w:t>
                  </w:r>
                  <w:r>
                    <w:rPr>
                      <w:rFonts w:hint="eastAsia" w:ascii="Times New Roman" w:hAnsi="Times New Roman"/>
                      <w:bCs/>
                      <w:color w:val="000000" w:themeColor="text1"/>
                      <w:sz w:val="21"/>
                      <w:szCs w:val="21"/>
                      <w:lang w:eastAsia="zh-CN"/>
                      <w14:textFill>
                        <w14:solidFill>
                          <w14:schemeClr w14:val="tx1"/>
                        </w14:solidFill>
                      </w14:textFill>
                    </w:rPr>
                    <w:t>汇集</w:t>
                  </w:r>
                  <w:r>
                    <w:rPr>
                      <w:rFonts w:ascii="Times New Roman" w:hAnsi="Times New Roman"/>
                      <w:bCs/>
                      <w:color w:val="000000" w:themeColor="text1"/>
                      <w:sz w:val="21"/>
                      <w:szCs w:val="21"/>
                      <w14:textFill>
                        <w14:solidFill>
                          <w14:schemeClr w14:val="tx1"/>
                        </w14:solidFill>
                      </w14:textFill>
                    </w:rPr>
                    <w:t>站东侧</w:t>
                  </w:r>
                  <w:r>
                    <w:rPr>
                      <w:rFonts w:hint="eastAsia" w:ascii="Times New Roman" w:hAnsi="Times New Roman"/>
                      <w:bCs/>
                      <w:color w:val="000000" w:themeColor="text1"/>
                      <w:sz w:val="21"/>
                      <w:szCs w:val="21"/>
                      <w14:textFill>
                        <w14:solidFill>
                          <w14:schemeClr w14:val="tx1"/>
                        </w14:solidFill>
                      </w14:textFill>
                    </w:rPr>
                    <w:t>围墙外</w:t>
                  </w:r>
                  <w:r>
                    <w:rPr>
                      <w:rFonts w:hint="eastAsia" w:ascii="Times New Roman" w:hAnsi="Times New Roman"/>
                      <w:bCs/>
                      <w:color w:val="000000" w:themeColor="text1"/>
                      <w:sz w:val="21"/>
                      <w:szCs w:val="21"/>
                      <w:lang w:val="en-US" w:eastAsia="zh-CN"/>
                      <w14:textFill>
                        <w14:solidFill>
                          <w14:schemeClr w14:val="tx1"/>
                        </w14:solidFill>
                      </w14:textFill>
                    </w:rPr>
                    <w:t xml:space="preserve">  </w:t>
                  </w:r>
                  <w:r>
                    <w:rPr>
                      <w:rFonts w:hint="eastAsia" w:ascii="Times New Roman" w:hAnsi="Times New Roman"/>
                      <w:bCs/>
                      <w:color w:val="000000" w:themeColor="text1"/>
                      <w:sz w:val="21"/>
                      <w:szCs w:val="21"/>
                      <w14:textFill>
                        <w14:solidFill>
                          <w14:schemeClr w14:val="tx1"/>
                        </w14:solidFill>
                      </w14:textFill>
                    </w:rPr>
                    <w:t>1</w:t>
                  </w:r>
                  <w:r>
                    <w:rPr>
                      <w:rFonts w:hint="eastAsia" w:ascii="Times New Roman" w:hAnsi="Times New Roman"/>
                      <w:bCs/>
                      <w:color w:val="000000" w:themeColor="text1"/>
                      <w:sz w:val="21"/>
                      <w:szCs w:val="21"/>
                      <w:lang w:val="en-US" w:eastAsia="zh-CN"/>
                      <w14:textFill>
                        <w14:solidFill>
                          <w14:schemeClr w14:val="tx1"/>
                        </w14:solidFill>
                      </w14:textFill>
                    </w:rPr>
                    <w:t>m</w:t>
                  </w:r>
                  <w:r>
                    <w:rPr>
                      <w:rFonts w:hint="eastAsia" w:ascii="Times New Roman" w:hAnsi="Times New Roman"/>
                      <w:bCs/>
                      <w:color w:val="000000" w:themeColor="text1"/>
                      <w:sz w:val="21"/>
                      <w:szCs w:val="21"/>
                      <w14:textFill>
                        <w14:solidFill>
                          <w14:schemeClr w14:val="tx1"/>
                        </w14:solidFill>
                      </w14:textFill>
                    </w:rPr>
                    <w:t>处</w:t>
                  </w:r>
                </w:p>
              </w:tc>
              <w:tc>
                <w:tcPr>
                  <w:tcW w:w="1443" w:type="pct"/>
                  <w:tcBorders>
                    <w:tl2br w:val="nil"/>
                    <w:tr2bl w:val="nil"/>
                  </w:tcBorders>
                  <w:vAlign w:val="center"/>
                </w:tcPr>
                <w:p w14:paraId="11460C77">
                  <w:pPr>
                    <w:pStyle w:val="8"/>
                    <w:adjustRightInd w:val="0"/>
                    <w:snapToGrid w:val="0"/>
                    <w:spacing w:line="240" w:lineRule="auto"/>
                    <w:jc w:val="center"/>
                    <w:rPr>
                      <w:rFonts w:hint="default" w:ascii="Times New Roman" w:hAnsi="Times New Roman" w:eastAsia="宋体"/>
                      <w:bCs/>
                      <w:color w:val="000000" w:themeColor="text1"/>
                      <w:sz w:val="21"/>
                      <w:szCs w:val="21"/>
                      <w:lang w:val="en-US"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30</w:t>
                  </w:r>
                </w:p>
              </w:tc>
            </w:tr>
            <w:tr w14:paraId="03C37A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12" w:type="pct"/>
                  <w:tcBorders>
                    <w:tl2br w:val="nil"/>
                    <w:tr2bl w:val="nil"/>
                  </w:tcBorders>
                  <w:vAlign w:val="center"/>
                </w:tcPr>
                <w:p w14:paraId="7BD7F8B8">
                  <w:pPr>
                    <w:pStyle w:val="8"/>
                    <w:adjustRightInd w:val="0"/>
                    <w:snapToGrid w:val="0"/>
                    <w:spacing w:line="240" w:lineRule="auto"/>
                    <w:jc w:val="center"/>
                    <w:rPr>
                      <w:rFonts w:hint="eastAsia" w:ascii="Times New Roman" w:hAnsi="Times New Roman" w:eastAsia="宋体"/>
                      <w:bCs/>
                      <w:color w:val="000000" w:themeColor="text1"/>
                      <w:sz w:val="21"/>
                      <w:szCs w:val="21"/>
                      <w:lang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4</w:t>
                  </w:r>
                </w:p>
              </w:tc>
              <w:tc>
                <w:tcPr>
                  <w:tcW w:w="2744" w:type="pct"/>
                  <w:tcBorders>
                    <w:tl2br w:val="nil"/>
                    <w:tr2bl w:val="nil"/>
                  </w:tcBorders>
                  <w:vAlign w:val="center"/>
                </w:tcPr>
                <w:p w14:paraId="6DC872FF">
                  <w:pPr>
                    <w:pStyle w:val="8"/>
                    <w:adjustRightInd w:val="0"/>
                    <w:snapToGrid w:val="0"/>
                    <w:spacing w:line="240" w:lineRule="auto"/>
                    <w:jc w:val="center"/>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拟建</w:t>
                  </w:r>
                  <w:r>
                    <w:rPr>
                      <w:rFonts w:hint="eastAsia" w:ascii="Times New Roman" w:hAnsi="Times New Roman"/>
                      <w:bCs/>
                      <w:color w:val="000000" w:themeColor="text1"/>
                      <w:sz w:val="21"/>
                      <w:szCs w:val="21"/>
                      <w14:textFill>
                        <w14:solidFill>
                          <w14:schemeClr w14:val="tx1"/>
                        </w14:solidFill>
                      </w14:textFill>
                    </w:rPr>
                    <w:t>22</w:t>
                  </w:r>
                  <w:r>
                    <w:rPr>
                      <w:rFonts w:ascii="Times New Roman" w:hAnsi="Times New Roman"/>
                      <w:bCs/>
                      <w:color w:val="000000" w:themeColor="text1"/>
                      <w:sz w:val="21"/>
                      <w:szCs w:val="21"/>
                      <w14:textFill>
                        <w14:solidFill>
                          <w14:schemeClr w14:val="tx1"/>
                        </w14:solidFill>
                      </w14:textFill>
                    </w:rPr>
                    <w:t>0</w:t>
                  </w:r>
                  <w:r>
                    <w:rPr>
                      <w:rFonts w:hint="eastAsia" w:ascii="Times New Roman" w:hAnsi="Times New Roman"/>
                      <w:bCs/>
                      <w:color w:val="000000" w:themeColor="text1"/>
                      <w:sz w:val="21"/>
                      <w:szCs w:val="21"/>
                      <w14:textFill>
                        <w14:solidFill>
                          <w14:schemeClr w14:val="tx1"/>
                        </w14:solidFill>
                      </w14:textFill>
                    </w:rPr>
                    <w:t>kV</w:t>
                  </w:r>
                  <w:r>
                    <w:rPr>
                      <w:rFonts w:ascii="Times New Roman" w:hAnsi="Times New Roman"/>
                      <w:bCs/>
                      <w:color w:val="000000" w:themeColor="text1"/>
                      <w:sz w:val="21"/>
                      <w:szCs w:val="21"/>
                      <w14:textFill>
                        <w14:solidFill>
                          <w14:schemeClr w14:val="tx1"/>
                        </w14:solidFill>
                      </w14:textFill>
                    </w:rPr>
                    <w:t>升压</w:t>
                  </w:r>
                  <w:r>
                    <w:rPr>
                      <w:rFonts w:hint="eastAsia" w:ascii="Times New Roman" w:hAnsi="Times New Roman"/>
                      <w:bCs/>
                      <w:color w:val="000000" w:themeColor="text1"/>
                      <w:sz w:val="21"/>
                      <w:szCs w:val="21"/>
                      <w:lang w:eastAsia="zh-CN"/>
                      <w14:textFill>
                        <w14:solidFill>
                          <w14:schemeClr w14:val="tx1"/>
                        </w14:solidFill>
                      </w14:textFill>
                    </w:rPr>
                    <w:t>汇集</w:t>
                  </w:r>
                  <w:r>
                    <w:rPr>
                      <w:rFonts w:ascii="Times New Roman" w:hAnsi="Times New Roman"/>
                      <w:bCs/>
                      <w:color w:val="000000" w:themeColor="text1"/>
                      <w:sz w:val="21"/>
                      <w:szCs w:val="21"/>
                      <w14:textFill>
                        <w14:solidFill>
                          <w14:schemeClr w14:val="tx1"/>
                        </w14:solidFill>
                      </w14:textFill>
                    </w:rPr>
                    <w:t>站南侧</w:t>
                  </w:r>
                  <w:r>
                    <w:rPr>
                      <w:rFonts w:hint="eastAsia" w:ascii="Times New Roman" w:hAnsi="Times New Roman"/>
                      <w:bCs/>
                      <w:color w:val="000000" w:themeColor="text1"/>
                      <w:sz w:val="21"/>
                      <w:szCs w:val="21"/>
                      <w14:textFill>
                        <w14:solidFill>
                          <w14:schemeClr w14:val="tx1"/>
                        </w14:solidFill>
                      </w14:textFill>
                    </w:rPr>
                    <w:t>围墙外</w:t>
                  </w:r>
                  <w:r>
                    <w:rPr>
                      <w:rFonts w:hint="eastAsia" w:ascii="Times New Roman" w:hAnsi="Times New Roman"/>
                      <w:bCs/>
                      <w:color w:val="000000" w:themeColor="text1"/>
                      <w:sz w:val="21"/>
                      <w:szCs w:val="21"/>
                      <w:lang w:val="en-US" w:eastAsia="zh-CN"/>
                      <w14:textFill>
                        <w14:solidFill>
                          <w14:schemeClr w14:val="tx1"/>
                        </w14:solidFill>
                      </w14:textFill>
                    </w:rPr>
                    <w:t xml:space="preserve">  </w:t>
                  </w:r>
                  <w:r>
                    <w:rPr>
                      <w:rFonts w:hint="eastAsia" w:ascii="Times New Roman" w:hAnsi="Times New Roman"/>
                      <w:bCs/>
                      <w:color w:val="000000" w:themeColor="text1"/>
                      <w:sz w:val="21"/>
                      <w:szCs w:val="21"/>
                      <w14:textFill>
                        <w14:solidFill>
                          <w14:schemeClr w14:val="tx1"/>
                        </w14:solidFill>
                      </w14:textFill>
                    </w:rPr>
                    <w:t>1</w:t>
                  </w:r>
                  <w:r>
                    <w:rPr>
                      <w:rFonts w:hint="eastAsia" w:ascii="Times New Roman" w:hAnsi="Times New Roman"/>
                      <w:bCs/>
                      <w:color w:val="000000" w:themeColor="text1"/>
                      <w:sz w:val="21"/>
                      <w:szCs w:val="21"/>
                      <w:lang w:val="en-US" w:eastAsia="zh-CN"/>
                      <w14:textFill>
                        <w14:solidFill>
                          <w14:schemeClr w14:val="tx1"/>
                        </w14:solidFill>
                      </w14:textFill>
                    </w:rPr>
                    <w:t>m</w:t>
                  </w:r>
                  <w:r>
                    <w:rPr>
                      <w:rFonts w:hint="eastAsia" w:ascii="Times New Roman" w:hAnsi="Times New Roman"/>
                      <w:bCs/>
                      <w:color w:val="000000" w:themeColor="text1"/>
                      <w:sz w:val="21"/>
                      <w:szCs w:val="21"/>
                      <w14:textFill>
                        <w14:solidFill>
                          <w14:schemeClr w14:val="tx1"/>
                        </w14:solidFill>
                      </w14:textFill>
                    </w:rPr>
                    <w:t>处</w:t>
                  </w:r>
                </w:p>
              </w:tc>
              <w:tc>
                <w:tcPr>
                  <w:tcW w:w="1443" w:type="pct"/>
                  <w:tcBorders>
                    <w:tl2br w:val="nil"/>
                    <w:tr2bl w:val="nil"/>
                  </w:tcBorders>
                  <w:vAlign w:val="center"/>
                </w:tcPr>
                <w:p w14:paraId="044A111A">
                  <w:pPr>
                    <w:pStyle w:val="8"/>
                    <w:adjustRightInd w:val="0"/>
                    <w:snapToGrid w:val="0"/>
                    <w:spacing w:line="240" w:lineRule="auto"/>
                    <w:jc w:val="center"/>
                    <w:rPr>
                      <w:rFonts w:hint="default" w:ascii="Times New Roman" w:hAnsi="Times New Roman" w:eastAsia="宋体"/>
                      <w:bCs/>
                      <w:color w:val="000000" w:themeColor="text1"/>
                      <w:sz w:val="21"/>
                      <w:szCs w:val="21"/>
                      <w:lang w:val="en-US"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28</w:t>
                  </w:r>
                </w:p>
              </w:tc>
            </w:tr>
            <w:tr w14:paraId="7CDCC0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812" w:type="pct"/>
                  <w:tcBorders>
                    <w:tl2br w:val="nil"/>
                    <w:tr2bl w:val="nil"/>
                  </w:tcBorders>
                  <w:vAlign w:val="center"/>
                </w:tcPr>
                <w:p w14:paraId="559B3F6F">
                  <w:pPr>
                    <w:pStyle w:val="8"/>
                    <w:adjustRightInd w:val="0"/>
                    <w:snapToGrid w:val="0"/>
                    <w:spacing w:line="240" w:lineRule="auto"/>
                    <w:jc w:val="center"/>
                    <w:rPr>
                      <w:rFonts w:hint="eastAsia" w:ascii="Times New Roman" w:hAnsi="Times New Roman" w:eastAsia="宋体"/>
                      <w:bCs/>
                      <w:color w:val="000000" w:themeColor="text1"/>
                      <w:sz w:val="21"/>
                      <w:szCs w:val="21"/>
                      <w:lang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5</w:t>
                  </w:r>
                </w:p>
              </w:tc>
              <w:tc>
                <w:tcPr>
                  <w:tcW w:w="2744" w:type="pct"/>
                  <w:tcBorders>
                    <w:tl2br w:val="nil"/>
                    <w:tr2bl w:val="nil"/>
                  </w:tcBorders>
                  <w:vAlign w:val="center"/>
                </w:tcPr>
                <w:p w14:paraId="02EE93CA">
                  <w:pPr>
                    <w:pStyle w:val="8"/>
                    <w:adjustRightInd w:val="0"/>
                    <w:snapToGrid w:val="0"/>
                    <w:spacing w:line="240" w:lineRule="auto"/>
                    <w:jc w:val="center"/>
                    <w:rPr>
                      <w:rFonts w:ascii="Times New Roman" w:hAnsi="Times New Roman"/>
                      <w:bCs/>
                      <w:color w:val="000000" w:themeColor="text1"/>
                      <w:sz w:val="21"/>
                      <w:szCs w:val="21"/>
                      <w14:textFill>
                        <w14:solidFill>
                          <w14:schemeClr w14:val="tx1"/>
                        </w14:solidFill>
                      </w14:textFill>
                    </w:rPr>
                  </w:pPr>
                  <w:r>
                    <w:rPr>
                      <w:rFonts w:ascii="Times New Roman" w:hAnsi="Times New Roman"/>
                      <w:bCs/>
                      <w:color w:val="000000" w:themeColor="text1"/>
                      <w:sz w:val="21"/>
                      <w:szCs w:val="21"/>
                      <w14:textFill>
                        <w14:solidFill>
                          <w14:schemeClr w14:val="tx1"/>
                        </w14:solidFill>
                      </w14:textFill>
                    </w:rPr>
                    <w:t>拟建</w:t>
                  </w:r>
                  <w:r>
                    <w:rPr>
                      <w:rFonts w:hint="eastAsia" w:ascii="Times New Roman" w:hAnsi="Times New Roman"/>
                      <w:bCs/>
                      <w:color w:val="000000" w:themeColor="text1"/>
                      <w:sz w:val="21"/>
                      <w:szCs w:val="21"/>
                      <w14:textFill>
                        <w14:solidFill>
                          <w14:schemeClr w14:val="tx1"/>
                        </w14:solidFill>
                      </w14:textFill>
                    </w:rPr>
                    <w:t>22</w:t>
                  </w:r>
                  <w:r>
                    <w:rPr>
                      <w:rFonts w:ascii="Times New Roman" w:hAnsi="Times New Roman"/>
                      <w:bCs/>
                      <w:color w:val="000000" w:themeColor="text1"/>
                      <w:sz w:val="21"/>
                      <w:szCs w:val="21"/>
                      <w14:textFill>
                        <w14:solidFill>
                          <w14:schemeClr w14:val="tx1"/>
                        </w14:solidFill>
                      </w14:textFill>
                    </w:rPr>
                    <w:t>0</w:t>
                  </w:r>
                  <w:r>
                    <w:rPr>
                      <w:rFonts w:hint="eastAsia" w:ascii="Times New Roman" w:hAnsi="Times New Roman"/>
                      <w:bCs/>
                      <w:color w:val="000000" w:themeColor="text1"/>
                      <w:sz w:val="21"/>
                      <w:szCs w:val="21"/>
                      <w14:textFill>
                        <w14:solidFill>
                          <w14:schemeClr w14:val="tx1"/>
                        </w14:solidFill>
                      </w14:textFill>
                    </w:rPr>
                    <w:t>kV</w:t>
                  </w:r>
                  <w:r>
                    <w:rPr>
                      <w:rFonts w:ascii="Times New Roman" w:hAnsi="Times New Roman"/>
                      <w:bCs/>
                      <w:color w:val="000000" w:themeColor="text1"/>
                      <w:sz w:val="21"/>
                      <w:szCs w:val="21"/>
                      <w14:textFill>
                        <w14:solidFill>
                          <w14:schemeClr w14:val="tx1"/>
                        </w14:solidFill>
                      </w14:textFill>
                    </w:rPr>
                    <w:t>升压</w:t>
                  </w:r>
                  <w:r>
                    <w:rPr>
                      <w:rFonts w:hint="eastAsia" w:ascii="Times New Roman" w:hAnsi="Times New Roman"/>
                      <w:bCs/>
                      <w:color w:val="000000" w:themeColor="text1"/>
                      <w:sz w:val="21"/>
                      <w:szCs w:val="21"/>
                      <w:lang w:eastAsia="zh-CN"/>
                      <w14:textFill>
                        <w14:solidFill>
                          <w14:schemeClr w14:val="tx1"/>
                        </w14:solidFill>
                      </w14:textFill>
                    </w:rPr>
                    <w:t>汇集</w:t>
                  </w:r>
                  <w:r>
                    <w:rPr>
                      <w:rFonts w:ascii="Times New Roman" w:hAnsi="Times New Roman"/>
                      <w:bCs/>
                      <w:color w:val="000000" w:themeColor="text1"/>
                      <w:sz w:val="21"/>
                      <w:szCs w:val="21"/>
                      <w14:textFill>
                        <w14:solidFill>
                          <w14:schemeClr w14:val="tx1"/>
                        </w14:solidFill>
                      </w14:textFill>
                    </w:rPr>
                    <w:t>站西侧</w:t>
                  </w:r>
                  <w:r>
                    <w:rPr>
                      <w:rFonts w:hint="eastAsia" w:ascii="Times New Roman" w:hAnsi="Times New Roman"/>
                      <w:bCs/>
                      <w:color w:val="000000" w:themeColor="text1"/>
                      <w:sz w:val="21"/>
                      <w:szCs w:val="21"/>
                      <w14:textFill>
                        <w14:solidFill>
                          <w14:schemeClr w14:val="tx1"/>
                        </w14:solidFill>
                      </w14:textFill>
                    </w:rPr>
                    <w:t>围墙外</w:t>
                  </w:r>
                  <w:r>
                    <w:rPr>
                      <w:rFonts w:hint="eastAsia" w:ascii="Times New Roman" w:hAnsi="Times New Roman"/>
                      <w:bCs/>
                      <w:color w:val="000000" w:themeColor="text1"/>
                      <w:sz w:val="21"/>
                      <w:szCs w:val="21"/>
                      <w:lang w:val="en-US" w:eastAsia="zh-CN"/>
                      <w14:textFill>
                        <w14:solidFill>
                          <w14:schemeClr w14:val="tx1"/>
                        </w14:solidFill>
                      </w14:textFill>
                    </w:rPr>
                    <w:t xml:space="preserve">  </w:t>
                  </w:r>
                  <w:r>
                    <w:rPr>
                      <w:rFonts w:hint="eastAsia" w:ascii="Times New Roman" w:hAnsi="Times New Roman"/>
                      <w:bCs/>
                      <w:color w:val="000000" w:themeColor="text1"/>
                      <w:sz w:val="21"/>
                      <w:szCs w:val="21"/>
                      <w14:textFill>
                        <w14:solidFill>
                          <w14:schemeClr w14:val="tx1"/>
                        </w14:solidFill>
                      </w14:textFill>
                    </w:rPr>
                    <w:t>1</w:t>
                  </w:r>
                  <w:r>
                    <w:rPr>
                      <w:rFonts w:hint="eastAsia" w:ascii="Times New Roman" w:hAnsi="Times New Roman"/>
                      <w:bCs/>
                      <w:color w:val="000000" w:themeColor="text1"/>
                      <w:sz w:val="21"/>
                      <w:szCs w:val="21"/>
                      <w:lang w:val="en-US" w:eastAsia="zh-CN"/>
                      <w14:textFill>
                        <w14:solidFill>
                          <w14:schemeClr w14:val="tx1"/>
                        </w14:solidFill>
                      </w14:textFill>
                    </w:rPr>
                    <w:t>m</w:t>
                  </w:r>
                  <w:r>
                    <w:rPr>
                      <w:rFonts w:hint="eastAsia" w:ascii="Times New Roman" w:hAnsi="Times New Roman"/>
                      <w:bCs/>
                      <w:color w:val="000000" w:themeColor="text1"/>
                      <w:sz w:val="21"/>
                      <w:szCs w:val="21"/>
                      <w14:textFill>
                        <w14:solidFill>
                          <w14:schemeClr w14:val="tx1"/>
                        </w14:solidFill>
                      </w14:textFill>
                    </w:rPr>
                    <w:t>处</w:t>
                  </w:r>
                </w:p>
              </w:tc>
              <w:tc>
                <w:tcPr>
                  <w:tcW w:w="1443" w:type="pct"/>
                  <w:tcBorders>
                    <w:tl2br w:val="nil"/>
                    <w:tr2bl w:val="nil"/>
                  </w:tcBorders>
                  <w:vAlign w:val="center"/>
                </w:tcPr>
                <w:p w14:paraId="12E18D50">
                  <w:pPr>
                    <w:pStyle w:val="8"/>
                    <w:adjustRightInd w:val="0"/>
                    <w:snapToGrid w:val="0"/>
                    <w:spacing w:line="240" w:lineRule="auto"/>
                    <w:jc w:val="center"/>
                    <w:rPr>
                      <w:rFonts w:hint="default" w:ascii="Times New Roman" w:hAnsi="Times New Roman" w:eastAsia="宋体"/>
                      <w:bCs/>
                      <w:color w:val="000000" w:themeColor="text1"/>
                      <w:sz w:val="21"/>
                      <w:szCs w:val="21"/>
                      <w:lang w:val="en-US" w:eastAsia="zh-CN"/>
                      <w14:textFill>
                        <w14:solidFill>
                          <w14:schemeClr w14:val="tx1"/>
                        </w14:solidFill>
                      </w14:textFill>
                    </w:rPr>
                  </w:pPr>
                  <w:r>
                    <w:rPr>
                      <w:rFonts w:hint="eastAsia" w:ascii="Times New Roman" w:hAnsi="Times New Roman"/>
                      <w:bCs/>
                      <w:color w:val="000000" w:themeColor="text1"/>
                      <w:sz w:val="21"/>
                      <w:szCs w:val="21"/>
                      <w:lang w:val="en-US" w:eastAsia="zh-CN"/>
                      <w14:textFill>
                        <w14:solidFill>
                          <w14:schemeClr w14:val="tx1"/>
                        </w14:solidFill>
                      </w14:textFill>
                    </w:rPr>
                    <w:t>37</w:t>
                  </w:r>
                </w:p>
              </w:tc>
            </w:tr>
          </w:tbl>
          <w:p w14:paraId="1683293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根据预测结果，</w:t>
            </w:r>
            <w:r>
              <w:rPr>
                <w:rFonts w:hint="eastAsia"/>
                <w:snapToGrid w:val="0"/>
                <w:color w:val="000000" w:themeColor="text1"/>
                <w:sz w:val="24"/>
                <w:szCs w:val="24"/>
                <w14:textFill>
                  <w14:solidFill>
                    <w14:schemeClr w14:val="tx1"/>
                  </w14:solidFill>
                </w14:textFill>
              </w:rPr>
              <w:t>220kV升压汇集站</w:t>
            </w:r>
            <w:r>
              <w:rPr>
                <w:color w:val="000000" w:themeColor="text1"/>
                <w14:textFill>
                  <w14:solidFill>
                    <w14:schemeClr w14:val="tx1"/>
                  </w14:solidFill>
                </w14:textFill>
              </w:rPr>
              <w:t>正常运行状态下，围墙外1</w:t>
            </w:r>
            <w:r>
              <w:rPr>
                <w:rFonts w:hint="eastAsia"/>
                <w:color w:val="000000" w:themeColor="text1"/>
                <w14:textFill>
                  <w14:solidFill>
                    <w14:schemeClr w14:val="tx1"/>
                  </w14:solidFill>
                </w14:textFill>
              </w:rPr>
              <w:t>米</w:t>
            </w:r>
            <w:r>
              <w:rPr>
                <w:color w:val="000000" w:themeColor="text1"/>
                <w14:textFill>
                  <w14:solidFill>
                    <w14:schemeClr w14:val="tx1"/>
                  </w14:solidFill>
                </w14:textFill>
              </w:rPr>
              <w:t>处的厂界贡献值在</w:t>
            </w:r>
            <w:r>
              <w:rPr>
                <w:rFonts w:hint="eastAsia"/>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7</w:t>
            </w:r>
            <w:r>
              <w:rPr>
                <w:color w:val="000000" w:themeColor="text1"/>
                <w14:textFill>
                  <w14:solidFill>
                    <w14:schemeClr w14:val="tx1"/>
                  </w14:solidFill>
                </w14:textFill>
              </w:rPr>
              <w:t>dB(A)～</w:t>
            </w:r>
            <w:r>
              <w:rPr>
                <w:rFonts w:hint="eastAsia"/>
                <w:color w:val="000000" w:themeColor="text1"/>
                <w:lang w:val="en-US" w:eastAsia="zh-CN"/>
                <w14:textFill>
                  <w14:solidFill>
                    <w14:schemeClr w14:val="tx1"/>
                  </w14:solidFill>
                </w14:textFill>
              </w:rPr>
              <w:t>43</w:t>
            </w:r>
            <w:r>
              <w:rPr>
                <w:color w:val="000000" w:themeColor="text1"/>
                <w14:textFill>
                  <w14:solidFill>
                    <w14:schemeClr w14:val="tx1"/>
                  </w14:solidFill>
                </w14:textFill>
              </w:rPr>
              <w:t>dB(A)，噪声水平较低，满足《工业企业厂界环境噪声排放标准》</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GB12348-2008</w:t>
            </w:r>
            <w:r>
              <w:rPr>
                <w:rFonts w:hint="eastAsia"/>
                <w:color w:val="000000" w:themeColor="text1"/>
                <w14:textFill>
                  <w14:solidFill>
                    <w14:schemeClr w14:val="tx1"/>
                  </w14:solidFill>
                </w14:textFill>
              </w:rPr>
              <w:t>）中</w:t>
            </w:r>
            <w:r>
              <w:rPr>
                <w:color w:val="000000" w:themeColor="text1"/>
                <w14:textFill>
                  <w14:solidFill>
                    <w14:schemeClr w14:val="tx1"/>
                  </w14:solidFill>
                </w14:textFill>
              </w:rPr>
              <w:t>2类标准：昼间噪声限值60dB(A)，夜间噪声限值50dB(A)的要求。</w:t>
            </w:r>
          </w:p>
          <w:p w14:paraId="0A36387C">
            <w:pPr>
              <w:adjustRightInd w:val="0"/>
              <w:snapToGrid w:val="0"/>
              <w:spacing w:line="500" w:lineRule="exact"/>
              <w:ind w:firstLine="482" w:firstLineChars="200"/>
              <w:jc w:val="left"/>
              <w:rPr>
                <w:rFonts w:hint="eastAsia"/>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4.</w:t>
            </w:r>
            <w:r>
              <w:rPr>
                <w:rFonts w:hint="eastAsia"/>
                <w:b/>
                <w:bCs/>
                <w:color w:val="000000" w:themeColor="text1"/>
                <w:lang w:val="en-US" w:eastAsia="zh-CN"/>
                <w14:textFill>
                  <w14:solidFill>
                    <w14:schemeClr w14:val="tx1"/>
                  </w14:solidFill>
                </w14:textFill>
              </w:rPr>
              <w:t>2</w:t>
            </w:r>
            <w:r>
              <w:rPr>
                <w:rFonts w:hint="eastAsia"/>
                <w:b/>
                <w:bCs/>
                <w:color w:val="000000" w:themeColor="text1"/>
                <w14:textFill>
                  <w14:solidFill>
                    <w14:schemeClr w14:val="tx1"/>
                  </w14:solidFill>
                </w14:textFill>
              </w:rPr>
              <w:t xml:space="preserve"> 单回</w:t>
            </w:r>
            <w:r>
              <w:rPr>
                <w:rFonts w:hint="eastAsia"/>
                <w:b/>
                <w:bCs/>
                <w:color w:val="000000" w:themeColor="text1"/>
                <w:lang w:val="en-US" w:eastAsia="zh-CN"/>
                <w14:textFill>
                  <w14:solidFill>
                    <w14:schemeClr w14:val="tx1"/>
                  </w14:solidFill>
                </w14:textFill>
              </w:rPr>
              <w:t>外送线路</w:t>
            </w:r>
          </w:p>
          <w:p w14:paraId="30D1A8E3">
            <w:pPr>
              <w:pStyle w:val="89"/>
              <w:keepNext w:val="0"/>
              <w:keepLines w:val="0"/>
              <w:pageBreakBefore w:val="0"/>
              <w:widowControl w:val="0"/>
              <w:kinsoku/>
              <w:wordWrap/>
              <w:overflowPunct/>
              <w:topLinePunct w:val="0"/>
              <w:autoSpaceDE/>
              <w:autoSpaceDN/>
              <w:bidi w:val="0"/>
              <w:adjustRightInd/>
              <w:snapToGrid/>
              <w:spacing w:line="500" w:lineRule="exact"/>
              <w:ind w:left="0" w:right="0" w:firstLine="480" w:firstLineChars="200"/>
              <w:textAlignment w:val="auto"/>
              <w:rPr>
                <w:rFonts w:hint="default" w:ascii="Times New Roman" w:hAnsi="Times New Roman" w:eastAsia="宋体" w:cs="Times New Roman"/>
                <w:color w:val="000000" w:themeColor="text1"/>
                <w:spacing w:val="0"/>
                <w:sz w:val="24"/>
                <w:lang w:val="en-US" w:eastAsia="zh-CN"/>
                <w14:textFill>
                  <w14:solidFill>
                    <w14:schemeClr w14:val="tx1"/>
                  </w14:solidFill>
                </w14:textFill>
              </w:rPr>
            </w:pPr>
            <w:r>
              <w:rPr>
                <w:rFonts w:hint="eastAsia" w:ascii="Times New Roman" w:hAnsi="Times New Roman" w:cs="Times New Roman"/>
                <w:color w:val="000000" w:themeColor="text1"/>
                <w:spacing w:val="0"/>
                <w:sz w:val="24"/>
                <w:lang w:eastAsia="zh-CN"/>
                <w14:textFill>
                  <w14:solidFill>
                    <w14:schemeClr w14:val="tx1"/>
                  </w14:solidFill>
                </w14:textFill>
              </w:rPr>
              <w:t>（</w:t>
            </w:r>
            <w:r>
              <w:rPr>
                <w:rFonts w:hint="eastAsia" w:ascii="Times New Roman" w:hAnsi="Times New Roman" w:cs="Times New Roman"/>
                <w:color w:val="000000" w:themeColor="text1"/>
                <w:spacing w:val="0"/>
                <w:sz w:val="24"/>
                <w:lang w:val="en-US" w:eastAsia="zh-CN"/>
                <w14:textFill>
                  <w14:solidFill>
                    <w14:schemeClr w14:val="tx1"/>
                  </w14:solidFill>
                </w14:textFill>
              </w:rPr>
              <w:t>1</w:t>
            </w:r>
            <w:r>
              <w:rPr>
                <w:rFonts w:hint="eastAsia" w:ascii="Times New Roman" w:hAnsi="Times New Roman" w:cs="Times New Roman"/>
                <w:color w:val="000000" w:themeColor="text1"/>
                <w:spacing w:val="0"/>
                <w:sz w:val="24"/>
                <w:lang w:eastAsia="zh-CN"/>
                <w14:textFill>
                  <w14:solidFill>
                    <w14:schemeClr w14:val="tx1"/>
                  </w14:solidFill>
                </w14:textFill>
              </w:rPr>
              <w:t>）</w:t>
            </w:r>
            <w:r>
              <w:rPr>
                <w:rFonts w:hint="eastAsia" w:ascii="Times New Roman" w:hAnsi="Times New Roman" w:cs="Times New Roman"/>
                <w:color w:val="000000" w:themeColor="text1"/>
                <w:spacing w:val="0"/>
                <w:sz w:val="24"/>
                <w:lang w:val="en-US" w:eastAsia="zh-CN"/>
                <w14:textFill>
                  <w14:solidFill>
                    <w14:schemeClr w14:val="tx1"/>
                  </w14:solidFill>
                </w14:textFill>
              </w:rPr>
              <w:t>类别线路情况</w:t>
            </w:r>
          </w:p>
          <w:p w14:paraId="4A693BF1">
            <w:pPr>
              <w:pStyle w:val="89"/>
              <w:keepNext w:val="0"/>
              <w:keepLines w:val="0"/>
              <w:pageBreakBefore w:val="0"/>
              <w:widowControl w:val="0"/>
              <w:kinsoku/>
              <w:wordWrap/>
              <w:overflowPunct/>
              <w:topLinePunct w:val="0"/>
              <w:autoSpaceDE/>
              <w:autoSpaceDN/>
              <w:bidi w:val="0"/>
              <w:adjustRightInd/>
              <w:snapToGrid/>
              <w:spacing w:line="500" w:lineRule="exact"/>
              <w:ind w:left="0" w:right="0" w:firstLine="480" w:firstLineChars="200"/>
              <w:textAlignment w:val="auto"/>
              <w:rPr>
                <w:rFonts w:hint="default" w:ascii="Times New Roman" w:hAnsi="Times New Roman" w:cs="Times New Roman"/>
                <w:color w:val="000000" w:themeColor="text1"/>
                <w:spacing w:val="0"/>
                <w:sz w:val="24"/>
                <w14:textFill>
                  <w14:solidFill>
                    <w14:schemeClr w14:val="tx1"/>
                  </w14:solidFill>
                </w14:textFill>
              </w:rPr>
            </w:pPr>
            <w:r>
              <w:rPr>
                <w:rFonts w:hint="default" w:ascii="Times New Roman" w:hAnsi="Times New Roman" w:cs="Times New Roman"/>
                <w:color w:val="000000" w:themeColor="text1"/>
                <w:spacing w:val="0"/>
                <w:sz w:val="24"/>
                <w14:textFill>
                  <w14:solidFill>
                    <w14:schemeClr w14:val="tx1"/>
                  </w14:solidFill>
                </w14:textFill>
              </w:rPr>
              <w:t>本项目以单回220kV线路接入且末750kV变电站，新建架空线路路径长约2.8</w:t>
            </w:r>
            <w:r>
              <w:rPr>
                <w:rFonts w:hint="eastAsia" w:ascii="Times New Roman" w:hAnsi="Times New Roman" w:cs="Times New Roman"/>
                <w:color w:val="000000" w:themeColor="text1"/>
                <w:spacing w:val="0"/>
                <w:sz w:val="24"/>
                <w:lang w:val="en-US" w:eastAsia="zh-CN"/>
                <w14:textFill>
                  <w14:solidFill>
                    <w14:schemeClr w14:val="tx1"/>
                  </w14:solidFill>
                </w14:textFill>
              </w:rPr>
              <w:t>8</w:t>
            </w:r>
            <w:r>
              <w:rPr>
                <w:rFonts w:hint="default" w:ascii="Times New Roman" w:hAnsi="Times New Roman" w:cs="Times New Roman"/>
                <w:color w:val="000000" w:themeColor="text1"/>
                <w:spacing w:val="0"/>
                <w:sz w:val="24"/>
                <w14:textFill>
                  <w14:solidFill>
                    <w14:schemeClr w14:val="tx1"/>
                  </w14:solidFill>
                </w14:textFill>
              </w:rPr>
              <w:t>km，本次评价单回输电线路采用已运行的“220kV苏独一线”进行类比分析，类比线路与本项目220kV单回架空线路主要技术参数对照表见表4-6。</w:t>
            </w:r>
          </w:p>
          <w:p w14:paraId="3E7DC570">
            <w:pPr>
              <w:tabs>
                <w:tab w:val="left" w:pos="4586"/>
                <w:tab w:val="left" w:pos="5786"/>
              </w:tabs>
              <w:autoSpaceDE w:val="0"/>
              <w:autoSpaceDN w:val="0"/>
              <w:adjustRightInd w:val="0"/>
              <w:jc w:val="center"/>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表4-6     主要技术指标对照表</w:t>
            </w:r>
          </w:p>
          <w:tbl>
            <w:tblPr>
              <w:tblStyle w:val="72"/>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720"/>
              <w:gridCol w:w="3143"/>
              <w:gridCol w:w="3157"/>
            </w:tblGrid>
            <w:tr w14:paraId="66B7F9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50" w:hRule="atLeast"/>
                <w:jc w:val="center"/>
              </w:trPr>
              <w:tc>
                <w:tcPr>
                  <w:tcW w:w="1072" w:type="pct"/>
                  <w:tcBorders>
                    <w:tl2br w:val="nil"/>
                    <w:tr2bl w:val="nil"/>
                  </w:tcBorders>
                  <w:vAlign w:val="center"/>
                </w:tcPr>
                <w:p w14:paraId="7F72248F">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主要指标</w:t>
                  </w:r>
                </w:p>
              </w:tc>
              <w:tc>
                <w:tcPr>
                  <w:tcW w:w="1959" w:type="pct"/>
                  <w:tcBorders>
                    <w:tl2br w:val="nil"/>
                    <w:tr2bl w:val="nil"/>
                  </w:tcBorders>
                  <w:vAlign w:val="center"/>
                </w:tcPr>
                <w:p w14:paraId="79950550">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220kV苏独一线</w:t>
                  </w:r>
                </w:p>
              </w:tc>
              <w:tc>
                <w:tcPr>
                  <w:tcW w:w="1968" w:type="pct"/>
                  <w:tcBorders>
                    <w:tl2br w:val="nil"/>
                    <w:tr2bl w:val="nil"/>
                  </w:tcBorders>
                  <w:vAlign w:val="center"/>
                </w:tcPr>
                <w:p w14:paraId="0460E49B">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b/>
                      <w:bCs/>
                      <w:color w:val="000000" w:themeColor="text1"/>
                      <w:spacing w:val="0"/>
                      <w:sz w:val="21"/>
                      <w:szCs w:val="21"/>
                      <w14:textFill>
                        <w14:solidFill>
                          <w14:schemeClr w14:val="tx1"/>
                        </w14:solidFill>
                      </w14:textFill>
                    </w:rPr>
                    <w:t>本项目220kV单回架空线路</w:t>
                  </w:r>
                </w:p>
              </w:tc>
            </w:tr>
            <w:tr w14:paraId="424737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072" w:type="pct"/>
                  <w:tcBorders>
                    <w:tl2br w:val="nil"/>
                    <w:tr2bl w:val="nil"/>
                  </w:tcBorders>
                  <w:vAlign w:val="center"/>
                </w:tcPr>
                <w:p w14:paraId="0E2E50DD">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电压等级</w:t>
                  </w:r>
                </w:p>
              </w:tc>
              <w:tc>
                <w:tcPr>
                  <w:tcW w:w="1959" w:type="pct"/>
                  <w:tcBorders>
                    <w:tl2br w:val="nil"/>
                    <w:tr2bl w:val="nil"/>
                  </w:tcBorders>
                  <w:vAlign w:val="center"/>
                </w:tcPr>
                <w:p w14:paraId="299B3240">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position w:val="1"/>
                      <w:sz w:val="21"/>
                      <w:szCs w:val="21"/>
                      <w14:textFill>
                        <w14:solidFill>
                          <w14:schemeClr w14:val="tx1"/>
                        </w14:solidFill>
                      </w14:textFill>
                    </w:rPr>
                    <w:t>220kV</w:t>
                  </w:r>
                </w:p>
              </w:tc>
              <w:tc>
                <w:tcPr>
                  <w:tcW w:w="1968" w:type="pct"/>
                  <w:tcBorders>
                    <w:tl2br w:val="nil"/>
                    <w:tr2bl w:val="nil"/>
                  </w:tcBorders>
                  <w:vAlign w:val="center"/>
                </w:tcPr>
                <w:p w14:paraId="308A820C">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position w:val="1"/>
                      <w:sz w:val="21"/>
                      <w:szCs w:val="21"/>
                      <w14:textFill>
                        <w14:solidFill>
                          <w14:schemeClr w14:val="tx1"/>
                        </w14:solidFill>
                      </w14:textFill>
                    </w:rPr>
                    <w:t>220kV</w:t>
                  </w:r>
                </w:p>
              </w:tc>
            </w:tr>
            <w:tr w14:paraId="2D5685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072" w:type="pct"/>
                  <w:tcBorders>
                    <w:tl2br w:val="nil"/>
                    <w:tr2bl w:val="nil"/>
                  </w:tcBorders>
                  <w:vAlign w:val="center"/>
                </w:tcPr>
                <w:p w14:paraId="5A0BE2FA">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架设型式</w:t>
                  </w:r>
                </w:p>
              </w:tc>
              <w:tc>
                <w:tcPr>
                  <w:tcW w:w="1959" w:type="pct"/>
                  <w:tcBorders>
                    <w:tl2br w:val="nil"/>
                    <w:tr2bl w:val="nil"/>
                  </w:tcBorders>
                  <w:vAlign w:val="center"/>
                </w:tcPr>
                <w:p w14:paraId="6EED5A2C">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架空</w:t>
                  </w:r>
                </w:p>
              </w:tc>
              <w:tc>
                <w:tcPr>
                  <w:tcW w:w="1968" w:type="pct"/>
                  <w:tcBorders>
                    <w:tl2br w:val="nil"/>
                    <w:tr2bl w:val="nil"/>
                  </w:tcBorders>
                  <w:vAlign w:val="center"/>
                </w:tcPr>
                <w:p w14:paraId="5BAEEF09">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架空</w:t>
                  </w:r>
                </w:p>
              </w:tc>
            </w:tr>
            <w:tr w14:paraId="084257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072" w:type="pct"/>
                  <w:tcBorders>
                    <w:tl2br w:val="nil"/>
                    <w:tr2bl w:val="nil"/>
                  </w:tcBorders>
                  <w:vAlign w:val="center"/>
                </w:tcPr>
                <w:p w14:paraId="388BF714">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导线型号</w:t>
                  </w:r>
                </w:p>
              </w:tc>
              <w:tc>
                <w:tcPr>
                  <w:tcW w:w="1959" w:type="pct"/>
                  <w:tcBorders>
                    <w:tl2br w:val="nil"/>
                    <w:tr2bl w:val="nil"/>
                  </w:tcBorders>
                  <w:vAlign w:val="center"/>
                </w:tcPr>
                <w:p w14:paraId="1824EA5F">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2×JL/G1A-400/35</w:t>
                  </w:r>
                </w:p>
              </w:tc>
              <w:tc>
                <w:tcPr>
                  <w:tcW w:w="1968" w:type="pct"/>
                  <w:tcBorders>
                    <w:tl2br w:val="nil"/>
                    <w:tr2bl w:val="nil"/>
                  </w:tcBorders>
                  <w:vAlign w:val="center"/>
                </w:tcPr>
                <w:p w14:paraId="08A7A913">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eastAsia" w:ascii="Times New Roman" w:hAnsi="Times New Roman" w:cs="Times New Roman"/>
                      <w:color w:val="000000" w:themeColor="text1"/>
                      <w:spacing w:val="0"/>
                      <w:sz w:val="21"/>
                      <w:szCs w:val="21"/>
                      <w:lang w:val="en-US" w:eastAsia="zh-CN"/>
                      <w14:textFill>
                        <w14:solidFill>
                          <w14:schemeClr w14:val="tx1"/>
                        </w14:solidFill>
                      </w14:textFill>
                    </w:rPr>
                    <w:t>4</w:t>
                  </w:r>
                  <w:r>
                    <w:rPr>
                      <w:rFonts w:hint="default" w:ascii="Times New Roman" w:hAnsi="Times New Roman" w:cs="Times New Roman"/>
                      <w:color w:val="000000" w:themeColor="text1"/>
                      <w:spacing w:val="0"/>
                      <w:sz w:val="21"/>
                      <w:szCs w:val="21"/>
                      <w14:textFill>
                        <w14:solidFill>
                          <w14:schemeClr w14:val="tx1"/>
                        </w14:solidFill>
                      </w14:textFill>
                    </w:rPr>
                    <w:t>×JL3/G1A-</w:t>
                  </w:r>
                  <w:r>
                    <w:rPr>
                      <w:rFonts w:hint="eastAsia" w:ascii="Times New Roman" w:hAnsi="Times New Roman" w:cs="Times New Roman"/>
                      <w:color w:val="000000" w:themeColor="text1"/>
                      <w:spacing w:val="0"/>
                      <w:sz w:val="21"/>
                      <w:szCs w:val="21"/>
                      <w:lang w:val="en-US" w:eastAsia="zh-CN"/>
                      <w14:textFill>
                        <w14:solidFill>
                          <w14:schemeClr w14:val="tx1"/>
                        </w14:solidFill>
                      </w14:textFill>
                    </w:rPr>
                    <w:t>400</w:t>
                  </w:r>
                  <w:r>
                    <w:rPr>
                      <w:rFonts w:hint="default" w:ascii="Times New Roman" w:hAnsi="Times New Roman" w:cs="Times New Roman"/>
                      <w:color w:val="000000" w:themeColor="text1"/>
                      <w:spacing w:val="0"/>
                      <w:sz w:val="21"/>
                      <w:szCs w:val="21"/>
                      <w14:textFill>
                        <w14:solidFill>
                          <w14:schemeClr w14:val="tx1"/>
                        </w14:solidFill>
                      </w14:textFill>
                    </w:rPr>
                    <w:t>/45</w:t>
                  </w:r>
                </w:p>
              </w:tc>
            </w:tr>
            <w:tr w14:paraId="22A2CA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072" w:type="pct"/>
                  <w:tcBorders>
                    <w:tl2br w:val="nil"/>
                    <w:tr2bl w:val="nil"/>
                  </w:tcBorders>
                  <w:vAlign w:val="center"/>
                </w:tcPr>
                <w:p w14:paraId="6C4E1A95">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导线直径</w:t>
                  </w:r>
                </w:p>
              </w:tc>
              <w:tc>
                <w:tcPr>
                  <w:tcW w:w="1959" w:type="pct"/>
                  <w:tcBorders>
                    <w:tl2br w:val="nil"/>
                    <w:tr2bl w:val="nil"/>
                  </w:tcBorders>
                  <w:vAlign w:val="center"/>
                </w:tcPr>
                <w:p w14:paraId="34B8E0BF">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27.6mm</w:t>
                  </w:r>
                </w:p>
              </w:tc>
              <w:tc>
                <w:tcPr>
                  <w:tcW w:w="1968" w:type="pct"/>
                  <w:tcBorders>
                    <w:tl2br w:val="nil"/>
                    <w:tr2bl w:val="nil"/>
                  </w:tcBorders>
                  <w:vAlign w:val="center"/>
                </w:tcPr>
                <w:p w14:paraId="7EA7FD12">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eastAsia" w:ascii="Times New Roman" w:hAnsi="Times New Roman" w:cs="Times New Roman"/>
                      <w:color w:val="000000" w:themeColor="text1"/>
                      <w:spacing w:val="0"/>
                      <w:sz w:val="21"/>
                      <w:szCs w:val="21"/>
                      <w:lang w:val="en-US" w:eastAsia="zh-CN"/>
                      <w14:textFill>
                        <w14:solidFill>
                          <w14:schemeClr w14:val="tx1"/>
                        </w14:solidFill>
                      </w14:textFill>
                    </w:rPr>
                    <w:t>26.8</w:t>
                  </w:r>
                  <w:r>
                    <w:rPr>
                      <w:rFonts w:hint="default" w:ascii="Times New Roman" w:hAnsi="Times New Roman" w:cs="Times New Roman"/>
                      <w:color w:val="000000" w:themeColor="text1"/>
                      <w:spacing w:val="0"/>
                      <w:sz w:val="21"/>
                      <w:szCs w:val="21"/>
                      <w14:textFill>
                        <w14:solidFill>
                          <w14:schemeClr w14:val="tx1"/>
                        </w14:solidFill>
                      </w14:textFill>
                    </w:rPr>
                    <w:t>mm</w:t>
                  </w:r>
                </w:p>
              </w:tc>
            </w:tr>
            <w:tr w14:paraId="37FBF99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072" w:type="pct"/>
                  <w:tcBorders>
                    <w:tl2br w:val="nil"/>
                    <w:tr2bl w:val="nil"/>
                  </w:tcBorders>
                  <w:vAlign w:val="center"/>
                </w:tcPr>
                <w:p w14:paraId="28A6002D">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回路</w:t>
                  </w:r>
                </w:p>
              </w:tc>
              <w:tc>
                <w:tcPr>
                  <w:tcW w:w="1959" w:type="pct"/>
                  <w:tcBorders>
                    <w:tl2br w:val="nil"/>
                    <w:tr2bl w:val="nil"/>
                  </w:tcBorders>
                  <w:vAlign w:val="center"/>
                </w:tcPr>
                <w:p w14:paraId="430B4E93">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单回路</w:t>
                  </w:r>
                </w:p>
              </w:tc>
              <w:tc>
                <w:tcPr>
                  <w:tcW w:w="1968" w:type="pct"/>
                  <w:tcBorders>
                    <w:tl2br w:val="nil"/>
                    <w:tr2bl w:val="nil"/>
                  </w:tcBorders>
                  <w:vAlign w:val="center"/>
                </w:tcPr>
                <w:p w14:paraId="442164B2">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单回路</w:t>
                  </w:r>
                </w:p>
              </w:tc>
            </w:tr>
            <w:tr w14:paraId="39EB98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072" w:type="pct"/>
                  <w:tcBorders>
                    <w:tl2br w:val="nil"/>
                    <w:tr2bl w:val="nil"/>
                  </w:tcBorders>
                  <w:vAlign w:val="center"/>
                </w:tcPr>
                <w:p w14:paraId="21EA753C">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排列方式</w:t>
                  </w:r>
                </w:p>
              </w:tc>
              <w:tc>
                <w:tcPr>
                  <w:tcW w:w="1959" w:type="pct"/>
                  <w:tcBorders>
                    <w:tl2br w:val="nil"/>
                    <w:tr2bl w:val="nil"/>
                  </w:tcBorders>
                  <w:vAlign w:val="center"/>
                </w:tcPr>
                <w:p w14:paraId="4F833C69">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水平排列</w:t>
                  </w:r>
                </w:p>
              </w:tc>
              <w:tc>
                <w:tcPr>
                  <w:tcW w:w="1968" w:type="pct"/>
                  <w:tcBorders>
                    <w:tl2br w:val="nil"/>
                    <w:tr2bl w:val="nil"/>
                  </w:tcBorders>
                  <w:vAlign w:val="center"/>
                </w:tcPr>
                <w:p w14:paraId="6B8CB8E2">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水平排列</w:t>
                  </w:r>
                </w:p>
              </w:tc>
            </w:tr>
            <w:tr w14:paraId="7C36BC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2" w:hRule="atLeast"/>
                <w:jc w:val="center"/>
              </w:trPr>
              <w:tc>
                <w:tcPr>
                  <w:tcW w:w="1072" w:type="pct"/>
                  <w:tcBorders>
                    <w:tl2br w:val="nil"/>
                    <w:tr2bl w:val="nil"/>
                  </w:tcBorders>
                  <w:vAlign w:val="center"/>
                </w:tcPr>
                <w:p w14:paraId="222AC93E">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导线分裂形式</w:t>
                  </w:r>
                </w:p>
              </w:tc>
              <w:tc>
                <w:tcPr>
                  <w:tcW w:w="1959" w:type="pct"/>
                  <w:tcBorders>
                    <w:tl2br w:val="nil"/>
                    <w:tr2bl w:val="nil"/>
                  </w:tcBorders>
                  <w:vAlign w:val="center"/>
                </w:tcPr>
                <w:p w14:paraId="4CC403C0">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双分裂</w:t>
                  </w:r>
                </w:p>
              </w:tc>
              <w:tc>
                <w:tcPr>
                  <w:tcW w:w="1968" w:type="pct"/>
                  <w:tcBorders>
                    <w:tl2br w:val="nil"/>
                    <w:tr2bl w:val="nil"/>
                  </w:tcBorders>
                  <w:vAlign w:val="center"/>
                </w:tcPr>
                <w:p w14:paraId="135ED9EB">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eastAsia" w:ascii="Times New Roman" w:hAnsi="Times New Roman" w:cs="Times New Roman"/>
                      <w:color w:val="000000" w:themeColor="text1"/>
                      <w:spacing w:val="0"/>
                      <w:sz w:val="21"/>
                      <w:szCs w:val="21"/>
                      <w:lang w:val="en-US" w:eastAsia="zh-CN"/>
                      <w14:textFill>
                        <w14:solidFill>
                          <w14:schemeClr w14:val="tx1"/>
                        </w14:solidFill>
                      </w14:textFill>
                    </w:rPr>
                    <w:t>四</w:t>
                  </w:r>
                  <w:r>
                    <w:rPr>
                      <w:rFonts w:hint="default" w:ascii="Times New Roman" w:hAnsi="Times New Roman" w:cs="Times New Roman"/>
                      <w:color w:val="000000" w:themeColor="text1"/>
                      <w:spacing w:val="0"/>
                      <w:sz w:val="21"/>
                      <w:szCs w:val="21"/>
                      <w14:textFill>
                        <w14:solidFill>
                          <w14:schemeClr w14:val="tx1"/>
                        </w14:solidFill>
                      </w14:textFill>
                    </w:rPr>
                    <w:t>分裂</w:t>
                  </w:r>
                </w:p>
              </w:tc>
            </w:tr>
            <w:tr w14:paraId="1C55A6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1072" w:type="pct"/>
                  <w:tcBorders>
                    <w:tl2br w:val="nil"/>
                    <w:tr2bl w:val="nil"/>
                  </w:tcBorders>
                  <w:vAlign w:val="center"/>
                </w:tcPr>
                <w:p w14:paraId="20425366">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运行工况</w:t>
                  </w:r>
                </w:p>
              </w:tc>
              <w:tc>
                <w:tcPr>
                  <w:tcW w:w="1959" w:type="pct"/>
                  <w:tcBorders>
                    <w:tl2br w:val="nil"/>
                    <w:tr2bl w:val="nil"/>
                  </w:tcBorders>
                  <w:vAlign w:val="center"/>
                </w:tcPr>
                <w:p w14:paraId="2159D20D">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监测期间线路运行正常</w:t>
                  </w:r>
                </w:p>
              </w:tc>
              <w:tc>
                <w:tcPr>
                  <w:tcW w:w="1968" w:type="pct"/>
                  <w:tcBorders>
                    <w:tl2br w:val="nil"/>
                    <w:tr2bl w:val="nil"/>
                  </w:tcBorders>
                  <w:vAlign w:val="center"/>
                </w:tcPr>
                <w:p w14:paraId="1652846E">
                  <w:pPr>
                    <w:pStyle w:val="89"/>
                    <w:keepNext w:val="0"/>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Times New Roman" w:hAnsi="Times New Roman" w:cs="Times New Roman"/>
                      <w:color w:val="000000" w:themeColor="text1"/>
                      <w:spacing w:val="0"/>
                      <w:sz w:val="21"/>
                      <w:szCs w:val="21"/>
                      <w14:textFill>
                        <w14:solidFill>
                          <w14:schemeClr w14:val="tx1"/>
                        </w14:solidFill>
                      </w14:textFill>
                    </w:rPr>
                  </w:pPr>
                  <w:r>
                    <w:rPr>
                      <w:rFonts w:hint="default" w:ascii="Times New Roman" w:hAnsi="Times New Roman" w:cs="Times New Roman"/>
                      <w:color w:val="000000" w:themeColor="text1"/>
                      <w:spacing w:val="0"/>
                      <w:sz w:val="21"/>
                      <w:szCs w:val="21"/>
                      <w14:textFill>
                        <w14:solidFill>
                          <w14:schemeClr w14:val="tx1"/>
                        </w14:solidFill>
                      </w14:textFill>
                    </w:rPr>
                    <w:t>运行电压等级220kV</w:t>
                  </w:r>
                </w:p>
              </w:tc>
            </w:tr>
          </w:tbl>
          <w:p w14:paraId="6D31FC0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14:textFill>
                  <w14:solidFill>
                    <w14:schemeClr w14:val="tx1"/>
                  </w14:solidFill>
                </w14:textFill>
              </w:rPr>
              <w:t>由表4-6对比分析，选取的类比线路电压等级、架设方式、导线排列方式等与本项目线路一致</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14:textFill>
                  <w14:solidFill>
                    <w14:schemeClr w14:val="tx1"/>
                  </w14:solidFill>
                </w14:textFill>
              </w:rPr>
              <w:t>本项目</w:t>
            </w:r>
            <w:r>
              <w:rPr>
                <w:rFonts w:hint="eastAsia"/>
                <w:b w:val="0"/>
                <w:bCs w:val="0"/>
                <w:color w:val="000000" w:themeColor="text1"/>
                <w:lang w:val="en-US" w:eastAsia="zh-CN"/>
                <w14:textFill>
                  <w14:solidFill>
                    <w14:schemeClr w14:val="tx1"/>
                  </w14:solidFill>
                </w14:textFill>
              </w:rPr>
              <w:t>导线分裂数大于类比项目，</w:t>
            </w:r>
            <w:r>
              <w:rPr>
                <w:rFonts w:hint="eastAsia"/>
                <w:b w:val="0"/>
                <w:bCs w:val="0"/>
                <w:color w:val="000000" w:themeColor="text1"/>
                <w14:textFill>
                  <w14:solidFill>
                    <w14:schemeClr w14:val="tx1"/>
                  </w14:solidFill>
                </w14:textFill>
              </w:rPr>
              <w:t>导线直径均略</w:t>
            </w:r>
            <w:r>
              <w:rPr>
                <w:rFonts w:hint="eastAsia"/>
                <w:b w:val="0"/>
                <w:bCs w:val="0"/>
                <w:color w:val="000000" w:themeColor="text1"/>
                <w:lang w:val="en-US" w:eastAsia="zh-CN"/>
                <w14:textFill>
                  <w14:solidFill>
                    <w14:schemeClr w14:val="tx1"/>
                  </w14:solidFill>
                </w14:textFill>
              </w:rPr>
              <w:t>小</w:t>
            </w:r>
            <w:r>
              <w:rPr>
                <w:rFonts w:hint="eastAsia"/>
                <w:b w:val="0"/>
                <w:bCs w:val="0"/>
                <w:color w:val="000000" w:themeColor="text1"/>
                <w14:textFill>
                  <w14:solidFill>
                    <w14:schemeClr w14:val="tx1"/>
                  </w14:solidFill>
                </w14:textFill>
              </w:rPr>
              <w:t>于类比</w:t>
            </w:r>
            <w:r>
              <w:rPr>
                <w:rFonts w:hint="eastAsia"/>
                <w:b w:val="0"/>
                <w:bCs w:val="0"/>
                <w:color w:val="000000" w:themeColor="text1"/>
                <w:lang w:val="en-US" w:eastAsia="zh-CN"/>
                <w14:textFill>
                  <w14:solidFill>
                    <w14:schemeClr w14:val="tx1"/>
                  </w14:solidFill>
                </w14:textFill>
              </w:rPr>
              <w:t>项目</w:t>
            </w:r>
            <w:r>
              <w:rPr>
                <w:rFonts w:hint="eastAsia"/>
                <w:b w:val="0"/>
                <w:bCs w:val="0"/>
                <w:color w:val="000000" w:themeColor="text1"/>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由于分裂导线把单根导线换成多根子导线，等效增大了导线的“电气直径”，让导线表面电场分布更均匀、最大场强下降，从而抑制了产生噪声的电晕放电，因此，导线分裂数越多，可听噪声通常越低，导线</w:t>
            </w:r>
            <w:r>
              <w:rPr>
                <w:rFonts w:hint="eastAsia"/>
                <w:b w:val="0"/>
                <w:bCs w:val="0"/>
                <w:color w:val="000000" w:themeColor="text1"/>
                <w14:textFill>
                  <w14:solidFill>
                    <w14:schemeClr w14:val="tx1"/>
                  </w14:solidFill>
                </w14:textFill>
              </w:rPr>
              <w:t>直径</w:t>
            </w:r>
            <w:r>
              <w:rPr>
                <w:rFonts w:hint="eastAsia"/>
                <w:b w:val="0"/>
                <w:bCs w:val="0"/>
                <w:color w:val="000000" w:themeColor="text1"/>
                <w:lang w:val="en-US" w:eastAsia="zh-CN"/>
                <w14:textFill>
                  <w14:solidFill>
                    <w14:schemeClr w14:val="tx1"/>
                  </w14:solidFill>
                </w14:textFill>
              </w:rPr>
              <w:t>越小情况下，噪声值更小</w:t>
            </w:r>
            <w:r>
              <w:rPr>
                <w:rFonts w:hint="eastAsia"/>
                <w:b w:val="0"/>
                <w:bCs w:val="0"/>
                <w:color w:val="000000" w:themeColor="text1"/>
                <w14:textFill>
                  <w14:solidFill>
                    <w14:schemeClr w14:val="tx1"/>
                  </w14:solidFill>
                </w14:textFill>
              </w:rPr>
              <w:t>。监测期间类比线路运行正常，故本次环评将220千伏苏独一线作为线路类比对象是可行的</w:t>
            </w:r>
            <w:r>
              <w:rPr>
                <w:rFonts w:hint="eastAsia"/>
                <w:b w:val="0"/>
                <w:bCs w:val="0"/>
                <w:color w:val="000000" w:themeColor="text1"/>
                <w:lang w:eastAsia="zh-CN"/>
                <w14:textFill>
                  <w14:solidFill>
                    <w14:schemeClr w14:val="tx1"/>
                  </w14:solidFill>
                </w14:textFill>
              </w:rPr>
              <w:t>。</w:t>
            </w:r>
          </w:p>
          <w:p w14:paraId="43D45432">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（2）类比监测内容</w:t>
            </w:r>
          </w:p>
          <w:p w14:paraId="413099A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1）监测点位</w:t>
            </w:r>
          </w:p>
          <w:p w14:paraId="24192A2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220kV苏独一线60#-61#塔之间线东南侧监测断面。</w:t>
            </w:r>
          </w:p>
          <w:p w14:paraId="46715BD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2）监测内容</w:t>
            </w:r>
          </w:p>
          <w:p w14:paraId="77587A1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等效连续A声级。</w:t>
            </w:r>
          </w:p>
          <w:p w14:paraId="067A06C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3）监测方法及频次</w:t>
            </w:r>
          </w:p>
          <w:p w14:paraId="52E9A0C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按《声环境质量标准》（GB3096-2008）中的规定监测方法进行监测，昼间、夜间各监测一次。</w:t>
            </w:r>
          </w:p>
          <w:p w14:paraId="58C18B4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4）监测单位及测量仪器：</w:t>
            </w:r>
          </w:p>
          <w:p w14:paraId="3784C1D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监测单位：新疆德能辐射环境科技有限公司。</w:t>
            </w:r>
          </w:p>
          <w:p w14:paraId="2B1CE3C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监测仪器：AWA6228</w:t>
            </w:r>
            <w:r>
              <w:rPr>
                <w:rFonts w:hint="eastAsia"/>
                <w:b w:val="0"/>
                <w:bCs w:val="0"/>
                <w:color w:val="000000" w:themeColor="text1"/>
                <w:vertAlign w:val="superscript"/>
                <w14:textFill>
                  <w14:solidFill>
                    <w14:schemeClr w14:val="tx1"/>
                  </w14:solidFill>
                </w14:textFill>
              </w:rPr>
              <w:t>+</w:t>
            </w:r>
            <w:r>
              <w:rPr>
                <w:rFonts w:hint="eastAsia"/>
                <w:b w:val="0"/>
                <w:bCs w:val="0"/>
                <w:color w:val="000000" w:themeColor="text1"/>
                <w14:textFill>
                  <w14:solidFill>
                    <w14:schemeClr w14:val="tx1"/>
                  </w14:solidFill>
                </w14:textFill>
              </w:rPr>
              <w:t>多功能声级仪。</w:t>
            </w:r>
          </w:p>
          <w:p w14:paraId="36FE521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5）监测时间、监测环境</w:t>
            </w:r>
          </w:p>
          <w:p w14:paraId="3B60FD5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测量时间：2022年12月12日</w:t>
            </w:r>
          </w:p>
          <w:p w14:paraId="75F50BD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14:textFill>
                  <w14:solidFill>
                    <w14:schemeClr w14:val="tx1"/>
                  </w14:solidFill>
                </w14:textFill>
              </w:rPr>
              <w:t>气象条件：天气晴。昼间温度-9.6～-8.3℃</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14:textFill>
                  <w14:solidFill>
                    <w14:schemeClr w14:val="tx1"/>
                  </w14:solidFill>
                </w14:textFill>
              </w:rPr>
              <w:t>相对湿度77%～78%，风速1.1m/s～1.4m/s；夜间温度-11.1～-10.4℃</w:t>
            </w:r>
            <w:r>
              <w:rPr>
                <w:rFonts w:hint="eastAsia"/>
                <w:b w:val="0"/>
                <w:bCs w:val="0"/>
                <w:color w:val="000000" w:themeColor="text1"/>
                <w:lang w:eastAsia="zh-CN"/>
                <w14:textFill>
                  <w14:solidFill>
                    <w14:schemeClr w14:val="tx1"/>
                  </w14:solidFill>
                </w14:textFill>
              </w:rPr>
              <w:t>，</w:t>
            </w:r>
            <w:r>
              <w:rPr>
                <w:rFonts w:hint="eastAsia"/>
                <w:b w:val="0"/>
                <w:bCs w:val="0"/>
                <w:color w:val="000000" w:themeColor="text1"/>
                <w14:textFill>
                  <w14:solidFill>
                    <w14:schemeClr w14:val="tx1"/>
                  </w14:solidFill>
                </w14:textFill>
              </w:rPr>
              <w:t>相对湿度78%～79%，风速1.4m/s~1.6m/s</w:t>
            </w:r>
            <w:r>
              <w:rPr>
                <w:rFonts w:hint="eastAsia"/>
                <w:b w:val="0"/>
                <w:bCs w:val="0"/>
                <w:color w:val="000000" w:themeColor="text1"/>
                <w:lang w:eastAsia="zh-CN"/>
                <w14:textFill>
                  <w14:solidFill>
                    <w14:schemeClr w14:val="tx1"/>
                  </w14:solidFill>
                </w14:textFill>
              </w:rPr>
              <w:t>。</w:t>
            </w:r>
          </w:p>
          <w:p w14:paraId="79DD6410">
            <w:pPr>
              <w:adjustRightInd w:val="0"/>
              <w:snapToGrid w:val="0"/>
              <w:spacing w:line="500" w:lineRule="exact"/>
              <w:ind w:firstLine="480" w:firstLineChars="200"/>
              <w:jc w:val="left"/>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6）监测结果</w:t>
            </w:r>
          </w:p>
          <w:p w14:paraId="53C59B23">
            <w:pPr>
              <w:adjustRightInd w:val="0"/>
              <w:snapToGrid w:val="0"/>
              <w:spacing w:line="500" w:lineRule="exact"/>
              <w:ind w:firstLine="480" w:firstLineChars="200"/>
              <w:jc w:val="left"/>
              <w:rPr>
                <w:rFonts w:hint="eastAsia"/>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220kV苏独一线噪声监测结果见表4-7。</w:t>
            </w:r>
          </w:p>
          <w:p w14:paraId="0BEB16D1">
            <w:pPr>
              <w:tabs>
                <w:tab w:val="left" w:pos="4586"/>
                <w:tab w:val="left" w:pos="5786"/>
              </w:tabs>
              <w:autoSpaceDE w:val="0"/>
              <w:autoSpaceDN w:val="0"/>
              <w:adjustRightInd w:val="0"/>
              <w:jc w:val="center"/>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表4-7     220kV苏独一线噪声监测结果</w:t>
            </w:r>
          </w:p>
          <w:tbl>
            <w:tblPr>
              <w:tblStyle w:val="72"/>
              <w:tblW w:w="8038" w:type="dxa"/>
              <w:tblInd w:w="1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619"/>
              <w:gridCol w:w="2918"/>
              <w:gridCol w:w="1735"/>
              <w:gridCol w:w="1766"/>
            </w:tblGrid>
            <w:tr w14:paraId="10701B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07" w:type="pct"/>
                  <w:tcBorders>
                    <w:tl2br w:val="nil"/>
                    <w:tr2bl w:val="nil"/>
                  </w:tcBorders>
                  <w:vAlign w:val="center"/>
                </w:tcPr>
                <w:p w14:paraId="6E0A6182">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b/>
                      <w:bCs/>
                      <w:color w:val="000000" w:themeColor="text1"/>
                      <w:spacing w:val="0"/>
                      <w:position w:val="0"/>
                      <w:sz w:val="21"/>
                      <w:szCs w:val="21"/>
                      <w14:textFill>
                        <w14:solidFill>
                          <w14:schemeClr w14:val="tx1"/>
                        </w14:solidFill>
                      </w14:textFill>
                    </w:rPr>
                    <w:t>监测对象</w:t>
                  </w:r>
                </w:p>
              </w:tc>
              <w:tc>
                <w:tcPr>
                  <w:tcW w:w="1815" w:type="pct"/>
                  <w:tcBorders>
                    <w:tl2br w:val="nil"/>
                    <w:tr2bl w:val="nil"/>
                  </w:tcBorders>
                  <w:vAlign w:val="center"/>
                </w:tcPr>
                <w:p w14:paraId="28DFEF5F">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b/>
                      <w:bCs/>
                      <w:color w:val="000000" w:themeColor="text1"/>
                      <w:spacing w:val="0"/>
                      <w:position w:val="0"/>
                      <w:sz w:val="21"/>
                      <w:szCs w:val="21"/>
                      <w14:textFill>
                        <w14:solidFill>
                          <w14:schemeClr w14:val="tx1"/>
                        </w14:solidFill>
                      </w14:textFill>
                    </w:rPr>
                    <w:t>监测点位描述</w:t>
                  </w:r>
                </w:p>
              </w:tc>
              <w:tc>
                <w:tcPr>
                  <w:tcW w:w="1079" w:type="pct"/>
                  <w:tcBorders>
                    <w:tl2br w:val="nil"/>
                    <w:tr2bl w:val="nil"/>
                  </w:tcBorders>
                  <w:vAlign w:val="center"/>
                </w:tcPr>
                <w:p w14:paraId="24E67EA0">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b/>
                      <w:bCs/>
                      <w:color w:val="000000" w:themeColor="text1"/>
                      <w:spacing w:val="0"/>
                      <w:position w:val="0"/>
                      <w:sz w:val="21"/>
                      <w:szCs w:val="21"/>
                      <w14:textFill>
                        <w14:solidFill>
                          <w14:schemeClr w14:val="tx1"/>
                        </w14:solidFill>
                      </w14:textFill>
                    </w:rPr>
                    <w:t>昼间dB（A）</w:t>
                  </w:r>
                </w:p>
              </w:tc>
              <w:tc>
                <w:tcPr>
                  <w:tcW w:w="1098" w:type="pct"/>
                  <w:tcBorders>
                    <w:tl2br w:val="nil"/>
                    <w:tr2bl w:val="nil"/>
                  </w:tcBorders>
                  <w:vAlign w:val="center"/>
                </w:tcPr>
                <w:p w14:paraId="5FEB3CFE">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b/>
                      <w:bCs/>
                      <w:color w:val="000000" w:themeColor="text1"/>
                      <w:spacing w:val="0"/>
                      <w:position w:val="0"/>
                      <w:sz w:val="21"/>
                      <w:szCs w:val="21"/>
                      <w14:textFill>
                        <w14:solidFill>
                          <w14:schemeClr w14:val="tx1"/>
                        </w14:solidFill>
                      </w14:textFill>
                    </w:rPr>
                    <w:t>夜间dB（A）</w:t>
                  </w:r>
                </w:p>
              </w:tc>
            </w:tr>
            <w:tr w14:paraId="41710D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restart"/>
                  <w:tcBorders>
                    <w:tl2br w:val="nil"/>
                    <w:tr2bl w:val="nil"/>
                  </w:tcBorders>
                  <w:vAlign w:val="center"/>
                </w:tcPr>
                <w:p w14:paraId="0E121F02">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220kV苏独一线60#-61#塔之间线东南侧监测断面</w:t>
                  </w:r>
                </w:p>
              </w:tc>
              <w:tc>
                <w:tcPr>
                  <w:tcW w:w="1815" w:type="pct"/>
                  <w:tcBorders>
                    <w:tl2br w:val="nil"/>
                    <w:tr2bl w:val="nil"/>
                  </w:tcBorders>
                  <w:vAlign w:val="center"/>
                </w:tcPr>
                <w:p w14:paraId="04E6739C">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中相导线正下方投影处</w:t>
                  </w:r>
                </w:p>
              </w:tc>
              <w:tc>
                <w:tcPr>
                  <w:tcW w:w="1079" w:type="pct"/>
                  <w:tcBorders>
                    <w:tl2br w:val="nil"/>
                    <w:tr2bl w:val="nil"/>
                  </w:tcBorders>
                  <w:vAlign w:val="center"/>
                </w:tcPr>
                <w:p w14:paraId="071A54A6">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38.1</w:t>
                  </w:r>
                </w:p>
              </w:tc>
              <w:tc>
                <w:tcPr>
                  <w:tcW w:w="1098" w:type="pct"/>
                  <w:tcBorders>
                    <w:tl2br w:val="nil"/>
                    <w:tr2bl w:val="nil"/>
                  </w:tcBorders>
                  <w:vAlign w:val="center"/>
                </w:tcPr>
                <w:p w14:paraId="696BAF5E">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36.8</w:t>
                  </w:r>
                </w:p>
              </w:tc>
            </w:tr>
            <w:tr w14:paraId="318B79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2838A685">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05BCCFF5">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边导线正下方投影处</w:t>
                  </w:r>
                </w:p>
              </w:tc>
              <w:tc>
                <w:tcPr>
                  <w:tcW w:w="1079" w:type="pct"/>
                  <w:tcBorders>
                    <w:tl2br w:val="nil"/>
                    <w:tr2bl w:val="nil"/>
                  </w:tcBorders>
                  <w:vAlign w:val="center"/>
                </w:tcPr>
                <w:p w14:paraId="50FDDDC9">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37.9</w:t>
                  </w:r>
                </w:p>
              </w:tc>
              <w:tc>
                <w:tcPr>
                  <w:tcW w:w="1098" w:type="pct"/>
                  <w:tcBorders>
                    <w:tl2br w:val="nil"/>
                    <w:tr2bl w:val="nil"/>
                  </w:tcBorders>
                  <w:vAlign w:val="center"/>
                </w:tcPr>
                <w:p w14:paraId="43924455">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37.3</w:t>
                  </w:r>
                </w:p>
              </w:tc>
            </w:tr>
            <w:tr w14:paraId="140B13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12E9F45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136B4E04">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 5m</w:t>
                  </w:r>
                </w:p>
              </w:tc>
              <w:tc>
                <w:tcPr>
                  <w:tcW w:w="1079" w:type="pct"/>
                  <w:tcBorders>
                    <w:tl2br w:val="nil"/>
                    <w:tr2bl w:val="nil"/>
                  </w:tcBorders>
                  <w:vAlign w:val="center"/>
                </w:tcPr>
                <w:p w14:paraId="43F8527B">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38.1</w:t>
                  </w:r>
                </w:p>
              </w:tc>
              <w:tc>
                <w:tcPr>
                  <w:tcW w:w="1098" w:type="pct"/>
                  <w:tcBorders>
                    <w:tl2br w:val="nil"/>
                    <w:tr2bl w:val="nil"/>
                  </w:tcBorders>
                  <w:vAlign w:val="center"/>
                </w:tcPr>
                <w:p w14:paraId="75A59617">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37.0</w:t>
                  </w:r>
                </w:p>
              </w:tc>
            </w:tr>
            <w:tr w14:paraId="2C5E4F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18E1324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1D8D769A">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 10m</w:t>
                  </w:r>
                </w:p>
              </w:tc>
              <w:tc>
                <w:tcPr>
                  <w:tcW w:w="1079" w:type="pct"/>
                  <w:tcBorders>
                    <w:tl2br w:val="nil"/>
                    <w:tr2bl w:val="nil"/>
                  </w:tcBorders>
                  <w:vAlign w:val="center"/>
                </w:tcPr>
                <w:p w14:paraId="08BCE432">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37.9</w:t>
                  </w:r>
                </w:p>
              </w:tc>
              <w:tc>
                <w:tcPr>
                  <w:tcW w:w="1098" w:type="pct"/>
                  <w:tcBorders>
                    <w:tl2br w:val="nil"/>
                    <w:tr2bl w:val="nil"/>
                  </w:tcBorders>
                  <w:vAlign w:val="center"/>
                </w:tcPr>
                <w:p w14:paraId="3A268293">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36.8</w:t>
                  </w:r>
                </w:p>
              </w:tc>
            </w:tr>
            <w:tr w14:paraId="5309E1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162F48E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442A857F">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 15m</w:t>
                  </w:r>
                </w:p>
              </w:tc>
              <w:tc>
                <w:tcPr>
                  <w:tcW w:w="1079" w:type="pct"/>
                  <w:tcBorders>
                    <w:tl2br w:val="nil"/>
                    <w:tr2bl w:val="nil"/>
                  </w:tcBorders>
                  <w:vAlign w:val="center"/>
                </w:tcPr>
                <w:p w14:paraId="7BC30474">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37.6</w:t>
                  </w:r>
                </w:p>
              </w:tc>
              <w:tc>
                <w:tcPr>
                  <w:tcW w:w="1098" w:type="pct"/>
                  <w:tcBorders>
                    <w:tl2br w:val="nil"/>
                    <w:tr2bl w:val="nil"/>
                  </w:tcBorders>
                  <w:vAlign w:val="center"/>
                </w:tcPr>
                <w:p w14:paraId="7EBF5079">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36.7</w:t>
                  </w:r>
                </w:p>
              </w:tc>
            </w:tr>
            <w:tr w14:paraId="5F3925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2A258D8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6265DD2E">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 20m</w:t>
                  </w:r>
                </w:p>
              </w:tc>
              <w:tc>
                <w:tcPr>
                  <w:tcW w:w="1079" w:type="pct"/>
                  <w:tcBorders>
                    <w:tl2br w:val="nil"/>
                    <w:tr2bl w:val="nil"/>
                  </w:tcBorders>
                  <w:vAlign w:val="center"/>
                </w:tcPr>
                <w:p w14:paraId="55AD8C07">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37.5</w:t>
                  </w:r>
                </w:p>
              </w:tc>
              <w:tc>
                <w:tcPr>
                  <w:tcW w:w="1098" w:type="pct"/>
                  <w:tcBorders>
                    <w:tl2br w:val="nil"/>
                    <w:tr2bl w:val="nil"/>
                  </w:tcBorders>
                  <w:vAlign w:val="center"/>
                </w:tcPr>
                <w:p w14:paraId="3C4651CB">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36.6</w:t>
                  </w:r>
                </w:p>
              </w:tc>
            </w:tr>
            <w:tr w14:paraId="0FCEDD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4338454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3838FE9F">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 25m</w:t>
                  </w:r>
                </w:p>
              </w:tc>
              <w:tc>
                <w:tcPr>
                  <w:tcW w:w="1079" w:type="pct"/>
                  <w:tcBorders>
                    <w:tl2br w:val="nil"/>
                    <w:tr2bl w:val="nil"/>
                  </w:tcBorders>
                  <w:vAlign w:val="center"/>
                </w:tcPr>
                <w:p w14:paraId="5FA32D45">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37.8</w:t>
                  </w:r>
                </w:p>
              </w:tc>
              <w:tc>
                <w:tcPr>
                  <w:tcW w:w="1098" w:type="pct"/>
                  <w:tcBorders>
                    <w:tl2br w:val="nil"/>
                    <w:tr2bl w:val="nil"/>
                  </w:tcBorders>
                  <w:vAlign w:val="center"/>
                </w:tcPr>
                <w:p w14:paraId="52D540F3">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36.9</w:t>
                  </w:r>
                </w:p>
              </w:tc>
            </w:tr>
            <w:tr w14:paraId="23BE7E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666D0F1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7C8103E8">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 30m</w:t>
                  </w:r>
                </w:p>
              </w:tc>
              <w:tc>
                <w:tcPr>
                  <w:tcW w:w="1079" w:type="pct"/>
                  <w:tcBorders>
                    <w:tl2br w:val="nil"/>
                    <w:tr2bl w:val="nil"/>
                  </w:tcBorders>
                  <w:vAlign w:val="center"/>
                </w:tcPr>
                <w:p w14:paraId="42286212">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38.1</w:t>
                  </w:r>
                </w:p>
              </w:tc>
              <w:tc>
                <w:tcPr>
                  <w:tcW w:w="1098" w:type="pct"/>
                  <w:tcBorders>
                    <w:tl2br w:val="nil"/>
                    <w:tr2bl w:val="nil"/>
                  </w:tcBorders>
                  <w:vAlign w:val="center"/>
                </w:tcPr>
                <w:p w14:paraId="46395487">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36.7</w:t>
                  </w:r>
                </w:p>
              </w:tc>
            </w:tr>
            <w:tr w14:paraId="0E5001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0C8B83E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56324DA5">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 35m</w:t>
                  </w:r>
                </w:p>
              </w:tc>
              <w:tc>
                <w:tcPr>
                  <w:tcW w:w="1079" w:type="pct"/>
                  <w:tcBorders>
                    <w:tl2br w:val="nil"/>
                    <w:tr2bl w:val="nil"/>
                  </w:tcBorders>
                  <w:vAlign w:val="center"/>
                </w:tcPr>
                <w:p w14:paraId="488058BC">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37.9</w:t>
                  </w:r>
                </w:p>
              </w:tc>
              <w:tc>
                <w:tcPr>
                  <w:tcW w:w="1098" w:type="pct"/>
                  <w:tcBorders>
                    <w:tl2br w:val="nil"/>
                    <w:tr2bl w:val="nil"/>
                  </w:tcBorders>
                  <w:vAlign w:val="center"/>
                </w:tcPr>
                <w:p w14:paraId="13304469">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36.8</w:t>
                  </w:r>
                </w:p>
              </w:tc>
            </w:tr>
            <w:tr w14:paraId="60F59B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243DD25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55C4CA0F">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边导线正下方投影外40m</w:t>
                  </w:r>
                </w:p>
              </w:tc>
              <w:tc>
                <w:tcPr>
                  <w:tcW w:w="1079" w:type="pct"/>
                  <w:tcBorders>
                    <w:tl2br w:val="nil"/>
                    <w:tr2bl w:val="nil"/>
                  </w:tcBorders>
                  <w:vAlign w:val="center"/>
                </w:tcPr>
                <w:p w14:paraId="3DA15389">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38.1</w:t>
                  </w:r>
                </w:p>
              </w:tc>
              <w:tc>
                <w:tcPr>
                  <w:tcW w:w="1098" w:type="pct"/>
                  <w:tcBorders>
                    <w:tl2br w:val="nil"/>
                    <w:tr2bl w:val="nil"/>
                  </w:tcBorders>
                  <w:vAlign w:val="center"/>
                </w:tcPr>
                <w:p w14:paraId="09A0BE30">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37.3</w:t>
                  </w:r>
                </w:p>
              </w:tc>
            </w:tr>
            <w:tr w14:paraId="01F9D1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7" w:type="pct"/>
                  <w:vMerge w:val="continue"/>
                  <w:tcBorders>
                    <w:tl2br w:val="nil"/>
                    <w:tr2bl w:val="nil"/>
                  </w:tcBorders>
                  <w:vAlign w:val="center"/>
                </w:tcPr>
                <w:p w14:paraId="41ADEBF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4B31CB0F">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边导线正下方投影外45m</w:t>
                  </w:r>
                </w:p>
              </w:tc>
              <w:tc>
                <w:tcPr>
                  <w:tcW w:w="1079" w:type="pct"/>
                  <w:tcBorders>
                    <w:tl2br w:val="nil"/>
                    <w:tr2bl w:val="nil"/>
                  </w:tcBorders>
                  <w:vAlign w:val="center"/>
                </w:tcPr>
                <w:p w14:paraId="22F7CAF3">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37.7</w:t>
                  </w:r>
                </w:p>
              </w:tc>
              <w:tc>
                <w:tcPr>
                  <w:tcW w:w="1098" w:type="pct"/>
                  <w:tcBorders>
                    <w:tl2br w:val="nil"/>
                    <w:tr2bl w:val="nil"/>
                  </w:tcBorders>
                  <w:vAlign w:val="center"/>
                </w:tcPr>
                <w:p w14:paraId="17A1415A">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36.9</w:t>
                  </w:r>
                </w:p>
              </w:tc>
            </w:tr>
            <w:tr w14:paraId="11FA69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07" w:type="pct"/>
                  <w:vMerge w:val="continue"/>
                  <w:tcBorders>
                    <w:tl2br w:val="nil"/>
                    <w:tr2bl w:val="nil"/>
                  </w:tcBorders>
                  <w:vAlign w:val="center"/>
                </w:tcPr>
                <w:p w14:paraId="7588D15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p>
              </w:tc>
              <w:tc>
                <w:tcPr>
                  <w:tcW w:w="1815" w:type="pct"/>
                  <w:tcBorders>
                    <w:tl2br w:val="nil"/>
                    <w:tr2bl w:val="nil"/>
                  </w:tcBorders>
                  <w:vAlign w:val="center"/>
                </w:tcPr>
                <w:p w14:paraId="3889AA2C">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边导线正下方投影外 50m</w:t>
                  </w:r>
                </w:p>
              </w:tc>
              <w:tc>
                <w:tcPr>
                  <w:tcW w:w="1079" w:type="pct"/>
                  <w:tcBorders>
                    <w:tl2br w:val="nil"/>
                    <w:tr2bl w:val="nil"/>
                  </w:tcBorders>
                  <w:vAlign w:val="center"/>
                </w:tcPr>
                <w:p w14:paraId="6A89B133">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37.3</w:t>
                  </w:r>
                </w:p>
              </w:tc>
              <w:tc>
                <w:tcPr>
                  <w:tcW w:w="1098" w:type="pct"/>
                  <w:tcBorders>
                    <w:tl2br w:val="nil"/>
                    <w:tr2bl w:val="nil"/>
                  </w:tcBorders>
                  <w:vAlign w:val="center"/>
                </w:tcPr>
                <w:p w14:paraId="7FEB5270">
                  <w:pPr>
                    <w:pStyle w:val="89"/>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000000" w:themeColor="text1"/>
                      <w:spacing w:val="0"/>
                      <w:position w:val="0"/>
                      <w:sz w:val="21"/>
                      <w:szCs w:val="21"/>
                      <w14:textFill>
                        <w14:solidFill>
                          <w14:schemeClr w14:val="tx1"/>
                        </w14:solidFill>
                      </w14:textFill>
                    </w:rPr>
                  </w:pPr>
                  <w:r>
                    <w:rPr>
                      <w:rFonts w:hint="default" w:ascii="Times New Roman" w:hAnsi="Times New Roman" w:cs="Times New Roman"/>
                      <w:color w:val="000000" w:themeColor="text1"/>
                      <w:spacing w:val="0"/>
                      <w:position w:val="0"/>
                      <w:sz w:val="21"/>
                      <w:szCs w:val="21"/>
                      <w14:textFill>
                        <w14:solidFill>
                          <w14:schemeClr w14:val="tx1"/>
                        </w14:solidFill>
                      </w14:textFill>
                    </w:rPr>
                    <w:t>36.4</w:t>
                  </w:r>
                </w:p>
              </w:tc>
            </w:tr>
          </w:tbl>
          <w:p w14:paraId="55B78C3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both"/>
              <w:textAlignment w:val="auto"/>
              <w:rPr>
                <w:rFonts w:hint="eastAsia" w:eastAsia="宋体"/>
                <w:b w:val="0"/>
                <w:bCs w:val="0"/>
                <w:color w:val="000000" w:themeColor="text1"/>
                <w:lang w:eastAsia="zh-CN"/>
                <w14:textFill>
                  <w14:solidFill>
                    <w14:schemeClr w14:val="tx1"/>
                  </w14:solidFill>
                </w14:textFill>
              </w:rPr>
            </w:pPr>
            <w:r>
              <w:rPr>
                <w:rFonts w:hint="eastAsia"/>
                <w:b w:val="0"/>
                <w:bCs w:val="0"/>
                <w:color w:val="000000" w:themeColor="text1"/>
                <w14:textFill>
                  <w14:solidFill>
                    <w14:schemeClr w14:val="tx1"/>
                  </w14:solidFill>
                </w14:textFill>
              </w:rPr>
              <w:t>由表4-7分析可知，220kV苏独一线50m范围内昼间噪声监测值为37.3~38.1dB</w:t>
            </w:r>
            <w:r>
              <w:rPr>
                <w:rFonts w:hint="eastAsia"/>
                <w:b w:val="0"/>
                <w:bCs w:val="0"/>
                <w:color w:val="000000" w:themeColor="text1"/>
                <w:lang w:val="en-US" w:eastAsia="zh-CN"/>
                <w14:textFill>
                  <w14:solidFill>
                    <w14:schemeClr w14:val="tx1"/>
                  </w14:solidFill>
                </w14:textFill>
              </w:rPr>
              <w:t>(</w:t>
            </w:r>
            <w:r>
              <w:rPr>
                <w:rFonts w:hint="eastAsia"/>
                <w:b w:val="0"/>
                <w:bCs w:val="0"/>
                <w:color w:val="000000" w:themeColor="text1"/>
                <w14:textFill>
                  <w14:solidFill>
                    <w14:schemeClr w14:val="tx1"/>
                  </w14:solidFill>
                </w14:textFill>
              </w:rPr>
              <w:t>A</w:t>
            </w:r>
            <w:r>
              <w:rPr>
                <w:rFonts w:hint="eastAsia"/>
                <w:b w:val="0"/>
                <w:bCs w:val="0"/>
                <w:color w:val="000000" w:themeColor="text1"/>
                <w:lang w:val="en-US" w:eastAsia="zh-CN"/>
                <w14:textFill>
                  <w14:solidFill>
                    <w14:schemeClr w14:val="tx1"/>
                  </w14:solidFill>
                </w14:textFill>
              </w:rPr>
              <w:t>)</w:t>
            </w:r>
            <w:r>
              <w:rPr>
                <w:rFonts w:hint="eastAsia"/>
                <w:b w:val="0"/>
                <w:bCs w:val="0"/>
                <w:color w:val="000000" w:themeColor="text1"/>
                <w14:textFill>
                  <w14:solidFill>
                    <w14:schemeClr w14:val="tx1"/>
                  </w14:solidFill>
                </w14:textFill>
              </w:rPr>
              <w:t>，夜间噪声监测值为36.4～37.3dB</w:t>
            </w:r>
            <w:r>
              <w:rPr>
                <w:rFonts w:hint="eastAsia"/>
                <w:b w:val="0"/>
                <w:bCs w:val="0"/>
                <w:color w:val="000000" w:themeColor="text1"/>
                <w:lang w:val="en-US" w:eastAsia="zh-CN"/>
                <w14:textFill>
                  <w14:solidFill>
                    <w14:schemeClr w14:val="tx1"/>
                  </w14:solidFill>
                </w14:textFill>
              </w:rPr>
              <w:t>(</w:t>
            </w:r>
            <w:r>
              <w:rPr>
                <w:rFonts w:hint="eastAsia"/>
                <w:b w:val="0"/>
                <w:bCs w:val="0"/>
                <w:color w:val="000000" w:themeColor="text1"/>
                <w14:textFill>
                  <w14:solidFill>
                    <w14:schemeClr w14:val="tx1"/>
                  </w14:solidFill>
                </w14:textFill>
              </w:rPr>
              <w:t>A</w:t>
            </w:r>
            <w:r>
              <w:rPr>
                <w:rFonts w:hint="eastAsia"/>
                <w:b w:val="0"/>
                <w:bCs w:val="0"/>
                <w:color w:val="000000" w:themeColor="text1"/>
                <w:lang w:val="en-US" w:eastAsia="zh-CN"/>
                <w14:textFill>
                  <w14:solidFill>
                    <w14:schemeClr w14:val="tx1"/>
                  </w14:solidFill>
                </w14:textFill>
              </w:rPr>
              <w:t>)</w:t>
            </w:r>
            <w:r>
              <w:rPr>
                <w:rFonts w:hint="eastAsia"/>
                <w:b w:val="0"/>
                <w:bCs w:val="0"/>
                <w:color w:val="000000" w:themeColor="text1"/>
                <w14:textFill>
                  <w14:solidFill>
                    <w14:schemeClr w14:val="tx1"/>
                  </w14:solidFill>
                </w14:textFill>
              </w:rPr>
              <w:t>，满足《声环境质量标准》（GB3096-2008）2类（昼间：60dB</w:t>
            </w:r>
            <w:r>
              <w:rPr>
                <w:rFonts w:hint="eastAsia"/>
                <w:b w:val="0"/>
                <w:bCs w:val="0"/>
                <w:color w:val="000000" w:themeColor="text1"/>
                <w:lang w:val="en-US" w:eastAsia="zh-CN"/>
                <w14:textFill>
                  <w14:solidFill>
                    <w14:schemeClr w14:val="tx1"/>
                  </w14:solidFill>
                </w14:textFill>
              </w:rPr>
              <w:t>(</w:t>
            </w:r>
            <w:r>
              <w:rPr>
                <w:rFonts w:hint="eastAsia"/>
                <w:b w:val="0"/>
                <w:bCs w:val="0"/>
                <w:color w:val="000000" w:themeColor="text1"/>
                <w14:textFill>
                  <w14:solidFill>
                    <w14:schemeClr w14:val="tx1"/>
                  </w14:solidFill>
                </w14:textFill>
              </w:rPr>
              <w:t>A</w:t>
            </w:r>
            <w:r>
              <w:rPr>
                <w:rFonts w:hint="eastAsia"/>
                <w:b w:val="0"/>
                <w:bCs w:val="0"/>
                <w:color w:val="000000" w:themeColor="text1"/>
                <w:lang w:val="en-US" w:eastAsia="zh-CN"/>
                <w14:textFill>
                  <w14:solidFill>
                    <w14:schemeClr w14:val="tx1"/>
                  </w14:solidFill>
                </w14:textFill>
              </w:rPr>
              <w:t>)</w:t>
            </w:r>
            <w:r>
              <w:rPr>
                <w:rFonts w:hint="eastAsia"/>
                <w:b w:val="0"/>
                <w:bCs w:val="0"/>
                <w:color w:val="000000" w:themeColor="text1"/>
                <w14:textFill>
                  <w14:solidFill>
                    <w14:schemeClr w14:val="tx1"/>
                  </w14:solidFill>
                </w14:textFill>
              </w:rPr>
              <w:t>、夜间：50dB</w:t>
            </w:r>
            <w:r>
              <w:rPr>
                <w:rFonts w:hint="eastAsia"/>
                <w:b w:val="0"/>
                <w:bCs w:val="0"/>
                <w:color w:val="000000" w:themeColor="text1"/>
                <w:lang w:val="en-US" w:eastAsia="zh-CN"/>
                <w14:textFill>
                  <w14:solidFill>
                    <w14:schemeClr w14:val="tx1"/>
                  </w14:solidFill>
                </w14:textFill>
              </w:rPr>
              <w:t>(</w:t>
            </w:r>
            <w:r>
              <w:rPr>
                <w:rFonts w:hint="eastAsia"/>
                <w:b w:val="0"/>
                <w:bCs w:val="0"/>
                <w:color w:val="000000" w:themeColor="text1"/>
                <w14:textFill>
                  <w14:solidFill>
                    <w14:schemeClr w14:val="tx1"/>
                  </w14:solidFill>
                </w14:textFill>
              </w:rPr>
              <w:t>A</w:t>
            </w:r>
            <w:r>
              <w:rPr>
                <w:rFonts w:hint="eastAsia"/>
                <w:b w:val="0"/>
                <w:bCs w:val="0"/>
                <w:color w:val="000000" w:themeColor="text1"/>
                <w:lang w:val="en-US" w:eastAsia="zh-CN"/>
                <w14:textFill>
                  <w14:solidFill>
                    <w14:schemeClr w14:val="tx1"/>
                  </w14:solidFill>
                </w14:textFill>
              </w:rPr>
              <w:t>)</w:t>
            </w:r>
            <w:r>
              <w:rPr>
                <w:rFonts w:hint="eastAsia"/>
                <w:b w:val="0"/>
                <w:bCs w:val="0"/>
                <w:color w:val="000000" w:themeColor="text1"/>
                <w14:textFill>
                  <w14:solidFill>
                    <w14:schemeClr w14:val="tx1"/>
                  </w14:solidFill>
                </w14:textFill>
              </w:rPr>
              <w:t>）标准要求。类比分析可知，本项目220kV单回架空线路建成投运后，线路运行噪声能够满足《声环境质量标准》（GB3096-2008）相应功能区标准要求，不会对周围声环境产生不良影响</w:t>
            </w:r>
            <w:r>
              <w:rPr>
                <w:rFonts w:hint="eastAsia"/>
                <w:b w:val="0"/>
                <w:bCs w:val="0"/>
                <w:color w:val="000000" w:themeColor="text1"/>
                <w:lang w:eastAsia="zh-CN"/>
                <w14:textFill>
                  <w14:solidFill>
                    <w14:schemeClr w14:val="tx1"/>
                  </w14:solidFill>
                </w14:textFill>
              </w:rPr>
              <w:t>。</w:t>
            </w:r>
          </w:p>
          <w:p w14:paraId="02EB37DC">
            <w:pPr>
              <w:adjustRightInd w:val="0"/>
              <w:snapToGrid w:val="0"/>
              <w:spacing w:line="500" w:lineRule="exact"/>
              <w:ind w:firstLine="482" w:firstLineChars="200"/>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5.地下水、土壤影响</w:t>
            </w:r>
          </w:p>
          <w:p w14:paraId="4CE753FA">
            <w:pPr>
              <w:spacing w:line="500" w:lineRule="exact"/>
              <w:ind w:firstLine="480" w:firstLineChars="200"/>
              <w:rPr>
                <w:bCs/>
                <w:color w:val="000000" w:themeColor="text1"/>
                <w14:textFill>
                  <w14:solidFill>
                    <w14:schemeClr w14:val="tx1"/>
                  </w14:solidFill>
                </w14:textFill>
              </w:rPr>
            </w:pPr>
            <w:r>
              <w:rPr>
                <w:color w:val="000000" w:themeColor="text1"/>
                <w:kern w:val="0"/>
                <w14:textFill>
                  <w14:solidFill>
                    <w14:schemeClr w14:val="tx1"/>
                  </w14:solidFill>
                </w14:textFill>
              </w:rPr>
              <w:t>本项目运营期正常运转情况下产生的废物不存在地下水、土壤环境污染途径</w:t>
            </w:r>
            <w:r>
              <w:rPr>
                <w:rFonts w:hint="eastAsia"/>
                <w:color w:val="000000" w:themeColor="text1"/>
                <w:kern w:val="0"/>
                <w14:textFill>
                  <w14:solidFill>
                    <w14:schemeClr w14:val="tx1"/>
                  </w14:solidFill>
                </w14:textFill>
              </w:rPr>
              <w:t>。</w:t>
            </w:r>
            <w:r>
              <w:rPr>
                <w:bCs/>
                <w:color w:val="000000" w:themeColor="text1"/>
                <w14:textFill>
                  <w14:solidFill>
                    <w14:schemeClr w14:val="tx1"/>
                  </w14:solidFill>
                </w14:textFill>
              </w:rPr>
              <w:t>与本项目地下水及土壤相关的污染源可能为</w:t>
            </w:r>
            <w:r>
              <w:rPr>
                <w:rFonts w:hint="eastAsia"/>
                <w:bCs/>
                <w:color w:val="000000" w:themeColor="text1"/>
                <w14:textFill>
                  <w14:solidFill>
                    <w14:schemeClr w14:val="tx1"/>
                  </w14:solidFill>
                </w14:textFill>
              </w:rPr>
              <w:t>废油泄漏，</w:t>
            </w:r>
            <w:r>
              <w:rPr>
                <w:bCs/>
                <w:color w:val="000000" w:themeColor="text1"/>
                <w14:textFill>
                  <w14:solidFill>
                    <w14:schemeClr w14:val="tx1"/>
                  </w14:solidFill>
                </w14:textFill>
              </w:rPr>
              <w:t>导致</w:t>
            </w:r>
            <w:r>
              <w:rPr>
                <w:rFonts w:hint="eastAsia"/>
                <w:bCs/>
                <w:color w:val="000000" w:themeColor="text1"/>
                <w14:textFill>
                  <w14:solidFill>
                    <w14:schemeClr w14:val="tx1"/>
                  </w14:solidFill>
                </w14:textFill>
              </w:rPr>
              <w:t>污染物</w:t>
            </w:r>
            <w:r>
              <w:rPr>
                <w:bCs/>
                <w:color w:val="000000" w:themeColor="text1"/>
                <w14:textFill>
                  <w14:solidFill>
                    <w14:schemeClr w14:val="tx1"/>
                  </w14:solidFill>
                </w14:textFill>
              </w:rPr>
              <w:t>渗入</w:t>
            </w:r>
            <w:r>
              <w:rPr>
                <w:rFonts w:hint="eastAsia"/>
                <w:bCs/>
                <w:color w:val="000000" w:themeColor="text1"/>
                <w14:textFill>
                  <w14:solidFill>
                    <w14:schemeClr w14:val="tx1"/>
                  </w14:solidFill>
                </w14:textFill>
              </w:rPr>
              <w:t>土壤，污染土壤环境；由于项目区地下水埋深较深，如在发现泄漏及时采取措施的前提下，污染地下水可能性较小。</w:t>
            </w:r>
          </w:p>
          <w:p w14:paraId="5A1E3DCD">
            <w:pPr>
              <w:adjustRightIn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6.</w:t>
            </w:r>
            <w:r>
              <w:rPr>
                <w:b/>
                <w:bCs/>
                <w:color w:val="000000" w:themeColor="text1"/>
                <w14:textFill>
                  <w14:solidFill>
                    <w14:schemeClr w14:val="tx1"/>
                  </w14:solidFill>
                </w14:textFill>
              </w:rPr>
              <w:t>运营期固体废物环境影响分析</w:t>
            </w:r>
          </w:p>
          <w:p w14:paraId="322FCD0A">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（1）生活垃圾</w:t>
            </w:r>
          </w:p>
          <w:p w14:paraId="5E494075">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本项目建成投产后职工定员1</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人，生活垃圾产生量按0.5kg/人·天计，则项目生活垃圾产生量约</w:t>
            </w:r>
            <w:r>
              <w:rPr>
                <w:rFonts w:hint="eastAsia"/>
                <w:color w:val="000000" w:themeColor="text1"/>
                <w:lang w:val="en-US" w:eastAsia="zh-CN"/>
                <w14:textFill>
                  <w14:solidFill>
                    <w14:schemeClr w14:val="tx1"/>
                  </w14:solidFill>
                </w14:textFill>
              </w:rPr>
              <w:t>3.29</w:t>
            </w:r>
            <w:r>
              <w:rPr>
                <w:rFonts w:hint="eastAsia"/>
                <w:color w:val="000000" w:themeColor="text1"/>
                <w14:textFill>
                  <w14:solidFill>
                    <w14:schemeClr w14:val="tx1"/>
                  </w14:solidFill>
                </w14:textFill>
              </w:rPr>
              <w:t>t/a。生活垃圾集中收集后交环卫部门清运</w:t>
            </w:r>
            <w:r>
              <w:rPr>
                <w:rFonts w:hint="eastAsia"/>
                <w:color w:val="000000" w:themeColor="text1"/>
                <w:lang w:eastAsia="zh-CN"/>
                <w14:textFill>
                  <w14:solidFill>
                    <w14:schemeClr w14:val="tx1"/>
                  </w14:solidFill>
                </w14:textFill>
              </w:rPr>
              <w:t>至且末县</w:t>
            </w:r>
            <w:r>
              <w:rPr>
                <w:rFonts w:hint="eastAsia"/>
                <w:color w:val="000000" w:themeColor="text1"/>
                <w14:textFill>
                  <w14:solidFill>
                    <w14:schemeClr w14:val="tx1"/>
                  </w14:solidFill>
                </w14:textFill>
              </w:rPr>
              <w:t>生活垃圾填埋场。</w:t>
            </w:r>
          </w:p>
          <w:p w14:paraId="3B02EE92">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jc w:val="both"/>
              <w:textAlignment w:val="auto"/>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）生活污水处理设施处理污泥</w:t>
            </w:r>
          </w:p>
          <w:p w14:paraId="31DEFE5C">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jc w:val="both"/>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w:t>
            </w:r>
            <w:r>
              <w:rPr>
                <w:rFonts w:hint="eastAsia"/>
                <w:color w:val="000000" w:themeColor="text1"/>
                <w:highlight w:val="none"/>
                <w:lang w:eastAsia="zh-CN"/>
                <w14:textFill>
                  <w14:solidFill>
                    <w14:schemeClr w14:val="tx1"/>
                  </w14:solidFill>
                </w14:textFill>
              </w:rPr>
              <w:t>生活污水处理</w:t>
            </w:r>
            <w:r>
              <w:rPr>
                <w:rFonts w:hint="eastAsia"/>
                <w:color w:val="000000" w:themeColor="text1"/>
                <w:highlight w:val="none"/>
                <w14:textFill>
                  <w14:solidFill>
                    <w14:schemeClr w14:val="tx1"/>
                  </w14:solidFill>
                </w14:textFill>
              </w:rPr>
              <w:t>时会产生一定量的污泥</w:t>
            </w:r>
            <w:r>
              <w:rPr>
                <w:rFonts w:hint="eastAsia"/>
                <w:color w:val="000000" w:themeColor="text1"/>
                <w:highlight w:val="none"/>
                <w:lang w:eastAsia="zh-CN"/>
                <w14:textFill>
                  <w14:solidFill>
                    <w14:schemeClr w14:val="tx1"/>
                  </w14:solidFill>
                </w14:textFill>
              </w:rPr>
              <w:t>，</w:t>
            </w:r>
            <w:r>
              <w:rPr>
                <w:rFonts w:hint="eastAsia" w:cs="Times New Roman"/>
                <w:color w:val="000000" w:themeColor="text1"/>
                <w:highlight w:val="none"/>
                <w:lang w:val="en-US" w:eastAsia="zh-CN"/>
                <w14:textFill>
                  <w14:solidFill>
                    <w14:schemeClr w14:val="tx1"/>
                  </w14:solidFill>
                </w14:textFill>
              </w:rPr>
              <w:t>根据《固体废物分类与代码目录》（公告2024年第4号），生活污水处理污泥</w:t>
            </w:r>
            <w:r>
              <w:rPr>
                <w:rFonts w:hint="eastAsia" w:ascii="Times New Roman" w:eastAsia="宋体" w:cs="Times New Roman"/>
                <w:color w:val="000000" w:themeColor="text1"/>
                <w:sz w:val="24"/>
                <w:szCs w:val="24"/>
                <w:highlight w:val="none"/>
                <w:lang w:eastAsia="zh-CN"/>
                <w14:textFill>
                  <w14:solidFill>
                    <w14:schemeClr w14:val="tx1"/>
                  </w14:solidFill>
                </w14:textFill>
              </w:rPr>
              <w:t>属于SW</w:t>
            </w:r>
            <w:r>
              <w:rPr>
                <w:rFonts w:hint="eastAsia" w:cs="Times New Roman"/>
                <w:color w:val="000000" w:themeColor="text1"/>
                <w:sz w:val="24"/>
                <w:szCs w:val="24"/>
                <w:highlight w:val="none"/>
                <w:lang w:val="en-US" w:eastAsia="zh-CN"/>
                <w14:textFill>
                  <w14:solidFill>
                    <w14:schemeClr w14:val="tx1"/>
                  </w14:solidFill>
                </w14:textFill>
              </w:rPr>
              <w:t>0</w:t>
            </w:r>
            <w:r>
              <w:rPr>
                <w:rFonts w:hint="eastAsia" w:ascii="Times New Roman" w:eastAsia="宋体" w:cs="Times New Roman"/>
                <w:color w:val="000000" w:themeColor="text1"/>
                <w:sz w:val="24"/>
                <w:szCs w:val="24"/>
                <w:highlight w:val="none"/>
                <w:lang w:eastAsia="zh-CN"/>
                <w14:textFill>
                  <w14:solidFill>
                    <w14:schemeClr w14:val="tx1"/>
                  </w14:solidFill>
                </w14:textFill>
              </w:rPr>
              <w:t>7</w:t>
            </w:r>
            <w:r>
              <w:rPr>
                <w:rFonts w:hint="eastAsia" w:cs="Times New Roman"/>
                <w:color w:val="000000" w:themeColor="text1"/>
                <w:sz w:val="24"/>
                <w:szCs w:val="24"/>
                <w:highlight w:val="none"/>
                <w:lang w:eastAsia="zh-CN"/>
                <w14:textFill>
                  <w14:solidFill>
                    <w14:schemeClr w14:val="tx1"/>
                  </w14:solidFill>
                </w14:textFill>
              </w:rPr>
              <w:t>污泥</w:t>
            </w:r>
            <w:r>
              <w:rPr>
                <w:rFonts w:hint="eastAsia" w:ascii="Times New Roman" w:eastAsia="宋体" w:cs="Times New Roman"/>
                <w:color w:val="000000" w:themeColor="text1"/>
                <w:sz w:val="24"/>
                <w:szCs w:val="24"/>
                <w:highlight w:val="none"/>
                <w:lang w:eastAsia="zh-CN"/>
                <w14:textFill>
                  <w14:solidFill>
                    <w14:schemeClr w14:val="tx1"/>
                  </w14:solidFill>
                </w14:textFill>
              </w:rPr>
              <w:t>，废物</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代码为</w:t>
            </w:r>
            <w:r>
              <w:rPr>
                <w:rFonts w:hint="eastAsia" w:ascii="Times New Roman" w:eastAsia="宋体" w:cs="Times New Roman"/>
                <w:color w:val="000000" w:themeColor="text1"/>
                <w:sz w:val="24"/>
                <w:szCs w:val="24"/>
                <w:highlight w:val="none"/>
                <w:lang w:eastAsia="zh-CN"/>
                <w14:textFill>
                  <w14:solidFill>
                    <w14:schemeClr w14:val="tx1"/>
                  </w14:solidFill>
                </w14:textFill>
              </w:rPr>
              <w:t>：900-0</w:t>
            </w:r>
            <w:r>
              <w:rPr>
                <w:rFonts w:hint="eastAsia" w:cs="Times New Roman"/>
                <w:color w:val="000000" w:themeColor="text1"/>
                <w:sz w:val="24"/>
                <w:szCs w:val="24"/>
                <w:highlight w:val="none"/>
                <w:lang w:val="en-US" w:eastAsia="zh-CN"/>
                <w14:textFill>
                  <w14:solidFill>
                    <w14:schemeClr w14:val="tx1"/>
                  </w14:solidFill>
                </w14:textFill>
              </w:rPr>
              <w:t>99</w:t>
            </w:r>
            <w:r>
              <w:rPr>
                <w:rFonts w:hint="eastAsia" w:ascii="Times New Roman" w:eastAsia="宋体" w:cs="Times New Roman"/>
                <w:color w:val="000000" w:themeColor="text1"/>
                <w:sz w:val="24"/>
                <w:szCs w:val="24"/>
                <w:highlight w:val="none"/>
                <w:lang w:eastAsia="zh-CN"/>
                <w14:textFill>
                  <w14:solidFill>
                    <w14:schemeClr w14:val="tx1"/>
                  </w14:solidFill>
                </w14:textFill>
              </w:rPr>
              <w:t>-S</w:t>
            </w:r>
            <w:r>
              <w:rPr>
                <w:rFonts w:hint="eastAsia" w:cs="Times New Roman"/>
                <w:color w:val="000000" w:themeColor="text1"/>
                <w:sz w:val="24"/>
                <w:szCs w:val="24"/>
                <w:highlight w:val="none"/>
                <w:lang w:val="en-US" w:eastAsia="zh-CN"/>
                <w14:textFill>
                  <w14:solidFill>
                    <w14:schemeClr w14:val="tx1"/>
                  </w14:solidFill>
                </w14:textFill>
              </w:rPr>
              <w:t>0</w:t>
            </w:r>
            <w:r>
              <w:rPr>
                <w:rFonts w:hint="eastAsia" w:ascii="Times New Roman" w:eastAsia="宋体" w:cs="Times New Roman"/>
                <w:color w:val="000000" w:themeColor="text1"/>
                <w:sz w:val="24"/>
                <w:szCs w:val="24"/>
                <w:highlight w:val="none"/>
                <w:lang w:eastAsia="zh-CN"/>
                <w14:textFill>
                  <w14:solidFill>
                    <w14:schemeClr w14:val="tx1"/>
                  </w14:solidFill>
                </w14:textFill>
              </w:rPr>
              <w:t>7</w:t>
            </w:r>
            <w:r>
              <w:rPr>
                <w:rFonts w:hint="eastAsia"/>
                <w:color w:val="000000" w:themeColor="text1"/>
                <w:highlight w:val="none"/>
                <w14:textFill>
                  <w14:solidFill>
                    <w14:schemeClr w14:val="tx1"/>
                  </w14:solidFill>
                </w14:textFill>
              </w:rPr>
              <w:t>，根据废水中污染物产生及排放情况，预计本项目污泥产生量为</w:t>
            </w:r>
            <w:r>
              <w:rPr>
                <w:rFonts w:hint="eastAsia"/>
                <w:color w:val="000000" w:themeColor="text1"/>
                <w:highlight w:val="none"/>
                <w:lang w:val="en-US" w:eastAsia="zh-CN"/>
                <w14:textFill>
                  <w14:solidFill>
                    <w14:schemeClr w14:val="tx1"/>
                  </w14:solidFill>
                </w14:textFill>
              </w:rPr>
              <w:t>0.15</w:t>
            </w:r>
            <w:r>
              <w:rPr>
                <w:rFonts w:hint="eastAsia"/>
                <w:color w:val="000000" w:themeColor="text1"/>
                <w:highlight w:val="none"/>
                <w14:textFill>
                  <w14:solidFill>
                    <w14:schemeClr w14:val="tx1"/>
                  </w14:solidFill>
                </w14:textFill>
              </w:rPr>
              <w:t>t/a。</w:t>
            </w:r>
            <w:r>
              <w:rPr>
                <w:rFonts w:hint="eastAsia"/>
                <w:color w:val="000000" w:themeColor="text1"/>
                <w:highlight w:val="none"/>
                <w:lang w:eastAsia="zh-CN"/>
                <w14:textFill>
                  <w14:solidFill>
                    <w14:schemeClr w14:val="tx1"/>
                  </w14:solidFill>
                </w14:textFill>
              </w:rPr>
              <w:t>项目委托</w:t>
            </w:r>
            <w:r>
              <w:rPr>
                <w:rFonts w:hint="eastAsia"/>
                <w:color w:val="000000" w:themeColor="text1"/>
                <w:highlight w:val="none"/>
                <w14:textFill>
                  <w14:solidFill>
                    <w14:schemeClr w14:val="tx1"/>
                  </w14:solidFill>
                </w14:textFill>
              </w:rPr>
              <w:t>专业公司定期</w:t>
            </w:r>
            <w:r>
              <w:rPr>
                <w:rFonts w:hint="eastAsia"/>
                <w:color w:val="000000" w:themeColor="text1"/>
                <w:highlight w:val="none"/>
                <w:lang w:eastAsia="zh-CN"/>
                <w14:textFill>
                  <w14:solidFill>
                    <w14:schemeClr w14:val="tx1"/>
                  </w14:solidFill>
                </w14:textFill>
              </w:rPr>
              <w:t>对生活污水处理设施进行清理</w:t>
            </w:r>
            <w:r>
              <w:rPr>
                <w:rFonts w:hint="eastAsia"/>
                <w:color w:val="000000" w:themeColor="text1"/>
                <w:highlight w:val="none"/>
                <w14:textFill>
                  <w14:solidFill>
                    <w14:schemeClr w14:val="tx1"/>
                  </w14:solidFill>
                </w14:textFill>
              </w:rPr>
              <w:t>，污泥经压干</w:t>
            </w:r>
            <w:r>
              <w:rPr>
                <w:rFonts w:hint="eastAsia"/>
                <w:color w:val="000000" w:themeColor="text1"/>
                <w:highlight w:val="none"/>
                <w:lang w:eastAsia="zh-CN"/>
                <w14:textFill>
                  <w14:solidFill>
                    <w14:schemeClr w14:val="tx1"/>
                  </w14:solidFill>
                </w14:textFill>
              </w:rPr>
              <w:t>（含水率小于</w:t>
            </w:r>
            <w:r>
              <w:rPr>
                <w:rFonts w:hint="eastAsia"/>
                <w:color w:val="000000" w:themeColor="text1"/>
                <w:highlight w:val="none"/>
                <w:lang w:val="en-US" w:eastAsia="zh-CN"/>
                <w14:textFill>
                  <w14:solidFill>
                    <w14:schemeClr w14:val="tx1"/>
                  </w14:solidFill>
                </w14:textFill>
              </w:rPr>
              <w:t>60%</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后</w:t>
            </w:r>
            <w:r>
              <w:rPr>
                <w:rFonts w:hint="eastAsia"/>
                <w:color w:val="000000" w:themeColor="text1"/>
                <w:highlight w:val="none"/>
                <w:lang w:eastAsia="zh-CN"/>
                <w14:textFill>
                  <w14:solidFill>
                    <w14:schemeClr w14:val="tx1"/>
                  </w14:solidFill>
                </w14:textFill>
              </w:rPr>
              <w:t>交环卫部门清运至且末县生活垃圾填埋场</w:t>
            </w:r>
            <w:r>
              <w:rPr>
                <w:rFonts w:hint="eastAsia"/>
                <w:color w:val="000000" w:themeColor="text1"/>
                <w:highlight w:val="none"/>
                <w14:textFill>
                  <w14:solidFill>
                    <w14:schemeClr w14:val="tx1"/>
                  </w14:solidFill>
                </w14:textFill>
              </w:rPr>
              <w:t>。</w:t>
            </w:r>
          </w:p>
          <w:p w14:paraId="1CBFAF9E">
            <w:pPr>
              <w:adjustRightInd w:val="0"/>
              <w:spacing w:line="500" w:lineRule="exact"/>
              <w:ind w:firstLine="480" w:firstLineChars="200"/>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3</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检修及事故</w:t>
            </w:r>
            <w:r>
              <w:rPr>
                <w:color w:val="000000" w:themeColor="text1"/>
                <w14:textFill>
                  <w14:solidFill>
                    <w14:schemeClr w14:val="tx1"/>
                  </w14:solidFill>
                </w14:textFill>
              </w:rPr>
              <w:t>废油</w:t>
            </w:r>
          </w:p>
          <w:p w14:paraId="7B857512">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项目</w:t>
            </w:r>
            <w:r>
              <w:rPr>
                <w:rFonts w:hint="eastAsia"/>
                <w:snapToGrid w:val="0"/>
                <w:color w:val="000000" w:themeColor="text1"/>
                <w:sz w:val="24"/>
                <w:szCs w:val="24"/>
                <w14:textFill>
                  <w14:solidFill>
                    <w14:schemeClr w14:val="tx1"/>
                  </w14:solidFill>
                </w14:textFill>
              </w:rPr>
              <w:t>220kV升压汇集站</w:t>
            </w:r>
            <w:r>
              <w:rPr>
                <w:rFonts w:hint="eastAsia"/>
                <w:color w:val="000000" w:themeColor="text1"/>
                <w14:textFill>
                  <w14:solidFill>
                    <w14:schemeClr w14:val="tx1"/>
                  </w14:solidFill>
                </w14:textFill>
              </w:rPr>
              <w:t>内</w:t>
            </w:r>
            <w:r>
              <w:rPr>
                <w:color w:val="000000" w:themeColor="text1"/>
                <w14:textFill>
                  <w14:solidFill>
                    <w14:schemeClr w14:val="tx1"/>
                  </w14:solidFill>
                </w14:textFill>
              </w:rPr>
              <w:t>变压器为了绝缘和冷却的需要，在变压器外壳内装有变压器油，变压器油一般</w:t>
            </w:r>
            <w:r>
              <w:rPr>
                <w:rFonts w:hint="eastAsia"/>
                <w:color w:val="000000" w:themeColor="text1"/>
                <w14:textFill>
                  <w14:solidFill>
                    <w14:schemeClr w14:val="tx1"/>
                  </w14:solidFill>
                </w14:textFill>
              </w:rPr>
              <w:t>不更换，</w:t>
            </w:r>
            <w:r>
              <w:rPr>
                <w:color w:val="000000" w:themeColor="text1"/>
                <w14:textFill>
                  <w14:solidFill>
                    <w14:schemeClr w14:val="tx1"/>
                  </w14:solidFill>
                </w14:textFill>
              </w:rPr>
              <w:t>只有检修及事故情况下才会产生</w:t>
            </w:r>
            <w:r>
              <w:rPr>
                <w:rFonts w:hint="eastAsia"/>
                <w:color w:val="000000" w:themeColor="text1"/>
                <w14:textFill>
                  <w14:solidFill>
                    <w14:schemeClr w14:val="tx1"/>
                  </w14:solidFill>
                </w14:textFill>
              </w:rPr>
              <w:t>少量</w:t>
            </w:r>
            <w:r>
              <w:rPr>
                <w:color w:val="000000" w:themeColor="text1"/>
                <w14:textFill>
                  <w14:solidFill>
                    <w14:schemeClr w14:val="tx1"/>
                  </w14:solidFill>
                </w14:textFill>
              </w:rPr>
              <w:t>油</w:t>
            </w:r>
            <w:r>
              <w:rPr>
                <w:rFonts w:hint="eastAsia"/>
                <w:color w:val="000000" w:themeColor="text1"/>
                <w14:textFill>
                  <w14:solidFill>
                    <w14:schemeClr w14:val="tx1"/>
                  </w14:solidFill>
                </w14:textFill>
              </w:rPr>
              <w:t>泄漏</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根据设计资料，本项目</w:t>
            </w:r>
            <w:r>
              <w:rPr>
                <w:rFonts w:hint="eastAsia"/>
                <w:snapToGrid w:val="0"/>
                <w:color w:val="000000" w:themeColor="text1"/>
                <w:sz w:val="24"/>
                <w:szCs w:val="24"/>
                <w14:textFill>
                  <w14:solidFill>
                    <w14:schemeClr w14:val="tx1"/>
                  </w14:solidFill>
                </w14:textFill>
              </w:rPr>
              <w:t>220kV升压汇集站</w:t>
            </w:r>
            <w:r>
              <w:rPr>
                <w:color w:val="000000" w:themeColor="text1"/>
                <w14:textFill>
                  <w14:solidFill>
                    <w14:schemeClr w14:val="tx1"/>
                  </w14:solidFill>
                </w14:textFill>
              </w:rPr>
              <w:t>内设计有</w:t>
            </w:r>
            <w:r>
              <w:rPr>
                <w:rFonts w:hint="eastAsia"/>
                <w:color w:val="000000" w:themeColor="text1"/>
                <w14:textFill>
                  <w14:solidFill>
                    <w14:schemeClr w14:val="tx1"/>
                  </w14:solidFill>
                </w14:textFill>
              </w:rPr>
              <w:t>防渗事故</w:t>
            </w:r>
            <w:r>
              <w:rPr>
                <w:color w:val="000000" w:themeColor="text1"/>
                <w14:textFill>
                  <w14:solidFill>
                    <w14:schemeClr w14:val="tx1"/>
                  </w14:solidFill>
                </w14:textFill>
              </w:rPr>
              <w:t>油池1座</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容积</w:t>
            </w:r>
            <w:r>
              <w:rPr>
                <w:rFonts w:hint="eastAsia"/>
                <w:color w:val="000000" w:themeColor="text1"/>
                <w:lang w:val="en-US" w:eastAsia="zh-CN"/>
                <w14:textFill>
                  <w14:solidFill>
                    <w14:schemeClr w14:val="tx1"/>
                  </w14:solidFill>
                </w14:textFill>
              </w:rPr>
              <w:t>50</w:t>
            </w:r>
            <w:r>
              <w:rPr>
                <w:color w:val="000000" w:themeColor="text1"/>
                <w14:textFill>
                  <w14:solidFill>
                    <w14:schemeClr w14:val="tx1"/>
                  </w14:solidFill>
                </w14:textFill>
              </w:rPr>
              <w:t>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，可使变压器在</w:t>
            </w:r>
            <w:r>
              <w:rPr>
                <w:rFonts w:hint="eastAsia"/>
                <w:color w:val="000000" w:themeColor="text1"/>
                <w14:textFill>
                  <w14:solidFill>
                    <w14:schemeClr w14:val="tx1"/>
                  </w14:solidFill>
                </w14:textFill>
              </w:rPr>
              <w:t>维修及</w:t>
            </w:r>
            <w:r>
              <w:rPr>
                <w:color w:val="000000" w:themeColor="text1"/>
                <w14:textFill>
                  <w14:solidFill>
                    <w14:schemeClr w14:val="tx1"/>
                  </w14:solidFill>
                </w14:textFill>
              </w:rPr>
              <w:t>发生事故时，壳体内的油经过</w:t>
            </w:r>
            <w:r>
              <w:rPr>
                <w:rFonts w:hint="eastAsia"/>
                <w:color w:val="000000" w:themeColor="text1"/>
                <w14:textFill>
                  <w14:solidFill>
                    <w14:schemeClr w14:val="tx1"/>
                  </w14:solidFill>
                </w14:textFill>
              </w:rPr>
              <w:t>管道</w:t>
            </w:r>
            <w:r>
              <w:rPr>
                <w:color w:val="000000" w:themeColor="text1"/>
                <w14:textFill>
                  <w14:solidFill>
                    <w14:schemeClr w14:val="tx1"/>
                  </w14:solidFill>
                </w14:textFill>
              </w:rPr>
              <w:t>排入事故贮油池，防止变压器油随意乱排造成对环境的污染。</w:t>
            </w:r>
          </w:p>
          <w:p w14:paraId="1CEBE298">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根据《国家危险废物名录（202</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年版）》，本项目</w:t>
            </w:r>
            <w:r>
              <w:rPr>
                <w:rFonts w:hint="eastAsia"/>
                <w:color w:val="000000" w:themeColor="text1"/>
                <w14:textFill>
                  <w14:solidFill>
                    <w14:schemeClr w14:val="tx1"/>
                  </w14:solidFill>
                </w14:textFill>
              </w:rPr>
              <w:t>废变压器油</w:t>
            </w:r>
            <w:r>
              <w:rPr>
                <w:color w:val="000000" w:themeColor="text1"/>
                <w14:textFill>
                  <w14:solidFill>
                    <w14:schemeClr w14:val="tx1"/>
                  </w14:solidFill>
                </w14:textFill>
              </w:rPr>
              <w:t>属于</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HW08废矿物油与含矿物油废物</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中的</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变压器维护、更换和拆解过程中产生的废变压器油</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，废物代码</w:t>
            </w:r>
            <w:r>
              <w:rPr>
                <w:rFonts w:hint="eastAsia"/>
                <w:color w:val="000000" w:themeColor="text1"/>
                <w:lang w:eastAsia="zh-CN"/>
                <w14:textFill>
                  <w14:solidFill>
                    <w14:schemeClr w14:val="tx1"/>
                  </w14:solidFill>
                </w14:textFill>
              </w:rPr>
              <w:t>为：</w:t>
            </w:r>
            <w:r>
              <w:rPr>
                <w:color w:val="000000" w:themeColor="text1"/>
                <w14:textFill>
                  <w14:solidFill>
                    <w14:schemeClr w14:val="tx1"/>
                  </w14:solidFill>
                </w14:textFill>
              </w:rPr>
              <w:t>900-220-08。</w:t>
            </w:r>
            <w:r>
              <w:rPr>
                <w:rFonts w:hint="eastAsia"/>
                <w:color w:val="000000" w:themeColor="text1"/>
                <w14:textFill>
                  <w14:solidFill>
                    <w14:schemeClr w14:val="tx1"/>
                  </w14:solidFill>
                </w14:textFill>
              </w:rPr>
              <w:t>因该危险废物由变压器维修及发生事故状态产生，预计平均每年最大产生量约2.</w:t>
            </w:r>
            <w:r>
              <w:rPr>
                <w:rFonts w:hint="eastAsia"/>
                <w:color w:val="000000" w:themeColor="text1"/>
                <w:lang w:val="en-US" w:eastAsia="zh-CN"/>
                <w14:textFill>
                  <w14:solidFill>
                    <w14:schemeClr w14:val="tx1"/>
                  </w14:solidFill>
                </w14:textFill>
              </w:rPr>
              <w:t>5t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变压器事故油池主要起临时收集贮存作用，废油产生后将尽快由与公司签订合作协议的具有危废处置资质的单位进行清运处置，不在项目区内长时间储存。</w:t>
            </w:r>
          </w:p>
          <w:p w14:paraId="3F0B15CA">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综上所述，在采取相应污染防治措施后，废变压器油对环境无不良影响。</w:t>
            </w:r>
          </w:p>
          <w:p w14:paraId="59FDE5D0">
            <w:pPr>
              <w:pStyle w:val="99"/>
              <w:keepNext w:val="0"/>
              <w:keepLines w:val="0"/>
              <w:pageBreakBefore w:val="0"/>
              <w:widowControl w:val="0"/>
              <w:kinsoku/>
              <w:wordWrap/>
              <w:overflowPunct/>
              <w:topLinePunct w:val="0"/>
              <w:autoSpaceDE/>
              <w:autoSpaceDN/>
              <w:bidi w:val="0"/>
              <w:adjustRightInd/>
              <w:snapToGrid/>
              <w:spacing w:line="500" w:lineRule="atLeast"/>
              <w:textAlignment w:val="auto"/>
              <w:rPr>
                <w:rFonts w:hint="default" w:ascii="Times New Roman" w:hAnsi="Times New Roman" w:eastAsia="宋体" w:cs="Times New Roman"/>
                <w:color w:val="000000" w:themeColor="text1"/>
                <w:szCs w:val="24"/>
                <w14:textFill>
                  <w14:solidFill>
                    <w14:schemeClr w14:val="tx1"/>
                  </w14:solidFill>
                </w14:textFill>
              </w:rPr>
            </w:pPr>
            <w:r>
              <w:rPr>
                <w:rFonts w:hint="eastAsia" w:cs="Times New Roman"/>
                <w:color w:val="000000" w:themeColor="text1"/>
                <w:szCs w:val="24"/>
                <w:lang w:eastAsia="zh-CN"/>
                <w14:textFill>
                  <w14:solidFill>
                    <w14:schemeClr w14:val="tx1"/>
                  </w14:solidFill>
                </w14:textFill>
              </w:rPr>
              <w:t>（</w:t>
            </w:r>
            <w:r>
              <w:rPr>
                <w:rFonts w:hint="eastAsia" w:cs="Times New Roman"/>
                <w:color w:val="000000" w:themeColor="text1"/>
                <w:szCs w:val="24"/>
                <w:lang w:val="en-US" w:eastAsia="zh-CN"/>
                <w14:textFill>
                  <w14:solidFill>
                    <w14:schemeClr w14:val="tx1"/>
                  </w14:solidFill>
                </w14:textFill>
              </w:rPr>
              <w:t>4</w:t>
            </w:r>
            <w:r>
              <w:rPr>
                <w:rFonts w:hint="eastAsia" w:cs="Times New Roman"/>
                <w:color w:val="000000" w:themeColor="text1"/>
                <w:szCs w:val="24"/>
                <w:lang w:eastAsia="zh-CN"/>
                <w14:textFill>
                  <w14:solidFill>
                    <w14:schemeClr w14:val="tx1"/>
                  </w14:solidFill>
                </w14:textFill>
              </w:rPr>
              <w:t>）</w:t>
            </w:r>
            <w:r>
              <w:rPr>
                <w:rFonts w:hint="eastAsia" w:ascii="Times New Roman" w:hAnsi="Times New Roman" w:eastAsia="宋体" w:cs="Times New Roman"/>
                <w:color w:val="000000" w:themeColor="text1"/>
                <w:szCs w:val="24"/>
                <w:lang w:val="en-US" w:eastAsia="zh-CN"/>
                <w14:textFill>
                  <w14:solidFill>
                    <w14:schemeClr w14:val="tx1"/>
                  </w14:solidFill>
                </w14:textFill>
              </w:rPr>
              <w:t>废</w:t>
            </w:r>
            <w:r>
              <w:rPr>
                <w:rFonts w:hint="default" w:ascii="Times New Roman" w:hAnsi="Times New Roman" w:eastAsia="宋体" w:cs="Times New Roman"/>
                <w:color w:val="000000" w:themeColor="text1"/>
                <w:szCs w:val="24"/>
                <w:lang w:val="en-US" w:eastAsia="zh-CN"/>
                <w14:textFill>
                  <w14:solidFill>
                    <w14:schemeClr w14:val="tx1"/>
                  </w14:solidFill>
                </w14:textFill>
              </w:rPr>
              <w:t>铅酸蓄电池</w:t>
            </w:r>
          </w:p>
          <w:p w14:paraId="79966895">
            <w:pPr>
              <w:pStyle w:val="99"/>
              <w:keepNext w:val="0"/>
              <w:keepLines w:val="0"/>
              <w:pageBreakBefore w:val="0"/>
              <w:widowControl w:val="0"/>
              <w:kinsoku/>
              <w:wordWrap/>
              <w:overflowPunct/>
              <w:topLinePunct w:val="0"/>
              <w:autoSpaceDE/>
              <w:autoSpaceDN/>
              <w:bidi w:val="0"/>
              <w:adjustRightInd/>
              <w:snapToGrid/>
              <w:spacing w:line="500" w:lineRule="atLeast"/>
              <w:textAlignment w:val="auto"/>
              <w:rPr>
                <w:rFonts w:hint="eastAsia" w:ascii="Times New Roman" w:hAnsi="Times New Roman" w:eastAsia="宋体" w:cs="Times New Roman"/>
                <w:color w:val="000000" w:themeColor="text1"/>
                <w:szCs w:val="24"/>
                <w:lang w:val="en-US" w:eastAsia="zh-CN"/>
                <w14:textFill>
                  <w14:solidFill>
                    <w14:schemeClr w14:val="tx1"/>
                  </w14:solidFill>
                </w14:textFill>
              </w:rPr>
            </w:pPr>
            <w:r>
              <w:rPr>
                <w:rFonts w:hint="eastAsia" w:ascii="Times New Roman" w:hAnsi="Times New Roman" w:eastAsia="宋体" w:cs="Times New Roman"/>
                <w:color w:val="000000" w:themeColor="text1"/>
                <w:szCs w:val="24"/>
                <w:lang w:val="en-US" w:eastAsia="zh-CN"/>
                <w14:textFill>
                  <w14:solidFill>
                    <w14:schemeClr w14:val="tx1"/>
                  </w14:solidFill>
                </w14:textFill>
              </w:rPr>
              <w:t>本项目升压</w:t>
            </w:r>
            <w:r>
              <w:rPr>
                <w:rFonts w:hint="eastAsia" w:cs="Times New Roman"/>
                <w:color w:val="000000" w:themeColor="text1"/>
                <w:szCs w:val="24"/>
                <w:lang w:val="en-US" w:eastAsia="zh-CN"/>
                <w14:textFill>
                  <w14:solidFill>
                    <w14:schemeClr w14:val="tx1"/>
                  </w14:solidFill>
                </w14:textFill>
              </w:rPr>
              <w:t>汇集</w:t>
            </w:r>
            <w:r>
              <w:rPr>
                <w:rFonts w:hint="eastAsia" w:ascii="Times New Roman" w:hAnsi="Times New Roman" w:eastAsia="宋体" w:cs="Times New Roman"/>
                <w:color w:val="000000" w:themeColor="text1"/>
                <w:szCs w:val="24"/>
                <w:lang w:val="en-US" w:eastAsia="zh-CN"/>
                <w14:textFill>
                  <w14:solidFill>
                    <w14:schemeClr w14:val="tx1"/>
                  </w14:solidFill>
                </w14:textFill>
              </w:rPr>
              <w:t>站采用免维护蓄电池，</w:t>
            </w:r>
            <w:r>
              <w:rPr>
                <w:rFonts w:hint="eastAsia" w:cs="Times New Roman"/>
                <w:color w:val="000000" w:themeColor="text1"/>
                <w:szCs w:val="24"/>
                <w:lang w:val="en-US" w:eastAsia="zh-CN"/>
                <w14:textFill>
                  <w14:solidFill>
                    <w14:schemeClr w14:val="tx1"/>
                  </w14:solidFill>
                </w14:textFill>
              </w:rPr>
              <w:t>升压汇集站</w:t>
            </w:r>
            <w:r>
              <w:rPr>
                <w:rFonts w:hint="eastAsia" w:ascii="Times New Roman" w:hAnsi="Times New Roman" w:eastAsia="宋体" w:cs="Times New Roman"/>
                <w:color w:val="000000" w:themeColor="text1"/>
                <w:szCs w:val="24"/>
                <w:lang w:val="en-US" w:eastAsia="zh-CN"/>
                <w14:textFill>
                  <w14:solidFill>
                    <w14:schemeClr w14:val="tx1"/>
                  </w14:solidFill>
                </w14:textFill>
              </w:rPr>
              <w:t>运行和检修时，无酸性废水排放，但是会产生废蓄电池。升压</w:t>
            </w:r>
            <w:r>
              <w:rPr>
                <w:rFonts w:hint="eastAsia" w:cs="Times New Roman"/>
                <w:color w:val="000000" w:themeColor="text1"/>
                <w:szCs w:val="24"/>
                <w:lang w:val="en-US" w:eastAsia="zh-CN"/>
                <w14:textFill>
                  <w14:solidFill>
                    <w14:schemeClr w14:val="tx1"/>
                  </w14:solidFill>
                </w14:textFill>
              </w:rPr>
              <w:t>汇集</w:t>
            </w:r>
            <w:r>
              <w:rPr>
                <w:rFonts w:hint="eastAsia" w:ascii="Times New Roman" w:hAnsi="Times New Roman" w:eastAsia="宋体" w:cs="Times New Roman"/>
                <w:color w:val="000000" w:themeColor="text1"/>
                <w:szCs w:val="24"/>
                <w:lang w:val="en-US" w:eastAsia="zh-CN"/>
                <w14:textFill>
                  <w14:solidFill>
                    <w14:schemeClr w14:val="tx1"/>
                  </w14:solidFill>
                </w14:textFill>
              </w:rPr>
              <w:t>站内共配置免维护铅酸蓄电池</w:t>
            </w:r>
            <w:r>
              <w:rPr>
                <w:rFonts w:hint="default" w:ascii="Times New Roman" w:hAnsi="Times New Roman" w:eastAsia="宋体" w:cs="Times New Roman"/>
                <w:color w:val="000000" w:themeColor="text1"/>
                <w:szCs w:val="24"/>
                <w:lang w:val="en-US" w:eastAsia="zh-CN"/>
                <w14:textFill>
                  <w14:solidFill>
                    <w14:schemeClr w14:val="tx1"/>
                  </w14:solidFill>
                </w14:textFill>
              </w:rPr>
              <w:t>10</w:t>
            </w:r>
            <w:r>
              <w:rPr>
                <w:rFonts w:hint="eastAsia" w:ascii="Times New Roman" w:hAnsi="Times New Roman" w:eastAsia="宋体" w:cs="Times New Roman"/>
                <w:color w:val="000000" w:themeColor="text1"/>
                <w:szCs w:val="24"/>
                <w:lang w:val="en-US" w:eastAsia="zh-CN"/>
                <w14:textFill>
                  <w14:solidFill>
                    <w14:schemeClr w14:val="tx1"/>
                  </w14:solidFill>
                </w14:textFill>
              </w:rPr>
              <w:t>4</w:t>
            </w:r>
            <w:r>
              <w:rPr>
                <w:rFonts w:hint="eastAsia" w:cs="Times New Roman"/>
                <w:color w:val="000000" w:themeColor="text1"/>
                <w:szCs w:val="24"/>
                <w:lang w:val="en-US" w:eastAsia="zh-CN"/>
                <w14:textFill>
                  <w14:solidFill>
                    <w14:schemeClr w14:val="tx1"/>
                  </w14:solidFill>
                </w14:textFill>
              </w:rPr>
              <w:t>只</w:t>
            </w:r>
            <w:r>
              <w:rPr>
                <w:rFonts w:hint="eastAsia" w:ascii="Times New Roman" w:hAnsi="Times New Roman" w:eastAsia="宋体" w:cs="Times New Roman"/>
                <w:color w:val="000000" w:themeColor="text1"/>
                <w:szCs w:val="24"/>
                <w:lang w:val="en-US" w:eastAsia="zh-CN"/>
                <w14:textFill>
                  <w14:solidFill>
                    <w14:schemeClr w14:val="tx1"/>
                  </w14:solidFill>
                </w14:textFill>
              </w:rPr>
              <w:t>。铅酸蓄电池单体重</w:t>
            </w:r>
            <w:r>
              <w:rPr>
                <w:rFonts w:hint="eastAsia" w:cs="Times New Roman"/>
                <w:color w:val="000000" w:themeColor="text1"/>
                <w:szCs w:val="24"/>
                <w:lang w:val="en-US" w:eastAsia="zh-CN"/>
                <w14:textFill>
                  <w14:solidFill>
                    <w14:schemeClr w14:val="tx1"/>
                  </w14:solidFill>
                </w14:textFill>
              </w:rPr>
              <w:t>14</w:t>
            </w:r>
            <w:r>
              <w:rPr>
                <w:rFonts w:hint="default" w:ascii="Times New Roman" w:hAnsi="Times New Roman" w:eastAsia="宋体" w:cs="Times New Roman"/>
                <w:color w:val="000000" w:themeColor="text1"/>
                <w:szCs w:val="24"/>
                <w:lang w:val="en-US" w:eastAsia="zh-CN"/>
                <w14:textFill>
                  <w14:solidFill>
                    <w14:schemeClr w14:val="tx1"/>
                  </w14:solidFill>
                </w14:textFill>
              </w:rPr>
              <w:t>kg</w:t>
            </w:r>
            <w:r>
              <w:rPr>
                <w:rFonts w:hint="eastAsia" w:ascii="Times New Roman" w:hAnsi="Times New Roman" w:eastAsia="宋体" w:cs="Times New Roman"/>
                <w:color w:val="000000" w:themeColor="text1"/>
                <w:szCs w:val="24"/>
                <w:lang w:val="en-US" w:eastAsia="zh-CN"/>
                <w14:textFill>
                  <w14:solidFill>
                    <w14:schemeClr w14:val="tx1"/>
                  </w14:solidFill>
                </w14:textFill>
              </w:rPr>
              <w:t>，设计使用寿命</w:t>
            </w:r>
            <w:r>
              <w:rPr>
                <w:rFonts w:hint="default" w:ascii="Times New Roman" w:hAnsi="Times New Roman" w:eastAsia="宋体" w:cs="Times New Roman"/>
                <w:color w:val="000000" w:themeColor="text1"/>
                <w:szCs w:val="24"/>
                <w:lang w:val="en-US" w:eastAsia="zh-CN"/>
                <w14:textFill>
                  <w14:solidFill>
                    <w14:schemeClr w14:val="tx1"/>
                  </w14:solidFill>
                </w14:textFill>
              </w:rPr>
              <w:t>10</w:t>
            </w:r>
            <w:r>
              <w:rPr>
                <w:rFonts w:hint="eastAsia" w:ascii="Times New Roman" w:hAnsi="Times New Roman" w:eastAsia="宋体" w:cs="Times New Roman"/>
                <w:color w:val="000000" w:themeColor="text1"/>
                <w:szCs w:val="24"/>
                <w:lang w:val="en-US" w:eastAsia="zh-CN"/>
                <w14:textFill>
                  <w14:solidFill>
                    <w14:schemeClr w14:val="tx1"/>
                  </w14:solidFill>
                </w14:textFill>
              </w:rPr>
              <w:t>年，废旧铅蓄电池每</w:t>
            </w:r>
            <w:r>
              <w:rPr>
                <w:rFonts w:hint="default" w:ascii="Times New Roman" w:hAnsi="Times New Roman" w:eastAsia="宋体" w:cs="Times New Roman"/>
                <w:color w:val="000000" w:themeColor="text1"/>
                <w:szCs w:val="24"/>
                <w:lang w:val="en-US" w:eastAsia="zh-CN"/>
                <w14:textFill>
                  <w14:solidFill>
                    <w14:schemeClr w14:val="tx1"/>
                  </w14:solidFill>
                </w14:textFill>
              </w:rPr>
              <w:t>10</w:t>
            </w:r>
            <w:r>
              <w:rPr>
                <w:rFonts w:hint="eastAsia" w:ascii="Times New Roman" w:hAnsi="Times New Roman" w:eastAsia="宋体" w:cs="Times New Roman"/>
                <w:color w:val="000000" w:themeColor="text1"/>
                <w:szCs w:val="24"/>
                <w:lang w:val="en-US" w:eastAsia="zh-CN"/>
                <w14:textFill>
                  <w14:solidFill>
                    <w14:schemeClr w14:val="tx1"/>
                  </w14:solidFill>
                </w14:textFill>
              </w:rPr>
              <w:t>年产生量约</w:t>
            </w:r>
            <w:r>
              <w:rPr>
                <w:rFonts w:hint="eastAsia" w:cs="Times New Roman"/>
                <w:color w:val="000000" w:themeColor="text1"/>
                <w:szCs w:val="24"/>
                <w:lang w:val="en-US" w:eastAsia="zh-CN"/>
                <w14:textFill>
                  <w14:solidFill>
                    <w14:schemeClr w14:val="tx1"/>
                  </w14:solidFill>
                </w14:textFill>
              </w:rPr>
              <w:t>1.46</w:t>
            </w:r>
            <w:r>
              <w:rPr>
                <w:rFonts w:hint="default" w:ascii="Times New Roman" w:hAnsi="Times New Roman" w:eastAsia="宋体" w:cs="Times New Roman"/>
                <w:color w:val="000000" w:themeColor="text1"/>
                <w:szCs w:val="24"/>
                <w:lang w:val="en-US" w:eastAsia="zh-CN"/>
                <w14:textFill>
                  <w14:solidFill>
                    <w14:schemeClr w14:val="tx1"/>
                  </w14:solidFill>
                </w14:textFill>
              </w:rPr>
              <w:t>t</w:t>
            </w:r>
            <w:r>
              <w:rPr>
                <w:rFonts w:hint="eastAsia" w:ascii="Times New Roman" w:hAnsi="Times New Roman" w:eastAsia="宋体" w:cs="Times New Roman"/>
                <w:color w:val="000000" w:themeColor="text1"/>
                <w:szCs w:val="24"/>
                <w:lang w:val="en-US" w:eastAsia="zh-CN"/>
                <w14:textFill>
                  <w14:solidFill>
                    <w14:schemeClr w14:val="tx1"/>
                  </w14:solidFill>
                </w14:textFill>
              </w:rPr>
              <w:t>。根据《国家危险废物名录</w:t>
            </w:r>
            <w:r>
              <w:rPr>
                <w:rFonts w:hint="eastAsia" w:cs="Times New Roman"/>
                <w:color w:val="000000" w:themeColor="text1"/>
                <w:szCs w:val="24"/>
                <w:lang w:val="en-US" w:eastAsia="zh-CN"/>
                <w14:textFill>
                  <w14:solidFill>
                    <w14:schemeClr w14:val="tx1"/>
                  </w14:solidFill>
                </w14:textFill>
              </w:rPr>
              <w:t>（</w:t>
            </w:r>
            <w:r>
              <w:rPr>
                <w:rFonts w:hint="default" w:ascii="Times New Roman" w:hAnsi="Times New Roman" w:eastAsia="宋体" w:cs="Times New Roman"/>
                <w:color w:val="000000" w:themeColor="text1"/>
                <w:szCs w:val="24"/>
                <w:lang w:val="en-US" w:eastAsia="zh-CN"/>
                <w14:textFill>
                  <w14:solidFill>
                    <w14:schemeClr w14:val="tx1"/>
                  </w14:solidFill>
                </w14:textFill>
              </w:rPr>
              <w:t>202</w:t>
            </w:r>
            <w:r>
              <w:rPr>
                <w:rFonts w:hint="eastAsia" w:ascii="Times New Roman" w:hAnsi="Times New Roman" w:eastAsia="宋体" w:cs="Times New Roman"/>
                <w:color w:val="000000" w:themeColor="text1"/>
                <w:szCs w:val="24"/>
                <w:lang w:val="en-US" w:eastAsia="zh-CN"/>
                <w14:textFill>
                  <w14:solidFill>
                    <w14:schemeClr w14:val="tx1"/>
                  </w14:solidFill>
                </w14:textFill>
              </w:rPr>
              <w:t>5年版</w:t>
            </w:r>
            <w:r>
              <w:rPr>
                <w:rFonts w:hint="eastAsia" w:cs="Times New Roman"/>
                <w:color w:val="000000" w:themeColor="text1"/>
                <w:szCs w:val="24"/>
                <w:lang w:val="en-US" w:eastAsia="zh-CN"/>
                <w14:textFill>
                  <w14:solidFill>
                    <w14:schemeClr w14:val="tx1"/>
                  </w14:solidFill>
                </w14:textFill>
              </w:rPr>
              <w:t>）</w:t>
            </w:r>
            <w:r>
              <w:rPr>
                <w:rFonts w:hint="eastAsia" w:ascii="Times New Roman" w:hAnsi="Times New Roman" w:eastAsia="宋体" w:cs="Times New Roman"/>
                <w:color w:val="000000" w:themeColor="text1"/>
                <w:szCs w:val="24"/>
                <w:lang w:val="en-US" w:eastAsia="zh-CN"/>
                <w14:textFill>
                  <w14:solidFill>
                    <w14:schemeClr w14:val="tx1"/>
                  </w14:solidFill>
                </w14:textFill>
              </w:rPr>
              <w:t>》；本项目废弃蓄电池属于“</w:t>
            </w:r>
            <w:r>
              <w:rPr>
                <w:rFonts w:hint="default" w:ascii="Times New Roman" w:hAnsi="Times New Roman" w:eastAsia="宋体" w:cs="Times New Roman"/>
                <w:color w:val="000000" w:themeColor="text1"/>
                <w:szCs w:val="24"/>
                <w:lang w:val="en-US" w:eastAsia="zh-CN"/>
                <w14:textFill>
                  <w14:solidFill>
                    <w14:schemeClr w14:val="tx1"/>
                  </w14:solidFill>
                </w14:textFill>
              </w:rPr>
              <w:t>HW31</w:t>
            </w:r>
            <w:r>
              <w:rPr>
                <w:rFonts w:hint="eastAsia" w:ascii="Times New Roman" w:hAnsi="Times New Roman" w:eastAsia="宋体" w:cs="Times New Roman"/>
                <w:color w:val="000000" w:themeColor="text1"/>
                <w:szCs w:val="24"/>
                <w:lang w:val="en-US" w:eastAsia="zh-CN"/>
                <w14:textFill>
                  <w14:solidFill>
                    <w14:schemeClr w14:val="tx1"/>
                  </w14:solidFill>
                </w14:textFill>
              </w:rPr>
              <w:t>含铅废物”中的“非特定行业”，废物代码“</w:t>
            </w:r>
            <w:r>
              <w:rPr>
                <w:rFonts w:hint="default" w:ascii="Times New Roman" w:hAnsi="Times New Roman" w:eastAsia="宋体" w:cs="Times New Roman"/>
                <w:color w:val="000000" w:themeColor="text1"/>
                <w:szCs w:val="24"/>
                <w:lang w:val="en-US" w:eastAsia="zh-CN"/>
                <w14:textFill>
                  <w14:solidFill>
                    <w14:schemeClr w14:val="tx1"/>
                  </w14:solidFill>
                </w14:textFill>
              </w:rPr>
              <w:t>900-052-31</w:t>
            </w:r>
            <w:r>
              <w:rPr>
                <w:rFonts w:hint="eastAsia" w:ascii="Times New Roman" w:hAnsi="Times New Roman" w:eastAsia="宋体" w:cs="Times New Roman"/>
                <w:color w:val="000000" w:themeColor="text1"/>
                <w:szCs w:val="24"/>
                <w:lang w:val="en-US" w:eastAsia="zh-CN"/>
                <w14:textFill>
                  <w14:solidFill>
                    <w14:schemeClr w14:val="tx1"/>
                  </w14:solidFill>
                </w14:textFill>
              </w:rPr>
              <w:t>”，</w:t>
            </w:r>
            <w:r>
              <w:rPr>
                <w:rFonts w:hint="eastAsia" w:cs="Times New Roman"/>
                <w:color w:val="000000" w:themeColor="text1"/>
                <w:szCs w:val="24"/>
                <w:lang w:val="en-US" w:eastAsia="zh-CN"/>
                <w14:textFill>
                  <w14:solidFill>
                    <w14:schemeClr w14:val="tx1"/>
                  </w14:solidFill>
                </w14:textFill>
              </w:rPr>
              <w:t>升压汇集站</w:t>
            </w:r>
            <w:r>
              <w:rPr>
                <w:rFonts w:hint="eastAsia" w:ascii="Times New Roman" w:hAnsi="Times New Roman" w:eastAsia="宋体" w:cs="Times New Roman"/>
                <w:color w:val="000000" w:themeColor="text1"/>
                <w:szCs w:val="24"/>
                <w:lang w:val="en-US" w:eastAsia="zh-CN"/>
                <w14:textFill>
                  <w14:solidFill>
                    <w14:schemeClr w14:val="tx1"/>
                  </w14:solidFill>
                </w14:textFill>
              </w:rPr>
              <w:t>内蓄电池达到寿命周期后，及时委托具有相应危废资质的单位进行处置。根据该名录附录“危险废物豁免管理清单”内容，废弃蓄电池为“未破损”状态时，在“运输”环节，当运输工具满足防雨、防渗漏、防遗撒要求时，可进行豁免，不按危险废物进行运输。</w:t>
            </w:r>
          </w:p>
          <w:p w14:paraId="6B530F8F">
            <w:pPr>
              <w:adjustRightInd w:val="0"/>
              <w:spacing w:line="500" w:lineRule="exact"/>
              <w:ind w:firstLine="480" w:firstLineChars="20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）废润滑油</w:t>
            </w:r>
          </w:p>
          <w:p w14:paraId="0A1ED570">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项目除变压器外的其他设备维修过程中会产生一定量的废润滑油，根据建设单位预估，废润滑油产生量约为0.2t/a，根据《国家危险废物名录（202</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年版）》，项目产生的废润滑油废物类别为：HW08废矿物油与含矿物油废物，废物代码：900-217-08，采用专用的收集桶收集后在</w:t>
            </w:r>
            <w:r>
              <w:rPr>
                <w:rFonts w:hint="eastAsia"/>
                <w:color w:val="000000" w:themeColor="text1"/>
                <w:lang w:val="en-US" w:eastAsia="zh-CN"/>
                <w14:textFill>
                  <w14:solidFill>
                    <w14:schemeClr w14:val="tx1"/>
                  </w14:solidFill>
                </w14:textFill>
              </w:rPr>
              <w:t>危废贮存点</w:t>
            </w:r>
            <w:r>
              <w:rPr>
                <w:rFonts w:hint="eastAsia"/>
                <w:color w:val="000000" w:themeColor="text1"/>
                <w14:textFill>
                  <w14:solidFill>
                    <w14:schemeClr w14:val="tx1"/>
                  </w14:solidFill>
                </w14:textFill>
              </w:rPr>
              <w:t>暂存后交由有危险废物处置资质单位进行处置。</w:t>
            </w:r>
          </w:p>
          <w:p w14:paraId="118C42FF">
            <w:pPr>
              <w:autoSpaceDE w:val="0"/>
              <w:autoSpaceDN w:val="0"/>
              <w:adjustRightInd w:val="0"/>
              <w:snapToGrid w:val="0"/>
              <w:ind w:firstLine="480" w:firstLineChars="200"/>
              <w:rPr>
                <w:rFonts w:hint="default" w:eastAsia="宋体"/>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废</w:t>
            </w:r>
            <w:r>
              <w:rPr>
                <w:rFonts w:hint="eastAsia"/>
                <w:color w:val="000000" w:themeColor="text1"/>
                <w14:textFill>
                  <w14:solidFill>
                    <w14:schemeClr w14:val="tx1"/>
                  </w14:solidFill>
                </w14:textFill>
              </w:rPr>
              <w:t>含油抹布</w:t>
            </w:r>
            <w:r>
              <w:rPr>
                <w:rFonts w:hint="eastAsia"/>
                <w:color w:val="000000" w:themeColor="text1"/>
                <w:lang w:eastAsia="zh-CN"/>
                <w14:textFill>
                  <w14:solidFill>
                    <w14:schemeClr w14:val="tx1"/>
                  </w14:solidFill>
                </w14:textFill>
              </w:rPr>
              <w:t>及</w:t>
            </w:r>
            <w:r>
              <w:rPr>
                <w:rFonts w:hint="eastAsia"/>
                <w:color w:val="000000" w:themeColor="text1"/>
                <w:lang w:val="en-US" w:eastAsia="zh-CN"/>
                <w14:textFill>
                  <w14:solidFill>
                    <w14:schemeClr w14:val="tx1"/>
                  </w14:solidFill>
                </w14:textFill>
              </w:rPr>
              <w:t>劳保用品</w:t>
            </w:r>
          </w:p>
          <w:p w14:paraId="76BCA816">
            <w:pPr>
              <w:autoSpaceDE w:val="0"/>
              <w:autoSpaceDN w:val="0"/>
              <w:adjustRightInd w:val="0"/>
              <w:snapToGrid w:val="0"/>
              <w:ind w:firstLine="480" w:firstLineChars="200"/>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根据《国家危险废物名</w:t>
            </w:r>
            <w:r>
              <w:rPr>
                <w:rFonts w:hint="default" w:ascii="Times New Roman" w:hAnsi="Times New Roman" w:cs="Times New Roman"/>
                <w:color w:val="000000" w:themeColor="text1"/>
                <w14:textFill>
                  <w14:solidFill>
                    <w14:schemeClr w14:val="tx1"/>
                  </w14:solidFill>
                </w14:textFill>
              </w:rPr>
              <w:t>录</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2025年版</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w:t>
            </w:r>
            <w:r>
              <w:rPr>
                <w:rFonts w:hint="eastAsia"/>
                <w:color w:val="000000" w:themeColor="text1"/>
                <w14:textFill>
                  <w14:solidFill>
                    <w14:schemeClr w14:val="tx1"/>
                  </w14:solidFill>
                </w14:textFill>
              </w:rPr>
              <w:t>，含油抹布及</w:t>
            </w:r>
            <w:r>
              <w:rPr>
                <w:rFonts w:hint="eastAsia"/>
                <w:color w:val="000000" w:themeColor="text1"/>
                <w:lang w:val="en-US" w:eastAsia="zh-CN"/>
                <w14:textFill>
                  <w14:solidFill>
                    <w14:schemeClr w14:val="tx1"/>
                  </w14:solidFill>
                </w14:textFill>
              </w:rPr>
              <w:t>劳保用品</w:t>
            </w:r>
            <w:r>
              <w:rPr>
                <w:rFonts w:hint="eastAsia"/>
                <w:color w:val="000000" w:themeColor="text1"/>
                <w14:textFill>
                  <w14:solidFill>
                    <w14:schemeClr w14:val="tx1"/>
                  </w14:solidFill>
                </w14:textFill>
              </w:rPr>
              <w:t>属于“废弃的含油抹布、劳保用品”，为危险废物“HW49其他废物”中的“含有或沾染毒性</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感染性危险废物的废弃包装物、容器、过滤吸附介质”，危废代码“900-041-49”。本项目设备检修过程中产生的含油抹布和</w:t>
            </w:r>
            <w:r>
              <w:rPr>
                <w:rFonts w:hint="eastAsia"/>
                <w:color w:val="000000" w:themeColor="text1"/>
                <w:lang w:val="en-US" w:eastAsia="zh-CN"/>
                <w14:textFill>
                  <w14:solidFill>
                    <w14:schemeClr w14:val="tx1"/>
                  </w14:solidFill>
                </w14:textFill>
              </w:rPr>
              <w:t>劳保用品</w:t>
            </w:r>
            <w:r>
              <w:rPr>
                <w:rFonts w:hint="eastAsia"/>
                <w:color w:val="000000" w:themeColor="text1"/>
                <w14:textFill>
                  <w14:solidFill>
                    <w14:schemeClr w14:val="tx1"/>
                  </w14:solidFill>
                </w14:textFill>
              </w:rPr>
              <w:t>分类收集，按照危险废物管理，产生量为0.01t/a，收集后在</w:t>
            </w:r>
            <w:r>
              <w:rPr>
                <w:rFonts w:hint="eastAsia"/>
                <w:color w:val="000000" w:themeColor="text1"/>
                <w:lang w:val="en-US" w:eastAsia="zh-CN"/>
                <w14:textFill>
                  <w14:solidFill>
                    <w14:schemeClr w14:val="tx1"/>
                  </w14:solidFill>
                </w14:textFill>
              </w:rPr>
              <w:t>危废贮存点</w:t>
            </w:r>
            <w:r>
              <w:rPr>
                <w:rFonts w:hint="eastAsia"/>
                <w:color w:val="000000" w:themeColor="text1"/>
                <w14:textFill>
                  <w14:solidFill>
                    <w14:schemeClr w14:val="tx1"/>
                  </w14:solidFill>
                </w14:textFill>
              </w:rPr>
              <w:t>暂存后交由有危险废物处置资质单位进行处置</w:t>
            </w:r>
            <w:r>
              <w:rPr>
                <w:rFonts w:hint="eastAsia"/>
                <w:color w:val="000000" w:themeColor="text1"/>
                <w:lang w:eastAsia="zh-CN"/>
                <w14:textFill>
                  <w14:solidFill>
                    <w14:schemeClr w14:val="tx1"/>
                  </w14:solidFill>
                </w14:textFill>
              </w:rPr>
              <w:t>。</w:t>
            </w:r>
          </w:p>
          <w:p w14:paraId="088E79A2">
            <w:pPr>
              <w:numPr>
                <w:ilvl w:val="0"/>
                <w:numId w:val="0"/>
              </w:numPr>
              <w:autoSpaceDE w:val="0"/>
              <w:autoSpaceDN w:val="0"/>
              <w:adjustRightInd w:val="0"/>
              <w:snapToGrid w:val="0"/>
              <w:ind w:firstLine="480" w:firstLineChars="200"/>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cs="Times New Roman"/>
                <w:color w:val="000000" w:themeColor="text1"/>
                <w:kern w:val="2"/>
                <w:sz w:val="24"/>
                <w:szCs w:val="24"/>
                <w:lang w:val="en-US" w:eastAsia="zh-CN" w:bidi="ar-SA"/>
                <w14:textFill>
                  <w14:solidFill>
                    <w14:schemeClr w14:val="tx1"/>
                  </w14:solidFill>
                </w14:textFill>
              </w:rPr>
              <w:t>7</w:t>
            </w:r>
            <w:r>
              <w:rPr>
                <w:rFonts w:hint="eastAsia"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eastAsia"/>
                <w:color w:val="000000" w:themeColor="text1"/>
                <w:lang w:eastAsia="zh-CN"/>
                <w14:textFill>
                  <w14:solidFill>
                    <w14:schemeClr w14:val="tx1"/>
                  </w14:solidFill>
                </w14:textFill>
              </w:rPr>
              <w:t>废油桶</w:t>
            </w:r>
          </w:p>
          <w:p w14:paraId="03AA374B">
            <w:pPr>
              <w:keepNext w:val="0"/>
              <w:keepLines w:val="0"/>
              <w:pageBreakBefore w:val="0"/>
              <w:widowControl w:val="0"/>
              <w:numPr>
                <w:ilvl w:val="0"/>
                <w:numId w:val="0"/>
              </w:numPr>
              <w:kinsoku/>
              <w:wordWrap/>
              <w:overflowPunct/>
              <w:topLinePunct w:val="0"/>
              <w:autoSpaceDE w:val="0"/>
              <w:autoSpaceDN w:val="0"/>
              <w:bidi w:val="0"/>
              <w:adjustRightInd w:val="0"/>
              <w:snapToGrid w:val="0"/>
              <w:ind w:firstLine="480" w:firstLineChars="200"/>
              <w:textAlignment w:val="auto"/>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本项目设备检修过程</w:t>
            </w:r>
            <w:r>
              <w:rPr>
                <w:rFonts w:hint="eastAsia"/>
                <w:color w:val="000000" w:themeColor="text1"/>
                <w:lang w:val="en-US" w:eastAsia="zh-CN"/>
                <w14:textFill>
                  <w14:solidFill>
                    <w14:schemeClr w14:val="tx1"/>
                  </w14:solidFill>
                </w14:textFill>
              </w:rPr>
              <w:t>产生</w:t>
            </w:r>
            <w:r>
              <w:rPr>
                <w:rFonts w:hint="eastAsia"/>
                <w:color w:val="000000" w:themeColor="text1"/>
                <w:lang w:eastAsia="zh-CN"/>
                <w14:textFill>
                  <w14:solidFill>
                    <w14:schemeClr w14:val="tx1"/>
                  </w14:solidFill>
                </w14:textFill>
              </w:rPr>
              <w:t>废油桶，根据《国家危险废物名录（2025年版）》，废油桶属于危险废物“HW08类废矿物与含矿物油废物”中的“其他生产、销售、使用过程中产生的废矿物油及沾染矿物油的废弃包装物”，危废代码“900-249-08”。本项目设备检修过程产生的废油桶，按照危险废物管理，产生量约为0.0</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t/a，</w:t>
            </w:r>
            <w:r>
              <w:rPr>
                <w:rFonts w:hint="eastAsia"/>
                <w:color w:val="000000" w:themeColor="text1"/>
                <w14:textFill>
                  <w14:solidFill>
                    <w14:schemeClr w14:val="tx1"/>
                  </w14:solidFill>
                </w14:textFill>
              </w:rPr>
              <w:t>收集后在</w:t>
            </w:r>
            <w:r>
              <w:rPr>
                <w:rFonts w:hint="eastAsia"/>
                <w:color w:val="000000" w:themeColor="text1"/>
                <w:lang w:val="en-US" w:eastAsia="zh-CN"/>
                <w14:textFill>
                  <w14:solidFill>
                    <w14:schemeClr w14:val="tx1"/>
                  </w14:solidFill>
                </w14:textFill>
              </w:rPr>
              <w:t>危废贮存点</w:t>
            </w:r>
            <w:r>
              <w:rPr>
                <w:rFonts w:hint="eastAsia"/>
                <w:color w:val="000000" w:themeColor="text1"/>
                <w14:textFill>
                  <w14:solidFill>
                    <w14:schemeClr w14:val="tx1"/>
                  </w14:solidFill>
                </w14:textFill>
              </w:rPr>
              <w:t>暂存后交由有危险废物处置资质单位进行处置</w:t>
            </w:r>
            <w:r>
              <w:rPr>
                <w:rFonts w:hint="eastAsia"/>
                <w:color w:val="000000" w:themeColor="text1"/>
                <w:lang w:eastAsia="zh-CN"/>
                <w14:textFill>
                  <w14:solidFill>
                    <w14:schemeClr w14:val="tx1"/>
                  </w14:solidFill>
                </w14:textFill>
              </w:rPr>
              <w:t>。</w:t>
            </w:r>
          </w:p>
          <w:p w14:paraId="29F1BF2B">
            <w:pPr>
              <w:adjustRightIn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7.</w:t>
            </w:r>
            <w:r>
              <w:rPr>
                <w:b/>
                <w:bCs/>
                <w:color w:val="000000" w:themeColor="text1"/>
                <w14:textFill>
                  <w14:solidFill>
                    <w14:schemeClr w14:val="tx1"/>
                  </w14:solidFill>
                </w14:textFill>
              </w:rPr>
              <w:t>运营期电磁环境影响分析</w:t>
            </w:r>
          </w:p>
          <w:p w14:paraId="00D74942">
            <w:pPr>
              <w:pStyle w:val="68"/>
              <w:wordWrap w:val="0"/>
              <w:adjustRightInd w:val="0"/>
              <w:spacing w:line="500" w:lineRule="exact"/>
              <w:ind w:firstLine="480" w:firstLineChars="200"/>
              <w:rPr>
                <w:rFonts w:hint="default" w:ascii="Times New Roman" w:hAnsi="Times New Roman" w:cs="Times New Roman"/>
                <w:bCs/>
                <w:color w:val="000000" w:themeColor="text1"/>
                <w:lang w:val="en-US"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w:t>
            </w:r>
            <w:r>
              <w:rPr>
                <w:rFonts w:hint="default" w:ascii="Times New Roman" w:hAnsi="Times New Roman" w:cs="Times New Roman"/>
                <w:color w:val="000000" w:themeColor="text1"/>
                <w:lang w:eastAsia="zh-CN"/>
                <w14:textFill>
                  <w14:solidFill>
                    <w14:schemeClr w14:val="tx1"/>
                  </w14:solidFill>
                </w14:textFill>
              </w:rPr>
              <w:t>项目</w:t>
            </w:r>
            <w:r>
              <w:rPr>
                <w:rFonts w:hint="default" w:ascii="Times New Roman" w:hAnsi="Times New Roman" w:cs="Times New Roman"/>
                <w:snapToGrid w:val="0"/>
                <w:color w:val="000000" w:themeColor="text1"/>
                <w:sz w:val="24"/>
                <w:szCs w:val="24"/>
                <w14:textFill>
                  <w14:solidFill>
                    <w14:schemeClr w14:val="tx1"/>
                  </w14:solidFill>
                </w14:textFill>
              </w:rPr>
              <w:t>220kV升压汇集站</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及外送线路</w:t>
            </w:r>
            <w:r>
              <w:rPr>
                <w:rFonts w:hint="default" w:ascii="Times New Roman" w:hAnsi="Times New Roman" w:cs="Times New Roman"/>
                <w:color w:val="000000" w:themeColor="text1"/>
                <w14:textFill>
                  <w14:solidFill>
                    <w14:schemeClr w14:val="tx1"/>
                  </w14:solidFill>
                </w14:textFill>
              </w:rPr>
              <w:t>建成运行后对评价范围内的工频电场、工频磁场环境影响值能满足《电磁环境控制限值》（GB8702-2014）控制限值要求，项目对周边的电磁环境影响较小。电磁环境影响分析详见</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附录 电磁环境影响专题评价</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w:t>
            </w:r>
          </w:p>
          <w:p w14:paraId="483D49DD">
            <w:pPr>
              <w:adjustRightIn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8</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运营期环境风险影响分析</w:t>
            </w:r>
          </w:p>
          <w:p w14:paraId="14712E17">
            <w:pPr>
              <w:pStyle w:val="68"/>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14:textFill>
                  <w14:solidFill>
                    <w14:schemeClr w14:val="tx1"/>
                  </w14:solidFill>
                </w14:textFill>
              </w:rPr>
              <w:t>本工程的环境风险主要来自变压器油</w:t>
            </w:r>
            <w:r>
              <w:rPr>
                <w:rFonts w:hint="eastAsia" w:ascii="Times New Roman" w:hAnsi="Times New Roman" w:cs="Times New Roman"/>
                <w:color w:val="000000" w:themeColor="text1"/>
                <w:lang w:eastAsia="zh-CN"/>
                <w14:textFill>
                  <w14:solidFill>
                    <w14:schemeClr w14:val="tx1"/>
                  </w14:solidFill>
                </w14:textFill>
              </w:rPr>
              <w:t>及</w:t>
            </w:r>
            <w:r>
              <w:rPr>
                <w:rFonts w:ascii="Times New Roman" w:hAnsi="Times New Roman" w:cs="Times New Roman"/>
                <w:color w:val="000000" w:themeColor="text1"/>
                <w14:textFill>
                  <w14:solidFill>
                    <w14:schemeClr w14:val="tx1"/>
                  </w14:solidFill>
                </w14:textFill>
              </w:rPr>
              <w:t>废润滑油。</w:t>
            </w:r>
            <w:r>
              <w:rPr>
                <w:rFonts w:ascii="Times New Roman" w:hAnsi="Times New Roman" w:cs="Times New Roman"/>
                <w:color w:val="000000" w:themeColor="text1"/>
                <w:highlight w:val="none"/>
                <w14:textFill>
                  <w14:solidFill>
                    <w14:schemeClr w14:val="tx1"/>
                  </w14:solidFill>
                </w14:textFill>
              </w:rPr>
              <w:t>根据项目设计资料</w:t>
            </w:r>
            <w:r>
              <w:rPr>
                <w:rFonts w:ascii="Times New Roman" w:hAnsi="Times New Roman" w:eastAsia="宋体" w:cs="Times New Roman"/>
                <w:color w:val="000000" w:themeColor="text1"/>
                <w14:textFill>
                  <w14:solidFill>
                    <w14:schemeClr w14:val="tx1"/>
                  </w14:solidFill>
                </w14:textFill>
              </w:rPr>
              <w:t>，</w:t>
            </w:r>
            <w:r>
              <w:rPr>
                <w:rFonts w:hint="eastAsia" w:ascii="Times New Roman" w:hAnsi="Times New Roman" w:eastAsia="宋体" w:cs="Times New Roman"/>
                <w:color w:val="000000" w:themeColor="text1"/>
                <w14:textFill>
                  <w14:solidFill>
                    <w14:schemeClr w14:val="tx1"/>
                  </w14:solidFill>
                </w14:textFill>
              </w:rPr>
              <w:t>220kV升压汇集站</w:t>
            </w:r>
            <w:r>
              <w:rPr>
                <w:rFonts w:ascii="Times New Roman" w:hAnsi="Times New Roman" w:eastAsia="宋体" w:cs="Times New Roman"/>
                <w:color w:val="000000" w:themeColor="text1"/>
                <w14:textFill>
                  <w14:solidFill>
                    <w14:schemeClr w14:val="tx1"/>
                  </w14:solidFill>
                </w14:textFill>
              </w:rPr>
              <w:t>变压</w:t>
            </w:r>
            <w:r>
              <w:rPr>
                <w:rFonts w:ascii="Times New Roman" w:hAnsi="Times New Roman" w:cs="Times New Roman"/>
                <w:color w:val="000000" w:themeColor="text1"/>
                <w:highlight w:val="none"/>
                <w14:textFill>
                  <w14:solidFill>
                    <w14:schemeClr w14:val="tx1"/>
                  </w14:solidFill>
                </w14:textFill>
              </w:rPr>
              <w:t>器及</w:t>
            </w:r>
            <w:r>
              <w:rPr>
                <w:rFonts w:hint="eastAsia" w:ascii="Times New Roman" w:hAnsi="Times New Roman" w:cs="Times New Roman"/>
                <w:color w:val="000000" w:themeColor="text1"/>
                <w:highlight w:val="none"/>
                <w:lang w:val="en-US" w:eastAsia="zh-CN"/>
                <w14:textFill>
                  <w14:solidFill>
                    <w14:schemeClr w14:val="tx1"/>
                  </w14:solidFill>
                </w14:textFill>
              </w:rPr>
              <w:t>危废贮存点</w:t>
            </w:r>
            <w:r>
              <w:rPr>
                <w:rFonts w:ascii="Times New Roman" w:hAnsi="Times New Roman" w:cs="Times New Roman"/>
                <w:color w:val="000000" w:themeColor="text1"/>
                <w:highlight w:val="none"/>
                <w14:textFill>
                  <w14:solidFill>
                    <w14:schemeClr w14:val="tx1"/>
                  </w14:solidFill>
                </w14:textFill>
              </w:rPr>
              <w:t>矿物油量共计约</w:t>
            </w:r>
            <w:r>
              <w:rPr>
                <w:rFonts w:hint="eastAsia" w:ascii="Times New Roman" w:hAnsi="Times New Roman" w:cs="Times New Roman"/>
                <w:color w:val="000000" w:themeColor="text1"/>
                <w:highlight w:val="none"/>
                <w:lang w:val="en-US" w:eastAsia="zh-CN"/>
                <w14:textFill>
                  <w14:solidFill>
                    <w14:schemeClr w14:val="tx1"/>
                  </w14:solidFill>
                </w14:textFill>
              </w:rPr>
              <w:t>38.2</w:t>
            </w:r>
            <w:r>
              <w:rPr>
                <w:rFonts w:ascii="Times New Roman" w:hAnsi="Times New Roman" w:cs="Times New Roman"/>
                <w:color w:val="000000" w:themeColor="text1"/>
                <w:highlight w:val="none"/>
                <w:lang w:val="en-US"/>
                <w14:textFill>
                  <w14:solidFill>
                    <w14:schemeClr w14:val="tx1"/>
                  </w14:solidFill>
                </w14:textFill>
              </w:rPr>
              <w:t>t，</w:t>
            </w:r>
            <w:r>
              <w:rPr>
                <w:rFonts w:ascii="Times New Roman" w:hAnsi="Times New Roman" w:cs="Times New Roman"/>
                <w:color w:val="000000" w:themeColor="text1"/>
                <w:lang w:val="en-US"/>
                <w14:textFill>
                  <w14:solidFill>
                    <w14:schemeClr w14:val="tx1"/>
                  </w14:solidFill>
                </w14:textFill>
              </w:rPr>
              <w:t>根据</w:t>
            </w:r>
            <w:r>
              <w:rPr>
                <w:rFonts w:ascii="Times New Roman" w:hAnsi="Times New Roman" w:cs="Times New Roman"/>
                <w:color w:val="000000" w:themeColor="text1"/>
                <w14:textFill>
                  <w14:solidFill>
                    <w14:schemeClr w14:val="tx1"/>
                  </w14:solidFill>
                </w14:textFill>
              </w:rPr>
              <w:t>《建设项目环境风险评价技术导则》（HJ169-2018）附表</w:t>
            </w:r>
            <w:r>
              <w:rPr>
                <w:rFonts w:ascii="Times New Roman" w:hAnsi="Times New Roman" w:cs="Times New Roman"/>
                <w:color w:val="000000" w:themeColor="text1"/>
                <w:lang w:val="en-US"/>
                <w14:textFill>
                  <w14:solidFill>
                    <w14:schemeClr w14:val="tx1"/>
                  </w14:solidFill>
                </w14:textFill>
              </w:rPr>
              <w:t>B.1</w:t>
            </w:r>
            <w:r>
              <w:rPr>
                <w:rFonts w:ascii="Times New Roman" w:hAnsi="Times New Roman" w:cs="Times New Roman"/>
                <w:color w:val="000000" w:themeColor="text1"/>
                <w14:textFill>
                  <w14:solidFill>
                    <w14:schemeClr w14:val="tx1"/>
                  </w14:solidFill>
                </w14:textFill>
              </w:rPr>
              <w:t>，油类物质临界量为2500t，根据HJ169-2018附录C计算，本项目的Q值最大为</w:t>
            </w:r>
            <w:r>
              <w:rPr>
                <w:rFonts w:ascii="Times New Roman" w:hAnsi="Times New Roman" w:cs="Times New Roman"/>
                <w:color w:val="000000" w:themeColor="text1"/>
                <w:lang w:val="en-US"/>
                <w14:textFill>
                  <w14:solidFill>
                    <w14:schemeClr w14:val="tx1"/>
                  </w14:solidFill>
                </w14:textFill>
              </w:rPr>
              <w:t>0.</w:t>
            </w:r>
            <w:r>
              <w:rPr>
                <w:rFonts w:hint="eastAsia" w:ascii="Times New Roman" w:hAnsi="Times New Roman" w:cs="Times New Roman"/>
                <w:color w:val="000000" w:themeColor="text1"/>
                <w:lang w:val="en-US" w:eastAsia="zh-CN"/>
                <w14:textFill>
                  <w14:solidFill>
                    <w14:schemeClr w14:val="tx1"/>
                  </w14:solidFill>
                </w14:textFill>
              </w:rPr>
              <w:t>015</w:t>
            </w:r>
            <w:r>
              <w:rPr>
                <w:rFonts w:ascii="Times New Roman" w:hAnsi="Times New Roman" w:cs="Times New Roman"/>
                <w:color w:val="000000" w:themeColor="text1"/>
                <w14:textFill>
                  <w14:solidFill>
                    <w14:schemeClr w14:val="tx1"/>
                  </w14:solidFill>
                </w14:textFill>
              </w:rPr>
              <w:t>＜1，故本项目风险潜势为Ⅰ，仅需要进行简单分析</w:t>
            </w:r>
            <w:r>
              <w:rPr>
                <w:rFonts w:ascii="Times New Roman" w:hAnsi="Times New Roman" w:cs="Times New Roman"/>
                <w:color w:val="000000" w:themeColor="text1"/>
                <w:lang w:val="en-US"/>
                <w14:textFill>
                  <w14:solidFill>
                    <w14:schemeClr w14:val="tx1"/>
                  </w14:solidFill>
                </w14:textFill>
              </w:rPr>
              <w:t>。</w:t>
            </w:r>
          </w:p>
          <w:p w14:paraId="084E89A1">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（1）风险识别</w:t>
            </w:r>
          </w:p>
          <w:p w14:paraId="67FFA1D0">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①火灾风险</w:t>
            </w:r>
          </w:p>
          <w:p w14:paraId="62305770">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项目</w:t>
            </w:r>
            <w:r>
              <w:rPr>
                <w:rFonts w:hint="eastAsia" w:ascii="Times New Roman" w:hAnsi="Times New Roman" w:eastAsia="宋体" w:cs="Times New Roman"/>
                <w:color w:val="000000" w:themeColor="text1"/>
                <w14:textFill>
                  <w14:solidFill>
                    <w14:schemeClr w14:val="tx1"/>
                  </w14:solidFill>
                </w14:textFill>
              </w:rPr>
              <w:t>220kV升压汇集站</w:t>
            </w:r>
            <w:r>
              <w:rPr>
                <w:color w:val="000000" w:themeColor="text1"/>
                <w14:textFill>
                  <w14:solidFill>
                    <w14:schemeClr w14:val="tx1"/>
                  </w14:solidFill>
                </w14:textFill>
              </w:rPr>
              <w:t>的各种电器设备，在外部火源移近、过负荷、短路、过电压、绝缘层严重过热、老化、损坏等情况下，均可能引发电器火灾。</w:t>
            </w:r>
          </w:p>
          <w:p w14:paraId="2C7EB171">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②泄漏风险</w:t>
            </w:r>
          </w:p>
          <w:p w14:paraId="473785D6">
            <w:pPr>
              <w:pStyle w:val="68"/>
              <w:wordWrap w:val="0"/>
              <w:adjustRightInd w:val="0"/>
              <w:spacing w:line="500" w:lineRule="exact"/>
              <w:ind w:firstLine="480"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本项目运行过程中因操作不当或存储容器破损会发生油类物质泄漏，</w:t>
            </w:r>
            <w:r>
              <w:rPr>
                <w:rFonts w:hint="eastAsia" w:ascii="Times New Roman" w:hAnsi="Times New Roman" w:cs="Times New Roman"/>
                <w:color w:val="000000" w:themeColor="text1"/>
                <w:lang w:val="en-US" w:eastAsia="zh-CN"/>
                <w14:textFill>
                  <w14:solidFill>
                    <w14:schemeClr w14:val="tx1"/>
                  </w14:solidFill>
                </w14:textFill>
              </w:rPr>
              <w:t>危废贮存点</w:t>
            </w:r>
            <w:r>
              <w:rPr>
                <w:rFonts w:ascii="Times New Roman" w:hAnsi="Times New Roman" w:cs="Times New Roman"/>
                <w:color w:val="000000" w:themeColor="text1"/>
                <w14:textFill>
                  <w14:solidFill>
                    <w14:schemeClr w14:val="tx1"/>
                  </w14:solidFill>
                </w14:textFill>
              </w:rPr>
              <w:t>由于容器破损会发生废润滑油泄漏。泄漏的油类物质首先会污染土壤环境，当泄漏</w:t>
            </w:r>
            <w:r>
              <w:rPr>
                <w:rFonts w:hint="eastAsia" w:ascii="Times New Roman" w:hAnsi="Times New Roman" w:cs="Times New Roman"/>
                <w:color w:val="000000" w:themeColor="text1"/>
                <w14:textFill>
                  <w14:solidFill>
                    <w14:schemeClr w14:val="tx1"/>
                  </w14:solidFill>
                </w14:textFill>
              </w:rPr>
              <w:t>的油</w:t>
            </w:r>
            <w:r>
              <w:rPr>
                <w:rFonts w:ascii="Times New Roman" w:hAnsi="Times New Roman" w:cs="Times New Roman"/>
                <w:color w:val="000000" w:themeColor="text1"/>
                <w14:textFill>
                  <w14:solidFill>
                    <w14:schemeClr w14:val="tx1"/>
                  </w14:solidFill>
                </w14:textFill>
              </w:rPr>
              <w:t>量达到爆炸极限遇明火将会发生火灾及爆炸事故。</w:t>
            </w:r>
          </w:p>
          <w:p w14:paraId="713E9BA4">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（2）环境风险分析</w:t>
            </w:r>
          </w:p>
          <w:p w14:paraId="381608BD">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①大气环境风险影响</w:t>
            </w:r>
          </w:p>
          <w:p w14:paraId="2F27E793">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项目油类物质泄漏遇明火会发生火灾，各种电器设备，在外部火源移近、过负荷、短路、过电压、绝缘层严重过热、老化、损坏等情况下，均可能引发电器火灾。燃烧过程中产生的伴生/次生污染物也会释放至大气环境，在短时间内对周围大气环境造成不利影响。</w:t>
            </w:r>
          </w:p>
          <w:p w14:paraId="1C537B6A">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②土壤及地下水风险影响</w:t>
            </w:r>
          </w:p>
          <w:p w14:paraId="0D6796E5">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本项目</w:t>
            </w:r>
            <w:r>
              <w:rPr>
                <w:rFonts w:hint="eastAsia" w:ascii="Times New Roman" w:hAnsi="Times New Roman" w:eastAsia="宋体" w:cs="Times New Roman"/>
                <w:color w:val="000000" w:themeColor="text1"/>
                <w14:textFill>
                  <w14:solidFill>
                    <w14:schemeClr w14:val="tx1"/>
                  </w14:solidFill>
                </w14:textFill>
              </w:rPr>
              <w:t>220kV升压汇集站</w:t>
            </w:r>
            <w:r>
              <w:rPr>
                <w:color w:val="000000" w:themeColor="text1"/>
                <w14:textFill>
                  <w14:solidFill>
                    <w14:schemeClr w14:val="tx1"/>
                  </w14:solidFill>
                </w14:textFill>
              </w:rPr>
              <w:t>事故油池及</w:t>
            </w:r>
            <w:r>
              <w:rPr>
                <w:rFonts w:hint="eastAsia"/>
                <w:color w:val="000000" w:themeColor="text1"/>
                <w:lang w:val="en-US" w:eastAsia="zh-CN"/>
                <w14:textFill>
                  <w14:solidFill>
                    <w14:schemeClr w14:val="tx1"/>
                  </w14:solidFill>
                </w14:textFill>
              </w:rPr>
              <w:t>危废贮存点如</w:t>
            </w:r>
            <w:r>
              <w:rPr>
                <w:color w:val="000000" w:themeColor="text1"/>
                <w14:textFill>
                  <w14:solidFill>
                    <w14:schemeClr w14:val="tx1"/>
                  </w14:solidFill>
                </w14:textFill>
              </w:rPr>
              <w:t>发生油类泄漏，油类物质会进入土壤环境中，从而污染泄漏区域土壤环境。</w:t>
            </w:r>
            <w:r>
              <w:rPr>
                <w:rFonts w:hint="eastAsia"/>
                <w:color w:val="000000" w:themeColor="text1"/>
                <w14:textFill>
                  <w14:solidFill>
                    <w14:schemeClr w14:val="tx1"/>
                  </w14:solidFill>
                </w14:textFill>
              </w:rPr>
              <w:t>由于</w:t>
            </w:r>
            <w:r>
              <w:rPr>
                <w:color w:val="000000" w:themeColor="text1"/>
                <w14:textFill>
                  <w14:solidFill>
                    <w14:schemeClr w14:val="tx1"/>
                  </w14:solidFill>
                </w14:textFill>
              </w:rPr>
              <w:t>项目区</w:t>
            </w:r>
            <w:r>
              <w:rPr>
                <w:rFonts w:hint="eastAsia"/>
                <w:color w:val="000000" w:themeColor="text1"/>
                <w14:textFill>
                  <w14:solidFill>
                    <w14:schemeClr w14:val="tx1"/>
                  </w14:solidFill>
                </w14:textFill>
              </w:rPr>
              <w:t>属于荒漠，</w:t>
            </w:r>
            <w:r>
              <w:rPr>
                <w:color w:val="000000" w:themeColor="text1"/>
                <w14:textFill>
                  <w14:solidFill>
                    <w14:schemeClr w14:val="tx1"/>
                  </w14:solidFill>
                </w14:textFill>
              </w:rPr>
              <w:t>地下水埋深</w:t>
            </w:r>
            <w:r>
              <w:rPr>
                <w:rFonts w:hint="eastAsia"/>
                <w:color w:val="000000" w:themeColor="text1"/>
                <w14:textFill>
                  <w14:solidFill>
                    <w14:schemeClr w14:val="tx1"/>
                  </w14:solidFill>
                </w14:textFill>
              </w:rPr>
              <w:t>较深</w:t>
            </w:r>
            <w:r>
              <w:rPr>
                <w:color w:val="000000" w:themeColor="text1"/>
                <w14:textFill>
                  <w14:solidFill>
                    <w14:schemeClr w14:val="tx1"/>
                  </w14:solidFill>
                </w14:textFill>
              </w:rPr>
              <w:t>，由于土壤的阻隔，油类物质进入地下水环境的风险较小。</w:t>
            </w:r>
          </w:p>
          <w:p w14:paraId="0B9F8D09">
            <w:pPr>
              <w:autoSpaceDE w:val="0"/>
              <w:autoSpaceDN w:val="0"/>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③生态环境危害后果</w:t>
            </w:r>
          </w:p>
          <w:p w14:paraId="1CF0E6F6">
            <w:pPr>
              <w:pStyle w:val="68"/>
              <w:adjustRightInd w:val="0"/>
              <w:spacing w:line="500" w:lineRule="exact"/>
              <w:ind w:firstLine="480" w:firstLineChars="200"/>
              <w:rPr>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本项目</w:t>
            </w:r>
            <w:r>
              <w:rPr>
                <w:rFonts w:hint="eastAsia" w:ascii="Times New Roman" w:hAnsi="Times New Roman" w:eastAsia="宋体" w:cs="Times New Roman"/>
                <w:color w:val="000000" w:themeColor="text1"/>
                <w14:textFill>
                  <w14:solidFill>
                    <w14:schemeClr w14:val="tx1"/>
                  </w14:solidFill>
                </w14:textFill>
              </w:rPr>
              <w:t>220kV升压汇集站</w:t>
            </w:r>
            <w:r>
              <w:rPr>
                <w:rFonts w:ascii="Times New Roman" w:hAnsi="Times New Roman" w:cs="Times New Roman"/>
                <w:color w:val="000000" w:themeColor="text1"/>
                <w:lang w:val="en-US"/>
                <w14:textFill>
                  <w14:solidFill>
                    <w14:schemeClr w14:val="tx1"/>
                  </w14:solidFill>
                </w14:textFill>
              </w:rPr>
              <w:t>发生火灾，如火灾蔓延到周边，对周边植被和生态系统造成严重破坏；油类物质泄漏，有毒有害物质进入土壤环境中，将对植物生长造成不利影响</w:t>
            </w:r>
            <w:r>
              <w:rPr>
                <w:rFonts w:hint="eastAsia" w:ascii="Times New Roman" w:hAnsi="Times New Roman" w:cs="Times New Roman"/>
                <w:color w:val="000000" w:themeColor="text1"/>
                <w:lang w:val="en-US"/>
                <w14:textFill>
                  <w14:solidFill>
                    <w14:schemeClr w14:val="tx1"/>
                  </w14:solidFill>
                </w14:textFill>
              </w:rPr>
              <w:t>。</w:t>
            </w:r>
          </w:p>
        </w:tc>
      </w:tr>
      <w:tr w14:paraId="513BFB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59" w:hRule="atLeast"/>
          <w:jc w:val="center"/>
        </w:trPr>
        <w:tc>
          <w:tcPr>
            <w:tcW w:w="832" w:type="dxa"/>
            <w:vAlign w:val="center"/>
          </w:tcPr>
          <w:p w14:paraId="725EE083">
            <w:pPr>
              <w:pStyle w:val="22"/>
              <w:adjustRightInd w:val="0"/>
              <w:snapToGrid w:val="0"/>
              <w:spacing w:before="0" w:beforeAutospacing="0" w:after="0" w:afterAutospacing="0"/>
              <w:jc w:val="center"/>
              <w:rPr>
                <w:rFonts w:ascii="Times New Roman" w:hAnsi="Times New Roman"/>
                <w:bCs/>
                <w:color w:val="000000" w:themeColor="text1"/>
                <w:kern w:val="2"/>
                <w:sz w:val="21"/>
                <w:szCs w:val="21"/>
                <w14:textFill>
                  <w14:solidFill>
                    <w14:schemeClr w14:val="tx1"/>
                  </w14:solidFill>
                </w14:textFill>
              </w:rPr>
            </w:pPr>
            <w:r>
              <w:rPr>
                <w:rFonts w:ascii="Times New Roman" w:hAnsi="Times New Roman"/>
                <w:bCs/>
                <w:color w:val="000000" w:themeColor="text1"/>
                <w:kern w:val="2"/>
                <w14:textFill>
                  <w14:solidFill>
                    <w14:schemeClr w14:val="tx1"/>
                  </w14:solidFill>
                </w14:textFill>
              </w:rPr>
              <w:t>选址选线环境合理性分析</w:t>
            </w:r>
          </w:p>
        </w:tc>
        <w:tc>
          <w:tcPr>
            <w:tcW w:w="8239" w:type="dxa"/>
          </w:tcPr>
          <w:p w14:paraId="0453A099">
            <w:pPr>
              <w:keepNext w:val="0"/>
              <w:keepLines w:val="0"/>
              <w:pageBreakBefore w:val="0"/>
              <w:widowControl w:val="0"/>
              <w:kinsoku/>
              <w:wordWrap/>
              <w:topLinePunct w:val="0"/>
              <w:bidi w:val="0"/>
              <w:spacing w:line="500" w:lineRule="exact"/>
              <w:ind w:firstLine="480" w:firstLineChars="200"/>
              <w:textAlignment w:val="auto"/>
              <w:rPr>
                <w:rFonts w:hint="eastAsia"/>
                <w:color w:val="000000" w:themeColor="text1"/>
                <w:kern w:val="0"/>
                <w:lang w:eastAsia="zh-CN"/>
                <w14:textFill>
                  <w14:solidFill>
                    <w14:schemeClr w14:val="tx1"/>
                  </w14:solidFill>
                </w14:textFill>
              </w:rPr>
            </w:pPr>
            <w:r>
              <w:rPr>
                <w:rFonts w:hint="eastAsia"/>
                <w:color w:val="000000" w:themeColor="text1"/>
                <w:kern w:val="0"/>
                <w:lang w:eastAsia="zh-CN"/>
                <w14:textFill>
                  <w14:solidFill>
                    <w14:schemeClr w14:val="tx1"/>
                  </w14:solidFill>
                </w14:textFill>
              </w:rPr>
              <w:t>根据《环境影响评价技术导则 输变电》（HJ 24-2020），应按照《输变电建设项目环境保护技术要求》（HJ1113-2020）的规定进行选址选线环境合理性分析。</w:t>
            </w:r>
          </w:p>
          <w:p w14:paraId="064EA6D4">
            <w:pPr>
              <w:keepNext w:val="0"/>
              <w:keepLines w:val="0"/>
              <w:pageBreakBefore w:val="0"/>
              <w:widowControl w:val="0"/>
              <w:kinsoku/>
              <w:wordWrap/>
              <w:topLinePunct w:val="0"/>
              <w:bidi w:val="0"/>
              <w:spacing w:line="500" w:lineRule="exact"/>
              <w:ind w:firstLine="480" w:firstLineChars="200"/>
              <w:textAlignment w:val="auto"/>
              <w:rPr>
                <w:rFonts w:hint="eastAsia"/>
                <w:color w:val="000000" w:themeColor="text1"/>
                <w:kern w:val="0"/>
                <w:lang w:eastAsia="zh-CN"/>
                <w14:textFill>
                  <w14:solidFill>
                    <w14:schemeClr w14:val="tx1"/>
                  </w14:solidFill>
                </w14:textFill>
              </w:rPr>
            </w:pPr>
            <w:r>
              <w:rPr>
                <w:rFonts w:hint="eastAsia"/>
                <w:color w:val="000000" w:themeColor="text1"/>
                <w:kern w:val="0"/>
                <w:lang w:eastAsia="zh-CN"/>
                <w14:textFill>
                  <w14:solidFill>
                    <w14:schemeClr w14:val="tx1"/>
                  </w14:solidFill>
                </w14:textFill>
              </w:rPr>
              <w:t>本次评价根据《输变电建设项目环境保护技术要求》（HJ1113-2020）中选址等相关技术要求，对比分析相关符合性，见本报告“与《输变电建设项目环境保护技术要求》（HJ1113-2020）的符合性”内容。</w:t>
            </w:r>
          </w:p>
          <w:p w14:paraId="763D2A45">
            <w:pPr>
              <w:keepNext w:val="0"/>
              <w:keepLines w:val="0"/>
              <w:pageBreakBefore w:val="0"/>
              <w:widowControl w:val="0"/>
              <w:kinsoku/>
              <w:wordWrap/>
              <w:topLinePunct w:val="0"/>
              <w:bidi w:val="0"/>
              <w:spacing w:line="500" w:lineRule="exact"/>
              <w:ind w:firstLine="480" w:firstLineChars="200"/>
              <w:textAlignment w:val="auto"/>
              <w:rPr>
                <w:rFonts w:hint="eastAsia"/>
                <w:color w:val="000000" w:themeColor="text1"/>
                <w:kern w:val="0"/>
                <w:lang w:eastAsia="zh-CN"/>
                <w14:textFill>
                  <w14:solidFill>
                    <w14:schemeClr w14:val="tx1"/>
                  </w14:solidFill>
                </w14:textFill>
              </w:rPr>
            </w:pPr>
            <w:r>
              <w:rPr>
                <w:rFonts w:hint="eastAsia"/>
                <w:color w:val="000000" w:themeColor="text1"/>
                <w:kern w:val="0"/>
                <w:lang w:eastAsia="zh-CN"/>
                <w14:textFill>
                  <w14:solidFill>
                    <w14:schemeClr w14:val="tx1"/>
                  </w14:solidFill>
                </w14:textFill>
              </w:rPr>
              <w:t>根据“选址选线”内容分析可知：本项目不在生态保护红线管控区内，不涉及自然保护区、饮用水水源保护区等环境敏感区；本项目不涉及医疗卫生、文化教育、科研、行政办公等功能的区域，符合《输变电建设项目环境保护技术要求》（HJ1113-2020）中选址等相关技术要求。</w:t>
            </w:r>
          </w:p>
          <w:p w14:paraId="32E37473">
            <w:pPr>
              <w:keepNext w:val="0"/>
              <w:keepLines w:val="0"/>
              <w:pageBreakBefore w:val="0"/>
              <w:widowControl w:val="0"/>
              <w:kinsoku/>
              <w:wordWrap/>
              <w:topLinePunct w:val="0"/>
              <w:bidi w:val="0"/>
              <w:spacing w:line="500" w:lineRule="exact"/>
              <w:ind w:firstLine="480" w:firstLineChars="200"/>
              <w:textAlignment w:val="auto"/>
              <w:rPr>
                <w:rFonts w:hint="eastAsia"/>
                <w:color w:val="000000" w:themeColor="text1"/>
                <w:kern w:val="0"/>
                <w:lang w:eastAsia="zh-CN"/>
                <w14:textFill>
                  <w14:solidFill>
                    <w14:schemeClr w14:val="tx1"/>
                  </w14:solidFill>
                </w14:textFill>
              </w:rPr>
            </w:pPr>
            <w:r>
              <w:rPr>
                <w:rFonts w:hint="eastAsia"/>
                <w:color w:val="000000" w:themeColor="text1"/>
                <w:kern w:val="0"/>
                <w:lang w:eastAsia="zh-CN"/>
                <w14:textFill>
                  <w14:solidFill>
                    <w14:schemeClr w14:val="tx1"/>
                  </w14:solidFill>
                </w14:textFill>
              </w:rPr>
              <w:t>本项目</w:t>
            </w:r>
            <w:r>
              <w:rPr>
                <w:rFonts w:hint="eastAsia"/>
                <w:color w:val="000000" w:themeColor="text1"/>
                <w:kern w:val="0"/>
                <w:lang w:val="en-US" w:eastAsia="zh-CN"/>
                <w14:textFill>
                  <w14:solidFill>
                    <w14:schemeClr w14:val="tx1"/>
                  </w14:solidFill>
                </w14:textFill>
              </w:rPr>
              <w:t>升压汇集站</w:t>
            </w:r>
            <w:r>
              <w:rPr>
                <w:rFonts w:hint="eastAsia"/>
                <w:color w:val="000000" w:themeColor="text1"/>
                <w:kern w:val="0"/>
                <w:lang w:eastAsia="zh-CN"/>
                <w14:textFill>
                  <w14:solidFill>
                    <w14:schemeClr w14:val="tx1"/>
                  </w14:solidFill>
                </w14:textFill>
              </w:rPr>
              <w:t>选址不存在环境制约因素，</w:t>
            </w:r>
            <w:r>
              <w:rPr>
                <w:rFonts w:hint="eastAsia"/>
                <w:color w:val="000000" w:themeColor="text1"/>
                <w:kern w:val="0"/>
                <w:lang w:val="en-US" w:eastAsia="zh-CN"/>
                <w14:textFill>
                  <w14:solidFill>
                    <w14:schemeClr w14:val="tx1"/>
                  </w14:solidFill>
                </w14:textFill>
              </w:rPr>
              <w:t>生态</w:t>
            </w:r>
            <w:r>
              <w:rPr>
                <w:rFonts w:hint="eastAsia"/>
                <w:color w:val="000000" w:themeColor="text1"/>
                <w:kern w:val="0"/>
                <w:lang w:eastAsia="zh-CN"/>
                <w14:textFill>
                  <w14:solidFill>
                    <w14:schemeClr w14:val="tx1"/>
                  </w14:solidFill>
                </w14:textFill>
              </w:rPr>
              <w:t>环境影响程度可接受。</w:t>
            </w:r>
          </w:p>
          <w:p w14:paraId="0D6FCB82">
            <w:pPr>
              <w:keepNext w:val="0"/>
              <w:keepLines w:val="0"/>
              <w:pageBreakBefore w:val="0"/>
              <w:widowControl w:val="0"/>
              <w:kinsoku/>
              <w:wordWrap/>
              <w:topLinePunct w:val="0"/>
              <w:bidi w:val="0"/>
              <w:spacing w:line="500" w:lineRule="exact"/>
              <w:ind w:firstLine="480" w:firstLineChars="200"/>
              <w:textAlignment w:val="auto"/>
              <w:rPr>
                <w:rFonts w:hint="eastAsia"/>
                <w:color w:val="000000" w:themeColor="text1"/>
                <w:kern w:val="0"/>
                <w:lang w:eastAsia="zh-CN"/>
                <w14:textFill>
                  <w14:solidFill>
                    <w14:schemeClr w14:val="tx1"/>
                  </w14:solidFill>
                </w14:textFill>
              </w:rPr>
            </w:pPr>
            <w:r>
              <w:rPr>
                <w:rFonts w:hint="eastAsia"/>
                <w:color w:val="000000" w:themeColor="text1"/>
                <w:kern w:val="0"/>
                <w:lang w:eastAsia="zh-CN"/>
                <w14:textFill>
                  <w14:solidFill>
                    <w14:schemeClr w14:val="tx1"/>
                  </w14:solidFill>
                </w14:textFill>
              </w:rPr>
              <w:t>本项目合理规划输电线路，选线过程已避让农田、尽量减少交叉跨越；施工道路充分利用现有道路，减少临时占地征用，节约土地资源。</w:t>
            </w:r>
          </w:p>
          <w:p w14:paraId="4CEF003E">
            <w:pPr>
              <w:keepNext w:val="0"/>
              <w:keepLines w:val="0"/>
              <w:pageBreakBefore w:val="0"/>
              <w:widowControl w:val="0"/>
              <w:kinsoku/>
              <w:wordWrap/>
              <w:topLinePunct w:val="0"/>
              <w:bidi w:val="0"/>
              <w:spacing w:line="500" w:lineRule="exact"/>
              <w:ind w:firstLine="480" w:firstLineChars="200"/>
              <w:textAlignment w:val="auto"/>
              <w:rPr>
                <w:rFonts w:hint="eastAsia"/>
                <w:color w:val="000000" w:themeColor="text1"/>
                <w:kern w:val="0"/>
                <w:lang w:eastAsia="zh-CN"/>
                <w14:textFill>
                  <w14:solidFill>
                    <w14:schemeClr w14:val="tx1"/>
                  </w14:solidFill>
                </w14:textFill>
              </w:rPr>
            </w:pPr>
            <w:r>
              <w:rPr>
                <w:rFonts w:hint="eastAsia"/>
                <w:color w:val="000000" w:themeColor="text1"/>
                <w:kern w:val="0"/>
                <w:lang w:eastAsia="zh-CN"/>
                <w14:textFill>
                  <w14:solidFill>
                    <w14:schemeClr w14:val="tx1"/>
                  </w14:solidFill>
                </w14:textFill>
              </w:rPr>
              <w:t>综上所述，本项目选线环境合理。综上所述，本项目选线环境合理。</w:t>
            </w:r>
          </w:p>
          <w:p w14:paraId="097D88B4">
            <w:pPr>
              <w:keepNext w:val="0"/>
              <w:keepLines w:val="0"/>
              <w:pageBreakBefore w:val="0"/>
              <w:widowControl w:val="0"/>
              <w:kinsoku/>
              <w:wordWrap/>
              <w:topLinePunct w:val="0"/>
              <w:bidi w:val="0"/>
              <w:spacing w:line="500" w:lineRule="exact"/>
              <w:ind w:firstLine="480" w:firstLineChars="200"/>
              <w:textAlignment w:val="auto"/>
              <w:rPr>
                <w:rFonts w:hint="eastAsia"/>
                <w:b w:val="0"/>
                <w:bCs/>
                <w:color w:val="000000" w:themeColor="text1"/>
                <w:lang w:val="en-US" w:eastAsia="zh-CN"/>
                <w14:textFill>
                  <w14:solidFill>
                    <w14:schemeClr w14:val="tx1"/>
                  </w14:solidFill>
                </w14:textFill>
              </w:rPr>
            </w:pPr>
          </w:p>
          <w:p w14:paraId="6182E712">
            <w:pPr>
              <w:keepNext w:val="0"/>
              <w:keepLines w:val="0"/>
              <w:pageBreakBefore w:val="0"/>
              <w:widowControl w:val="0"/>
              <w:kinsoku/>
              <w:wordWrap/>
              <w:topLinePunct w:val="0"/>
              <w:bidi w:val="0"/>
              <w:spacing w:line="500" w:lineRule="exact"/>
              <w:ind w:firstLine="480" w:firstLineChars="200"/>
              <w:textAlignment w:val="auto"/>
              <w:rPr>
                <w:rFonts w:hint="eastAsia"/>
                <w:b w:val="0"/>
                <w:bCs/>
                <w:color w:val="000000" w:themeColor="text1"/>
                <w:lang w:val="en-US" w:eastAsia="zh-CN"/>
                <w14:textFill>
                  <w14:solidFill>
                    <w14:schemeClr w14:val="tx1"/>
                  </w14:solidFill>
                </w14:textFill>
              </w:rPr>
            </w:pPr>
          </w:p>
          <w:p w14:paraId="0FA3CF79">
            <w:pPr>
              <w:keepNext w:val="0"/>
              <w:keepLines w:val="0"/>
              <w:pageBreakBefore w:val="0"/>
              <w:widowControl w:val="0"/>
              <w:kinsoku/>
              <w:wordWrap/>
              <w:topLinePunct w:val="0"/>
              <w:bidi w:val="0"/>
              <w:spacing w:line="500" w:lineRule="exact"/>
              <w:ind w:firstLine="480" w:firstLineChars="200"/>
              <w:textAlignment w:val="auto"/>
              <w:rPr>
                <w:rFonts w:hint="default" w:ascii="Times New Roman" w:hAnsi="Times New Roman"/>
                <w:b w:val="0"/>
                <w:bCs/>
                <w:color w:val="000000" w:themeColor="text1"/>
                <w:lang w:val="en-US" w:eastAsia="zh-CN"/>
                <w14:textFill>
                  <w14:solidFill>
                    <w14:schemeClr w14:val="tx1"/>
                  </w14:solidFill>
                </w14:textFill>
              </w:rPr>
            </w:pPr>
          </w:p>
        </w:tc>
      </w:tr>
    </w:tbl>
    <w:p w14:paraId="7BE38816">
      <w:pPr>
        <w:pStyle w:val="22"/>
        <w:jc w:val="center"/>
        <w:rPr>
          <w:rFonts w:ascii="Times New Roman" w:hAnsi="Times New Roman"/>
          <w:snapToGrid w:val="0"/>
          <w:color w:val="000000" w:themeColor="text1"/>
          <w:sz w:val="36"/>
          <w:szCs w:val="36"/>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66BC6817">
      <w:pPr>
        <w:pStyle w:val="22"/>
        <w:adjustRightInd w:val="0"/>
        <w:snapToGrid w:val="0"/>
        <w:spacing w:before="0" w:beforeAutospacing="0" w:after="0" w:afterAutospacing="0" w:line="360" w:lineRule="auto"/>
        <w:jc w:val="center"/>
        <w:outlineLvl w:val="0"/>
        <w:rPr>
          <w:rFonts w:ascii="Times New Roman" w:hAnsi="Times New Roman"/>
          <w:b/>
          <w:bCs/>
          <w:snapToGrid w:val="0"/>
          <w:color w:val="000000" w:themeColor="text1"/>
          <w:sz w:val="30"/>
          <w:szCs w:val="30"/>
          <w14:textFill>
            <w14:solidFill>
              <w14:schemeClr w14:val="tx1"/>
            </w14:solidFill>
          </w14:textFill>
        </w:rPr>
      </w:pPr>
      <w:bookmarkStart w:id="25" w:name="_Toc17930"/>
      <w:bookmarkStart w:id="26" w:name="_Toc25252"/>
      <w:bookmarkStart w:id="27" w:name="_Toc27437"/>
      <w:bookmarkStart w:id="28" w:name="_Toc14670"/>
      <w:r>
        <w:rPr>
          <w:rFonts w:ascii="Times New Roman" w:hAnsi="Times New Roman"/>
          <w:b/>
          <w:bCs/>
          <w:snapToGrid w:val="0"/>
          <w:color w:val="000000" w:themeColor="text1"/>
          <w:sz w:val="30"/>
          <w:szCs w:val="30"/>
          <w14:textFill>
            <w14:solidFill>
              <w14:schemeClr w14:val="tx1"/>
            </w14:solidFill>
          </w14:textFill>
        </w:rPr>
        <w:t>五、主要生态环境保护措施</w:t>
      </w:r>
      <w:bookmarkEnd w:id="25"/>
      <w:bookmarkEnd w:id="26"/>
      <w:bookmarkEnd w:id="27"/>
      <w:bookmarkEnd w:id="28"/>
    </w:p>
    <w:tbl>
      <w:tblPr>
        <w:tblStyle w:val="27"/>
        <w:tblW w:w="534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8555"/>
      </w:tblGrid>
      <w:tr w14:paraId="4B097E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77" w:hRule="atLeast"/>
          <w:jc w:val="center"/>
        </w:trPr>
        <w:tc>
          <w:tcPr>
            <w:tcW w:w="406" w:type="pct"/>
            <w:tcMar>
              <w:left w:w="28" w:type="dxa"/>
              <w:right w:w="28" w:type="dxa"/>
            </w:tcMar>
            <w:vAlign w:val="center"/>
          </w:tcPr>
          <w:p w14:paraId="24279021">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施工期生态环境保护措施</w:t>
            </w:r>
          </w:p>
        </w:tc>
        <w:tc>
          <w:tcPr>
            <w:tcW w:w="4593" w:type="pct"/>
          </w:tcPr>
          <w:p w14:paraId="6562E5CE">
            <w:pPr>
              <w:adjustRightInd w:val="0"/>
              <w:snapToGrid w:val="0"/>
              <w:spacing w:line="500" w:lineRule="exact"/>
              <w:ind w:firstLine="482" w:firstLineChars="200"/>
              <w:rPr>
                <w:b/>
                <w:color w:val="000000" w:themeColor="text1"/>
                <w14:textFill>
                  <w14:solidFill>
                    <w14:schemeClr w14:val="tx1"/>
                  </w14:solidFill>
                </w14:textFill>
              </w:rPr>
            </w:pPr>
            <w:r>
              <w:rPr>
                <w:rFonts w:hint="eastAsia"/>
                <w:b/>
                <w:color w:val="000000" w:themeColor="text1"/>
                <w14:textFill>
                  <w14:solidFill>
                    <w14:schemeClr w14:val="tx1"/>
                  </w14:solidFill>
                </w14:textFill>
              </w:rPr>
              <w:t>1.</w:t>
            </w:r>
            <w:r>
              <w:rPr>
                <w:b/>
                <w:color w:val="000000" w:themeColor="text1"/>
                <w14:textFill>
                  <w14:solidFill>
                    <w14:schemeClr w14:val="tx1"/>
                  </w14:solidFill>
                </w14:textFill>
              </w:rPr>
              <w:t>生态环境保护措施</w:t>
            </w:r>
          </w:p>
          <w:p w14:paraId="145912A4">
            <w:pPr>
              <w:autoSpaceDE w:val="0"/>
              <w:autoSpaceDN w:val="0"/>
              <w:adjustRightInd w:val="0"/>
              <w:snapToGrid w:val="0"/>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1.1施工过程生态保护措施</w:t>
            </w:r>
          </w:p>
          <w:p w14:paraId="3145A99E">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（1）避让措施</w:t>
            </w:r>
          </w:p>
          <w:p w14:paraId="2590FD64">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①本项目</w:t>
            </w:r>
            <w:r>
              <w:rPr>
                <w:rFonts w:hint="eastAsia" w:ascii="Times New Roman" w:hAnsi="Times New Roman" w:eastAsia="宋体"/>
                <w:b w:val="0"/>
                <w:bCs/>
                <w:color w:val="000000" w:themeColor="text1"/>
                <w14:textFill>
                  <w14:solidFill>
                    <w14:schemeClr w14:val="tx1"/>
                  </w14:solidFill>
                </w14:textFill>
              </w:rPr>
              <w:t>220kV升压汇集站</w:t>
            </w:r>
            <w:r>
              <w:rPr>
                <w:rFonts w:hint="eastAsia" w:cs="Times New Roman"/>
                <w:color w:val="000000" w:themeColor="text1"/>
                <w:kern w:val="0"/>
                <w:sz w:val="24"/>
                <w:szCs w:val="24"/>
                <w:highlight w:val="none"/>
                <w:lang w:val="en-US" w:eastAsia="zh-CN" w:bidi="ar-SA"/>
                <w14:textFill>
                  <w14:solidFill>
                    <w14:schemeClr w14:val="tx1"/>
                  </w14:solidFill>
                </w14:textFill>
              </w:rPr>
              <w:t>及外送线路建设过程中应</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优先考虑减少用地面积；</w:t>
            </w:r>
            <w:r>
              <w:rPr>
                <w:rFonts w:hint="eastAsia" w:ascii="Times New Roman" w:hAnsi="Times New Roman" w:eastAsia="宋体" w:cs="Times New Roman"/>
                <w:color w:val="000000" w:themeColor="text1"/>
                <w:sz w:val="24"/>
                <w:lang w:val="en-US" w:eastAsia="zh-CN"/>
                <w14:textFill>
                  <w14:solidFill>
                    <w14:schemeClr w14:val="tx1"/>
                  </w14:solidFill>
                </w14:textFill>
              </w:rPr>
              <w:t>避开植被丰富区域，选择植被稀疏区；</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优化临时占地的选址，</w:t>
            </w:r>
            <w:r>
              <w:rPr>
                <w:rFonts w:hint="eastAsia" w:cs="Times New Roman"/>
                <w:color w:val="000000" w:themeColor="text1"/>
                <w:kern w:val="0"/>
                <w:sz w:val="24"/>
                <w:szCs w:val="24"/>
                <w:highlight w:val="none"/>
                <w:lang w:val="en-US" w:eastAsia="zh-CN" w:bidi="ar-SA"/>
                <w14:textFill>
                  <w14:solidFill>
                    <w14:schemeClr w14:val="tx1"/>
                  </w14:solidFill>
                </w14:textFill>
              </w:rPr>
              <w:t>尽量减少</w:t>
            </w:r>
            <w:r>
              <w:rPr>
                <w:rFonts w:hint="eastAsia" w:eastAsia="宋体" w:cs="Times New Roman"/>
                <w:color w:val="000000" w:themeColor="text1"/>
                <w:kern w:val="0"/>
                <w:sz w:val="24"/>
                <w:szCs w:val="24"/>
                <w:highlight w:val="none"/>
                <w:lang w:val="en-US" w:eastAsia="zh-CN" w:bidi="ar-SA"/>
                <w14:textFill>
                  <w14:solidFill>
                    <w14:schemeClr w14:val="tx1"/>
                  </w14:solidFill>
                </w14:textFill>
              </w:rPr>
              <w:t>项目地面扰动面积</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w:t>
            </w:r>
          </w:p>
          <w:p w14:paraId="2DC83D18">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②施工期应避免在雨季施工，同时减少土石方的开挖，</w:t>
            </w:r>
            <w:r>
              <w:rPr>
                <w:rFonts w:hint="eastAsia" w:eastAsia="宋体" w:cs="Times New Roman"/>
                <w:color w:val="000000" w:themeColor="text1"/>
                <w:kern w:val="0"/>
                <w:sz w:val="24"/>
                <w:szCs w:val="24"/>
                <w:highlight w:val="none"/>
                <w:lang w:val="en-US" w:eastAsia="zh-CN" w:bidi="ar-SA"/>
                <w14:textFill>
                  <w14:solidFill>
                    <w14:schemeClr w14:val="tx1"/>
                  </w14:solidFill>
                </w14:textFill>
              </w:rPr>
              <w:t>减少地面的压占</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w:t>
            </w:r>
            <w:r>
              <w:rPr>
                <w:rFonts w:hint="eastAsia" w:eastAsia="宋体" w:cs="Times New Roman"/>
                <w:color w:val="000000" w:themeColor="text1"/>
                <w:kern w:val="0"/>
                <w:sz w:val="24"/>
                <w:szCs w:val="24"/>
                <w:highlight w:val="none"/>
                <w:lang w:val="en-US" w:eastAsia="zh-CN" w:bidi="ar-SA"/>
                <w14:textFill>
                  <w14:solidFill>
                    <w14:schemeClr w14:val="tx1"/>
                  </w14:solidFill>
                </w14:textFill>
              </w:rPr>
              <w:t>同时采取</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挡土、护坡等防护措施。</w:t>
            </w:r>
          </w:p>
          <w:p w14:paraId="7E57AE0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③严格划定施工范围和人员、车辆的行走路线，避免对施工范围之外的区域造成地表碾压和破坏。</w:t>
            </w:r>
          </w:p>
          <w:p w14:paraId="7A9E19B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④项目</w:t>
            </w:r>
            <w:r>
              <w:rPr>
                <w:rFonts w:hint="default" w:ascii="Times New Roman" w:hAnsi="Times New Roman" w:cs="Times New Roman"/>
                <w:color w:val="000000" w:themeColor="text1"/>
                <w:lang w:val="en-US" w:eastAsia="zh-CN"/>
                <w14:textFill>
                  <w14:solidFill>
                    <w14:schemeClr w14:val="tx1"/>
                  </w14:solidFill>
                </w14:textFill>
              </w:rPr>
              <w:t>外送线路西</w:t>
            </w:r>
            <w:r>
              <w:rPr>
                <w:rFonts w:hint="default" w:ascii="Times New Roman" w:hAnsi="Times New Roman" w:cs="Times New Roman"/>
                <w:color w:val="000000" w:themeColor="text1"/>
                <w14:textFill>
                  <w14:solidFill>
                    <w14:schemeClr w14:val="tx1"/>
                  </w14:solidFill>
                </w14:textFill>
              </w:rPr>
              <w:t>侧</w:t>
            </w:r>
            <w:r>
              <w:rPr>
                <w:rFonts w:hint="default" w:ascii="Times New Roman" w:hAnsi="Times New Roman" w:cs="Times New Roman"/>
                <w:color w:val="000000" w:themeColor="text1"/>
                <w:lang w:val="en-US" w:eastAsia="zh-CN"/>
                <w14:textFill>
                  <w14:solidFill>
                    <w14:schemeClr w14:val="tx1"/>
                  </w14:solidFill>
                </w14:textFill>
              </w:rPr>
              <w:t>最近距离约466m、升压汇集站西</w:t>
            </w:r>
            <w:r>
              <w:rPr>
                <w:rFonts w:hint="default" w:ascii="Times New Roman" w:hAnsi="Times New Roman" w:cs="Times New Roman"/>
                <w:color w:val="000000" w:themeColor="text1"/>
                <w14:textFill>
                  <w14:solidFill>
                    <w14:schemeClr w14:val="tx1"/>
                  </w14:solidFill>
                </w14:textFill>
              </w:rPr>
              <w:t>侧</w:t>
            </w:r>
            <w:r>
              <w:rPr>
                <w:rFonts w:hint="default" w:ascii="Times New Roman" w:hAnsi="Times New Roman" w:cs="Times New Roman"/>
                <w:color w:val="000000" w:themeColor="text1"/>
                <w:lang w:val="en-US" w:eastAsia="zh-CN"/>
                <w14:textFill>
                  <w14:solidFill>
                    <w14:schemeClr w14:val="tx1"/>
                  </w14:solidFill>
                </w14:textFill>
              </w:rPr>
              <w:t>最近距离约1200</w:t>
            </w:r>
            <w:r>
              <w:rPr>
                <w:rFonts w:hint="default" w:ascii="Times New Roman" w:hAnsi="Times New Roman" w:cs="Times New Roman"/>
                <w:color w:val="000000" w:themeColor="text1"/>
                <w14:textFill>
                  <w14:solidFill>
                    <w14:schemeClr w14:val="tx1"/>
                  </w14:solidFill>
                </w14:textFill>
              </w:rPr>
              <w:t>m为</w:t>
            </w:r>
            <w:r>
              <w:rPr>
                <w:rFonts w:hint="default" w:ascii="Times New Roman" w:hAnsi="Times New Roman" w:cs="Times New Roman"/>
                <w:color w:val="000000" w:themeColor="text1"/>
                <w:lang w:val="en-US" w:eastAsia="zh-CN"/>
                <w14:textFill>
                  <w14:solidFill>
                    <w14:schemeClr w14:val="tx1"/>
                  </w14:solidFill>
                </w14:textFill>
              </w:rPr>
              <w:t>塔里木盆地南缘土地沙化防控生态保护红线，项目施工过程中应加强管理，严禁施工机械及施工人员进入生态保护红线范围内。</w:t>
            </w:r>
          </w:p>
          <w:p w14:paraId="4373115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（2）减缓措施</w:t>
            </w:r>
          </w:p>
          <w:p w14:paraId="3CA52C92">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①</w:t>
            </w:r>
            <w:r>
              <w:rPr>
                <w:rFonts w:hint="default" w:ascii="Times New Roman" w:hAnsi="Times New Roman" w:cs="Times New Roman"/>
                <w:color w:val="000000" w:themeColor="text1"/>
                <w:kern w:val="0"/>
                <w:sz w:val="24"/>
                <w:szCs w:val="24"/>
                <w:highlight w:val="none"/>
                <w:lang w:val="en-US" w:eastAsia="zh-CN" w:bidi="ar-SA"/>
                <w14:textFill>
                  <w14:solidFill>
                    <w14:schemeClr w14:val="tx1"/>
                  </w14:solidFill>
                </w14:textFill>
              </w:rPr>
              <w:t>施工前，精准规划施工区域，尽量减少对周边土地的占用和破坏。</w:t>
            </w:r>
          </w:p>
          <w:p w14:paraId="58CE16CD">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②严格按照设计文件确定征地范围，场地清理需限制在</w:t>
            </w:r>
            <w:r>
              <w:rPr>
                <w:rFonts w:hint="default" w:ascii="Times New Roman" w:hAnsi="Times New Roman" w:cs="Times New Roman"/>
                <w:color w:val="000000" w:themeColor="text1"/>
                <w:kern w:val="0"/>
                <w:sz w:val="24"/>
                <w:szCs w:val="24"/>
                <w:highlight w:val="none"/>
                <w:lang w:val="en-US" w:eastAsia="zh-CN" w:bidi="ar-SA"/>
                <w14:textFill>
                  <w14:solidFill>
                    <w14:schemeClr w14:val="tx1"/>
                  </w14:solidFill>
                </w14:textFill>
              </w:rPr>
              <w:t>永久占地及</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临时占地范围内，以减少对地表的破坏。</w:t>
            </w:r>
          </w:p>
          <w:p w14:paraId="46EE4D4F">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③本项目施工过程中禁止将项目临时弃土随处乱排。</w:t>
            </w:r>
          </w:p>
          <w:p w14:paraId="4F7BDCE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④施工场地等临时建筑尽可能采用成品或简易拼装方式，尽量减轻对地表的破坏。</w:t>
            </w:r>
          </w:p>
          <w:p w14:paraId="07A163B5">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⑤</w:t>
            </w:r>
            <w:r>
              <w:rPr>
                <w:rFonts w:hint="default" w:ascii="Times New Roman" w:hAnsi="Times New Roman" w:cs="Times New Roman"/>
                <w:color w:val="000000" w:themeColor="text1"/>
                <w:kern w:val="0"/>
                <w:sz w:val="24"/>
                <w:szCs w:val="24"/>
                <w:highlight w:val="none"/>
                <w:lang w:val="en-US" w:eastAsia="zh-CN" w:bidi="ar-SA"/>
                <w14:textFill>
                  <w14:solidFill>
                    <w14:schemeClr w14:val="tx1"/>
                  </w14:solidFill>
                </w14:textFill>
              </w:rPr>
              <w:t>在场地平整和基础施工阶段，合理安排施工时间，避开风沙较大的季节，在施工场地周围设置临时的防风沙屏障和截水沟，减少风沙侵蚀和水土流失。</w:t>
            </w:r>
          </w:p>
          <w:p w14:paraId="790FD74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⑥基础开挖时，应将表土剥离，暂时保存后用于施工结束后回填，临时表土堆放过程应采取覆盖措施。</w:t>
            </w:r>
          </w:p>
          <w:p w14:paraId="34C55373">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⑦对</w:t>
            </w:r>
            <w:r>
              <w:rPr>
                <w:rFonts w:hint="eastAsia" w:cs="Times New Roman"/>
                <w:color w:val="000000" w:themeColor="text1"/>
                <w:kern w:val="0"/>
                <w:sz w:val="24"/>
                <w:szCs w:val="24"/>
                <w:highlight w:val="none"/>
                <w:lang w:val="en-US" w:eastAsia="zh-CN" w:bidi="ar-SA"/>
                <w14:textFill>
                  <w14:solidFill>
                    <w14:schemeClr w14:val="tx1"/>
                  </w14:solidFill>
                </w14:textFill>
              </w:rPr>
              <w:t>项目</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施工区在施工期间采取</w:t>
            </w:r>
            <w:r>
              <w:rPr>
                <w:rFonts w:hint="eastAsia" w:cs="Times New Roman"/>
                <w:color w:val="000000" w:themeColor="text1"/>
                <w:kern w:val="0"/>
                <w:sz w:val="24"/>
                <w:szCs w:val="24"/>
                <w:highlight w:val="none"/>
                <w:lang w:val="en-US" w:eastAsia="zh-CN" w:bidi="ar-SA"/>
                <w14:textFill>
                  <w14:solidFill>
                    <w14:schemeClr w14:val="tx1"/>
                  </w14:solidFill>
                </w14:textFill>
              </w:rPr>
              <w:t>洒水</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抑尘措施。</w:t>
            </w:r>
          </w:p>
          <w:p w14:paraId="0FDEBC3D">
            <w:pPr>
              <w:adjustRightInd w:val="0"/>
              <w:spacing w:line="500" w:lineRule="exact"/>
              <w:ind w:firstLine="480" w:firstLineChars="200"/>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⑧对施工过程中产生的建筑垃圾和生活垃圾进行分类收集，</w:t>
            </w:r>
            <w:r>
              <w:rPr>
                <w:rFonts w:hint="eastAsia" w:cs="Times New Roman"/>
                <w:color w:val="000000" w:themeColor="text1"/>
                <w:kern w:val="0"/>
                <w:sz w:val="24"/>
                <w:szCs w:val="24"/>
                <w:highlight w:val="none"/>
                <w:lang w:val="en-US" w:eastAsia="zh-CN" w:bidi="ar-SA"/>
                <w14:textFill>
                  <w14:solidFill>
                    <w14:schemeClr w14:val="tx1"/>
                  </w14:solidFill>
                </w14:textFill>
              </w:rPr>
              <w:t>建筑垃圾</w:t>
            </w:r>
            <w:r>
              <w:rPr>
                <w:color w:val="000000" w:themeColor="text1"/>
                <w:kern w:val="0"/>
                <w14:textFill>
                  <w14:solidFill>
                    <w14:schemeClr w14:val="tx1"/>
                  </w14:solidFill>
                </w14:textFill>
              </w:rPr>
              <w:t>不能综合利用</w:t>
            </w:r>
            <w:r>
              <w:rPr>
                <w:rFonts w:hint="eastAsia"/>
                <w:color w:val="000000" w:themeColor="text1"/>
                <w:kern w:val="0"/>
                <w:lang w:eastAsia="zh-CN"/>
                <w14:textFill>
                  <w14:solidFill>
                    <w14:schemeClr w14:val="tx1"/>
                  </w14:solidFill>
                </w14:textFill>
              </w:rPr>
              <w:t>的部分</w:t>
            </w:r>
            <w:r>
              <w:rPr>
                <w:rFonts w:hint="eastAsia" w:ascii="Times New Roman" w:hAnsi="Times New Roman" w:cs="Times New Roman"/>
                <w:color w:val="000000" w:themeColor="text1"/>
                <w:highlight w:val="none"/>
                <w:lang w:val="en-US" w:eastAsia="zh-CN"/>
                <w14:textFill>
                  <w14:solidFill>
                    <w14:schemeClr w14:val="tx1"/>
                  </w14:solidFill>
                </w14:textFill>
              </w:rPr>
              <w:t>统一收集至住建部门指定场所进行处理</w:t>
            </w:r>
            <w:r>
              <w:rPr>
                <w:rFonts w:hint="eastAsia"/>
                <w:color w:val="000000" w:themeColor="text1"/>
                <w:kern w:val="0"/>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生活垃圾经收集后交当地环卫部门统一</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清运至且末县生活垃圾填埋场</w:t>
            </w:r>
            <w:r>
              <w:rPr>
                <w:rFonts w:hint="default"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，避免污染周围环境。</w:t>
            </w:r>
          </w:p>
          <w:p w14:paraId="39952FB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（3）恢复措施</w:t>
            </w:r>
          </w:p>
          <w:p w14:paraId="61CB4446">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拟建项目的建设会造成</w:t>
            </w:r>
            <w:r>
              <w:rPr>
                <w:rFonts w:hint="eastAsia" w:cs="Times New Roman"/>
                <w:color w:val="000000" w:themeColor="text1"/>
                <w:kern w:val="0"/>
                <w:sz w:val="24"/>
                <w:szCs w:val="24"/>
                <w:highlight w:val="none"/>
                <w:lang w:val="en-US" w:eastAsia="zh-CN" w:bidi="ar-SA"/>
                <w14:textFill>
                  <w14:solidFill>
                    <w14:schemeClr w14:val="tx1"/>
                  </w14:solidFill>
                </w14:textFill>
              </w:rPr>
              <w:t>区域地表受到破坏</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，因此</w:t>
            </w:r>
            <w:r>
              <w:rPr>
                <w:rFonts w:hint="eastAsia" w:eastAsia="宋体" w:cs="Times New Roman"/>
                <w:color w:val="000000" w:themeColor="text1"/>
                <w:kern w:val="0"/>
                <w:sz w:val="24"/>
                <w:szCs w:val="24"/>
                <w:highlight w:val="none"/>
                <w:lang w:val="en-US" w:eastAsia="zh-CN" w:bidi="ar-SA"/>
                <w14:textFill>
                  <w14:solidFill>
                    <w14:schemeClr w14:val="tx1"/>
                  </w14:solidFill>
                </w14:textFill>
              </w:rPr>
              <w:t>项目</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建设过程中要采取一定的生态恢复措施，</w:t>
            </w:r>
            <w:r>
              <w:rPr>
                <w:rFonts w:hint="eastAsia" w:eastAsia="宋体" w:cs="Times New Roman"/>
                <w:color w:val="000000" w:themeColor="text1"/>
                <w:kern w:val="0"/>
                <w:sz w:val="24"/>
                <w:szCs w:val="24"/>
                <w:highlight w:val="none"/>
                <w:lang w:val="en-US" w:eastAsia="zh-CN" w:bidi="ar-SA"/>
                <w14:textFill>
                  <w14:solidFill>
                    <w14:schemeClr w14:val="tx1"/>
                  </w14:solidFill>
                </w14:textFill>
              </w:rPr>
              <w:t>项目</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施工结束后，</w:t>
            </w:r>
            <w:r>
              <w:rPr>
                <w:rFonts w:hint="eastAsia" w:cs="Times New Roman"/>
                <w:color w:val="000000" w:themeColor="text1"/>
                <w:kern w:val="0"/>
                <w:sz w:val="24"/>
                <w:szCs w:val="24"/>
                <w:highlight w:val="none"/>
                <w:lang w:val="en-US" w:eastAsia="zh-CN" w:bidi="ar-SA"/>
                <w14:textFill>
                  <w14:solidFill>
                    <w14:schemeClr w14:val="tx1"/>
                  </w14:solidFill>
                </w14:textFill>
              </w:rPr>
              <w:t>施工便道全部作为巡检道路，对</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施工场地等临时占地进行</w:t>
            </w:r>
            <w:r>
              <w:rPr>
                <w:rFonts w:hint="eastAsia" w:cs="Times New Roman"/>
                <w:color w:val="000000" w:themeColor="text1"/>
                <w:kern w:val="0"/>
                <w:sz w:val="24"/>
                <w:szCs w:val="24"/>
                <w:highlight w:val="none"/>
                <w:lang w:val="en-US" w:eastAsia="zh-CN" w:bidi="ar-SA"/>
                <w14:textFill>
                  <w14:solidFill>
                    <w14:schemeClr w14:val="tx1"/>
                  </w14:solidFill>
                </w14:textFill>
              </w:rPr>
              <w:t>清理、平整、</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恢复，将施工时剥离的表土进行回填，对临时占地</w:t>
            </w:r>
            <w:r>
              <w:rPr>
                <w:rFonts w:hint="eastAsia" w:eastAsia="宋体" w:cs="Times New Roman"/>
                <w:color w:val="000000" w:themeColor="text1"/>
                <w:kern w:val="0"/>
                <w:sz w:val="24"/>
                <w:szCs w:val="24"/>
                <w:highlight w:val="none"/>
                <w:lang w:val="en-US" w:eastAsia="zh-CN" w:bidi="ar-SA"/>
                <w14:textFill>
                  <w14:solidFill>
                    <w14:schemeClr w14:val="tx1"/>
                  </w14:solidFill>
                </w14:textFill>
              </w:rPr>
              <w:t>区域</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进行</w:t>
            </w:r>
            <w:r>
              <w:rPr>
                <w:rFonts w:hint="eastAsia" w:eastAsia="宋体" w:cs="Times New Roman"/>
                <w:color w:val="000000" w:themeColor="text1"/>
                <w:kern w:val="0"/>
                <w:sz w:val="24"/>
                <w:szCs w:val="24"/>
                <w:highlight w:val="none"/>
                <w:lang w:val="en-US" w:eastAsia="zh-CN" w:bidi="ar-SA"/>
                <w14:textFill>
                  <w14:solidFill>
                    <w14:schemeClr w14:val="tx1"/>
                  </w14:solidFill>
                </w14:textFill>
              </w:rPr>
              <w:t>清理</w:t>
            </w:r>
            <w:r>
              <w:rPr>
                <w:rFonts w:hint="eastAsia" w:ascii="Times New Roman" w:hAnsi="Times New Roman" w:eastAsia="宋体" w:cs="Times New Roman"/>
                <w:color w:val="000000" w:themeColor="text1"/>
                <w:kern w:val="0"/>
                <w:sz w:val="24"/>
                <w:szCs w:val="24"/>
                <w:highlight w:val="none"/>
                <w:lang w:val="en-US" w:eastAsia="zh-CN" w:bidi="ar-SA"/>
                <w14:textFill>
                  <w14:solidFill>
                    <w14:schemeClr w14:val="tx1"/>
                  </w14:solidFill>
                </w14:textFill>
              </w:rPr>
              <w:t>平整，使其恢复原貌。</w:t>
            </w:r>
          </w:p>
          <w:p w14:paraId="0FD320E3">
            <w:pPr>
              <w:autoSpaceDE w:val="0"/>
              <w:autoSpaceDN w:val="0"/>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（4）管理</w:t>
            </w:r>
            <w:r>
              <w:rPr>
                <w:rFonts w:hint="eastAsia"/>
                <w:color w:val="000000" w:themeColor="text1"/>
                <w:lang w:eastAsia="zh-CN"/>
                <w14:textFill>
                  <w14:solidFill>
                    <w14:schemeClr w14:val="tx1"/>
                  </w14:solidFill>
                </w14:textFill>
              </w:rPr>
              <w:t>及监测</w:t>
            </w:r>
            <w:r>
              <w:rPr>
                <w:rFonts w:hint="eastAsia"/>
                <w:color w:val="000000" w:themeColor="text1"/>
                <w14:textFill>
                  <w14:solidFill>
                    <w14:schemeClr w14:val="tx1"/>
                  </w14:solidFill>
                </w14:textFill>
              </w:rPr>
              <w:t>措施</w:t>
            </w:r>
          </w:p>
          <w:p w14:paraId="14405F1E">
            <w:pPr>
              <w:autoSpaceDE w:val="0"/>
              <w:autoSpaceDN w:val="0"/>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①本项目占地应提前办理相关占地手续</w:t>
            </w:r>
            <w:r>
              <w:rPr>
                <w:rFonts w:hint="eastAsia"/>
                <w:color w:val="000000" w:themeColor="text1"/>
                <w:lang w:val="en-US" w:eastAsia="zh-CN"/>
                <w14:textFill>
                  <w14:solidFill>
                    <w14:schemeClr w14:val="tx1"/>
                  </w14:solidFill>
                </w14:textFill>
              </w:rPr>
              <w:t>并进行补偿</w:t>
            </w:r>
            <w:r>
              <w:rPr>
                <w:rFonts w:hint="eastAsia"/>
                <w:color w:val="000000" w:themeColor="text1"/>
                <w14:textFill>
                  <w14:solidFill>
                    <w14:schemeClr w14:val="tx1"/>
                  </w14:solidFill>
                </w14:textFill>
              </w:rPr>
              <w:t>。</w:t>
            </w:r>
          </w:p>
          <w:p w14:paraId="0448E041">
            <w:pPr>
              <w:autoSpaceDE w:val="0"/>
              <w:autoSpaceDN w:val="0"/>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②加强对管理人员和施工人员的教育，</w:t>
            </w:r>
            <w:r>
              <w:rPr>
                <w:rFonts w:hint="eastAsia"/>
                <w:color w:val="000000" w:themeColor="text1"/>
                <w:lang w:eastAsia="zh-CN"/>
                <w14:textFill>
                  <w14:solidFill>
                    <w14:schemeClr w14:val="tx1"/>
                  </w14:solidFill>
                </w14:textFill>
              </w:rPr>
              <w:t>增强</w:t>
            </w:r>
            <w:r>
              <w:rPr>
                <w:rFonts w:hint="eastAsia"/>
                <w:color w:val="000000" w:themeColor="text1"/>
                <w14:textFill>
                  <w14:solidFill>
                    <w14:schemeClr w14:val="tx1"/>
                  </w14:solidFill>
                </w14:textFill>
              </w:rPr>
              <w:t>其环保意识。</w:t>
            </w:r>
          </w:p>
          <w:p w14:paraId="3996F9B0">
            <w:pPr>
              <w:autoSpaceDE w:val="0"/>
              <w:autoSpaceDN w:val="0"/>
              <w:adjustRightInd w:val="0"/>
              <w:snapToGrid w:val="0"/>
              <w:ind w:firstLine="480" w:firstLineChars="200"/>
              <w:rPr>
                <w:b w:val="0"/>
                <w:bCs w:val="0"/>
                <w:color w:val="000000" w:themeColor="text1"/>
                <w14:textFill>
                  <w14:solidFill>
                    <w14:schemeClr w14:val="tx1"/>
                  </w14:solidFill>
                </w14:textFill>
              </w:rPr>
            </w:pPr>
            <w:r>
              <w:rPr>
                <w:rFonts w:hint="eastAsia"/>
                <w:color w:val="000000" w:themeColor="text1"/>
                <w14:textFill>
                  <w14:solidFill>
                    <w14:schemeClr w14:val="tx1"/>
                  </w14:solidFill>
                </w14:textFill>
              </w:rPr>
              <w:t>③加强对施工过程的管理及监督，划定施工区域、设立警示牌，实施专人</w:t>
            </w:r>
            <w:r>
              <w:rPr>
                <w:rFonts w:hint="eastAsia"/>
                <w:b w:val="0"/>
                <w:bCs w:val="0"/>
                <w:color w:val="000000" w:themeColor="text1"/>
                <w14:textFill>
                  <w14:solidFill>
                    <w14:schemeClr w14:val="tx1"/>
                  </w14:solidFill>
                </w14:textFill>
              </w:rPr>
              <w:t>值守，严禁超范围施工。</w:t>
            </w:r>
          </w:p>
          <w:p w14:paraId="30CC6CFE">
            <w:pPr>
              <w:autoSpaceDE w:val="0"/>
              <w:autoSpaceDN w:val="0"/>
              <w:adjustRightInd w:val="0"/>
              <w:snapToGrid w:val="0"/>
              <w:ind w:firstLine="480" w:firstLineChars="200"/>
              <w:rPr>
                <w:b w:val="0"/>
                <w:bCs w:val="0"/>
                <w:color w:val="000000" w:themeColor="text1"/>
                <w14:textFill>
                  <w14:solidFill>
                    <w14:schemeClr w14:val="tx1"/>
                  </w14:solidFill>
                </w14:textFill>
              </w:rPr>
            </w:pPr>
            <w:r>
              <w:rPr>
                <w:rFonts w:hint="eastAsia" w:ascii="宋体" w:hAnsi="宋体" w:cs="宋体"/>
                <w:b w:val="0"/>
                <w:bCs w:val="0"/>
                <w:color w:val="000000" w:themeColor="text1"/>
                <w14:textFill>
                  <w14:solidFill>
                    <w14:schemeClr w14:val="tx1"/>
                  </w14:solidFill>
                </w14:textFill>
              </w:rPr>
              <w:t>④</w:t>
            </w:r>
            <w:r>
              <w:rPr>
                <w:rFonts w:hint="eastAsia"/>
                <w:b w:val="0"/>
                <w:bCs w:val="0"/>
                <w:color w:val="000000" w:themeColor="text1"/>
                <w14:textFill>
                  <w14:solidFill>
                    <w14:schemeClr w14:val="tx1"/>
                  </w14:solidFill>
                </w14:textFill>
              </w:rPr>
              <w:t>制定管理制度，加强宣传，严格控制施工作业区域，减少占地。</w:t>
            </w:r>
          </w:p>
          <w:p w14:paraId="2F2C5476">
            <w:pPr>
              <w:adjustRightInd w:val="0"/>
              <w:snapToGrid w:val="0"/>
              <w:spacing w:line="500" w:lineRule="exact"/>
              <w:ind w:firstLine="480" w:firstLineChars="200"/>
              <w:rPr>
                <w:rFonts w:hint="default" w:ascii="Times New Roman" w:hAnsi="Times New Roman" w:cs="Times New Roman"/>
                <w:b w:val="0"/>
                <w:bCs w:val="0"/>
                <w:color w:val="000000" w:themeColor="text1"/>
                <w:lang w:eastAsia="zh-CN"/>
                <w14:textFill>
                  <w14:solidFill>
                    <w14:schemeClr w14:val="tx1"/>
                  </w14:solidFill>
                </w14:textFill>
              </w:rPr>
            </w:pPr>
            <w:r>
              <w:rPr>
                <w:rFonts w:hint="eastAsia" w:ascii="宋体" w:hAnsi="宋体" w:eastAsia="宋体" w:cs="宋体"/>
                <w:b w:val="0"/>
                <w:bCs w:val="0"/>
                <w:color w:val="000000" w:themeColor="text1"/>
                <w14:textFill>
                  <w14:solidFill>
                    <w14:schemeClr w14:val="tx1"/>
                  </w14:solidFill>
                </w14:textFill>
              </w:rPr>
              <w:t>⑤</w:t>
            </w:r>
            <w:r>
              <w:rPr>
                <w:rFonts w:hint="eastAsia" w:ascii="宋体" w:hAnsi="宋体" w:cs="宋体"/>
                <w:b w:val="0"/>
                <w:bCs w:val="0"/>
                <w:color w:val="000000" w:themeColor="text1"/>
                <w:lang w:eastAsia="zh-CN"/>
                <w14:textFill>
                  <w14:solidFill>
                    <w14:schemeClr w14:val="tx1"/>
                  </w14:solidFill>
                </w14:textFill>
              </w:rPr>
              <w:t>项目施工结束后对临时占地进行平整恢复，并进行生态监测（调查），调</w:t>
            </w:r>
            <w:r>
              <w:rPr>
                <w:rFonts w:hint="default" w:ascii="Times New Roman" w:hAnsi="Times New Roman" w:cs="Times New Roman"/>
                <w:b w:val="0"/>
                <w:bCs w:val="0"/>
                <w:color w:val="000000" w:themeColor="text1"/>
                <w:lang w:eastAsia="zh-CN"/>
                <w14:textFill>
                  <w14:solidFill>
                    <w14:schemeClr w14:val="tx1"/>
                  </w14:solidFill>
                </w14:textFill>
              </w:rPr>
              <w:t>查施工迹地恢复情况。</w:t>
            </w:r>
          </w:p>
          <w:p w14:paraId="33E7669E">
            <w:pPr>
              <w:adjustRightInd w:val="0"/>
              <w:snapToGrid w:val="0"/>
              <w:spacing w:line="500" w:lineRule="exact"/>
              <w:ind w:firstLine="480" w:firstLineChars="200"/>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本项目施工期采取的生态保护措施</w:t>
            </w:r>
            <w:r>
              <w:rPr>
                <w:rFonts w:hint="default" w:ascii="Times New Roman" w:hAnsi="Times New Roman" w:cs="Times New Roman"/>
                <w:b w:val="0"/>
                <w:bCs w:val="0"/>
                <w:color w:val="000000" w:themeColor="text1"/>
                <w:lang w:eastAsia="zh-CN"/>
                <w14:textFill>
                  <w14:solidFill>
                    <w14:schemeClr w14:val="tx1"/>
                  </w14:solidFill>
                </w14:textFill>
              </w:rPr>
              <w:t>技术可行、经济合理、运行稳定</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lang w:eastAsia="zh-CN"/>
                <w14:textFill>
                  <w14:solidFill>
                    <w14:schemeClr w14:val="tx1"/>
                  </w14:solidFill>
                </w14:textFill>
              </w:rPr>
              <w:t>通过落实上述措施，本项目对周边生态环境</w:t>
            </w:r>
            <w:r>
              <w:rPr>
                <w:rFonts w:hint="eastAsia" w:cs="Times New Roman"/>
                <w:b w:val="0"/>
                <w:bCs w:val="0"/>
                <w:color w:val="000000" w:themeColor="text1"/>
                <w:lang w:val="en-US" w:eastAsia="zh-CN"/>
                <w14:textFill>
                  <w14:solidFill>
                    <w14:schemeClr w14:val="tx1"/>
                  </w14:solidFill>
                </w14:textFill>
              </w:rPr>
              <w:t>的</w:t>
            </w:r>
            <w:r>
              <w:rPr>
                <w:rFonts w:hint="default" w:ascii="Times New Roman" w:hAnsi="Times New Roman" w:cs="Times New Roman"/>
                <w:b w:val="0"/>
                <w:bCs w:val="0"/>
                <w:color w:val="000000" w:themeColor="text1"/>
                <w:lang w:eastAsia="zh-CN"/>
                <w14:textFill>
                  <w14:solidFill>
                    <w14:schemeClr w14:val="tx1"/>
                  </w14:solidFill>
                </w14:textFill>
              </w:rPr>
              <w:t>影响可得到有效减缓</w:t>
            </w:r>
            <w:r>
              <w:rPr>
                <w:rFonts w:hint="default" w:ascii="Times New Roman" w:hAnsi="Times New Roman" w:cs="Times New Roman"/>
                <w:b w:val="0"/>
                <w:bCs w:val="0"/>
                <w:color w:val="000000" w:themeColor="text1"/>
                <w:lang w:val="en-US" w:eastAsia="zh-CN"/>
                <w14:textFill>
                  <w14:solidFill>
                    <w14:schemeClr w14:val="tx1"/>
                  </w14:solidFill>
                </w14:textFill>
              </w:rPr>
              <w:t>。</w:t>
            </w:r>
          </w:p>
          <w:p w14:paraId="52A5054D">
            <w:pPr>
              <w:adjustRightInd w:val="0"/>
              <w:snapToGri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1.2优化占地</w:t>
            </w:r>
            <w:r>
              <w:rPr>
                <w:b/>
                <w:bCs/>
                <w:color w:val="000000" w:themeColor="text1"/>
                <w14:textFill>
                  <w14:solidFill>
                    <w14:schemeClr w14:val="tx1"/>
                  </w14:solidFill>
                </w14:textFill>
              </w:rPr>
              <w:t>措施</w:t>
            </w:r>
          </w:p>
          <w:p w14:paraId="7969A813">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（1）优化</w:t>
            </w:r>
            <w:r>
              <w:rPr>
                <w:color w:val="000000" w:themeColor="text1"/>
                <w14:textFill>
                  <w14:solidFill>
                    <w14:schemeClr w14:val="tx1"/>
                  </w14:solidFill>
                </w14:textFill>
              </w:rPr>
              <w:t>施工道路</w:t>
            </w:r>
            <w:r>
              <w:rPr>
                <w:rFonts w:hint="eastAsia"/>
                <w:color w:val="000000" w:themeColor="text1"/>
                <w14:textFill>
                  <w14:solidFill>
                    <w14:schemeClr w14:val="tx1"/>
                  </w14:solidFill>
                </w14:textFill>
              </w:rPr>
              <w:t>的布设</w:t>
            </w:r>
            <w:r>
              <w:rPr>
                <w:color w:val="000000" w:themeColor="text1"/>
                <w14:textFill>
                  <w14:solidFill>
                    <w14:schemeClr w14:val="tx1"/>
                  </w14:solidFill>
                </w14:textFill>
              </w:rPr>
              <w:t>，尽量以半挖半填方式施工，减少施工土石方量和弃</w:t>
            </w:r>
            <w:r>
              <w:rPr>
                <w:rFonts w:hint="eastAsia"/>
                <w:color w:val="000000" w:themeColor="text1"/>
                <w14:textFill>
                  <w14:solidFill>
                    <w14:schemeClr w14:val="tx1"/>
                  </w14:solidFill>
                </w14:textFill>
              </w:rPr>
              <w:t>土</w:t>
            </w:r>
            <w:r>
              <w:rPr>
                <w:color w:val="000000" w:themeColor="text1"/>
                <w14:textFill>
                  <w14:solidFill>
                    <w14:schemeClr w14:val="tx1"/>
                  </w14:solidFill>
                </w14:textFill>
              </w:rPr>
              <w:t>量，从而减少地面扰动面积。</w:t>
            </w:r>
          </w:p>
          <w:p w14:paraId="2255ACEF">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（2）设计过程中，</w:t>
            </w:r>
            <w:r>
              <w:rPr>
                <w:color w:val="000000" w:themeColor="text1"/>
                <w14:textFill>
                  <w14:solidFill>
                    <w14:schemeClr w14:val="tx1"/>
                  </w14:solidFill>
                </w14:textFill>
              </w:rPr>
              <w:t>优化临时占地</w:t>
            </w:r>
            <w:r>
              <w:rPr>
                <w:rFonts w:hint="eastAsia"/>
                <w:color w:val="000000" w:themeColor="text1"/>
                <w14:textFill>
                  <w14:solidFill>
                    <w14:schemeClr w14:val="tx1"/>
                  </w14:solidFill>
                </w14:textFill>
              </w:rPr>
              <w:t>面积</w:t>
            </w:r>
            <w:r>
              <w:rPr>
                <w:color w:val="000000" w:themeColor="text1"/>
                <w14:textFill>
                  <w14:solidFill>
                    <w14:schemeClr w14:val="tx1"/>
                  </w14:solidFill>
                </w14:textFill>
              </w:rPr>
              <w:t>，对临时占地区</w:t>
            </w:r>
            <w:r>
              <w:rPr>
                <w:rFonts w:hint="eastAsia"/>
                <w:color w:val="000000" w:themeColor="text1"/>
                <w:lang w:val="en-US" w:eastAsia="zh-CN"/>
                <w14:textFill>
                  <w14:solidFill>
                    <w14:schemeClr w14:val="tx1"/>
                  </w14:solidFill>
                </w14:textFill>
              </w:rPr>
              <w:t>可</w:t>
            </w:r>
            <w:r>
              <w:rPr>
                <w:color w:val="000000" w:themeColor="text1"/>
                <w14:textFill>
                  <w14:solidFill>
                    <w14:schemeClr w14:val="tx1"/>
                  </w14:solidFill>
                </w14:textFill>
              </w:rPr>
              <w:t>采取</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永临结合</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的方式，</w:t>
            </w:r>
            <w:r>
              <w:rPr>
                <w:rFonts w:hint="eastAsia"/>
                <w:color w:val="000000" w:themeColor="text1"/>
                <w:lang w:eastAsia="zh-CN"/>
                <w14:textFill>
                  <w14:solidFill>
                    <w14:schemeClr w14:val="tx1"/>
                  </w14:solidFill>
                </w14:textFill>
              </w:rPr>
              <w:t>尽量减少</w:t>
            </w:r>
            <w:r>
              <w:rPr>
                <w:color w:val="000000" w:themeColor="text1"/>
                <w14:textFill>
                  <w14:solidFill>
                    <w14:schemeClr w14:val="tx1"/>
                  </w14:solidFill>
                </w14:textFill>
              </w:rPr>
              <w:t>工程地面扰动面积</w:t>
            </w:r>
            <w:r>
              <w:rPr>
                <w:rFonts w:hint="eastAsia"/>
                <w:color w:val="000000" w:themeColor="text1"/>
                <w14:textFill>
                  <w14:solidFill>
                    <w14:schemeClr w14:val="tx1"/>
                  </w14:solidFill>
                </w14:textFill>
              </w:rPr>
              <w:t>，施工结束后对临时占地进行平整，自然恢复。</w:t>
            </w:r>
          </w:p>
          <w:p w14:paraId="2DE3236F">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优化施工时间，施工期应避免在大风天气施工，同时减少土石方的开挖，减少施工垃圾量的产生，及时清除多余的土方和</w:t>
            </w:r>
            <w:r>
              <w:rPr>
                <w:rFonts w:hint="eastAsia"/>
                <w:color w:val="000000" w:themeColor="text1"/>
                <w14:textFill>
                  <w14:solidFill>
                    <w14:schemeClr w14:val="tx1"/>
                  </w14:solidFill>
                </w14:textFill>
              </w:rPr>
              <w:t>物</w:t>
            </w:r>
            <w:r>
              <w:rPr>
                <w:color w:val="000000" w:themeColor="text1"/>
                <w14:textFill>
                  <w14:solidFill>
                    <w14:schemeClr w14:val="tx1"/>
                  </w14:solidFill>
                </w14:textFill>
              </w:rPr>
              <w:t>料，减少地面的压占，同时</w:t>
            </w:r>
            <w:r>
              <w:rPr>
                <w:rFonts w:hint="eastAsia"/>
                <w:color w:val="000000" w:themeColor="text1"/>
                <w14:textFill>
                  <w14:solidFill>
                    <w14:schemeClr w14:val="tx1"/>
                  </w14:solidFill>
                </w14:textFill>
              </w:rPr>
              <w:t>对临时堆方</w:t>
            </w:r>
            <w:r>
              <w:rPr>
                <w:color w:val="000000" w:themeColor="text1"/>
                <w14:textFill>
                  <w14:solidFill>
                    <w14:schemeClr w14:val="tx1"/>
                  </w14:solidFill>
                </w14:textFill>
              </w:rPr>
              <w:t>采取</w:t>
            </w:r>
            <w:r>
              <w:rPr>
                <w:rFonts w:hint="eastAsia"/>
                <w:color w:val="000000" w:themeColor="text1"/>
                <w14:textFill>
                  <w14:solidFill>
                    <w14:schemeClr w14:val="tx1"/>
                  </w14:solidFill>
                </w14:textFill>
              </w:rPr>
              <w:t>遮盖</w:t>
            </w:r>
            <w:r>
              <w:rPr>
                <w:color w:val="000000" w:themeColor="text1"/>
                <w14:textFill>
                  <w14:solidFill>
                    <w14:schemeClr w14:val="tx1"/>
                  </w14:solidFill>
                </w14:textFill>
              </w:rPr>
              <w:t>等防护措施，避免水土流失。</w:t>
            </w:r>
          </w:p>
          <w:p w14:paraId="0E6E7113">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加强施工监理，施工活动要保证在征地红线范围内进行，禁止施工人员越线施工。</w:t>
            </w:r>
          </w:p>
          <w:p w14:paraId="54C48B41">
            <w:pPr>
              <w:adjustRightInd w:val="0"/>
              <w:snapToGrid w:val="0"/>
              <w:spacing w:line="500" w:lineRule="exact"/>
              <w:ind w:firstLine="482" w:firstLineChars="200"/>
              <w:rPr>
                <w:rFonts w:hint="default"/>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1.3临时占地生态恢复措施</w:t>
            </w:r>
          </w:p>
          <w:p w14:paraId="268AC837">
            <w:pPr>
              <w:adjustRightInd w:val="0"/>
              <w:snapToGrid w:val="0"/>
              <w:spacing w:line="500" w:lineRule="exact"/>
              <w:ind w:firstLine="480" w:firstLineChars="200"/>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施工结束后，首先要拆除临时建筑，清理施工遗留的建筑垃圾、废弃材料等。对于硬化地面的水泥块，可以使用破碎设备将其破碎成较小的碎片，进行处理。杂物清理完成后，对土地进行平整、改良，选择适合</w:t>
            </w:r>
            <w:r>
              <w:rPr>
                <w:rFonts w:hint="eastAsia"/>
                <w:color w:val="000000" w:themeColor="text1"/>
                <w:lang w:val="en-US" w:eastAsia="zh-CN"/>
                <w14:textFill>
                  <w14:solidFill>
                    <w14:schemeClr w14:val="tx1"/>
                  </w14:solidFill>
                </w14:textFill>
              </w:rPr>
              <w:t>区域</w:t>
            </w:r>
            <w:r>
              <w:rPr>
                <w:rFonts w:hint="eastAsia"/>
                <w:color w:val="000000" w:themeColor="text1"/>
                <w:lang w:eastAsia="zh-CN"/>
                <w14:textFill>
                  <w14:solidFill>
                    <w14:schemeClr w14:val="tx1"/>
                  </w14:solidFill>
                </w14:textFill>
              </w:rPr>
              <w:t>环境的植物进行防风固沙。</w:t>
            </w:r>
          </w:p>
          <w:p w14:paraId="3D088AD1">
            <w:pPr>
              <w:autoSpaceDE w:val="0"/>
              <w:autoSpaceDN w:val="0"/>
              <w:adjustRightInd w:val="0"/>
              <w:snapToGrid w:val="0"/>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w:t>
            </w:r>
            <w:r>
              <w:rPr>
                <w:rFonts w:hint="eastAsia"/>
                <w:b/>
                <w:bCs/>
                <w:color w:val="000000" w:themeColor="text1"/>
                <w:lang w:val="en-US" w:eastAsia="zh-CN"/>
                <w14:textFill>
                  <w14:solidFill>
                    <w14:schemeClr w14:val="tx1"/>
                  </w14:solidFill>
                </w14:textFill>
              </w:rPr>
              <w:t>4</w:t>
            </w:r>
            <w:r>
              <w:rPr>
                <w:rFonts w:hint="eastAsia"/>
                <w:b/>
                <w:bCs/>
                <w:color w:val="000000" w:themeColor="text1"/>
                <w14:textFill>
                  <w14:solidFill>
                    <w14:schemeClr w14:val="tx1"/>
                  </w14:solidFill>
                </w14:textFill>
              </w:rPr>
              <w:t>野生植被保护措施</w:t>
            </w:r>
          </w:p>
          <w:p w14:paraId="39311DCE">
            <w:pPr>
              <w:autoSpaceDE w:val="0"/>
              <w:autoSpaceDN w:val="0"/>
              <w:adjustRightInd w:val="0"/>
              <w:snapToGrid w:val="0"/>
              <w:ind w:firstLine="48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）施工活动严格控制在征地范围内、作业区四周设置彩带、控制施工范围，尽可能减少对周围土地的破坏。</w:t>
            </w:r>
          </w:p>
          <w:p w14:paraId="0453F24C">
            <w:pPr>
              <w:autoSpaceDE w:val="0"/>
              <w:autoSpaceDN w:val="0"/>
              <w:adjustRightInd w:val="0"/>
              <w:snapToGrid w:val="0"/>
              <w:ind w:firstLine="48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开挖施工</w:t>
            </w:r>
            <w:r>
              <w:rPr>
                <w:rFonts w:hint="eastAsia"/>
                <w:color w:val="000000" w:themeColor="text1"/>
                <w:lang w:eastAsia="zh-CN"/>
                <w14:textFill>
                  <w14:solidFill>
                    <w14:schemeClr w14:val="tx1"/>
                  </w14:solidFill>
                </w14:textFill>
              </w:rPr>
              <w:t>做到“分层开挖、分层堆放、分层回填”。挖方时将植被</w:t>
            </w:r>
            <w:r>
              <w:rPr>
                <w:rFonts w:hint="eastAsia"/>
                <w:color w:val="000000" w:themeColor="text1"/>
                <w:lang w:val="en-US" w:eastAsia="zh-CN"/>
                <w14:textFill>
                  <w14:solidFill>
                    <w14:schemeClr w14:val="tx1"/>
                  </w14:solidFill>
                </w14:textFill>
              </w:rPr>
              <w:t>根系</w:t>
            </w:r>
            <w:r>
              <w:rPr>
                <w:rFonts w:hint="eastAsia"/>
                <w:color w:val="000000" w:themeColor="text1"/>
                <w:lang w:eastAsia="zh-CN"/>
                <w14:textFill>
                  <w14:solidFill>
                    <w14:schemeClr w14:val="tx1"/>
                  </w14:solidFill>
                </w14:textFill>
              </w:rPr>
              <w:t>与表层土壤进行整块挖掘，尽量不破坏植物的根系和表层土壤物理性质，在基础回填时，将带有植被</w:t>
            </w:r>
            <w:r>
              <w:rPr>
                <w:rFonts w:hint="eastAsia"/>
                <w:color w:val="000000" w:themeColor="text1"/>
                <w:lang w:val="en-US" w:eastAsia="zh-CN"/>
                <w14:textFill>
                  <w14:solidFill>
                    <w14:schemeClr w14:val="tx1"/>
                  </w14:solidFill>
                </w14:textFill>
              </w:rPr>
              <w:t>根系</w:t>
            </w:r>
            <w:r>
              <w:rPr>
                <w:rFonts w:hint="eastAsia"/>
                <w:color w:val="000000" w:themeColor="text1"/>
                <w:lang w:eastAsia="zh-CN"/>
                <w14:textFill>
                  <w14:solidFill>
                    <w14:schemeClr w14:val="tx1"/>
                  </w14:solidFill>
                </w14:textFill>
              </w:rPr>
              <w:t>的表层土壤</w:t>
            </w:r>
            <w:r>
              <w:rPr>
                <w:rFonts w:hint="eastAsia"/>
                <w:color w:val="000000" w:themeColor="text1"/>
                <w:lang w:val="en-US" w:eastAsia="zh-CN"/>
                <w14:textFill>
                  <w14:solidFill>
                    <w14:schemeClr w14:val="tx1"/>
                  </w14:solidFill>
                </w14:textFill>
              </w:rPr>
              <w:t>回填</w:t>
            </w:r>
            <w:r>
              <w:rPr>
                <w:rFonts w:hint="eastAsia"/>
                <w:color w:val="000000" w:themeColor="text1"/>
                <w:lang w:eastAsia="zh-CN"/>
                <w14:textFill>
                  <w14:solidFill>
                    <w14:schemeClr w14:val="tx1"/>
                  </w14:solidFill>
                </w14:textFill>
              </w:rPr>
              <w:t>。</w:t>
            </w:r>
          </w:p>
          <w:p w14:paraId="2E079954">
            <w:pPr>
              <w:autoSpaceDE w:val="0"/>
              <w:autoSpaceDN w:val="0"/>
              <w:adjustRightInd w:val="0"/>
              <w:snapToGrid w:val="0"/>
              <w:ind w:firstLine="48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）施工时应在工期安排上合理有序，先设置围栏措施，后进行工程建设，尽量减少对地表和植被的破坏。</w:t>
            </w:r>
          </w:p>
          <w:p w14:paraId="1CC3D5C7">
            <w:pPr>
              <w:autoSpaceDE w:val="0"/>
              <w:autoSpaceDN w:val="0"/>
              <w:adjustRightInd w:val="0"/>
              <w:snapToGrid w:val="0"/>
              <w:ind w:firstLine="48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lang w:eastAsia="zh-CN"/>
                <w14:textFill>
                  <w14:solidFill>
                    <w14:schemeClr w14:val="tx1"/>
                  </w14:solidFill>
                </w14:textFill>
              </w:rPr>
              <w:t>）施工结束后在</w:t>
            </w:r>
            <w:r>
              <w:rPr>
                <w:rFonts w:hint="eastAsia"/>
                <w:color w:val="000000" w:themeColor="text1"/>
                <w:lang w:val="en-US" w:eastAsia="zh-CN"/>
                <w14:textFill>
                  <w14:solidFill>
                    <w14:schemeClr w14:val="tx1"/>
                  </w14:solidFill>
                </w14:textFill>
              </w:rPr>
              <w:t>升压汇集站</w:t>
            </w:r>
            <w:r>
              <w:rPr>
                <w:rFonts w:hint="eastAsia"/>
                <w:color w:val="000000" w:themeColor="text1"/>
                <w:lang w:eastAsia="zh-CN"/>
                <w14:textFill>
                  <w14:solidFill>
                    <w14:schemeClr w14:val="tx1"/>
                  </w14:solidFill>
                </w14:textFill>
              </w:rPr>
              <w:t>站内</w:t>
            </w:r>
            <w:r>
              <w:rPr>
                <w:rFonts w:hint="eastAsia"/>
                <w:color w:val="000000" w:themeColor="text1"/>
                <w:lang w:val="en-US" w:eastAsia="zh-CN"/>
                <w14:textFill>
                  <w14:solidFill>
                    <w14:schemeClr w14:val="tx1"/>
                  </w14:solidFill>
                </w14:textFill>
              </w:rPr>
              <w:t>办公生活区</w:t>
            </w:r>
            <w:r>
              <w:rPr>
                <w:rFonts w:hint="eastAsia"/>
                <w:color w:val="000000" w:themeColor="text1"/>
                <w:lang w:eastAsia="zh-CN"/>
                <w14:textFill>
                  <w14:solidFill>
                    <w14:schemeClr w14:val="tx1"/>
                  </w14:solidFill>
                </w14:textFill>
              </w:rPr>
              <w:t>进行绿化。</w:t>
            </w:r>
          </w:p>
          <w:p w14:paraId="3F4FE612">
            <w:pPr>
              <w:autoSpaceDE w:val="0"/>
              <w:autoSpaceDN w:val="0"/>
              <w:adjustRightInd w:val="0"/>
              <w:snapToGrid w:val="0"/>
              <w:ind w:firstLine="48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）施工结束后，对</w:t>
            </w:r>
            <w:r>
              <w:rPr>
                <w:rFonts w:hint="eastAsia"/>
                <w:color w:val="000000" w:themeColor="text1"/>
                <w:lang w:val="en-US" w:eastAsia="zh-CN"/>
                <w14:textFill>
                  <w14:solidFill>
                    <w14:schemeClr w14:val="tx1"/>
                  </w14:solidFill>
                </w14:textFill>
              </w:rPr>
              <w:t>临时占地</w:t>
            </w:r>
            <w:r>
              <w:rPr>
                <w:rFonts w:hint="eastAsia"/>
                <w:color w:val="000000" w:themeColor="text1"/>
                <w:lang w:eastAsia="zh-CN"/>
                <w14:textFill>
                  <w14:solidFill>
                    <w14:schemeClr w14:val="tx1"/>
                  </w14:solidFill>
                </w14:textFill>
              </w:rPr>
              <w:t>进行</w:t>
            </w:r>
            <w:r>
              <w:rPr>
                <w:rFonts w:hint="eastAsia"/>
                <w:color w:val="000000" w:themeColor="text1"/>
                <w:lang w:val="en-US" w:eastAsia="zh-CN"/>
                <w14:textFill>
                  <w14:solidFill>
                    <w14:schemeClr w14:val="tx1"/>
                  </w14:solidFill>
                </w14:textFill>
              </w:rPr>
              <w:t>清理、平整、自然</w:t>
            </w:r>
            <w:r>
              <w:rPr>
                <w:rFonts w:hint="eastAsia"/>
                <w:color w:val="000000" w:themeColor="text1"/>
                <w:lang w:eastAsia="zh-CN"/>
                <w14:textFill>
                  <w14:solidFill>
                    <w14:schemeClr w14:val="tx1"/>
                  </w14:solidFill>
                </w14:textFill>
              </w:rPr>
              <w:t>恢复。</w:t>
            </w:r>
          </w:p>
          <w:p w14:paraId="1804E611">
            <w:pPr>
              <w:autoSpaceDE w:val="0"/>
              <w:autoSpaceDN w:val="0"/>
              <w:adjustRightInd w:val="0"/>
              <w:snapToGrid w:val="0"/>
              <w:ind w:firstLine="48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）施工作业尽量选择在地表植被较少或无植被区域，尽量不清除地表植被，待施工结束后，对扰动区域适当洒水增湿，使其自然恢复，逐渐恢复为原有地貌。</w:t>
            </w:r>
          </w:p>
          <w:p w14:paraId="54CDE28D">
            <w:pPr>
              <w:autoSpaceDE w:val="0"/>
              <w:autoSpaceDN w:val="0"/>
              <w:adjustRightInd w:val="0"/>
              <w:snapToGrid w:val="0"/>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w:t>
            </w:r>
            <w:r>
              <w:rPr>
                <w:rFonts w:hint="eastAsia"/>
                <w:b/>
                <w:bCs/>
                <w:color w:val="000000" w:themeColor="text1"/>
                <w:lang w:val="en-US" w:eastAsia="zh-CN"/>
                <w14:textFill>
                  <w14:solidFill>
                    <w14:schemeClr w14:val="tx1"/>
                  </w14:solidFill>
                </w14:textFill>
              </w:rPr>
              <w:t>5</w:t>
            </w:r>
            <w:r>
              <w:rPr>
                <w:rFonts w:hint="eastAsia"/>
                <w:b/>
                <w:bCs/>
                <w:color w:val="000000" w:themeColor="text1"/>
                <w14:textFill>
                  <w14:solidFill>
                    <w14:schemeClr w14:val="tx1"/>
                  </w14:solidFill>
                </w14:textFill>
              </w:rPr>
              <w:t>野生动物保护措施</w:t>
            </w:r>
          </w:p>
          <w:p w14:paraId="18FCB23A">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（1）施工前对施工人员进行宣传和教育，严禁发生捕捉伤害野生动物的行为，</w:t>
            </w:r>
            <w:r>
              <w:rPr>
                <w:rFonts w:hint="eastAsia"/>
                <w:color w:val="000000" w:themeColor="text1"/>
                <w:lang w:eastAsia="zh-CN"/>
                <w14:textFill>
                  <w14:solidFill>
                    <w14:schemeClr w14:val="tx1"/>
                  </w14:solidFill>
                </w14:textFill>
              </w:rPr>
              <w:t>增强</w:t>
            </w:r>
            <w:r>
              <w:rPr>
                <w:rFonts w:hint="eastAsia"/>
                <w:color w:val="000000" w:themeColor="text1"/>
                <w14:textFill>
                  <w14:solidFill>
                    <w14:schemeClr w14:val="tx1"/>
                  </w14:solidFill>
                </w14:textFill>
              </w:rPr>
              <w:t>保护野生动物的意识。</w:t>
            </w:r>
          </w:p>
          <w:p w14:paraId="3775BA15">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（2）项目施工道路选线时应尽量避让区域内野生动物的巢穴。</w:t>
            </w:r>
          </w:p>
          <w:p w14:paraId="3ADB88BD">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（3）优选施工时间，在不影响工程进度的前提下，尽量避开野生动物活动的高峰时段。</w:t>
            </w:r>
          </w:p>
          <w:p w14:paraId="376FA1EE">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（4）选用低噪声的施工设备及工艺，施工活动主要集中在白天进行。在施工过程中若发现野生动物活动，应进行避让和保护，以防影响野生动物的栖息。</w:t>
            </w:r>
          </w:p>
          <w:p w14:paraId="7411814F">
            <w:pPr>
              <w:autoSpaceDE w:val="0"/>
              <w:autoSpaceDN w:val="0"/>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（5）严格划定施工范围，严禁越界施工，严禁施工人员进入非施工区域或从事与施工活动无关的活动，特别是要杜绝捕杀、伤害、惊吓、袭击动物等行为。</w:t>
            </w:r>
          </w:p>
          <w:p w14:paraId="0E76555C">
            <w:pPr>
              <w:adjustRightInd w:val="0"/>
              <w:snapToGri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1.</w:t>
            </w:r>
            <w:r>
              <w:rPr>
                <w:rFonts w:hint="eastAsia"/>
                <w:b/>
                <w:bCs/>
                <w:color w:val="000000" w:themeColor="text1"/>
                <w:lang w:val="en-US" w:eastAsia="zh-CN"/>
                <w14:textFill>
                  <w14:solidFill>
                    <w14:schemeClr w14:val="tx1"/>
                  </w14:solidFill>
                </w14:textFill>
              </w:rPr>
              <w:t>6</w:t>
            </w:r>
            <w:r>
              <w:rPr>
                <w:b/>
                <w:bCs/>
                <w:color w:val="000000" w:themeColor="text1"/>
                <w14:textFill>
                  <w14:solidFill>
                    <w14:schemeClr w14:val="tx1"/>
                  </w14:solidFill>
                </w14:textFill>
              </w:rPr>
              <w:t>水土保持措施</w:t>
            </w:r>
          </w:p>
          <w:p w14:paraId="0AD83D5D">
            <w:pPr>
              <w:autoSpaceDE w:val="0"/>
              <w:autoSpaceDN w:val="0"/>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水土流失防治措施主要采用工程措施、植物措施、临时措施和管理措施相结合的综合防护措施，在时间上、空间上形成水土保持措施体系。</w:t>
            </w:r>
          </w:p>
          <w:p w14:paraId="6574C8F1">
            <w:pPr>
              <w:autoSpaceDE w:val="0"/>
              <w:autoSpaceDN w:val="0"/>
              <w:adjustRightInd w:val="0"/>
              <w:snapToGrid w:val="0"/>
              <w:ind w:firstLine="480" w:firstLineChars="200"/>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强化生态环境保护意识，对施工人员进行</w:t>
            </w:r>
            <w:r>
              <w:rPr>
                <w:rFonts w:hint="eastAsia"/>
                <w:color w:val="000000" w:themeColor="text1"/>
                <w:lang w:val="en-US" w:eastAsia="zh-CN"/>
                <w14:textFill>
                  <w14:solidFill>
                    <w14:schemeClr w14:val="tx1"/>
                  </w14:solidFill>
                </w14:textFill>
              </w:rPr>
              <w:t>生态</w:t>
            </w:r>
            <w:r>
              <w:rPr>
                <w:rFonts w:hint="eastAsia"/>
                <w:color w:val="000000" w:themeColor="text1"/>
                <w14:textFill>
                  <w14:solidFill>
                    <w14:schemeClr w14:val="tx1"/>
                  </w14:solidFill>
                </w14:textFill>
              </w:rPr>
              <w:t>环境保护知识教育</w:t>
            </w:r>
            <w:r>
              <w:rPr>
                <w:rFonts w:hint="eastAsia"/>
                <w:color w:val="000000" w:themeColor="text1"/>
                <w:lang w:eastAsia="zh-CN"/>
                <w14:textFill>
                  <w14:solidFill>
                    <w14:schemeClr w14:val="tx1"/>
                  </w14:solidFill>
                </w14:textFill>
              </w:rPr>
              <w:t>；</w:t>
            </w:r>
          </w:p>
          <w:p w14:paraId="08724F7D">
            <w:pPr>
              <w:autoSpaceDE w:val="0"/>
              <w:autoSpaceDN w:val="0"/>
              <w:adjustRightInd w:val="0"/>
              <w:snapToGrid w:val="0"/>
              <w:ind w:firstLine="48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采取尽量减少占地、控制施工范围、减少扰动面积、分层开挖分层回填、减少地表开挖裸露时间、避开大风天气施工、</w:t>
            </w:r>
            <w:r>
              <w:rPr>
                <w:rFonts w:hint="eastAsia"/>
                <w:color w:val="000000" w:themeColor="text1"/>
                <w:lang w:val="en-US" w:eastAsia="zh-CN"/>
                <w14:textFill>
                  <w14:solidFill>
                    <w14:schemeClr w14:val="tx1"/>
                  </w14:solidFill>
                </w14:textFill>
              </w:rPr>
              <w:t>尽快</w:t>
            </w:r>
            <w:r>
              <w:rPr>
                <w:rFonts w:hint="eastAsia"/>
                <w:color w:val="000000" w:themeColor="text1"/>
                <w14:textFill>
                  <w14:solidFill>
                    <w14:schemeClr w14:val="tx1"/>
                  </w14:solidFill>
                </w14:textFill>
              </w:rPr>
              <w:t>进行迹地恢复等措施；</w:t>
            </w:r>
          </w:p>
          <w:p w14:paraId="588B2ED0">
            <w:pPr>
              <w:autoSpaceDE w:val="0"/>
              <w:autoSpaceDN w:val="0"/>
              <w:adjustRightInd w:val="0"/>
              <w:snapToGrid w:val="0"/>
              <w:ind w:firstLine="48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做到土石方平衡，减少弃土弃渣的产生，减少水土流失；</w:t>
            </w:r>
          </w:p>
          <w:p w14:paraId="6E659DAF">
            <w:pPr>
              <w:autoSpaceDE w:val="0"/>
              <w:autoSpaceDN w:val="0"/>
              <w:adjustRightInd w:val="0"/>
              <w:snapToGrid w:val="0"/>
              <w:ind w:firstLine="48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采取挡土墙、护坡、护面、排水沟等防护措施，剥离的表土和开挖出的土石方采取四周拦挡，下铺上盖等挡护及苫盖措施妥善堆放。</w:t>
            </w:r>
          </w:p>
          <w:p w14:paraId="4CE91865">
            <w:pPr>
              <w:autoSpaceDE w:val="0"/>
              <w:autoSpaceDN w:val="0"/>
              <w:adjustRightInd w:val="0"/>
              <w:snapToGrid w:val="0"/>
              <w:ind w:firstLine="48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对完工的裸露地面要尽早平整，及时</w:t>
            </w:r>
            <w:r>
              <w:rPr>
                <w:rFonts w:hint="eastAsia"/>
                <w:color w:val="000000" w:themeColor="text1"/>
                <w:lang w:val="en-US" w:eastAsia="zh-CN"/>
                <w14:textFill>
                  <w14:solidFill>
                    <w14:schemeClr w14:val="tx1"/>
                  </w14:solidFill>
                </w14:textFill>
              </w:rPr>
              <w:t>对升压汇集站办公生活区进行</w:t>
            </w:r>
            <w:r>
              <w:rPr>
                <w:rFonts w:hint="eastAsia"/>
                <w:color w:val="000000" w:themeColor="text1"/>
                <w14:textFill>
                  <w14:solidFill>
                    <w14:schemeClr w14:val="tx1"/>
                  </w14:solidFill>
                </w14:textFill>
              </w:rPr>
              <w:t>绿化。</w:t>
            </w:r>
          </w:p>
          <w:p w14:paraId="72B84E6D">
            <w:pPr>
              <w:autoSpaceDE w:val="0"/>
              <w:autoSpaceDN w:val="0"/>
              <w:adjustRightInd w:val="0"/>
              <w:snapToGrid w:val="0"/>
              <w:ind w:firstLine="48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严格控制施工人员、施工机械的范围，严禁随意扩大扰动范围。</w:t>
            </w:r>
          </w:p>
          <w:p w14:paraId="01D95134">
            <w:pPr>
              <w:autoSpaceDE w:val="0"/>
              <w:autoSpaceDN w:val="0"/>
              <w:adjustRightInd w:val="0"/>
              <w:snapToGrid w:val="0"/>
              <w:ind w:firstLine="48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尽量减少大型机械施工，基坑开挖后，尽快浇筑混凝土，并及时回填，对表层进行碾压，缩短裸露时间，减少扬尘发生。</w:t>
            </w:r>
          </w:p>
          <w:p w14:paraId="6D64931F">
            <w:pPr>
              <w:autoSpaceDE w:val="0"/>
              <w:autoSpaceDN w:val="0"/>
              <w:adjustRightInd w:val="0"/>
              <w:snapToGrid w:val="0"/>
              <w:ind w:firstLine="480" w:firstLine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（8）项目施工过程中和施工结束后，及时对施工场地进行平整，采取水土保持措施。</w:t>
            </w:r>
          </w:p>
          <w:p w14:paraId="02C4DD20">
            <w:pPr>
              <w:autoSpaceDE w:val="0"/>
              <w:autoSpaceDN w:val="0"/>
              <w:adjustRightInd w:val="0"/>
              <w:snapToGrid w:val="0"/>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通过落实上述措施，本项目对周边生态环境影响和项目建设所带来的水土流失可得到有效减缓。</w:t>
            </w:r>
          </w:p>
          <w:p w14:paraId="3D2CE693">
            <w:pPr>
              <w:adjustRightInd w:val="0"/>
              <w:snapToGrid w:val="0"/>
              <w:spacing w:line="500" w:lineRule="exact"/>
              <w:ind w:firstLine="482" w:firstLineChars="200"/>
              <w:rPr>
                <w:b/>
                <w:color w:val="000000" w:themeColor="text1"/>
                <w14:textFill>
                  <w14:solidFill>
                    <w14:schemeClr w14:val="tx1"/>
                  </w14:solidFill>
                </w14:textFill>
              </w:rPr>
            </w:pPr>
            <w:r>
              <w:rPr>
                <w:rFonts w:hint="eastAsia"/>
                <w:b/>
                <w:color w:val="000000" w:themeColor="text1"/>
                <w14:textFill>
                  <w14:solidFill>
                    <w14:schemeClr w14:val="tx1"/>
                  </w14:solidFill>
                </w14:textFill>
              </w:rPr>
              <w:t>1.</w:t>
            </w:r>
            <w:r>
              <w:rPr>
                <w:rFonts w:hint="eastAsia"/>
                <w:b/>
                <w:color w:val="000000" w:themeColor="text1"/>
                <w:lang w:val="en-US" w:eastAsia="zh-CN"/>
                <w14:textFill>
                  <w14:solidFill>
                    <w14:schemeClr w14:val="tx1"/>
                  </w14:solidFill>
                </w14:textFill>
              </w:rPr>
              <w:t>7</w:t>
            </w:r>
            <w:r>
              <w:rPr>
                <w:rFonts w:hint="eastAsia"/>
                <w:b/>
                <w:color w:val="000000" w:themeColor="text1"/>
                <w14:textFill>
                  <w14:solidFill>
                    <w14:schemeClr w14:val="tx1"/>
                  </w14:solidFill>
                </w14:textFill>
              </w:rPr>
              <w:t>防沙治沙措施</w:t>
            </w:r>
          </w:p>
          <w:p w14:paraId="78738E52">
            <w:pPr>
              <w:widowControl/>
              <w:spacing w:line="520" w:lineRule="exact"/>
              <w:ind w:firstLine="480" w:firstLineChars="200"/>
              <w:jc w:val="left"/>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（1）施工中严格</w:t>
            </w:r>
            <w:r>
              <w:rPr>
                <w:rFonts w:hint="eastAsia"/>
                <w:color w:val="000000" w:themeColor="text1"/>
                <w14:textFill>
                  <w14:solidFill>
                    <w14:schemeClr w14:val="tx1"/>
                  </w14:solidFill>
                </w14:textFill>
              </w:rPr>
              <w:t>控制施工</w:t>
            </w:r>
            <w:r>
              <w:rPr>
                <w:color w:val="000000" w:themeColor="text1"/>
                <w14:textFill>
                  <w14:solidFill>
                    <w14:schemeClr w14:val="tx1"/>
                  </w14:solidFill>
                </w14:textFill>
              </w:rPr>
              <w:t>作业区范围，减少对沙地的扰动</w:t>
            </w:r>
            <w:r>
              <w:rPr>
                <w:rFonts w:hint="eastAsia"/>
                <w:color w:val="000000" w:themeColor="text1"/>
                <w:lang w:eastAsia="zh-CN"/>
                <w14:textFill>
                  <w14:solidFill>
                    <w14:schemeClr w14:val="tx1"/>
                  </w14:solidFill>
                </w14:textFill>
              </w:rPr>
              <w:t>。</w:t>
            </w:r>
          </w:p>
          <w:p w14:paraId="3E99D33B">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lang w:eastAsia="zh-CN"/>
                <w14:textFill>
                  <w14:solidFill>
                    <w14:schemeClr w14:val="tx1"/>
                  </w14:solidFill>
                </w14:textFill>
              </w:rPr>
              <w:t>项目</w:t>
            </w:r>
            <w:r>
              <w:rPr>
                <w:rFonts w:hint="eastAsia"/>
                <w:color w:val="000000" w:themeColor="text1"/>
                <w:lang w:val="en-US" w:eastAsia="zh-CN"/>
                <w14:textFill>
                  <w14:solidFill>
                    <w14:schemeClr w14:val="tx1"/>
                  </w14:solidFill>
                </w14:textFill>
              </w:rPr>
              <w:t>线路塔基周围</w:t>
            </w:r>
            <w:r>
              <w:rPr>
                <w:rFonts w:hint="eastAsia"/>
                <w:color w:val="000000" w:themeColor="text1"/>
                <w:lang w:eastAsia="zh-CN"/>
                <w14:textFill>
                  <w14:solidFill>
                    <w14:schemeClr w14:val="tx1"/>
                  </w14:solidFill>
                </w14:textFill>
              </w:rPr>
              <w:t>采取草方格固沙。</w:t>
            </w:r>
          </w:p>
          <w:p w14:paraId="56131552">
            <w:pPr>
              <w:adjustRightInd w:val="0"/>
              <w:snapToGrid w:val="0"/>
              <w:spacing w:line="500" w:lineRule="exact"/>
              <w:ind w:firstLine="480" w:firstLineChars="200"/>
              <w:rPr>
                <w:bCs/>
                <w:color w:val="000000" w:themeColor="text1"/>
                <w14:textFill>
                  <w14:solidFill>
                    <w14:schemeClr w14:val="tx1"/>
                  </w14:solidFill>
                </w14:textFill>
              </w:rPr>
            </w:pPr>
            <w:r>
              <w:rPr>
                <w:rFonts w:hint="eastAsia"/>
                <w:bCs/>
                <w:color w:val="000000" w:themeColor="text1"/>
                <w:lang w:eastAsia="zh-CN"/>
                <w14:textFill>
                  <w14:solidFill>
                    <w14:schemeClr w14:val="tx1"/>
                  </w14:solidFill>
                </w14:textFill>
              </w:rPr>
              <w:t>（</w:t>
            </w:r>
            <w:r>
              <w:rPr>
                <w:rFonts w:hint="eastAsia"/>
                <w:bCs/>
                <w:color w:val="000000" w:themeColor="text1"/>
                <w:lang w:val="en-US" w:eastAsia="zh-CN"/>
                <w14:textFill>
                  <w14:solidFill>
                    <w14:schemeClr w14:val="tx1"/>
                  </w14:solidFill>
                </w14:textFill>
              </w:rPr>
              <w:t>3</w:t>
            </w:r>
            <w:r>
              <w:rPr>
                <w:rFonts w:hint="eastAsia"/>
                <w:bCs/>
                <w:color w:val="000000" w:themeColor="text1"/>
                <w:lang w:eastAsia="zh-CN"/>
                <w14:textFill>
                  <w14:solidFill>
                    <w14:schemeClr w14:val="tx1"/>
                  </w14:solidFill>
                </w14:textFill>
              </w:rPr>
              <w:t>）</w:t>
            </w:r>
            <w:r>
              <w:rPr>
                <w:bCs/>
                <w:color w:val="000000" w:themeColor="text1"/>
                <w14:textFill>
                  <w14:solidFill>
                    <w14:schemeClr w14:val="tx1"/>
                  </w14:solidFill>
                </w14:textFill>
              </w:rPr>
              <w:t>土方及施工材料堆存过程中使用防尘网，并定期洒水抑尘。</w:t>
            </w:r>
          </w:p>
          <w:p w14:paraId="73D97ECA">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）严格划定车辆行驶路线及临时道路</w:t>
            </w:r>
            <w:r>
              <w:rPr>
                <w:rFonts w:hint="eastAsia"/>
                <w:color w:val="000000" w:themeColor="text1"/>
                <w14:textFill>
                  <w14:solidFill>
                    <w14:schemeClr w14:val="tx1"/>
                  </w14:solidFill>
                </w14:textFill>
              </w:rPr>
              <w:t>开辟</w:t>
            </w:r>
            <w:r>
              <w:rPr>
                <w:color w:val="000000" w:themeColor="text1"/>
                <w14:textFill>
                  <w14:solidFill>
                    <w14:schemeClr w14:val="tx1"/>
                  </w14:solidFill>
                </w14:textFill>
              </w:rPr>
              <w:t>路线，运输车辆在规定路线范围内行驶，禁止乱碾乱轧。</w:t>
            </w:r>
          </w:p>
          <w:p w14:paraId="6D7633F5">
            <w:pPr>
              <w:adjustRightInd w:val="0"/>
              <w:snapToGrid w:val="0"/>
              <w:spacing w:line="500" w:lineRule="exact"/>
              <w:ind w:firstLine="480" w:firstLineChars="200"/>
              <w:rPr>
                <w:bCs/>
                <w:color w:val="000000" w:themeColor="text1"/>
                <w14:textFill>
                  <w14:solidFill>
                    <w14:schemeClr w14:val="tx1"/>
                  </w14:solidFill>
                </w14:textFill>
              </w:rPr>
            </w:pP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5</w:t>
            </w:r>
            <w:r>
              <w:rPr>
                <w:color w:val="000000" w:themeColor="text1"/>
                <w14:textFill>
                  <w14:solidFill>
                    <w14:schemeClr w14:val="tx1"/>
                  </w14:solidFill>
                </w14:textFill>
              </w:rPr>
              <w:t>）项目施工时对临时占地进行压实，防止由于风蚀而产生土地沙化。</w:t>
            </w:r>
          </w:p>
          <w:p w14:paraId="659FB444">
            <w:pPr>
              <w:adjustRightInd w:val="0"/>
              <w:snapToGrid w:val="0"/>
              <w:spacing w:line="500" w:lineRule="exact"/>
              <w:ind w:firstLine="480" w:firstLineChars="200"/>
              <w:rPr>
                <w:bCs/>
                <w:color w:val="000000" w:themeColor="text1"/>
                <w14:textFill>
                  <w14:solidFill>
                    <w14:schemeClr w14:val="tx1"/>
                  </w14:solidFill>
                </w14:textFill>
              </w:rPr>
            </w:pPr>
            <w:r>
              <w:rPr>
                <w:bCs/>
                <w:color w:val="000000" w:themeColor="text1"/>
                <w14:textFill>
                  <w14:solidFill>
                    <w14:schemeClr w14:val="tx1"/>
                  </w14:solidFill>
                </w14:textFill>
              </w:rPr>
              <w:t>（</w:t>
            </w:r>
            <w:r>
              <w:rPr>
                <w:rFonts w:hint="eastAsia"/>
                <w:bCs/>
                <w:color w:val="000000" w:themeColor="text1"/>
                <w:lang w:val="en-US" w:eastAsia="zh-CN"/>
                <w14:textFill>
                  <w14:solidFill>
                    <w14:schemeClr w14:val="tx1"/>
                  </w14:solidFill>
                </w14:textFill>
              </w:rPr>
              <w:t>6</w:t>
            </w:r>
            <w:r>
              <w:rPr>
                <w:bCs/>
                <w:color w:val="000000" w:themeColor="text1"/>
                <w14:textFill>
                  <w14:solidFill>
                    <w14:schemeClr w14:val="tx1"/>
                  </w14:solidFill>
                </w14:textFill>
              </w:rPr>
              <w:t>）临时施工占地在施工结束后及时清理施工垃圾，对施工场地进行平整、压实。</w:t>
            </w:r>
          </w:p>
          <w:p w14:paraId="294E4B8E">
            <w:pPr>
              <w:adjustRightInd w:val="0"/>
              <w:snapToGrid w:val="0"/>
              <w:spacing w:line="500" w:lineRule="exact"/>
              <w:ind w:firstLine="480" w:firstLineChars="200"/>
              <w:rPr>
                <w:bCs/>
                <w:color w:val="000000" w:themeColor="text1"/>
                <w14:textFill>
                  <w14:solidFill>
                    <w14:schemeClr w14:val="tx1"/>
                  </w14:solidFill>
                </w14:textFill>
              </w:rPr>
            </w:pPr>
            <w:r>
              <w:rPr>
                <w:bCs/>
                <w:color w:val="000000" w:themeColor="text1"/>
                <w14:textFill>
                  <w14:solidFill>
                    <w14:schemeClr w14:val="tx1"/>
                  </w14:solidFill>
                </w14:textFill>
              </w:rPr>
              <w:t>采取以上措施后，可防止区域土地沙化加重，项目建设对区域内生态环境的</w:t>
            </w:r>
            <w:r>
              <w:rPr>
                <w:rFonts w:hint="eastAsia"/>
                <w:bCs/>
                <w:color w:val="000000" w:themeColor="text1"/>
                <w14:textFill>
                  <w14:solidFill>
                    <w14:schemeClr w14:val="tx1"/>
                  </w14:solidFill>
                </w14:textFill>
              </w:rPr>
              <w:t>影响较小。</w:t>
            </w:r>
          </w:p>
          <w:p w14:paraId="20656089">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14:textFill>
                  <w14:solidFill>
                    <w14:schemeClr w14:val="tx1"/>
                  </w14:solidFill>
                </w14:textFill>
              </w:rPr>
              <w:t>2.</w:t>
            </w:r>
            <w:r>
              <w:rPr>
                <w:b/>
                <w:color w:val="000000" w:themeColor="text1"/>
                <w14:textFill>
                  <w14:solidFill>
                    <w14:schemeClr w14:val="tx1"/>
                  </w14:solidFill>
                </w14:textFill>
              </w:rPr>
              <w:t>环境空气保护措施</w:t>
            </w:r>
          </w:p>
          <w:p w14:paraId="05F73F2B">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（1）所有建设施工均</w:t>
            </w:r>
            <w:r>
              <w:rPr>
                <w:rFonts w:hint="eastAsia"/>
                <w:color w:val="000000" w:themeColor="text1"/>
                <w:lang w:eastAsia="zh-CN"/>
                <w14:textFill>
                  <w14:solidFill>
                    <w14:schemeClr w14:val="tx1"/>
                  </w14:solidFill>
                </w14:textFill>
              </w:rPr>
              <w:t>由</w:t>
            </w:r>
            <w:r>
              <w:rPr>
                <w:color w:val="000000" w:themeColor="text1"/>
                <w14:textFill>
                  <w14:solidFill>
                    <w14:schemeClr w14:val="tx1"/>
                  </w14:solidFill>
                </w14:textFill>
              </w:rPr>
              <w:t>建设单位指定专人负责施工现场扬尘污染措施的实施和监督。</w:t>
            </w:r>
            <w:r>
              <w:rPr>
                <w:rFonts w:hint="eastAsia" w:ascii="Times New Roman" w:hAnsi="Times New Roman" w:eastAsia="宋体"/>
                <w:b w:val="0"/>
                <w:bCs/>
                <w:color w:val="000000" w:themeColor="text1"/>
                <w14:textFill>
                  <w14:solidFill>
                    <w14:schemeClr w14:val="tx1"/>
                  </w14:solidFill>
                </w14:textFill>
              </w:rPr>
              <w:t>220kV升压汇集站</w:t>
            </w:r>
            <w:r>
              <w:rPr>
                <w:color w:val="000000" w:themeColor="text1"/>
                <w14:textFill>
                  <w14:solidFill>
                    <w14:schemeClr w14:val="tx1"/>
                  </w14:solidFill>
                </w14:textFill>
              </w:rPr>
              <w:t>建设施工工地出入口必须设立环境保护监督牌。必须注明项目名称、建设单位、施工单位、防治扬尘污染现场监督员姓名和联系电话、项目工期、环保措施、举报电话等内容。</w:t>
            </w:r>
          </w:p>
          <w:p w14:paraId="3E082158">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ascii="Times New Roman" w:hAnsi="Times New Roman" w:eastAsia="宋体"/>
                <w:b w:val="0"/>
                <w:bCs/>
                <w:color w:val="000000" w:themeColor="text1"/>
                <w14:textFill>
                  <w14:solidFill>
                    <w14:schemeClr w14:val="tx1"/>
                  </w14:solidFill>
                </w14:textFill>
              </w:rPr>
              <w:t>220kV升压汇集站</w:t>
            </w:r>
            <w:r>
              <w:rPr>
                <w:color w:val="000000" w:themeColor="text1"/>
                <w14:textFill>
                  <w14:solidFill>
                    <w14:schemeClr w14:val="tx1"/>
                  </w14:solidFill>
                </w14:textFill>
              </w:rPr>
              <w:t>施工工地周边设置1.8m以上的硬质围墙或围挡，严禁敞开式作业。</w:t>
            </w:r>
          </w:p>
          <w:p w14:paraId="276C3365">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（3）施工</w:t>
            </w:r>
            <w:r>
              <w:rPr>
                <w:rFonts w:hint="eastAsia"/>
                <w:color w:val="000000" w:themeColor="text1"/>
                <w:lang w:eastAsia="zh-CN"/>
                <w14:textFill>
                  <w14:solidFill>
                    <w14:schemeClr w14:val="tx1"/>
                  </w14:solidFill>
                </w14:textFill>
              </w:rPr>
              <w:t>场地</w:t>
            </w:r>
            <w:r>
              <w:rPr>
                <w:color w:val="000000" w:themeColor="text1"/>
                <w14:textFill>
                  <w14:solidFill>
                    <w14:schemeClr w14:val="tx1"/>
                  </w14:solidFill>
                </w14:textFill>
              </w:rPr>
              <w:t>内堆放易产生扬尘污染物料的，必须覆盖；项目施工过程挖方临时堆存期间采取</w:t>
            </w:r>
            <w:r>
              <w:rPr>
                <w:bCs/>
                <w:color w:val="000000" w:themeColor="text1"/>
                <w14:textFill>
                  <w14:solidFill>
                    <w14:schemeClr w14:val="tx1"/>
                  </w14:solidFill>
                </w14:textFill>
              </w:rPr>
              <w:t>防尘网</w:t>
            </w:r>
            <w:r>
              <w:rPr>
                <w:rFonts w:hint="eastAsia"/>
                <w:bCs/>
                <w:color w:val="000000" w:themeColor="text1"/>
                <w14:textFill>
                  <w14:solidFill>
                    <w14:schemeClr w14:val="tx1"/>
                  </w14:solidFill>
                </w14:textFill>
              </w:rPr>
              <w:t>遮盖</w:t>
            </w:r>
            <w:r>
              <w:rPr>
                <w:color w:val="000000" w:themeColor="text1"/>
                <w14:textFill>
                  <w14:solidFill>
                    <w14:schemeClr w14:val="tx1"/>
                  </w14:solidFill>
                </w14:textFill>
              </w:rPr>
              <w:t>，待基地工程完工后及时回填；建筑垃圾在施工区堆存期间</w:t>
            </w:r>
            <w:r>
              <w:rPr>
                <w:rFonts w:hint="eastAsia"/>
                <w:color w:val="000000" w:themeColor="text1"/>
                <w14:textFill>
                  <w14:solidFill>
                    <w14:schemeClr w14:val="tx1"/>
                  </w14:solidFill>
                </w14:textFill>
              </w:rPr>
              <w:t>采取防尘网遮盖</w:t>
            </w:r>
            <w:r>
              <w:rPr>
                <w:color w:val="000000" w:themeColor="text1"/>
                <w14:textFill>
                  <w14:solidFill>
                    <w14:schemeClr w14:val="tx1"/>
                  </w14:solidFill>
                </w14:textFill>
              </w:rPr>
              <w:t>，需要外运的及时清运。</w:t>
            </w:r>
          </w:p>
          <w:p w14:paraId="5EBFCDCF">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（4）出入车辆百分之百冲洗。</w:t>
            </w:r>
            <w:r>
              <w:rPr>
                <w:rFonts w:hint="eastAsia" w:ascii="Times New Roman" w:hAnsi="Times New Roman" w:eastAsia="宋体"/>
                <w:b w:val="0"/>
                <w:bCs/>
                <w:color w:val="000000" w:themeColor="text1"/>
                <w14:textFill>
                  <w14:solidFill>
                    <w14:schemeClr w14:val="tx1"/>
                  </w14:solidFill>
                </w14:textFill>
              </w:rPr>
              <w:t>220kV升压汇集站</w:t>
            </w:r>
            <w:r>
              <w:rPr>
                <w:color w:val="000000" w:themeColor="text1"/>
                <w14:textFill>
                  <w14:solidFill>
                    <w14:schemeClr w14:val="tx1"/>
                  </w14:solidFill>
                </w14:textFill>
              </w:rPr>
              <w:t>施工工地现场出入口地面必须硬化处理并设置车辆冲洗台以及配套的排水、泥浆沉淀设施，冲洗设施到位；车辆在驶出工地前，应将车轮、车身冲洗干净，不得带泥上路。</w:t>
            </w:r>
          </w:p>
          <w:p w14:paraId="7BBCA83A">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（5）施工现场的</w:t>
            </w:r>
            <w:r>
              <w:rPr>
                <w:rFonts w:hint="eastAsia"/>
                <w:color w:val="000000" w:themeColor="text1"/>
                <w14:textFill>
                  <w14:solidFill>
                    <w14:schemeClr w14:val="tx1"/>
                  </w14:solidFill>
                </w14:textFill>
              </w:rPr>
              <w:t>施工区域及临时道路</w:t>
            </w:r>
            <w:r>
              <w:rPr>
                <w:color w:val="000000" w:themeColor="text1"/>
                <w14:textFill>
                  <w14:solidFill>
                    <w14:schemeClr w14:val="tx1"/>
                  </w14:solidFill>
                </w14:textFill>
              </w:rPr>
              <w:t>应</w:t>
            </w:r>
            <w:r>
              <w:rPr>
                <w:rFonts w:hint="eastAsia"/>
                <w:color w:val="000000" w:themeColor="text1"/>
                <w14:textFill>
                  <w14:solidFill>
                    <w14:schemeClr w14:val="tx1"/>
                  </w14:solidFill>
                </w14:textFill>
              </w:rPr>
              <w:t>平整压实</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并进行洒水抑尘</w:t>
            </w:r>
            <w:r>
              <w:rPr>
                <w:color w:val="000000" w:themeColor="text1"/>
                <w14:textFill>
                  <w14:solidFill>
                    <w14:schemeClr w14:val="tx1"/>
                  </w14:solidFill>
                </w14:textFill>
              </w:rPr>
              <w:t>。土方开挖阶段，应对施工现场辅以洒水等降尘措施。</w:t>
            </w:r>
          </w:p>
          <w:p w14:paraId="09099641">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（6）装载水泥、砂料等物料、渣土、垃圾的运输车辆，采用密闭车斗</w:t>
            </w:r>
            <w:r>
              <w:rPr>
                <w:rFonts w:hint="eastAsia"/>
                <w:color w:val="000000" w:themeColor="text1"/>
                <w14:textFill>
                  <w14:solidFill>
                    <w14:schemeClr w14:val="tx1"/>
                  </w14:solidFill>
                </w14:textFill>
              </w:rPr>
              <w:t>，加强施工车辆运行管理与维护保养</w:t>
            </w:r>
            <w:r>
              <w:rPr>
                <w:color w:val="000000" w:themeColor="text1"/>
                <w14:textFill>
                  <w14:solidFill>
                    <w14:schemeClr w14:val="tx1"/>
                  </w14:solidFill>
                </w14:textFill>
              </w:rPr>
              <w:t>。</w:t>
            </w:r>
          </w:p>
          <w:p w14:paraId="3A3C43B4">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（7）出现五级以上大风天气时，禁止进行土方和拆除施工等易产生扬尘污染的施工作业。</w:t>
            </w:r>
          </w:p>
          <w:p w14:paraId="3BF2EBAE">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（8）</w:t>
            </w:r>
            <w:r>
              <w:rPr>
                <w:rFonts w:hint="eastAsia"/>
                <w:color w:val="000000" w:themeColor="text1"/>
                <w14:textFill>
                  <w14:solidFill>
                    <w14:schemeClr w14:val="tx1"/>
                  </w14:solidFill>
                </w14:textFill>
              </w:rPr>
              <w:t>机械、车辆使用标准柴油，加强机械、车辆维护保养；</w:t>
            </w:r>
            <w:r>
              <w:rPr>
                <w:rFonts w:ascii="宋体" w:hAnsi="宋体" w:cs="宋体"/>
                <w:color w:val="000000" w:themeColor="text1"/>
                <w14:textFill>
                  <w14:solidFill>
                    <w14:schemeClr w14:val="tx1"/>
                  </w14:solidFill>
                </w14:textFill>
              </w:rPr>
              <w:t>应采用低尘低毒焊条，以降低烟尘浓度和毒性。</w:t>
            </w:r>
          </w:p>
          <w:p w14:paraId="50DB6BAA">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（9）施工结</w:t>
            </w:r>
            <w:r>
              <w:rPr>
                <w:rFonts w:hint="eastAsia"/>
                <w:color w:val="000000" w:themeColor="text1"/>
                <w:lang w:eastAsia="zh-CN"/>
                <w14:textFill>
                  <w14:solidFill>
                    <w14:schemeClr w14:val="tx1"/>
                  </w14:solidFill>
                </w14:textFill>
              </w:rPr>
              <w:t>束后</w:t>
            </w:r>
            <w:r>
              <w:rPr>
                <w:color w:val="000000" w:themeColor="text1"/>
                <w14:textFill>
                  <w14:solidFill>
                    <w14:schemeClr w14:val="tx1"/>
                  </w14:solidFill>
                </w14:textFill>
              </w:rPr>
              <w:t>，及时进行土地整治，减少裸露地表面积，降低扬尘产生的概率。</w:t>
            </w:r>
          </w:p>
          <w:p w14:paraId="26F760F1">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14:textFill>
                  <w14:solidFill>
                    <w14:schemeClr w14:val="tx1"/>
                  </w14:solidFill>
                </w14:textFill>
              </w:rPr>
              <w:t>3.</w:t>
            </w:r>
            <w:r>
              <w:rPr>
                <w:b/>
                <w:color w:val="000000" w:themeColor="text1"/>
                <w14:textFill>
                  <w14:solidFill>
                    <w14:schemeClr w14:val="tx1"/>
                  </w14:solidFill>
                </w14:textFill>
              </w:rPr>
              <w:t>水环境保护措施</w:t>
            </w:r>
          </w:p>
          <w:p w14:paraId="70252020">
            <w:pPr>
              <w:keepNext w:val="0"/>
              <w:keepLines w:val="0"/>
              <w:pageBreakBefore w:val="0"/>
              <w:kinsoku/>
              <w:wordWrap/>
              <w:overflowPunct/>
              <w:topLinePunct w:val="0"/>
              <w:autoSpaceDE/>
              <w:autoSpaceDN/>
              <w:bidi w:val="0"/>
              <w:adjustRightInd w:val="0"/>
              <w:snapToGrid/>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（1）工程施工期间，施工单位应严格执行《建设工程施工场地文明施工及环境管理暂行规定》，严禁</w:t>
            </w:r>
            <w:r>
              <w:rPr>
                <w:rFonts w:hint="eastAsia"/>
                <w:color w:val="000000" w:themeColor="text1"/>
                <w:lang w:eastAsia="zh-CN"/>
                <w14:textFill>
                  <w14:solidFill>
                    <w14:schemeClr w14:val="tx1"/>
                  </w14:solidFill>
                </w14:textFill>
              </w:rPr>
              <w:t>污水</w:t>
            </w:r>
            <w:r>
              <w:rPr>
                <w:color w:val="000000" w:themeColor="text1"/>
                <w14:textFill>
                  <w14:solidFill>
                    <w14:schemeClr w14:val="tx1"/>
                  </w14:solidFill>
                </w14:textFill>
              </w:rPr>
              <w:t>乱排污染环境。</w:t>
            </w:r>
          </w:p>
          <w:p w14:paraId="7E17B6AE">
            <w:pPr>
              <w:keepNext w:val="0"/>
              <w:keepLines w:val="0"/>
              <w:pageBreakBefore w:val="0"/>
              <w:kinsoku/>
              <w:wordWrap/>
              <w:overflowPunct/>
              <w:topLinePunct w:val="0"/>
              <w:autoSpaceDE/>
              <w:autoSpaceDN/>
              <w:bidi w:val="0"/>
              <w:adjustRightInd w:val="0"/>
              <w:snapToGrid/>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施工期混凝土养护废水自然蒸发，车辆冲洗废水经沉淀后回用于施工场地洒水降尘</w:t>
            </w:r>
            <w:r>
              <w:rPr>
                <w:color w:val="000000" w:themeColor="text1"/>
                <w14:textFill>
                  <w14:solidFill>
                    <w14:schemeClr w14:val="tx1"/>
                  </w14:solidFill>
                </w14:textFill>
              </w:rPr>
              <w:t>。</w:t>
            </w:r>
          </w:p>
          <w:p w14:paraId="2D1452BF">
            <w:pPr>
              <w:keepNext w:val="0"/>
              <w:keepLines w:val="0"/>
              <w:pageBreakBefore w:val="0"/>
              <w:kinsoku/>
              <w:wordWrap/>
              <w:overflowPunct/>
              <w:topLinePunct w:val="0"/>
              <w:autoSpaceDE/>
              <w:autoSpaceDN/>
              <w:bidi w:val="0"/>
              <w:adjustRightInd w:val="0"/>
              <w:snapToGrid/>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（3）施工营地内设置环保厕所</w:t>
            </w:r>
            <w:r>
              <w:rPr>
                <w:rFonts w:hint="eastAsia"/>
                <w:color w:val="000000" w:themeColor="text1"/>
                <w:lang w:eastAsia="zh-CN"/>
                <w14:textFill>
                  <w14:solidFill>
                    <w14:schemeClr w14:val="tx1"/>
                  </w14:solidFill>
                </w14:textFill>
              </w:rPr>
              <w:t>及防渗废水收集池</w:t>
            </w:r>
            <w:r>
              <w:rPr>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生活污水经收集后定期清运至巴州且末县污水处理厂</w:t>
            </w:r>
            <w:r>
              <w:rPr>
                <w:color w:val="000000" w:themeColor="text1"/>
                <w14:textFill>
                  <w14:solidFill>
                    <w14:schemeClr w14:val="tx1"/>
                  </w14:solidFill>
                </w14:textFill>
              </w:rPr>
              <w:t>，施工结束后</w:t>
            </w:r>
            <w:r>
              <w:rPr>
                <w:rFonts w:hint="eastAsia"/>
                <w:color w:val="000000" w:themeColor="text1"/>
                <w14:textFill>
                  <w14:solidFill>
                    <w14:schemeClr w14:val="tx1"/>
                  </w14:solidFill>
                </w14:textFill>
              </w:rPr>
              <w:t>对环保厕所</w:t>
            </w:r>
            <w:r>
              <w:rPr>
                <w:rFonts w:hint="eastAsia"/>
                <w:color w:val="000000" w:themeColor="text1"/>
                <w:lang w:eastAsia="zh-CN"/>
                <w14:textFill>
                  <w14:solidFill>
                    <w14:schemeClr w14:val="tx1"/>
                  </w14:solidFill>
                </w14:textFill>
              </w:rPr>
              <w:t>及废水收集池</w:t>
            </w:r>
            <w:r>
              <w:rPr>
                <w:color w:val="000000" w:themeColor="text1"/>
                <w14:textFill>
                  <w14:solidFill>
                    <w14:schemeClr w14:val="tx1"/>
                  </w14:solidFill>
                </w14:textFill>
              </w:rPr>
              <w:t>拆除。</w:t>
            </w:r>
          </w:p>
          <w:p w14:paraId="19E27A6A">
            <w:pPr>
              <w:keepNext w:val="0"/>
              <w:keepLines w:val="0"/>
              <w:pageBreakBefore w:val="0"/>
              <w:kinsoku/>
              <w:wordWrap/>
              <w:overflowPunct/>
              <w:topLinePunct w:val="0"/>
              <w:autoSpaceDE/>
              <w:autoSpaceDN/>
              <w:bidi w:val="0"/>
              <w:adjustRightInd w:val="0"/>
              <w:snapToGrid/>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（4）加强管理，严禁施工人员将各类废水排入</w:t>
            </w:r>
            <w:r>
              <w:rPr>
                <w:rFonts w:hint="eastAsia"/>
                <w:color w:val="000000" w:themeColor="text1"/>
                <w14:textFill>
                  <w14:solidFill>
                    <w14:schemeClr w14:val="tx1"/>
                  </w14:solidFill>
                </w14:textFill>
              </w:rPr>
              <w:t>外环境中</w:t>
            </w:r>
            <w:r>
              <w:rPr>
                <w:color w:val="000000" w:themeColor="text1"/>
                <w14:textFill>
                  <w14:solidFill>
                    <w14:schemeClr w14:val="tx1"/>
                  </w14:solidFill>
                </w14:textFill>
              </w:rPr>
              <w:t>。</w:t>
            </w:r>
          </w:p>
          <w:p w14:paraId="1A7FB443">
            <w:pPr>
              <w:pStyle w:val="6"/>
              <w:keepNext w:val="0"/>
              <w:keepLines w:val="0"/>
              <w:pageBreakBefore w:val="0"/>
              <w:kinsoku/>
              <w:wordWrap/>
              <w:overflowPunct/>
              <w:topLinePunct w:val="0"/>
              <w:autoSpaceDE/>
              <w:autoSpaceDN/>
              <w:bidi w:val="0"/>
              <w:adjustRightInd w:val="0"/>
              <w:snapToGrid/>
              <w:spacing w:line="500" w:lineRule="exact"/>
              <w:ind w:firstLine="480" w:firstLineChars="200"/>
              <w:rPr>
                <w:rFonts w:ascii="Times New Roman" w:hAnsi="Times New Roman"/>
                <w:color w:val="000000" w:themeColor="text1"/>
                <w:lang w:eastAsia="zh-CN"/>
                <w14:textFill>
                  <w14:solidFill>
                    <w14:schemeClr w14:val="tx1"/>
                  </w14:solidFill>
                </w14:textFill>
              </w:rPr>
            </w:pPr>
            <w:r>
              <w:rPr>
                <w:rFonts w:ascii="Times New Roman" w:hAnsi="Times New Roman"/>
                <w:color w:val="000000" w:themeColor="text1"/>
                <w:lang w:eastAsia="zh-CN"/>
                <w14:textFill>
                  <w14:solidFill>
                    <w14:schemeClr w14:val="tx1"/>
                  </w14:solidFill>
                </w14:textFill>
              </w:rPr>
              <w:t>（5）</w:t>
            </w:r>
            <w:r>
              <w:rPr>
                <w:rFonts w:hint="eastAsia" w:ascii="Times New Roman" w:hAnsi="Times New Roman"/>
                <w:color w:val="000000" w:themeColor="text1"/>
                <w:lang w:eastAsia="zh-CN"/>
                <w14:textFill>
                  <w14:solidFill>
                    <w14:schemeClr w14:val="tx1"/>
                  </w14:solidFill>
                </w14:textFill>
              </w:rPr>
              <w:t>加强对运输车辆管理。</w:t>
            </w:r>
          </w:p>
          <w:p w14:paraId="3788F55B">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14:textFill>
                  <w14:solidFill>
                    <w14:schemeClr w14:val="tx1"/>
                  </w14:solidFill>
                </w14:textFill>
              </w:rPr>
              <w:t>4.</w:t>
            </w:r>
            <w:r>
              <w:rPr>
                <w:b/>
                <w:color w:val="000000" w:themeColor="text1"/>
                <w14:textFill>
                  <w14:solidFill>
                    <w14:schemeClr w14:val="tx1"/>
                  </w14:solidFill>
                </w14:textFill>
              </w:rPr>
              <w:t>声环境保护措施</w:t>
            </w:r>
          </w:p>
          <w:p w14:paraId="1161239B">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（1）避免在同一地点安排大量动力机械设备，以避免局部声级过高。</w:t>
            </w:r>
          </w:p>
          <w:p w14:paraId="45B86AEB">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（2）对动力机械设备进行定期维修、养护，避免设备因部件松动的振动或消声器的损坏而加大其工作时声级。</w:t>
            </w:r>
          </w:p>
          <w:p w14:paraId="7DE96514">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（3）遵守作业规定，减少碰撞噪声，减少人为噪声。</w:t>
            </w:r>
          </w:p>
          <w:p w14:paraId="23131CE4">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（4）施工设备应采用低噪声环保型。</w:t>
            </w:r>
          </w:p>
          <w:p w14:paraId="32CE4BB0">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color w:val="000000" w:themeColor="text1"/>
                <w14:textFill>
                  <w14:solidFill>
                    <w14:schemeClr w14:val="tx1"/>
                  </w14:solidFill>
                </w14:textFill>
              </w:rPr>
            </w:pPr>
            <w:r>
              <w:rPr>
                <w:color w:val="000000" w:themeColor="text1"/>
                <w14:textFill>
                  <w14:solidFill>
                    <w14:schemeClr w14:val="tx1"/>
                  </w14:solidFill>
                </w14:textFill>
              </w:rPr>
              <w:t>（5）合理计划施工进度，尽量缩短施工时间，避免长时间作业。</w:t>
            </w:r>
          </w:p>
          <w:p w14:paraId="40B73258">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14:textFill>
                  <w14:solidFill>
                    <w14:schemeClr w14:val="tx1"/>
                  </w14:solidFill>
                </w14:textFill>
              </w:rPr>
              <w:t>5.</w:t>
            </w:r>
            <w:r>
              <w:rPr>
                <w:b/>
                <w:color w:val="000000" w:themeColor="text1"/>
                <w14:textFill>
                  <w14:solidFill>
                    <w14:schemeClr w14:val="tx1"/>
                  </w14:solidFill>
                </w14:textFill>
              </w:rPr>
              <w:t>固体废物处置措施</w:t>
            </w:r>
          </w:p>
          <w:p w14:paraId="2FD0C1AC">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本项目建筑垃圾主要为建筑材料包装、施工废弃材料等，由施工单位统一回收，综合利用，</w:t>
            </w:r>
            <w:r>
              <w:rPr>
                <w:color w:val="000000" w:themeColor="text1"/>
                <w:kern w:val="0"/>
                <w14:textFill>
                  <w14:solidFill>
                    <w14:schemeClr w14:val="tx1"/>
                  </w14:solidFill>
                </w14:textFill>
              </w:rPr>
              <w:t>不能综合利用</w:t>
            </w:r>
            <w:r>
              <w:rPr>
                <w:rFonts w:hint="eastAsia"/>
                <w:color w:val="000000" w:themeColor="text1"/>
                <w:kern w:val="0"/>
                <w:lang w:eastAsia="zh-CN"/>
                <w14:textFill>
                  <w14:solidFill>
                    <w14:schemeClr w14:val="tx1"/>
                  </w14:solidFill>
                </w14:textFill>
              </w:rPr>
              <w:t>的部分</w:t>
            </w:r>
            <w:r>
              <w:rPr>
                <w:rFonts w:hint="eastAsia" w:ascii="Times New Roman" w:hAnsi="Times New Roman" w:cs="Times New Roman"/>
                <w:color w:val="000000" w:themeColor="text1"/>
                <w:highlight w:val="none"/>
                <w:lang w:val="en-US" w:eastAsia="zh-CN"/>
                <w14:textFill>
                  <w14:solidFill>
                    <w14:schemeClr w14:val="tx1"/>
                  </w14:solidFill>
                </w14:textFill>
              </w:rPr>
              <w:t>统一收集至住建部门指定场所进行处理</w:t>
            </w:r>
            <w:r>
              <w:rPr>
                <w:rFonts w:hint="eastAsia"/>
                <w:color w:val="000000" w:themeColor="text1"/>
                <w14:textFill>
                  <w14:solidFill>
                    <w14:schemeClr w14:val="tx1"/>
                  </w14:solidFill>
                </w14:textFill>
              </w:rPr>
              <w:t>；</w:t>
            </w:r>
            <w:r>
              <w:rPr>
                <w:rFonts w:hint="eastAsia" w:ascii="宋体" w:hAnsi="宋体"/>
                <w:bCs/>
                <w:color w:val="000000" w:themeColor="text1"/>
                <w:lang w:val="zh-CN"/>
                <w14:textFill>
                  <w14:solidFill>
                    <w14:schemeClr w14:val="tx1"/>
                  </w14:solidFill>
                </w14:textFill>
              </w:rPr>
              <w:t>施工开挖产生的土方就地回填，项目不产生弃土；</w:t>
            </w:r>
            <w:r>
              <w:rPr>
                <w:rFonts w:hint="eastAsia"/>
                <w:color w:val="000000" w:themeColor="text1"/>
                <w14:textFill>
                  <w14:solidFill>
                    <w14:schemeClr w14:val="tx1"/>
                  </w14:solidFill>
                </w14:textFill>
              </w:rPr>
              <w:t>生活垃圾集中收集后交环卫部门清运</w:t>
            </w:r>
            <w:r>
              <w:rPr>
                <w:rFonts w:hint="eastAsia"/>
                <w:color w:val="000000" w:themeColor="text1"/>
                <w:lang w:eastAsia="zh-CN"/>
                <w14:textFill>
                  <w14:solidFill>
                    <w14:schemeClr w14:val="tx1"/>
                  </w14:solidFill>
                </w14:textFill>
              </w:rPr>
              <w:t>至且末县生活垃圾填埋场</w:t>
            </w:r>
            <w:r>
              <w:rPr>
                <w:rFonts w:hint="eastAsia"/>
                <w:color w:val="000000" w:themeColor="text1"/>
                <w14:textFill>
                  <w14:solidFill>
                    <w14:schemeClr w14:val="tx1"/>
                  </w14:solidFill>
                </w14:textFill>
              </w:rPr>
              <w:t>。</w:t>
            </w:r>
          </w:p>
          <w:p w14:paraId="015B586D">
            <w:pPr>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本项目施工期各固体废弃物均得到了合理处置，不会造成周边环境的污染。</w:t>
            </w:r>
          </w:p>
          <w:p w14:paraId="09183521">
            <w:pPr>
              <w:adjustRightInd w:val="0"/>
              <w:snapToGrid w:val="0"/>
              <w:spacing w:line="500" w:lineRule="exact"/>
              <w:ind w:firstLine="482" w:firstLineChars="200"/>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6.文物保护措施</w:t>
            </w:r>
          </w:p>
          <w:p w14:paraId="627B9513">
            <w:pPr>
              <w:adjustRightInd w:val="0"/>
              <w:snapToGrid w:val="0"/>
              <w:spacing w:line="500" w:lineRule="exact"/>
              <w:ind w:firstLine="480" w:firstLineChars="200"/>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项目施工过程中若发现重点文物，应立即停工并保护好现场，及时报告当地文物主管部门，同时将文物上缴文物主管部门。</w:t>
            </w:r>
          </w:p>
          <w:p w14:paraId="335C6610">
            <w:pPr>
              <w:adjustRightInd w:val="0"/>
              <w:snapToGrid w:val="0"/>
              <w:spacing w:line="500" w:lineRule="exact"/>
              <w:ind w:firstLine="482" w:firstLineChars="20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7</w:t>
            </w:r>
            <w:r>
              <w:rPr>
                <w:rFonts w:hint="eastAsia"/>
                <w:b/>
                <w:bCs/>
                <w:color w:val="000000" w:themeColor="text1"/>
                <w14:textFill>
                  <w14:solidFill>
                    <w14:schemeClr w14:val="tx1"/>
                  </w14:solidFill>
                </w14:textFill>
              </w:rPr>
              <w:t>.施工期生态环境保护措施及预期效果</w:t>
            </w:r>
          </w:p>
          <w:p w14:paraId="558C4C41">
            <w:pPr>
              <w:adjustRightInd w:val="0"/>
              <w:snapToGrid w:val="0"/>
              <w:spacing w:line="50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本工程施工期主要生态环境保护措施及预期效果，见表5-1。</w:t>
            </w:r>
          </w:p>
          <w:p w14:paraId="44D7DFF4">
            <w:pPr>
              <w:overflowPunct w:val="0"/>
              <w:adjustRightInd w:val="0"/>
              <w:snapToGrid w:val="0"/>
              <w:jc w:val="center"/>
              <w:rPr>
                <w:rFonts w:ascii="黑体" w:hAnsi="黑体" w:eastAsia="黑体" w:cs="黑体"/>
                <w:bCs/>
                <w:color w:val="000000" w:themeColor="text1"/>
                <w:sz w:val="21"/>
                <w:szCs w:val="21"/>
                <w14:textFill>
                  <w14:solidFill>
                    <w14:schemeClr w14:val="tx1"/>
                  </w14:solidFill>
                </w14:textFill>
              </w:rPr>
            </w:pPr>
            <w:r>
              <w:rPr>
                <w:rFonts w:hint="eastAsia" w:ascii="黑体" w:hAnsi="黑体" w:eastAsia="黑体" w:cs="黑体"/>
                <w:bCs/>
                <w:color w:val="000000" w:themeColor="text1"/>
                <w:sz w:val="21"/>
                <w:szCs w:val="21"/>
                <w14:textFill>
                  <w14:solidFill>
                    <w14:schemeClr w14:val="tx1"/>
                  </w14:solidFill>
                </w14:textFill>
              </w:rPr>
              <w:t>表5-1   施工期生态环境保护措施及预期效果一览表</w:t>
            </w:r>
          </w:p>
          <w:tbl>
            <w:tblPr>
              <w:tblStyle w:val="27"/>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2730"/>
              <w:gridCol w:w="766"/>
              <w:gridCol w:w="715"/>
              <w:gridCol w:w="715"/>
              <w:gridCol w:w="1004"/>
              <w:gridCol w:w="1864"/>
            </w:tblGrid>
            <w:tr w14:paraId="77E653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324" w:type="pct"/>
                  <w:tcBorders>
                    <w:tl2br w:val="nil"/>
                    <w:tr2bl w:val="nil"/>
                  </w:tcBorders>
                  <w:vAlign w:val="center"/>
                </w:tcPr>
                <w:p w14:paraId="4FA316DC">
                  <w:pPr>
                    <w:adjustRightInd w:val="0"/>
                    <w:snapToGrid w:val="0"/>
                    <w:spacing w:line="240" w:lineRule="auto"/>
                    <w:jc w:val="center"/>
                    <w:rPr>
                      <w:rFonts w:hint="default" w:ascii="Times New Roman" w:hAnsi="Times New Roman" w:cs="Times New Roman"/>
                      <w:b/>
                      <w:bCs w:val="0"/>
                      <w:color w:val="000000" w:themeColor="text1"/>
                      <w:kern w:val="0"/>
                      <w:sz w:val="21"/>
                      <w:szCs w:val="21"/>
                      <w14:textFill>
                        <w14:solidFill>
                          <w14:schemeClr w14:val="tx1"/>
                        </w14:solidFill>
                      </w14:textFill>
                    </w:rPr>
                  </w:pPr>
                  <w:r>
                    <w:rPr>
                      <w:rFonts w:hint="default" w:ascii="Times New Roman" w:hAnsi="Times New Roman" w:cs="Times New Roman"/>
                      <w:b/>
                      <w:bCs w:val="0"/>
                      <w:color w:val="000000" w:themeColor="text1"/>
                      <w:kern w:val="0"/>
                      <w:sz w:val="21"/>
                      <w:szCs w:val="21"/>
                      <w14:textFill>
                        <w14:solidFill>
                          <w14:schemeClr w14:val="tx1"/>
                        </w14:solidFill>
                      </w14:textFill>
                    </w:rPr>
                    <w:t>序号</w:t>
                  </w:r>
                </w:p>
              </w:tc>
              <w:tc>
                <w:tcPr>
                  <w:tcW w:w="1637" w:type="pct"/>
                  <w:tcBorders>
                    <w:tl2br w:val="nil"/>
                    <w:tr2bl w:val="nil"/>
                  </w:tcBorders>
                  <w:vAlign w:val="center"/>
                </w:tcPr>
                <w:p w14:paraId="648476AD">
                  <w:pPr>
                    <w:adjustRightInd w:val="0"/>
                    <w:snapToGrid w:val="0"/>
                    <w:spacing w:line="240" w:lineRule="auto"/>
                    <w:jc w:val="center"/>
                    <w:rPr>
                      <w:rFonts w:hint="default" w:ascii="Times New Roman" w:hAnsi="Times New Roman" w:cs="Times New Roman"/>
                      <w:b/>
                      <w:bCs w:val="0"/>
                      <w:color w:val="000000" w:themeColor="text1"/>
                      <w:kern w:val="0"/>
                      <w:sz w:val="21"/>
                      <w:szCs w:val="21"/>
                      <w14:textFill>
                        <w14:solidFill>
                          <w14:schemeClr w14:val="tx1"/>
                        </w14:solidFill>
                      </w14:textFill>
                    </w:rPr>
                  </w:pPr>
                  <w:r>
                    <w:rPr>
                      <w:rFonts w:hint="default" w:ascii="Times New Roman" w:hAnsi="Times New Roman" w:cs="Times New Roman"/>
                      <w:b/>
                      <w:bCs w:val="0"/>
                      <w:color w:val="000000" w:themeColor="text1"/>
                      <w:kern w:val="0"/>
                      <w:sz w:val="21"/>
                      <w:szCs w:val="21"/>
                      <w14:textFill>
                        <w14:solidFill>
                          <w14:schemeClr w14:val="tx1"/>
                        </w14:solidFill>
                      </w14:textFill>
                    </w:rPr>
                    <w:t>生态保护措施要求</w:t>
                  </w:r>
                </w:p>
              </w:tc>
              <w:tc>
                <w:tcPr>
                  <w:tcW w:w="459" w:type="pct"/>
                  <w:tcBorders>
                    <w:tl2br w:val="nil"/>
                    <w:tr2bl w:val="nil"/>
                  </w:tcBorders>
                  <w:vAlign w:val="center"/>
                </w:tcPr>
                <w:p w14:paraId="047CF57B">
                  <w:pPr>
                    <w:adjustRightInd w:val="0"/>
                    <w:snapToGrid w:val="0"/>
                    <w:spacing w:line="240" w:lineRule="auto"/>
                    <w:jc w:val="center"/>
                    <w:rPr>
                      <w:rFonts w:hint="default" w:ascii="Times New Roman" w:hAnsi="Times New Roman" w:cs="Times New Roman"/>
                      <w:b/>
                      <w:bCs w:val="0"/>
                      <w:color w:val="000000" w:themeColor="text1"/>
                      <w:kern w:val="0"/>
                      <w:sz w:val="21"/>
                      <w:szCs w:val="21"/>
                      <w14:textFill>
                        <w14:solidFill>
                          <w14:schemeClr w14:val="tx1"/>
                        </w14:solidFill>
                      </w14:textFill>
                    </w:rPr>
                  </w:pPr>
                  <w:r>
                    <w:rPr>
                      <w:rFonts w:hint="default" w:ascii="Times New Roman" w:hAnsi="Times New Roman" w:cs="Times New Roman"/>
                      <w:b/>
                      <w:bCs w:val="0"/>
                      <w:color w:val="000000" w:themeColor="text1"/>
                      <w:kern w:val="0"/>
                      <w:sz w:val="21"/>
                      <w:szCs w:val="21"/>
                      <w14:textFill>
                        <w14:solidFill>
                          <w14:schemeClr w14:val="tx1"/>
                        </w14:solidFill>
                      </w14:textFill>
                    </w:rPr>
                    <w:t>实施部位</w:t>
                  </w:r>
                </w:p>
              </w:tc>
              <w:tc>
                <w:tcPr>
                  <w:tcW w:w="429" w:type="pct"/>
                  <w:tcBorders>
                    <w:tl2br w:val="nil"/>
                    <w:tr2bl w:val="nil"/>
                  </w:tcBorders>
                  <w:vAlign w:val="center"/>
                </w:tcPr>
                <w:p w14:paraId="630471D0">
                  <w:pPr>
                    <w:adjustRightInd w:val="0"/>
                    <w:snapToGrid w:val="0"/>
                    <w:spacing w:line="240" w:lineRule="auto"/>
                    <w:jc w:val="center"/>
                    <w:rPr>
                      <w:rFonts w:hint="default" w:ascii="Times New Roman" w:hAnsi="Times New Roman" w:cs="Times New Roman"/>
                      <w:b/>
                      <w:bCs w:val="0"/>
                      <w:color w:val="000000" w:themeColor="text1"/>
                      <w:kern w:val="0"/>
                      <w:sz w:val="21"/>
                      <w:szCs w:val="21"/>
                      <w14:textFill>
                        <w14:solidFill>
                          <w14:schemeClr w14:val="tx1"/>
                        </w14:solidFill>
                      </w14:textFill>
                    </w:rPr>
                  </w:pPr>
                  <w:r>
                    <w:rPr>
                      <w:rFonts w:hint="default" w:ascii="Times New Roman" w:hAnsi="Times New Roman" w:cs="Times New Roman"/>
                      <w:b/>
                      <w:bCs w:val="0"/>
                      <w:color w:val="000000" w:themeColor="text1"/>
                      <w:kern w:val="0"/>
                      <w:sz w:val="21"/>
                      <w:szCs w:val="21"/>
                      <w14:textFill>
                        <w14:solidFill>
                          <w14:schemeClr w14:val="tx1"/>
                        </w14:solidFill>
                      </w14:textFill>
                    </w:rPr>
                    <w:t>实施时间</w:t>
                  </w:r>
                </w:p>
              </w:tc>
              <w:tc>
                <w:tcPr>
                  <w:tcW w:w="429" w:type="pct"/>
                  <w:tcBorders>
                    <w:tl2br w:val="nil"/>
                    <w:tr2bl w:val="nil"/>
                  </w:tcBorders>
                  <w:vAlign w:val="center"/>
                </w:tcPr>
                <w:p w14:paraId="7ABDD615">
                  <w:pPr>
                    <w:adjustRightInd w:val="0"/>
                    <w:snapToGrid w:val="0"/>
                    <w:spacing w:line="240" w:lineRule="auto"/>
                    <w:jc w:val="center"/>
                    <w:rPr>
                      <w:rFonts w:hint="default" w:ascii="Times New Roman" w:hAnsi="Times New Roman" w:cs="Times New Roman"/>
                      <w:b/>
                      <w:bCs w:val="0"/>
                      <w:color w:val="000000" w:themeColor="text1"/>
                      <w:kern w:val="0"/>
                      <w:sz w:val="21"/>
                      <w:szCs w:val="21"/>
                      <w14:textFill>
                        <w14:solidFill>
                          <w14:schemeClr w14:val="tx1"/>
                        </w14:solidFill>
                      </w14:textFill>
                    </w:rPr>
                  </w:pPr>
                  <w:r>
                    <w:rPr>
                      <w:rFonts w:hint="default" w:ascii="Times New Roman" w:hAnsi="Times New Roman" w:cs="Times New Roman"/>
                      <w:b/>
                      <w:bCs w:val="0"/>
                      <w:color w:val="000000" w:themeColor="text1"/>
                      <w:kern w:val="0"/>
                      <w:sz w:val="21"/>
                      <w:szCs w:val="21"/>
                      <w14:textFill>
                        <w14:solidFill>
                          <w14:schemeClr w14:val="tx1"/>
                        </w14:solidFill>
                      </w14:textFill>
                    </w:rPr>
                    <w:t>责任主体</w:t>
                  </w:r>
                </w:p>
              </w:tc>
              <w:tc>
                <w:tcPr>
                  <w:tcW w:w="602" w:type="pct"/>
                  <w:tcBorders>
                    <w:tl2br w:val="nil"/>
                    <w:tr2bl w:val="nil"/>
                  </w:tcBorders>
                  <w:vAlign w:val="center"/>
                </w:tcPr>
                <w:p w14:paraId="08D9DE6B">
                  <w:pPr>
                    <w:adjustRightInd w:val="0"/>
                    <w:snapToGrid w:val="0"/>
                    <w:spacing w:line="240" w:lineRule="auto"/>
                    <w:jc w:val="center"/>
                    <w:rPr>
                      <w:rFonts w:hint="default" w:ascii="Times New Roman" w:hAnsi="Times New Roman" w:cs="Times New Roman"/>
                      <w:b/>
                      <w:bCs w:val="0"/>
                      <w:color w:val="000000" w:themeColor="text1"/>
                      <w:kern w:val="0"/>
                      <w:sz w:val="21"/>
                      <w:szCs w:val="21"/>
                      <w14:textFill>
                        <w14:solidFill>
                          <w14:schemeClr w14:val="tx1"/>
                        </w14:solidFill>
                      </w14:textFill>
                    </w:rPr>
                  </w:pPr>
                  <w:r>
                    <w:rPr>
                      <w:rFonts w:hint="default" w:ascii="Times New Roman" w:hAnsi="Times New Roman" w:cs="Times New Roman"/>
                      <w:b/>
                      <w:bCs w:val="0"/>
                      <w:color w:val="000000" w:themeColor="text1"/>
                      <w:kern w:val="0"/>
                      <w:sz w:val="21"/>
                      <w:szCs w:val="21"/>
                      <w14:textFill>
                        <w14:solidFill>
                          <w14:schemeClr w14:val="tx1"/>
                        </w14:solidFill>
                      </w14:textFill>
                    </w:rPr>
                    <w:t>实施保障</w:t>
                  </w:r>
                </w:p>
              </w:tc>
              <w:tc>
                <w:tcPr>
                  <w:tcW w:w="1117" w:type="pct"/>
                  <w:tcBorders>
                    <w:tl2br w:val="nil"/>
                    <w:tr2bl w:val="nil"/>
                  </w:tcBorders>
                  <w:vAlign w:val="center"/>
                </w:tcPr>
                <w:p w14:paraId="608378E8">
                  <w:pPr>
                    <w:adjustRightInd w:val="0"/>
                    <w:snapToGrid w:val="0"/>
                    <w:spacing w:line="240" w:lineRule="auto"/>
                    <w:jc w:val="center"/>
                    <w:rPr>
                      <w:rFonts w:hint="default" w:ascii="Times New Roman" w:hAnsi="Times New Roman" w:cs="Times New Roman"/>
                      <w:b/>
                      <w:bCs w:val="0"/>
                      <w:color w:val="000000" w:themeColor="text1"/>
                      <w:kern w:val="0"/>
                      <w:sz w:val="21"/>
                      <w:szCs w:val="21"/>
                      <w14:textFill>
                        <w14:solidFill>
                          <w14:schemeClr w14:val="tx1"/>
                        </w14:solidFill>
                      </w14:textFill>
                    </w:rPr>
                  </w:pPr>
                  <w:r>
                    <w:rPr>
                      <w:rFonts w:hint="default" w:ascii="Times New Roman" w:hAnsi="Times New Roman" w:cs="Times New Roman"/>
                      <w:b/>
                      <w:bCs w:val="0"/>
                      <w:color w:val="000000" w:themeColor="text1"/>
                      <w:kern w:val="0"/>
                      <w:sz w:val="21"/>
                      <w:szCs w:val="21"/>
                      <w14:textFill>
                        <w14:solidFill>
                          <w14:schemeClr w14:val="tx1"/>
                        </w14:solidFill>
                      </w14:textFill>
                    </w:rPr>
                    <w:t>实施效果</w:t>
                  </w:r>
                </w:p>
              </w:tc>
            </w:tr>
            <w:tr w14:paraId="29DB74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324" w:type="pct"/>
                  <w:tcBorders>
                    <w:tl2br w:val="nil"/>
                    <w:tr2bl w:val="nil"/>
                  </w:tcBorders>
                  <w:vAlign w:val="center"/>
                </w:tcPr>
                <w:p w14:paraId="0CB7D2FB">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w:t>
                  </w:r>
                </w:p>
              </w:tc>
              <w:tc>
                <w:tcPr>
                  <w:tcW w:w="1637" w:type="pct"/>
                  <w:tcBorders>
                    <w:tl2br w:val="nil"/>
                    <w:tr2bl w:val="nil"/>
                  </w:tcBorders>
                  <w:vAlign w:val="center"/>
                </w:tcPr>
                <w:p w14:paraId="5E1A0C07">
                  <w:pPr>
                    <w:adjustRightInd w:val="0"/>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各类占地应提前办理相关手续</w:t>
                  </w:r>
                </w:p>
              </w:tc>
              <w:tc>
                <w:tcPr>
                  <w:tcW w:w="459" w:type="pct"/>
                  <w:vMerge w:val="restart"/>
                  <w:tcBorders>
                    <w:tl2br w:val="nil"/>
                    <w:tr2bl w:val="nil"/>
                  </w:tcBorders>
                  <w:vAlign w:val="center"/>
                </w:tcPr>
                <w:p w14:paraId="628A9031">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工程施工区域</w:t>
                  </w:r>
                </w:p>
              </w:tc>
              <w:tc>
                <w:tcPr>
                  <w:tcW w:w="429" w:type="pct"/>
                  <w:tcBorders>
                    <w:tl2br w:val="nil"/>
                    <w:tr2bl w:val="nil"/>
                  </w:tcBorders>
                  <w:vAlign w:val="center"/>
                </w:tcPr>
                <w:p w14:paraId="28443400">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开工前</w:t>
                  </w:r>
                </w:p>
              </w:tc>
              <w:tc>
                <w:tcPr>
                  <w:tcW w:w="429" w:type="pct"/>
                  <w:tcBorders>
                    <w:tl2br w:val="nil"/>
                    <w:tr2bl w:val="nil"/>
                  </w:tcBorders>
                  <w:vAlign w:val="center"/>
                </w:tcPr>
                <w:p w14:paraId="29A8DD5B">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建设单位</w:t>
                  </w:r>
                </w:p>
              </w:tc>
              <w:tc>
                <w:tcPr>
                  <w:tcW w:w="602" w:type="pct"/>
                  <w:vMerge w:val="restart"/>
                  <w:tcBorders>
                    <w:tl2br w:val="nil"/>
                    <w:tr2bl w:val="nil"/>
                  </w:tcBorders>
                  <w:vAlign w:val="center"/>
                </w:tcPr>
                <w:p w14:paraId="4479F945">
                  <w:pPr>
                    <w:adjustRightInd w:val="0"/>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①建立环境管理机构，配备专职或兼职环保管理人员；②制定相关方环境管理条例、质量管理规定；③加强环境监理，开展经常性检查、监督，发现问题及时解决、纠正</w:t>
                  </w:r>
                </w:p>
              </w:tc>
              <w:tc>
                <w:tcPr>
                  <w:tcW w:w="1117" w:type="pct"/>
                  <w:tcBorders>
                    <w:tl2br w:val="nil"/>
                    <w:tr2bl w:val="nil"/>
                  </w:tcBorders>
                  <w:vAlign w:val="center"/>
                </w:tcPr>
                <w:p w14:paraId="465CC26A">
                  <w:pPr>
                    <w:adjustRightInd w:val="0"/>
                    <w:snapToGrid w:val="0"/>
                    <w:spacing w:line="240" w:lineRule="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取得征地手续</w:t>
                  </w:r>
                </w:p>
              </w:tc>
            </w:tr>
            <w:tr w14:paraId="3DF89B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4" w:type="pct"/>
                  <w:tcBorders>
                    <w:tl2br w:val="nil"/>
                    <w:tr2bl w:val="nil"/>
                  </w:tcBorders>
                  <w:vAlign w:val="center"/>
                </w:tcPr>
                <w:p w14:paraId="0C5B2CB4">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2</w:t>
                  </w:r>
                </w:p>
              </w:tc>
              <w:tc>
                <w:tcPr>
                  <w:tcW w:w="1637" w:type="pct"/>
                  <w:tcBorders>
                    <w:tl2br w:val="nil"/>
                    <w:tr2bl w:val="nil"/>
                  </w:tcBorders>
                  <w:vAlign w:val="center"/>
                </w:tcPr>
                <w:p w14:paraId="07FA42E8">
                  <w:pPr>
                    <w:adjustRightInd w:val="0"/>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合理规划、设计施工便道及场地</w:t>
                  </w:r>
                </w:p>
              </w:tc>
              <w:tc>
                <w:tcPr>
                  <w:tcW w:w="459" w:type="pct"/>
                  <w:vMerge w:val="continue"/>
                  <w:tcBorders>
                    <w:tl2br w:val="nil"/>
                    <w:tr2bl w:val="nil"/>
                  </w:tcBorders>
                  <w:vAlign w:val="center"/>
                </w:tcPr>
                <w:p w14:paraId="744F98F7">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429" w:type="pct"/>
                  <w:vMerge w:val="restart"/>
                  <w:tcBorders>
                    <w:tl2br w:val="nil"/>
                    <w:tr2bl w:val="nil"/>
                  </w:tcBorders>
                  <w:vAlign w:val="center"/>
                </w:tcPr>
                <w:p w14:paraId="0FB3C1AA">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施工期</w:t>
                  </w:r>
                </w:p>
              </w:tc>
              <w:tc>
                <w:tcPr>
                  <w:tcW w:w="429" w:type="pct"/>
                  <w:vMerge w:val="restart"/>
                  <w:tcBorders>
                    <w:tl2br w:val="nil"/>
                    <w:tr2bl w:val="nil"/>
                  </w:tcBorders>
                  <w:vAlign w:val="center"/>
                </w:tcPr>
                <w:p w14:paraId="3B6D64D2">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施工单位</w:t>
                  </w:r>
                </w:p>
              </w:tc>
              <w:tc>
                <w:tcPr>
                  <w:tcW w:w="602" w:type="pct"/>
                  <w:vMerge w:val="continue"/>
                  <w:tcBorders>
                    <w:tl2br w:val="nil"/>
                    <w:tr2bl w:val="nil"/>
                  </w:tcBorders>
                  <w:vAlign w:val="center"/>
                </w:tcPr>
                <w:p w14:paraId="7F2144EC">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tcBorders>
                    <w:tl2br w:val="nil"/>
                    <w:tr2bl w:val="nil"/>
                  </w:tcBorders>
                  <w:vAlign w:val="center"/>
                </w:tcPr>
                <w:p w14:paraId="31D4F062">
                  <w:pPr>
                    <w:adjustRightInd w:val="0"/>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eastAsia="zh-CN"/>
                      <w14:textFill>
                        <w14:solidFill>
                          <w14:schemeClr w14:val="tx1"/>
                        </w14:solidFill>
                      </w14:textFill>
                    </w:rPr>
                    <w:t>合理</w:t>
                  </w:r>
                  <w:r>
                    <w:rPr>
                      <w:rFonts w:hint="default" w:ascii="Times New Roman" w:hAnsi="Times New Roman" w:cs="Times New Roman"/>
                      <w:color w:val="000000" w:themeColor="text1"/>
                      <w:kern w:val="0"/>
                      <w:sz w:val="21"/>
                      <w:szCs w:val="21"/>
                      <w14:textFill>
                        <w14:solidFill>
                          <w14:schemeClr w14:val="tx1"/>
                        </w14:solidFill>
                      </w14:textFill>
                    </w:rPr>
                    <w:t>划定施工作业范围，将施工占地及对植被的影响控制在最小范围</w:t>
                  </w:r>
                </w:p>
              </w:tc>
            </w:tr>
            <w:tr w14:paraId="0B3843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324" w:type="pct"/>
                  <w:tcBorders>
                    <w:tl2br w:val="nil"/>
                    <w:tr2bl w:val="nil"/>
                  </w:tcBorders>
                  <w:vAlign w:val="center"/>
                </w:tcPr>
                <w:p w14:paraId="47880722">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3</w:t>
                  </w:r>
                </w:p>
              </w:tc>
              <w:tc>
                <w:tcPr>
                  <w:tcW w:w="1637" w:type="pct"/>
                  <w:tcBorders>
                    <w:tl2br w:val="nil"/>
                    <w:tr2bl w:val="nil"/>
                  </w:tcBorders>
                  <w:vAlign w:val="center"/>
                </w:tcPr>
                <w:p w14:paraId="1CABE5DF">
                  <w:pPr>
                    <w:adjustRightInd w:val="0"/>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基础开挖时，应将表土剥离，暂时保存用于施工结束后表土回填</w:t>
                  </w:r>
                </w:p>
              </w:tc>
              <w:tc>
                <w:tcPr>
                  <w:tcW w:w="459" w:type="pct"/>
                  <w:vMerge w:val="continue"/>
                  <w:tcBorders>
                    <w:tl2br w:val="nil"/>
                    <w:tr2bl w:val="nil"/>
                  </w:tcBorders>
                  <w:vAlign w:val="center"/>
                </w:tcPr>
                <w:p w14:paraId="1F9C51D0">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429" w:type="pct"/>
                  <w:vMerge w:val="continue"/>
                  <w:tcBorders>
                    <w:tl2br w:val="nil"/>
                    <w:tr2bl w:val="nil"/>
                  </w:tcBorders>
                  <w:vAlign w:val="center"/>
                </w:tcPr>
                <w:p w14:paraId="4EB20939">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429" w:type="pct"/>
                  <w:vMerge w:val="continue"/>
                  <w:tcBorders>
                    <w:tl2br w:val="nil"/>
                    <w:tr2bl w:val="nil"/>
                  </w:tcBorders>
                  <w:vAlign w:val="center"/>
                </w:tcPr>
                <w:p w14:paraId="37BBF7BC">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602" w:type="pct"/>
                  <w:vMerge w:val="continue"/>
                  <w:tcBorders>
                    <w:tl2br w:val="nil"/>
                    <w:tr2bl w:val="nil"/>
                  </w:tcBorders>
                  <w:vAlign w:val="center"/>
                </w:tcPr>
                <w:p w14:paraId="1F3B9C6C">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vMerge w:val="restart"/>
                  <w:tcBorders>
                    <w:tl2br w:val="nil"/>
                    <w:tr2bl w:val="nil"/>
                  </w:tcBorders>
                  <w:vAlign w:val="center"/>
                </w:tcPr>
                <w:p w14:paraId="19984E6E">
                  <w:pPr>
                    <w:adjustRightInd w:val="0"/>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减少水土流失，恢复土壤肥力和土壤理化性质，使土壤、植被受影响程度最低</w:t>
                  </w:r>
                </w:p>
              </w:tc>
            </w:tr>
            <w:tr w14:paraId="711A54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4" w:type="pct"/>
                  <w:tcBorders>
                    <w:tl2br w:val="nil"/>
                    <w:tr2bl w:val="nil"/>
                  </w:tcBorders>
                  <w:vAlign w:val="center"/>
                </w:tcPr>
                <w:p w14:paraId="5CC8CC71">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4</w:t>
                  </w:r>
                </w:p>
              </w:tc>
              <w:tc>
                <w:tcPr>
                  <w:tcW w:w="1637" w:type="pct"/>
                  <w:tcBorders>
                    <w:tl2br w:val="nil"/>
                    <w:tr2bl w:val="nil"/>
                  </w:tcBorders>
                  <w:vAlign w:val="center"/>
                </w:tcPr>
                <w:p w14:paraId="1085AEC9">
                  <w:pPr>
                    <w:adjustRightInd w:val="0"/>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施工期应避免在雨季施工，减少土石方的开挖</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及时进行迹地恢复等</w:t>
                  </w:r>
                </w:p>
              </w:tc>
              <w:tc>
                <w:tcPr>
                  <w:tcW w:w="459" w:type="pct"/>
                  <w:vMerge w:val="continue"/>
                  <w:tcBorders>
                    <w:tl2br w:val="nil"/>
                    <w:tr2bl w:val="nil"/>
                  </w:tcBorders>
                  <w:vAlign w:val="center"/>
                </w:tcPr>
                <w:p w14:paraId="3330B687">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429" w:type="pct"/>
                  <w:vMerge w:val="continue"/>
                  <w:tcBorders>
                    <w:tl2br w:val="nil"/>
                    <w:tr2bl w:val="nil"/>
                  </w:tcBorders>
                  <w:vAlign w:val="center"/>
                </w:tcPr>
                <w:p w14:paraId="76FE6533">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429" w:type="pct"/>
                  <w:vMerge w:val="continue"/>
                  <w:tcBorders>
                    <w:tl2br w:val="nil"/>
                    <w:tr2bl w:val="nil"/>
                  </w:tcBorders>
                  <w:vAlign w:val="center"/>
                </w:tcPr>
                <w:p w14:paraId="4A0A6153">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602" w:type="pct"/>
                  <w:vMerge w:val="continue"/>
                  <w:tcBorders>
                    <w:tl2br w:val="nil"/>
                    <w:tr2bl w:val="nil"/>
                  </w:tcBorders>
                  <w:vAlign w:val="center"/>
                </w:tcPr>
                <w:p w14:paraId="04571DD9">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vMerge w:val="continue"/>
                  <w:tcBorders>
                    <w:tl2br w:val="nil"/>
                    <w:tr2bl w:val="nil"/>
                  </w:tcBorders>
                  <w:vAlign w:val="center"/>
                </w:tcPr>
                <w:p w14:paraId="2B480C46">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r>
            <w:tr w14:paraId="66106F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4" w:type="pct"/>
                  <w:tcBorders>
                    <w:tl2br w:val="nil"/>
                    <w:tr2bl w:val="nil"/>
                  </w:tcBorders>
                  <w:vAlign w:val="center"/>
                </w:tcPr>
                <w:p w14:paraId="3C707C58">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5</w:t>
                  </w:r>
                </w:p>
              </w:tc>
              <w:tc>
                <w:tcPr>
                  <w:tcW w:w="1637" w:type="pct"/>
                  <w:tcBorders>
                    <w:tl2br w:val="nil"/>
                    <w:tr2bl w:val="nil"/>
                  </w:tcBorders>
                  <w:vAlign w:val="center"/>
                </w:tcPr>
                <w:p w14:paraId="37948248">
                  <w:pPr>
                    <w:adjustRightInd w:val="0"/>
                    <w:snapToGrid w:val="0"/>
                    <w:spacing w:line="24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采取</w:t>
                  </w:r>
                  <w:r>
                    <w:rPr>
                      <w:rFonts w:hint="default" w:ascii="Times New Roman" w:hAnsi="Times New Roman" w:cs="Times New Roman"/>
                      <w:color w:val="000000" w:themeColor="text1"/>
                      <w:sz w:val="21"/>
                      <w:szCs w:val="21"/>
                      <w14:textFill>
                        <w14:solidFill>
                          <w14:schemeClr w14:val="tx1"/>
                        </w14:solidFill>
                      </w14:textFill>
                    </w:rPr>
                    <w:t>防沙固沙措施</w:t>
                  </w:r>
                </w:p>
              </w:tc>
              <w:tc>
                <w:tcPr>
                  <w:tcW w:w="459" w:type="pct"/>
                  <w:vMerge w:val="continue"/>
                  <w:tcBorders>
                    <w:tl2br w:val="nil"/>
                    <w:tr2bl w:val="nil"/>
                  </w:tcBorders>
                  <w:vAlign w:val="center"/>
                </w:tcPr>
                <w:p w14:paraId="3D7D401A">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429" w:type="pct"/>
                  <w:vMerge w:val="continue"/>
                  <w:tcBorders>
                    <w:tl2br w:val="nil"/>
                    <w:tr2bl w:val="nil"/>
                  </w:tcBorders>
                  <w:vAlign w:val="center"/>
                </w:tcPr>
                <w:p w14:paraId="5EA4DF04">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429" w:type="pct"/>
                  <w:vMerge w:val="continue"/>
                  <w:tcBorders>
                    <w:tl2br w:val="nil"/>
                    <w:tr2bl w:val="nil"/>
                  </w:tcBorders>
                  <w:vAlign w:val="center"/>
                </w:tcPr>
                <w:p w14:paraId="5D9956B0">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602" w:type="pct"/>
                  <w:vMerge w:val="continue"/>
                  <w:tcBorders>
                    <w:tl2br w:val="nil"/>
                    <w:tr2bl w:val="nil"/>
                  </w:tcBorders>
                  <w:vAlign w:val="center"/>
                </w:tcPr>
                <w:p w14:paraId="36BEE209">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tcBorders>
                    <w:tl2br w:val="nil"/>
                    <w:tr2bl w:val="nil"/>
                  </w:tcBorders>
                  <w:vAlign w:val="center"/>
                </w:tcPr>
                <w:p w14:paraId="189EA613">
                  <w:pPr>
                    <w:widowControl/>
                    <w:snapToGrid w:val="0"/>
                    <w:spacing w:line="240" w:lineRule="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防止产生土地沙化</w:t>
                  </w:r>
                </w:p>
              </w:tc>
            </w:tr>
            <w:tr w14:paraId="481808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vAlign w:val="center"/>
                </w:tcPr>
                <w:p w14:paraId="366A10C2">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6</w:t>
                  </w:r>
                </w:p>
              </w:tc>
              <w:tc>
                <w:tcPr>
                  <w:tcW w:w="1637" w:type="pct"/>
                  <w:tcBorders>
                    <w:tl2br w:val="nil"/>
                    <w:tr2bl w:val="nil"/>
                  </w:tcBorders>
                  <w:vAlign w:val="center"/>
                </w:tcPr>
                <w:p w14:paraId="392CDD5E">
                  <w:pPr>
                    <w:adjustRightInd w:val="0"/>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施工结束后对临时占地范围进行清理平整</w:t>
                  </w:r>
                </w:p>
              </w:tc>
              <w:tc>
                <w:tcPr>
                  <w:tcW w:w="459" w:type="pct"/>
                  <w:vMerge w:val="continue"/>
                  <w:tcBorders>
                    <w:tl2br w:val="nil"/>
                    <w:tr2bl w:val="nil"/>
                  </w:tcBorders>
                  <w:vAlign w:val="center"/>
                </w:tcPr>
                <w:p w14:paraId="7429BFC2">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429" w:type="pct"/>
                  <w:tcBorders>
                    <w:tl2br w:val="nil"/>
                    <w:tr2bl w:val="nil"/>
                  </w:tcBorders>
                  <w:vAlign w:val="center"/>
                </w:tcPr>
                <w:p w14:paraId="43F98B59">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施工后期</w:t>
                  </w:r>
                </w:p>
              </w:tc>
              <w:tc>
                <w:tcPr>
                  <w:tcW w:w="429" w:type="pct"/>
                  <w:vMerge w:val="restart"/>
                  <w:tcBorders>
                    <w:tl2br w:val="nil"/>
                    <w:tr2bl w:val="nil"/>
                  </w:tcBorders>
                  <w:vAlign w:val="center"/>
                </w:tcPr>
                <w:p w14:paraId="1CF2A373">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施工单位</w:t>
                  </w:r>
                </w:p>
              </w:tc>
              <w:tc>
                <w:tcPr>
                  <w:tcW w:w="602" w:type="pct"/>
                  <w:vMerge w:val="continue"/>
                  <w:tcBorders>
                    <w:tl2br w:val="nil"/>
                    <w:tr2bl w:val="nil"/>
                  </w:tcBorders>
                  <w:vAlign w:val="center"/>
                </w:tcPr>
                <w:p w14:paraId="0AE39AF5">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tcBorders>
                    <w:tl2br w:val="nil"/>
                    <w:tr2bl w:val="nil"/>
                  </w:tcBorders>
                  <w:vAlign w:val="center"/>
                </w:tcPr>
                <w:p w14:paraId="08F4AC3B">
                  <w:pPr>
                    <w:adjustRightInd w:val="0"/>
                    <w:snapToGrid w:val="0"/>
                    <w:spacing w:line="240" w:lineRule="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施工后做到工完料净场地清</w:t>
                  </w:r>
                </w:p>
              </w:tc>
            </w:tr>
            <w:tr w14:paraId="4A2D9C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324" w:type="pct"/>
                  <w:tcBorders>
                    <w:tl2br w:val="nil"/>
                    <w:tr2bl w:val="nil"/>
                  </w:tcBorders>
                  <w:vAlign w:val="center"/>
                </w:tcPr>
                <w:p w14:paraId="764FF102">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7</w:t>
                  </w:r>
                </w:p>
              </w:tc>
              <w:tc>
                <w:tcPr>
                  <w:tcW w:w="1637" w:type="pct"/>
                  <w:tcBorders>
                    <w:tl2br w:val="nil"/>
                    <w:tr2bl w:val="nil"/>
                  </w:tcBorders>
                  <w:vAlign w:val="center"/>
                </w:tcPr>
                <w:p w14:paraId="6E32E739">
                  <w:pPr>
                    <w:adjustRightInd w:val="0"/>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加强宣传教育，设置环保宣传牌</w:t>
                  </w:r>
                </w:p>
              </w:tc>
              <w:tc>
                <w:tcPr>
                  <w:tcW w:w="459" w:type="pct"/>
                  <w:vMerge w:val="continue"/>
                  <w:tcBorders>
                    <w:tl2br w:val="nil"/>
                    <w:tr2bl w:val="nil"/>
                  </w:tcBorders>
                  <w:vAlign w:val="center"/>
                </w:tcPr>
                <w:p w14:paraId="1A9245F5">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429" w:type="pct"/>
                  <w:tcBorders>
                    <w:tl2br w:val="nil"/>
                    <w:tr2bl w:val="nil"/>
                  </w:tcBorders>
                  <w:vAlign w:val="center"/>
                </w:tcPr>
                <w:p w14:paraId="3472D6B5">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施工期</w:t>
                  </w:r>
                </w:p>
              </w:tc>
              <w:tc>
                <w:tcPr>
                  <w:tcW w:w="429" w:type="pct"/>
                  <w:vMerge w:val="continue"/>
                  <w:tcBorders>
                    <w:tl2br w:val="nil"/>
                    <w:tr2bl w:val="nil"/>
                  </w:tcBorders>
                  <w:vAlign w:val="center"/>
                </w:tcPr>
                <w:p w14:paraId="756FFDB4">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602" w:type="pct"/>
                  <w:vMerge w:val="continue"/>
                  <w:tcBorders>
                    <w:tl2br w:val="nil"/>
                    <w:tr2bl w:val="nil"/>
                  </w:tcBorders>
                  <w:vAlign w:val="center"/>
                </w:tcPr>
                <w:p w14:paraId="03A357EE">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tcBorders>
                    <w:tl2br w:val="nil"/>
                    <w:tr2bl w:val="nil"/>
                  </w:tcBorders>
                  <w:vAlign w:val="center"/>
                </w:tcPr>
                <w:p w14:paraId="2AB96077">
                  <w:pPr>
                    <w:adjustRightInd w:val="0"/>
                    <w:snapToGrid w:val="0"/>
                    <w:spacing w:line="240" w:lineRule="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避免发生施工人员随意捕杀野生动物，踩踏、破坏植被的现象</w:t>
                  </w:r>
                </w:p>
              </w:tc>
            </w:tr>
            <w:tr w14:paraId="756625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4" w:type="pct"/>
                  <w:tcBorders>
                    <w:tl2br w:val="nil"/>
                    <w:tr2bl w:val="nil"/>
                  </w:tcBorders>
                  <w:vAlign w:val="center"/>
                </w:tcPr>
                <w:p w14:paraId="350A23E4">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8</w:t>
                  </w:r>
                </w:p>
              </w:tc>
              <w:tc>
                <w:tcPr>
                  <w:tcW w:w="1637" w:type="pct"/>
                  <w:tcBorders>
                    <w:tl2br w:val="nil"/>
                    <w:tr2bl w:val="nil"/>
                  </w:tcBorders>
                  <w:vAlign w:val="center"/>
                </w:tcPr>
                <w:p w14:paraId="197AA96E">
                  <w:pPr>
                    <w:adjustRightInd w:val="0"/>
                    <w:snapToGrid w:val="0"/>
                    <w:spacing w:line="240" w:lineRule="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施工期混凝土养护废水自然蒸发，车辆冲洗废水经沉淀后回用于施工场地洒水降尘，施工营地内设置环保厕所</w:t>
                  </w:r>
                  <w:r>
                    <w:rPr>
                      <w:rFonts w:hint="default" w:ascii="Times New Roman" w:hAnsi="Times New Roman" w:cs="Times New Roman"/>
                      <w:color w:val="000000" w:themeColor="text1"/>
                      <w:sz w:val="21"/>
                      <w:szCs w:val="21"/>
                      <w:lang w:eastAsia="zh-CN"/>
                      <w14:textFill>
                        <w14:solidFill>
                          <w14:schemeClr w14:val="tx1"/>
                        </w14:solidFill>
                      </w14:textFill>
                    </w:rPr>
                    <w:t>及防渗废水收集池</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生活污水经收集后清运至巴州且末县污水处理厂</w:t>
                  </w:r>
                </w:p>
              </w:tc>
              <w:tc>
                <w:tcPr>
                  <w:tcW w:w="459" w:type="pct"/>
                  <w:tcBorders>
                    <w:tl2br w:val="nil"/>
                    <w:tr2bl w:val="nil"/>
                  </w:tcBorders>
                  <w:vAlign w:val="center"/>
                </w:tcPr>
                <w:p w14:paraId="640197E2">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施工营地</w:t>
                  </w:r>
                </w:p>
              </w:tc>
              <w:tc>
                <w:tcPr>
                  <w:tcW w:w="429" w:type="pct"/>
                  <w:tcBorders>
                    <w:tl2br w:val="nil"/>
                    <w:tr2bl w:val="nil"/>
                  </w:tcBorders>
                  <w:vAlign w:val="center"/>
                </w:tcPr>
                <w:p w14:paraId="540F5EA5">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施工期</w:t>
                  </w:r>
                </w:p>
              </w:tc>
              <w:tc>
                <w:tcPr>
                  <w:tcW w:w="429" w:type="pct"/>
                  <w:tcBorders>
                    <w:tl2br w:val="nil"/>
                    <w:tr2bl w:val="nil"/>
                  </w:tcBorders>
                  <w:vAlign w:val="center"/>
                </w:tcPr>
                <w:p w14:paraId="0A719298">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施工单位</w:t>
                  </w:r>
                </w:p>
              </w:tc>
              <w:tc>
                <w:tcPr>
                  <w:tcW w:w="602" w:type="pct"/>
                  <w:vMerge w:val="continue"/>
                  <w:tcBorders>
                    <w:tl2br w:val="nil"/>
                    <w:tr2bl w:val="nil"/>
                  </w:tcBorders>
                  <w:vAlign w:val="center"/>
                </w:tcPr>
                <w:p w14:paraId="63062455">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tcBorders>
                    <w:tl2br w:val="nil"/>
                    <w:tr2bl w:val="nil"/>
                  </w:tcBorders>
                  <w:vAlign w:val="center"/>
                </w:tcPr>
                <w:p w14:paraId="6627DF3D">
                  <w:pPr>
                    <w:adjustRightInd w:val="0"/>
                    <w:snapToGrid w:val="0"/>
                    <w:spacing w:line="240" w:lineRule="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无废水排入外环境</w:t>
                  </w:r>
                </w:p>
              </w:tc>
            </w:tr>
            <w:tr w14:paraId="7E9D50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4" w:type="pct"/>
                  <w:tcBorders>
                    <w:tl2br w:val="nil"/>
                    <w:tr2bl w:val="nil"/>
                  </w:tcBorders>
                  <w:vAlign w:val="center"/>
                </w:tcPr>
                <w:p w14:paraId="123BF032">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9</w:t>
                  </w:r>
                </w:p>
              </w:tc>
              <w:tc>
                <w:tcPr>
                  <w:tcW w:w="1637" w:type="pct"/>
                  <w:tcBorders>
                    <w:tl2br w:val="nil"/>
                    <w:tr2bl w:val="nil"/>
                  </w:tcBorders>
                  <w:vAlign w:val="center"/>
                </w:tcPr>
                <w:p w14:paraId="1465C0AC">
                  <w:pPr>
                    <w:adjustRightInd w:val="0"/>
                    <w:snapToGrid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采用低噪声设备</w:t>
                  </w:r>
                  <w:r>
                    <w:rPr>
                      <w:rFonts w:hint="eastAsia" w:cs="Times New Roman"/>
                      <w:color w:val="000000" w:themeColor="text1"/>
                      <w:sz w:val="21"/>
                      <w:szCs w:val="21"/>
                      <w:lang w:eastAsia="zh-CN"/>
                      <w14:textFill>
                        <w14:solidFill>
                          <w14:schemeClr w14:val="tx1"/>
                        </w14:solidFill>
                      </w14:textFill>
                    </w:rPr>
                    <w:t>，对</w:t>
                  </w:r>
                  <w:r>
                    <w:rPr>
                      <w:rFonts w:hint="default" w:ascii="Times New Roman" w:hAnsi="Times New Roman" w:cs="Times New Roman"/>
                      <w:color w:val="000000" w:themeColor="text1"/>
                      <w:sz w:val="21"/>
                      <w:szCs w:val="21"/>
                      <w14:textFill>
                        <w14:solidFill>
                          <w14:schemeClr w14:val="tx1"/>
                        </w14:solidFill>
                      </w14:textFill>
                    </w:rPr>
                    <w:t>动力机械设备进行定期维修、养护</w:t>
                  </w:r>
                </w:p>
              </w:tc>
              <w:tc>
                <w:tcPr>
                  <w:tcW w:w="459" w:type="pct"/>
                  <w:tcBorders>
                    <w:tl2br w:val="nil"/>
                    <w:tr2bl w:val="nil"/>
                  </w:tcBorders>
                  <w:vAlign w:val="center"/>
                </w:tcPr>
                <w:p w14:paraId="6124D2FB">
                  <w:pPr>
                    <w:widowControl/>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工程施工区域</w:t>
                  </w:r>
                </w:p>
              </w:tc>
              <w:tc>
                <w:tcPr>
                  <w:tcW w:w="429" w:type="pct"/>
                  <w:tcBorders>
                    <w:tl2br w:val="nil"/>
                    <w:tr2bl w:val="nil"/>
                  </w:tcBorders>
                  <w:vAlign w:val="center"/>
                </w:tcPr>
                <w:p w14:paraId="6728235E">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施工期</w:t>
                  </w:r>
                </w:p>
              </w:tc>
              <w:tc>
                <w:tcPr>
                  <w:tcW w:w="429" w:type="pct"/>
                  <w:tcBorders>
                    <w:tl2br w:val="nil"/>
                    <w:tr2bl w:val="nil"/>
                  </w:tcBorders>
                  <w:vAlign w:val="center"/>
                </w:tcPr>
                <w:p w14:paraId="2AE62CD4">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施工单位</w:t>
                  </w:r>
                </w:p>
              </w:tc>
              <w:tc>
                <w:tcPr>
                  <w:tcW w:w="602" w:type="pct"/>
                  <w:vMerge w:val="continue"/>
                  <w:tcBorders>
                    <w:tl2br w:val="nil"/>
                    <w:tr2bl w:val="nil"/>
                  </w:tcBorders>
                  <w:vAlign w:val="center"/>
                </w:tcPr>
                <w:p w14:paraId="36B38D90">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tcBorders>
                    <w:tl2br w:val="nil"/>
                    <w:tr2bl w:val="nil"/>
                  </w:tcBorders>
                  <w:vAlign w:val="center"/>
                </w:tcPr>
                <w:p w14:paraId="6086CECB">
                  <w:pPr>
                    <w:adjustRightInd w:val="0"/>
                    <w:snapToGrid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对周边声环境影响较小</w:t>
                  </w:r>
                </w:p>
              </w:tc>
            </w:tr>
            <w:tr w14:paraId="7E088F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24" w:type="pct"/>
                  <w:tcBorders>
                    <w:tl2br w:val="nil"/>
                    <w:tr2bl w:val="nil"/>
                  </w:tcBorders>
                  <w:vAlign w:val="center"/>
                </w:tcPr>
                <w:p w14:paraId="2D659238">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10</w:t>
                  </w:r>
                </w:p>
              </w:tc>
              <w:tc>
                <w:tcPr>
                  <w:tcW w:w="1637" w:type="pct"/>
                  <w:tcBorders>
                    <w:tl2br w:val="nil"/>
                    <w:tr2bl w:val="nil"/>
                  </w:tcBorders>
                  <w:vAlign w:val="center"/>
                </w:tcPr>
                <w:p w14:paraId="5E43B3EA">
                  <w:pPr>
                    <w:adjustRightInd w:val="0"/>
                    <w:snapToGrid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施工现场及道路采取洒水降尘、物料运输篷布遮盖、临时土方采用防尘布</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网</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遮盖</w:t>
                  </w:r>
                </w:p>
              </w:tc>
              <w:tc>
                <w:tcPr>
                  <w:tcW w:w="459" w:type="pct"/>
                  <w:tcBorders>
                    <w:tl2br w:val="nil"/>
                    <w:tr2bl w:val="nil"/>
                  </w:tcBorders>
                  <w:vAlign w:val="center"/>
                </w:tcPr>
                <w:p w14:paraId="0D178232">
                  <w:pPr>
                    <w:widowControl/>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工程施工区域</w:t>
                  </w:r>
                </w:p>
              </w:tc>
              <w:tc>
                <w:tcPr>
                  <w:tcW w:w="429" w:type="pct"/>
                  <w:tcBorders>
                    <w:tl2br w:val="nil"/>
                    <w:tr2bl w:val="nil"/>
                  </w:tcBorders>
                  <w:vAlign w:val="center"/>
                </w:tcPr>
                <w:p w14:paraId="70B42E39">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施工期</w:t>
                  </w:r>
                </w:p>
              </w:tc>
              <w:tc>
                <w:tcPr>
                  <w:tcW w:w="429" w:type="pct"/>
                  <w:tcBorders>
                    <w:tl2br w:val="nil"/>
                    <w:tr2bl w:val="nil"/>
                  </w:tcBorders>
                  <w:vAlign w:val="center"/>
                </w:tcPr>
                <w:p w14:paraId="328760E4">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施工单位</w:t>
                  </w:r>
                </w:p>
              </w:tc>
              <w:tc>
                <w:tcPr>
                  <w:tcW w:w="602" w:type="pct"/>
                  <w:vMerge w:val="continue"/>
                  <w:tcBorders>
                    <w:tl2br w:val="nil"/>
                    <w:tr2bl w:val="nil"/>
                  </w:tcBorders>
                  <w:vAlign w:val="center"/>
                </w:tcPr>
                <w:p w14:paraId="6725168B">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tcBorders>
                    <w:tl2br w:val="nil"/>
                    <w:tr2bl w:val="nil"/>
                  </w:tcBorders>
                  <w:vAlign w:val="center"/>
                </w:tcPr>
                <w:p w14:paraId="0D6903E5">
                  <w:pPr>
                    <w:adjustRightInd w:val="0"/>
                    <w:snapToGrid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对周边大气环境影响较小</w:t>
                  </w:r>
                </w:p>
              </w:tc>
            </w:tr>
            <w:tr w14:paraId="527863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324" w:type="pct"/>
                  <w:tcBorders>
                    <w:tl2br w:val="nil"/>
                    <w:tr2bl w:val="nil"/>
                  </w:tcBorders>
                  <w:vAlign w:val="center"/>
                </w:tcPr>
                <w:p w14:paraId="6736D595">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11</w:t>
                  </w:r>
                </w:p>
              </w:tc>
              <w:tc>
                <w:tcPr>
                  <w:tcW w:w="1637" w:type="pct"/>
                  <w:tcBorders>
                    <w:tl2br w:val="nil"/>
                    <w:tr2bl w:val="nil"/>
                  </w:tcBorders>
                  <w:vAlign w:val="center"/>
                </w:tcPr>
                <w:p w14:paraId="77EDF8E8">
                  <w:pPr>
                    <w:adjustRightInd w:val="0"/>
                    <w:snapToGrid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建筑垃圾</w:t>
                  </w:r>
                  <w:r>
                    <w:rPr>
                      <w:rFonts w:hint="default" w:ascii="Times New Roman" w:hAnsi="Times New Roman" w:cs="Times New Roman"/>
                      <w:color w:val="000000" w:themeColor="text1"/>
                      <w:sz w:val="21"/>
                      <w:szCs w:val="21"/>
                      <w:lang w:eastAsia="zh-CN"/>
                      <w14:textFill>
                        <w14:solidFill>
                          <w14:schemeClr w14:val="tx1"/>
                        </w14:solidFill>
                      </w14:textFill>
                    </w:rPr>
                    <w:t>优先回收利用，</w:t>
                  </w:r>
                  <w:r>
                    <w:rPr>
                      <w:rFonts w:hint="default" w:ascii="Times New Roman" w:hAnsi="Times New Roman" w:cs="Times New Roman"/>
                      <w:color w:val="000000" w:themeColor="text1"/>
                      <w:sz w:val="21"/>
                      <w:szCs w:val="21"/>
                      <w:highlight w:val="none"/>
                      <w14:textFill>
                        <w14:solidFill>
                          <w14:schemeClr w14:val="tx1"/>
                        </w14:solidFill>
                      </w14:textFill>
                    </w:rPr>
                    <w:t>不能综合利用</w:t>
                  </w:r>
                  <w:r>
                    <w:rPr>
                      <w:rFonts w:hint="default" w:ascii="Times New Roman" w:hAnsi="Times New Roman" w:cs="Times New Roman"/>
                      <w:color w:val="000000" w:themeColor="text1"/>
                      <w:sz w:val="21"/>
                      <w:szCs w:val="21"/>
                      <w:highlight w:val="none"/>
                      <w:lang w:eastAsia="zh-CN"/>
                      <w14:textFill>
                        <w14:solidFill>
                          <w14:schemeClr w14:val="tx1"/>
                        </w14:solidFill>
                      </w14:textFill>
                    </w:rPr>
                    <w:t>的部分</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统一收集至住建部门指定场所进行处理</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生</w:t>
                  </w:r>
                  <w:r>
                    <w:rPr>
                      <w:rFonts w:hint="default" w:ascii="Times New Roman" w:hAnsi="Times New Roman" w:cs="Times New Roman"/>
                      <w:color w:val="000000" w:themeColor="text1"/>
                      <w:sz w:val="21"/>
                      <w:szCs w:val="21"/>
                      <w14:textFill>
                        <w14:solidFill>
                          <w14:schemeClr w14:val="tx1"/>
                        </w14:solidFill>
                      </w14:textFill>
                    </w:rPr>
                    <w:t>活</w:t>
                  </w:r>
                  <w:r>
                    <w:rPr>
                      <w:rFonts w:hint="default" w:ascii="Times New Roman" w:hAnsi="Times New Roman" w:cs="Times New Roman"/>
                      <w:color w:val="000000" w:themeColor="text1"/>
                      <w:spacing w:val="-4"/>
                      <w:sz w:val="21"/>
                      <w:szCs w:val="21"/>
                      <w14:textFill>
                        <w14:solidFill>
                          <w14:schemeClr w14:val="tx1"/>
                        </w14:solidFill>
                      </w14:textFill>
                    </w:rPr>
                    <w:t>垃圾由环卫部门清运</w:t>
                  </w:r>
                  <w:r>
                    <w:rPr>
                      <w:rFonts w:hint="default" w:ascii="Times New Roman" w:hAnsi="Times New Roman" w:eastAsia="宋体" w:cs="Times New Roman"/>
                      <w:color w:val="000000" w:themeColor="text1"/>
                      <w:spacing w:val="-4"/>
                      <w:sz w:val="21"/>
                      <w:szCs w:val="21"/>
                      <w:lang w:eastAsia="zh-CN"/>
                      <w14:textFill>
                        <w14:solidFill>
                          <w14:schemeClr w14:val="tx1"/>
                        </w14:solidFill>
                      </w14:textFill>
                    </w:rPr>
                    <w:t>至且末县生活垃圾填</w:t>
                  </w:r>
                  <w:r>
                    <w:rPr>
                      <w:rFonts w:hint="default" w:ascii="Times New Roman" w:hAnsi="Times New Roman" w:cs="Times New Roman"/>
                      <w:color w:val="000000" w:themeColor="text1"/>
                      <w:spacing w:val="-4"/>
                      <w:sz w:val="21"/>
                      <w:szCs w:val="21"/>
                      <w:lang w:eastAsia="zh-CN"/>
                      <w14:textFill>
                        <w14:solidFill>
                          <w14:schemeClr w14:val="tx1"/>
                        </w14:solidFill>
                      </w14:textFill>
                    </w:rPr>
                    <w:t>埋场</w:t>
                  </w:r>
                </w:p>
              </w:tc>
              <w:tc>
                <w:tcPr>
                  <w:tcW w:w="459" w:type="pct"/>
                  <w:tcBorders>
                    <w:tl2br w:val="nil"/>
                    <w:tr2bl w:val="nil"/>
                  </w:tcBorders>
                  <w:vAlign w:val="center"/>
                </w:tcPr>
                <w:p w14:paraId="79D20210">
                  <w:pPr>
                    <w:widowControl/>
                    <w:snapToGrid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工程施工区域</w:t>
                  </w:r>
                </w:p>
              </w:tc>
              <w:tc>
                <w:tcPr>
                  <w:tcW w:w="429" w:type="pct"/>
                  <w:tcBorders>
                    <w:tl2br w:val="nil"/>
                    <w:tr2bl w:val="nil"/>
                  </w:tcBorders>
                  <w:vAlign w:val="center"/>
                </w:tcPr>
                <w:p w14:paraId="24050A59">
                  <w:pPr>
                    <w:adjustRightInd w:val="0"/>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施工期</w:t>
                  </w:r>
                </w:p>
              </w:tc>
              <w:tc>
                <w:tcPr>
                  <w:tcW w:w="429" w:type="pct"/>
                  <w:tcBorders>
                    <w:tl2br w:val="nil"/>
                    <w:tr2bl w:val="nil"/>
                  </w:tcBorders>
                  <w:vAlign w:val="center"/>
                </w:tcPr>
                <w:p w14:paraId="57BEE5BC">
                  <w:pPr>
                    <w:widowControl/>
                    <w:snapToGrid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施工单位</w:t>
                  </w:r>
                </w:p>
              </w:tc>
              <w:tc>
                <w:tcPr>
                  <w:tcW w:w="602" w:type="pct"/>
                  <w:vMerge w:val="continue"/>
                  <w:tcBorders>
                    <w:tl2br w:val="nil"/>
                    <w:tr2bl w:val="nil"/>
                  </w:tcBorders>
                  <w:vAlign w:val="center"/>
                </w:tcPr>
                <w:p w14:paraId="45F13F80">
                  <w:pPr>
                    <w:widowControl/>
                    <w:snapToGrid w:val="0"/>
                    <w:spacing w:line="240" w:lineRule="auto"/>
                    <w:rPr>
                      <w:rFonts w:hint="default" w:ascii="Times New Roman" w:hAnsi="Times New Roman" w:cs="Times New Roman"/>
                      <w:color w:val="000000" w:themeColor="text1"/>
                      <w:kern w:val="0"/>
                      <w:sz w:val="21"/>
                      <w:szCs w:val="21"/>
                      <w14:textFill>
                        <w14:solidFill>
                          <w14:schemeClr w14:val="tx1"/>
                        </w14:solidFill>
                      </w14:textFill>
                    </w:rPr>
                  </w:pPr>
                </w:p>
              </w:tc>
              <w:tc>
                <w:tcPr>
                  <w:tcW w:w="1117" w:type="pct"/>
                  <w:tcBorders>
                    <w:tl2br w:val="nil"/>
                    <w:tr2bl w:val="nil"/>
                  </w:tcBorders>
                  <w:vAlign w:val="center"/>
                </w:tcPr>
                <w:p w14:paraId="353867C8">
                  <w:pPr>
                    <w:adjustRightInd w:val="0"/>
                    <w:snapToGrid w:val="0"/>
                    <w:spacing w:line="240" w:lineRule="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固废均得到有效处置，施工迹地得以恢复</w:t>
                  </w:r>
                </w:p>
              </w:tc>
            </w:tr>
          </w:tbl>
          <w:p w14:paraId="5ADA0405">
            <w:pPr>
              <w:adjustRightInd w:val="0"/>
              <w:snapToGrid w:val="0"/>
              <w:spacing w:line="500" w:lineRule="exact"/>
              <w:rPr>
                <w:bCs/>
                <w:color w:val="000000" w:themeColor="text1"/>
                <w:szCs w:val="21"/>
                <w14:textFill>
                  <w14:solidFill>
                    <w14:schemeClr w14:val="tx1"/>
                  </w14:solidFill>
                </w14:textFill>
              </w:rPr>
            </w:pPr>
          </w:p>
          <w:p w14:paraId="574E3F5E">
            <w:pPr>
              <w:rPr>
                <w:rFonts w:hint="eastAsia"/>
                <w:color w:val="000000" w:themeColor="text1"/>
                <w:lang w:eastAsia="zh-CN"/>
                <w14:textFill>
                  <w14:solidFill>
                    <w14:schemeClr w14:val="tx1"/>
                  </w14:solidFill>
                </w14:textFill>
              </w:rPr>
            </w:pPr>
          </w:p>
          <w:p w14:paraId="487AC07D">
            <w:pPr>
              <w:rPr>
                <w:rFonts w:hint="eastAsia"/>
                <w:color w:val="000000" w:themeColor="text1"/>
                <w:lang w:eastAsia="zh-CN"/>
                <w14:textFill>
                  <w14:solidFill>
                    <w14:schemeClr w14:val="tx1"/>
                  </w14:solidFill>
                </w14:textFill>
              </w:rPr>
            </w:pPr>
          </w:p>
          <w:p w14:paraId="6D3D2520">
            <w:pPr>
              <w:rPr>
                <w:rFonts w:hint="eastAsia" w:eastAsia="宋体"/>
                <w:color w:val="000000" w:themeColor="text1"/>
                <w:lang w:eastAsia="zh-CN"/>
                <w14:textFill>
                  <w14:solidFill>
                    <w14:schemeClr w14:val="tx1"/>
                  </w14:solidFill>
                </w14:textFill>
              </w:rPr>
            </w:pPr>
          </w:p>
          <w:p w14:paraId="04864561">
            <w:pPr>
              <w:rPr>
                <w:color w:val="000000" w:themeColor="text1"/>
                <w14:textFill>
                  <w14:solidFill>
                    <w14:schemeClr w14:val="tx1"/>
                  </w14:solidFill>
                </w14:textFill>
              </w:rPr>
            </w:pPr>
          </w:p>
        </w:tc>
      </w:tr>
      <w:tr w14:paraId="5E0D84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90" w:hRule="atLeast"/>
          <w:jc w:val="center"/>
        </w:trPr>
        <w:tc>
          <w:tcPr>
            <w:tcW w:w="406" w:type="pct"/>
            <w:tcMar>
              <w:left w:w="28" w:type="dxa"/>
              <w:right w:w="28" w:type="dxa"/>
            </w:tcMar>
            <w:vAlign w:val="center"/>
          </w:tcPr>
          <w:p w14:paraId="5B7AC133">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运营期生态环境保护措施</w:t>
            </w:r>
          </w:p>
        </w:tc>
        <w:tc>
          <w:tcPr>
            <w:tcW w:w="4593" w:type="pct"/>
          </w:tcPr>
          <w:p w14:paraId="3A102F56">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14:textFill>
                  <w14:solidFill>
                    <w14:schemeClr w14:val="tx1"/>
                  </w14:solidFill>
                </w14:textFill>
              </w:rPr>
              <w:t>1.</w:t>
            </w:r>
            <w:r>
              <w:rPr>
                <w:b/>
                <w:color w:val="000000" w:themeColor="text1"/>
                <w14:textFill>
                  <w14:solidFill>
                    <w14:schemeClr w14:val="tx1"/>
                  </w14:solidFill>
                </w14:textFill>
              </w:rPr>
              <w:t>生态环境保护措施</w:t>
            </w:r>
          </w:p>
          <w:p w14:paraId="1FA8CE7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（1）野生植物保护措施</w:t>
            </w:r>
          </w:p>
          <w:p w14:paraId="31358592">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①加强宣传教育，</w:t>
            </w:r>
            <w:r>
              <w:rPr>
                <w:rFonts w:hint="eastAsia"/>
                <w:color w:val="000000" w:themeColor="text1"/>
                <w:kern w:val="0"/>
                <w:sz w:val="24"/>
                <w:lang w:eastAsia="zh-CN"/>
                <w14:textFill>
                  <w14:solidFill>
                    <w14:schemeClr w14:val="tx1"/>
                  </w14:solidFill>
                </w14:textFill>
              </w:rPr>
              <w:t>增强</w:t>
            </w:r>
            <w:r>
              <w:rPr>
                <w:rFonts w:hint="eastAsia"/>
                <w:color w:val="000000" w:themeColor="text1"/>
                <w:kern w:val="0"/>
                <w:sz w:val="24"/>
                <w14:textFill>
                  <w14:solidFill>
                    <w14:schemeClr w14:val="tx1"/>
                  </w14:solidFill>
                </w14:textFill>
              </w:rPr>
              <w:t>职工的环保意识，严禁乱采</w:t>
            </w:r>
            <w:r>
              <w:rPr>
                <w:rFonts w:hint="eastAsia"/>
                <w:color w:val="000000" w:themeColor="text1"/>
                <w:kern w:val="0"/>
                <w:sz w:val="24"/>
                <w:lang w:val="en-US" w:eastAsia="zh-CN"/>
                <w14:textFill>
                  <w14:solidFill>
                    <w14:schemeClr w14:val="tx1"/>
                  </w14:solidFill>
                </w14:textFill>
              </w:rPr>
              <w:t>滥</w:t>
            </w:r>
            <w:r>
              <w:rPr>
                <w:rFonts w:hint="eastAsia"/>
                <w:color w:val="000000" w:themeColor="text1"/>
                <w:kern w:val="0"/>
                <w:sz w:val="24"/>
                <w14:textFill>
                  <w14:solidFill>
                    <w14:schemeClr w14:val="tx1"/>
                  </w14:solidFill>
                </w14:textFill>
              </w:rPr>
              <w:t>挖植被，减少对土壤植被的破坏。</w:t>
            </w:r>
          </w:p>
          <w:p w14:paraId="63BBF44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default" w:eastAsia="宋体"/>
                <w:color w:val="000000" w:themeColor="text1"/>
                <w:kern w:val="0"/>
                <w:sz w:val="24"/>
                <w:lang w:val="en-US" w:eastAsia="zh-CN"/>
                <w14:textFill>
                  <w14:solidFill>
                    <w14:schemeClr w14:val="tx1"/>
                  </w14:solidFill>
                </w14:textFill>
              </w:rPr>
            </w:pPr>
            <w:r>
              <w:rPr>
                <w:rFonts w:hint="eastAsia"/>
                <w:color w:val="000000" w:themeColor="text1"/>
                <w:kern w:val="0"/>
                <w:sz w:val="24"/>
                <w14:textFill>
                  <w14:solidFill>
                    <w14:schemeClr w14:val="tx1"/>
                  </w14:solidFill>
                </w14:textFill>
              </w:rPr>
              <w:t>②</w:t>
            </w:r>
            <w:r>
              <w:rPr>
                <w:rFonts w:hint="eastAsia"/>
                <w:color w:val="000000" w:themeColor="text1"/>
                <w:kern w:val="0"/>
                <w:sz w:val="24"/>
                <w:lang w:val="en-US" w:eastAsia="zh-CN"/>
                <w14:textFill>
                  <w14:solidFill>
                    <w14:schemeClr w14:val="tx1"/>
                  </w14:solidFill>
                </w14:textFill>
              </w:rPr>
              <w:t>加强对进站道路绿化植被的养护，保证存活率和长势良好。</w:t>
            </w:r>
          </w:p>
          <w:p w14:paraId="028286BF">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③</w:t>
            </w:r>
            <w:r>
              <w:rPr>
                <w:rFonts w:hint="eastAsia"/>
                <w:color w:val="000000" w:themeColor="text1"/>
                <w:kern w:val="0"/>
                <w:sz w:val="24"/>
                <w14:textFill>
                  <w14:solidFill>
                    <w14:schemeClr w14:val="tx1"/>
                  </w14:solidFill>
                </w14:textFill>
              </w:rPr>
              <w:t>运营期间，严格限定车辆的运输路线，如因事故</w:t>
            </w:r>
            <w:r>
              <w:rPr>
                <w:rFonts w:hint="eastAsia"/>
                <w:color w:val="000000" w:themeColor="text1"/>
                <w:kern w:val="0"/>
                <w:sz w:val="24"/>
                <w:lang w:eastAsia="zh-CN"/>
                <w14:textFill>
                  <w14:solidFill>
                    <w14:schemeClr w14:val="tx1"/>
                  </w14:solidFill>
                </w14:textFill>
              </w:rPr>
              <w:t>造成</w:t>
            </w:r>
            <w:r>
              <w:rPr>
                <w:rFonts w:hint="eastAsia"/>
                <w:color w:val="000000" w:themeColor="text1"/>
                <w:kern w:val="0"/>
                <w:sz w:val="24"/>
                <w14:textFill>
                  <w14:solidFill>
                    <w14:schemeClr w14:val="tx1"/>
                  </w14:solidFill>
                </w14:textFill>
              </w:rPr>
              <w:t>土壤、植被的破坏，应及时恢复原状。</w:t>
            </w:r>
          </w:p>
          <w:p w14:paraId="32C4D124">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2</w:t>
            </w:r>
            <w:r>
              <w:rPr>
                <w:rFonts w:hint="eastAsia"/>
                <w:color w:val="000000" w:themeColor="text1"/>
                <w:kern w:val="0"/>
                <w:sz w:val="24"/>
                <w14:textFill>
                  <w14:solidFill>
                    <w14:schemeClr w14:val="tx1"/>
                  </w14:solidFill>
                </w14:textFill>
              </w:rPr>
              <w:t>）野生动物保护措施</w:t>
            </w:r>
          </w:p>
          <w:p w14:paraId="64EA57C6">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①对工作人员加强教育，禁止猎杀野生动物。</w:t>
            </w:r>
          </w:p>
          <w:p w14:paraId="2720E838">
            <w:pPr>
              <w:keepNext w:val="0"/>
              <w:keepLines w:val="0"/>
              <w:pageBreakBefore w:val="0"/>
              <w:widowControl w:val="0"/>
              <w:kinsoku/>
              <w:wordWrap/>
              <w:overflowPunct/>
              <w:topLinePunct w:val="0"/>
              <w:autoSpaceDE/>
              <w:autoSpaceDN/>
              <w:bidi w:val="0"/>
              <w:spacing w:line="500" w:lineRule="exact"/>
              <w:ind w:left="0" w:leftChars="0" w:firstLine="480" w:firstLineChars="200"/>
              <w:textAlignment w:val="auto"/>
              <w:rPr>
                <w:rFonts w:ascii="宋体" w:hAnsi="宋体" w:cs="宋体"/>
                <w:color w:val="000000" w:themeColor="text1"/>
                <w:kern w:val="0"/>
                <w14:textFill>
                  <w14:solidFill>
                    <w14:schemeClr w14:val="tx1"/>
                  </w14:solidFill>
                </w14:textFill>
              </w:rPr>
            </w:pPr>
            <w:r>
              <w:rPr>
                <w:rFonts w:hint="eastAsia"/>
                <w:color w:val="000000" w:themeColor="text1"/>
                <w:kern w:val="0"/>
                <w:sz w:val="24"/>
                <w14:textFill>
                  <w14:solidFill>
                    <w14:schemeClr w14:val="tx1"/>
                  </w14:solidFill>
                </w14:textFill>
              </w:rPr>
              <w:t>②限制车辆行驶路线，行车路线尽可能避让野生动物觅食、栖息地。</w:t>
            </w:r>
          </w:p>
          <w:p w14:paraId="210BE288">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w:t>
            </w:r>
            <w:r>
              <w:rPr>
                <w:rFonts w:hint="eastAsia"/>
                <w:color w:val="000000" w:themeColor="text1"/>
                <w:kern w:val="0"/>
                <w:sz w:val="24"/>
                <w:lang w:val="en-US" w:eastAsia="zh-CN"/>
                <w14:textFill>
                  <w14:solidFill>
                    <w14:schemeClr w14:val="tx1"/>
                  </w14:solidFill>
                </w14:textFill>
              </w:rPr>
              <w:t>3</w:t>
            </w:r>
            <w:r>
              <w:rPr>
                <w:rFonts w:hint="eastAsia"/>
                <w:color w:val="000000" w:themeColor="text1"/>
                <w:kern w:val="0"/>
                <w:sz w:val="24"/>
                <w14:textFill>
                  <w14:solidFill>
                    <w14:schemeClr w14:val="tx1"/>
                  </w14:solidFill>
                </w14:textFill>
              </w:rPr>
              <w:t>）防沙治沙措施</w:t>
            </w:r>
          </w:p>
          <w:p w14:paraId="14654187">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项目经建设阶段采用防沙治沙措施后，运营后为保障沙化影响进一步降低，建议建设单位采取以下治理措施：</w:t>
            </w:r>
          </w:p>
          <w:p w14:paraId="64FFC4B0">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①建设单位履行社会责任，积极参与政府组织的各类防沙治沙活动。</w:t>
            </w:r>
          </w:p>
          <w:p w14:paraId="55C2D701">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②运营期间，建设单位应设置防沙治沙工作小组，由企业领导担任组长，负责厂区防沙治沙的统筹工作，防沙治沙工作小组应制定相应的防沙治沙管理制度、工作计划、防沙治沙方案等。</w:t>
            </w:r>
          </w:p>
          <w:p w14:paraId="3991010D">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480" w:firstLineChars="200"/>
              <w:textAlignment w:val="auto"/>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在采取以上措施后，本项目的建设和运营对项目区生态环境会产生一定的正面效应，不会加剧项目区土地的沙化。</w:t>
            </w:r>
          </w:p>
          <w:p w14:paraId="5F586DAB">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2</w:t>
            </w:r>
            <w:r>
              <w:rPr>
                <w:rFonts w:hint="eastAsia"/>
                <w:b/>
                <w:color w:val="000000" w:themeColor="text1"/>
                <w14:textFill>
                  <w14:solidFill>
                    <w14:schemeClr w14:val="tx1"/>
                  </w14:solidFill>
                </w14:textFill>
              </w:rPr>
              <w:t>.大气环境保护措施</w:t>
            </w:r>
          </w:p>
          <w:p w14:paraId="12374473">
            <w:pPr>
              <w:adjustRightInd w:val="0"/>
              <w:spacing w:line="500" w:lineRule="exact"/>
              <w:ind w:firstLine="48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项目运行过程中应定期对</w:t>
            </w:r>
            <w:r>
              <w:rPr>
                <w:rFonts w:hint="eastAsia" w:ascii="Times New Roman" w:hAnsi="Times New Roman" w:eastAsia="宋体"/>
                <w:b w:val="0"/>
                <w:bCs/>
                <w:color w:val="000000" w:themeColor="text1"/>
                <w14:textFill>
                  <w14:solidFill>
                    <w14:schemeClr w14:val="tx1"/>
                  </w14:solidFill>
                </w14:textFill>
              </w:rPr>
              <w:t>220kV升压汇集站</w:t>
            </w:r>
            <w:r>
              <w:rPr>
                <w:rFonts w:hint="eastAsia"/>
                <w:bCs/>
                <w:color w:val="000000" w:themeColor="text1"/>
                <w14:textFill>
                  <w14:solidFill>
                    <w14:schemeClr w14:val="tx1"/>
                  </w14:solidFill>
                </w14:textFill>
              </w:rPr>
              <w:t>事故油池的密闭性进行检查</w:t>
            </w:r>
            <w:r>
              <w:rPr>
                <w:rFonts w:hint="eastAsia"/>
                <w:bCs/>
                <w:color w:val="000000" w:themeColor="text1"/>
                <w:lang w:eastAsia="zh-CN"/>
                <w14:textFill>
                  <w14:solidFill>
                    <w14:schemeClr w14:val="tx1"/>
                  </w14:solidFill>
                </w14:textFill>
              </w:rPr>
              <w:t>，在</w:t>
            </w:r>
            <w:r>
              <w:rPr>
                <w:rFonts w:hint="eastAsia"/>
                <w:bCs/>
                <w:color w:val="000000" w:themeColor="text1"/>
                <w14:textFill>
                  <w14:solidFill>
                    <w14:schemeClr w14:val="tx1"/>
                  </w14:solidFill>
                </w14:textFill>
              </w:rPr>
              <w:t>检修过程中加强管理，防止事故油外泄。食堂产生的油烟需经油烟净化器处理后达标排放。</w:t>
            </w:r>
          </w:p>
          <w:p w14:paraId="51523B66">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3</w:t>
            </w:r>
            <w:r>
              <w:rPr>
                <w:rFonts w:hint="eastAsia"/>
                <w:b/>
                <w:color w:val="000000" w:themeColor="text1"/>
                <w14:textFill>
                  <w14:solidFill>
                    <w14:schemeClr w14:val="tx1"/>
                  </w14:solidFill>
                </w14:textFill>
              </w:rPr>
              <w:t>.</w:t>
            </w:r>
            <w:r>
              <w:rPr>
                <w:rFonts w:hint="eastAsia"/>
                <w:b/>
                <w:color w:val="000000" w:themeColor="text1"/>
                <w:lang w:eastAsia="zh-CN"/>
                <w14:textFill>
                  <w14:solidFill>
                    <w14:schemeClr w14:val="tx1"/>
                  </w14:solidFill>
                </w14:textFill>
              </w:rPr>
              <w:t>地表</w:t>
            </w:r>
            <w:r>
              <w:rPr>
                <w:b/>
                <w:color w:val="000000" w:themeColor="text1"/>
                <w14:textFill>
                  <w14:solidFill>
                    <w14:schemeClr w14:val="tx1"/>
                  </w14:solidFill>
                </w14:textFill>
              </w:rPr>
              <w:t>水污染防治措施</w:t>
            </w:r>
          </w:p>
          <w:p w14:paraId="43C707CB">
            <w:pPr>
              <w:adjustRightInd w:val="0"/>
              <w:snapToGrid w:val="0"/>
              <w:spacing w:line="520" w:lineRule="atLeas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加强</w:t>
            </w:r>
            <w:r>
              <w:rPr>
                <w:rFonts w:hint="eastAsia"/>
                <w:color w:val="000000" w:themeColor="text1"/>
                <w:sz w:val="24"/>
                <w14:textFill>
                  <w14:solidFill>
                    <w14:schemeClr w14:val="tx1"/>
                  </w14:solidFill>
                </w14:textFill>
              </w:rPr>
              <w:t>升压</w:t>
            </w:r>
            <w:r>
              <w:rPr>
                <w:rFonts w:hint="eastAsia"/>
                <w:color w:val="000000" w:themeColor="text1"/>
                <w:sz w:val="24"/>
                <w:lang w:val="en-US" w:eastAsia="zh-CN"/>
                <w14:textFill>
                  <w14:solidFill>
                    <w14:schemeClr w14:val="tx1"/>
                  </w14:solidFill>
                </w14:textFill>
              </w:rPr>
              <w:t>汇集</w:t>
            </w:r>
            <w:r>
              <w:rPr>
                <w:rFonts w:hint="eastAsia"/>
                <w:color w:val="000000" w:themeColor="text1"/>
                <w:sz w:val="24"/>
                <w14:textFill>
                  <w14:solidFill>
                    <w14:schemeClr w14:val="tx1"/>
                  </w14:solidFill>
                </w14:textFill>
              </w:rPr>
              <w:t>站</w:t>
            </w:r>
            <w:r>
              <w:rPr>
                <w:rFonts w:hint="eastAsia"/>
                <w:color w:val="000000" w:themeColor="text1"/>
                <w:sz w:val="24"/>
                <w:lang w:val="en-US" w:eastAsia="zh-CN"/>
                <w14:textFill>
                  <w14:solidFill>
                    <w14:schemeClr w14:val="tx1"/>
                  </w14:solidFill>
                </w14:textFill>
              </w:rPr>
              <w:t>主变、危废贮存点等巡检频次</w:t>
            </w:r>
            <w:r>
              <w:rPr>
                <w:color w:val="000000" w:themeColor="text1"/>
                <w:sz w:val="24"/>
                <w14:textFill>
                  <w14:solidFill>
                    <w14:schemeClr w14:val="tx1"/>
                  </w14:solidFill>
                </w14:textFill>
              </w:rPr>
              <w:t>，尽量避免跑、冒、滴、漏现象。</w:t>
            </w:r>
          </w:p>
          <w:p w14:paraId="38383A38">
            <w:pPr>
              <w:adjustRightInd w:val="0"/>
              <w:snapToGrid w:val="0"/>
              <w:spacing w:line="520" w:lineRule="atLeas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（2）工作</w:t>
            </w:r>
            <w:r>
              <w:rPr>
                <w:color w:val="000000" w:themeColor="text1"/>
                <w:sz w:val="24"/>
                <w14:textFill>
                  <w14:solidFill>
                    <w14:schemeClr w14:val="tx1"/>
                  </w14:solidFill>
                </w14:textFill>
              </w:rPr>
              <w:t>人员产生的生活污水</w:t>
            </w:r>
            <w:r>
              <w:rPr>
                <w:rFonts w:hint="eastAsia"/>
                <w:color w:val="000000" w:themeColor="text1"/>
                <w:sz w:val="24"/>
                <w:lang w:val="en-US" w:eastAsia="zh-CN"/>
                <w14:textFill>
                  <w14:solidFill>
                    <w14:schemeClr w14:val="tx1"/>
                  </w14:solidFill>
                </w14:textFill>
              </w:rPr>
              <w:t>经一体化污水处理设施收集</w:t>
            </w:r>
            <w:r>
              <w:rPr>
                <w:rFonts w:hint="eastAsia"/>
                <w:color w:val="000000" w:themeColor="text1"/>
                <w:sz w:val="24"/>
                <w14:textFill>
                  <w14:solidFill>
                    <w14:schemeClr w14:val="tx1"/>
                  </w14:solidFill>
                </w14:textFill>
              </w:rPr>
              <w:t>处理后，</w:t>
            </w:r>
            <w:r>
              <w:rPr>
                <w:rFonts w:hint="eastAsia"/>
                <w:color w:val="000000" w:themeColor="text1"/>
                <w:sz w:val="24"/>
                <w:lang w:val="en-US" w:eastAsia="zh-CN"/>
                <w14:textFill>
                  <w14:solidFill>
                    <w14:schemeClr w14:val="tx1"/>
                  </w14:solidFill>
                </w14:textFill>
              </w:rPr>
              <w:t>满足</w:t>
            </w:r>
            <w:r>
              <w:rPr>
                <w:rFonts w:hint="eastAsia"/>
                <w:color w:val="000000" w:themeColor="text1"/>
                <w:sz w:val="24"/>
                <w14:textFill>
                  <w14:solidFill>
                    <w14:schemeClr w14:val="tx1"/>
                  </w14:solidFill>
                </w14:textFill>
              </w:rPr>
              <w:t>《</w:t>
            </w:r>
            <w:r>
              <w:rPr>
                <w:rFonts w:ascii="宋体" w:hAnsi="宋体" w:eastAsia="宋体" w:cs="宋体"/>
                <w:color w:val="000000" w:themeColor="text1"/>
                <w:sz w:val="24"/>
                <w:szCs w:val="24"/>
                <w14:textFill>
                  <w14:solidFill>
                    <w14:schemeClr w14:val="tx1"/>
                  </w14:solidFill>
                </w14:textFill>
              </w:rPr>
              <w:t>农村生活污水处理排放标准</w:t>
            </w:r>
            <w:r>
              <w:rPr>
                <w:rFonts w:hint="eastAsia"/>
                <w:color w:val="000000" w:themeColor="text1"/>
                <w:sz w:val="24"/>
                <w14:textFill>
                  <w14:solidFill>
                    <w14:schemeClr w14:val="tx1"/>
                  </w14:solidFill>
                </w14:textFill>
              </w:rPr>
              <w:t>》（DB 65 4275-2019）</w:t>
            </w:r>
            <w:r>
              <w:rPr>
                <w:rFonts w:hint="eastAsia"/>
                <w:color w:val="000000" w:themeColor="text1"/>
                <w:sz w:val="24"/>
                <w:lang w:val="en-US" w:eastAsia="zh-CN"/>
                <w14:textFill>
                  <w14:solidFill>
                    <w14:schemeClr w14:val="tx1"/>
                  </w14:solidFill>
                </w14:textFill>
              </w:rPr>
              <w:t>B级标准限值要求</w:t>
            </w:r>
            <w:r>
              <w:rPr>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冬储夏灌，</w:t>
            </w:r>
            <w:r>
              <w:rPr>
                <w:color w:val="000000" w:themeColor="text1"/>
                <w:sz w:val="24"/>
                <w14:textFill>
                  <w14:solidFill>
                    <w14:schemeClr w14:val="tx1"/>
                  </w14:solidFill>
                </w14:textFill>
              </w:rPr>
              <w:t>对</w:t>
            </w:r>
            <w:r>
              <w:rPr>
                <w:rFonts w:hint="eastAsia"/>
                <w:color w:val="000000" w:themeColor="text1"/>
                <w:sz w:val="24"/>
                <w:lang w:val="en-US" w:eastAsia="zh-CN"/>
                <w14:textFill>
                  <w14:solidFill>
                    <w14:schemeClr w14:val="tx1"/>
                  </w14:solidFill>
                </w14:textFill>
              </w:rPr>
              <w:t>水</w:t>
            </w:r>
            <w:r>
              <w:rPr>
                <w:color w:val="000000" w:themeColor="text1"/>
                <w:sz w:val="24"/>
                <w14:textFill>
                  <w14:solidFill>
                    <w14:schemeClr w14:val="tx1"/>
                  </w14:solidFill>
                </w14:textFill>
              </w:rPr>
              <w:t>环境影响很小。</w:t>
            </w:r>
          </w:p>
          <w:p w14:paraId="7260327F">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482" w:firstLineChars="200"/>
              <w:textAlignment w:val="auto"/>
              <w:rPr>
                <w:b/>
                <w:color w:val="000000" w:themeColor="text1"/>
                <w:kern w:val="0"/>
                <w:sz w:val="24"/>
                <w14:textFill>
                  <w14:solidFill>
                    <w14:schemeClr w14:val="tx1"/>
                  </w14:solidFill>
                </w14:textFill>
              </w:rPr>
            </w:pPr>
            <w:r>
              <w:rPr>
                <w:rFonts w:hint="eastAsia"/>
                <w:b/>
                <w:color w:val="000000" w:themeColor="text1"/>
                <w:kern w:val="0"/>
                <w:sz w:val="24"/>
                <w:lang w:val="en-US" w:eastAsia="zh-CN"/>
                <w14:textFill>
                  <w14:solidFill>
                    <w14:schemeClr w14:val="tx1"/>
                  </w14:solidFill>
                </w14:textFill>
              </w:rPr>
              <w:t>4.</w:t>
            </w:r>
            <w:r>
              <w:rPr>
                <w:b/>
                <w:color w:val="000000" w:themeColor="text1"/>
                <w:kern w:val="0"/>
                <w:sz w:val="24"/>
                <w14:textFill>
                  <w14:solidFill>
                    <w14:schemeClr w14:val="tx1"/>
                  </w14:solidFill>
                </w14:textFill>
              </w:rPr>
              <w:t>运营期</w:t>
            </w:r>
            <w:r>
              <w:rPr>
                <w:rFonts w:hint="eastAsia"/>
                <w:b/>
                <w:color w:val="000000" w:themeColor="text1"/>
                <w:kern w:val="0"/>
                <w:sz w:val="24"/>
                <w14:textFill>
                  <w14:solidFill>
                    <w14:schemeClr w14:val="tx1"/>
                  </w14:solidFill>
                </w14:textFill>
              </w:rPr>
              <w:t>声</w:t>
            </w:r>
            <w:r>
              <w:rPr>
                <w:b/>
                <w:color w:val="000000" w:themeColor="text1"/>
                <w:kern w:val="0"/>
                <w:sz w:val="24"/>
                <w14:textFill>
                  <w14:solidFill>
                    <w14:schemeClr w14:val="tx1"/>
                  </w14:solidFill>
                </w14:textFill>
              </w:rPr>
              <w:t>环境保护措施</w:t>
            </w:r>
          </w:p>
          <w:p w14:paraId="02F28B37">
            <w:pPr>
              <w:pStyle w:val="99"/>
              <w:keepNext w:val="0"/>
              <w:keepLines w:val="0"/>
              <w:pageBreakBefore w:val="0"/>
              <w:widowControl w:val="0"/>
              <w:kinsoku/>
              <w:wordWrap/>
              <w:overflowPunct/>
              <w:topLinePunct w:val="0"/>
              <w:bidi w:val="0"/>
              <w:spacing w:line="500" w:lineRule="exact"/>
              <w:rPr>
                <w:color w:val="000000" w:themeColor="text1"/>
                <w:szCs w:val="24"/>
                <w14:textFill>
                  <w14:solidFill>
                    <w14:schemeClr w14:val="tx1"/>
                  </w14:solidFill>
                </w14:textFill>
              </w:rPr>
            </w:pPr>
            <w:r>
              <w:rPr>
                <w:color w:val="000000" w:themeColor="text1"/>
                <w:szCs w:val="24"/>
                <w14:textFill>
                  <w14:solidFill>
                    <w14:schemeClr w14:val="tx1"/>
                  </w14:solidFill>
                </w14:textFill>
              </w:rPr>
              <w:t>噪声防治对策应该主要从声源上降低噪声和从噪声传播等途径上进行，建议企业采取如下降噪措施：</w:t>
            </w:r>
          </w:p>
          <w:p w14:paraId="46EDA09B">
            <w:pPr>
              <w:pStyle w:val="99"/>
              <w:keepNext w:val="0"/>
              <w:keepLines w:val="0"/>
              <w:pageBreakBefore w:val="0"/>
              <w:widowControl w:val="0"/>
              <w:kinsoku/>
              <w:wordWrap/>
              <w:overflowPunct/>
              <w:topLinePunct w:val="0"/>
              <w:bidi w:val="0"/>
              <w:spacing w:line="500" w:lineRule="exact"/>
              <w:rPr>
                <w:color w:val="000000" w:themeColor="text1"/>
                <w:szCs w:val="24"/>
                <w14:textFill>
                  <w14:solidFill>
                    <w14:schemeClr w14:val="tx1"/>
                  </w14:solidFill>
                </w14:textFill>
              </w:rPr>
            </w:pPr>
            <w:r>
              <w:rPr>
                <w:rFonts w:hint="eastAsia"/>
                <w:color w:val="000000" w:themeColor="text1"/>
                <w:szCs w:val="24"/>
                <w:lang w:eastAsia="zh-CN"/>
                <w14:textFill>
                  <w14:solidFill>
                    <w14:schemeClr w14:val="tx1"/>
                  </w14:solidFill>
                </w14:textFill>
              </w:rPr>
              <w:t>（</w:t>
            </w:r>
            <w:r>
              <w:rPr>
                <w:rFonts w:hint="eastAsia"/>
                <w:color w:val="000000" w:themeColor="text1"/>
                <w:szCs w:val="24"/>
                <w:lang w:val="en-US" w:eastAsia="zh-CN"/>
                <w14:textFill>
                  <w14:solidFill>
                    <w14:schemeClr w14:val="tx1"/>
                  </w14:solidFill>
                </w14:textFill>
              </w:rPr>
              <w:t>1</w:t>
            </w:r>
            <w:r>
              <w:rPr>
                <w:rFonts w:hint="eastAsia"/>
                <w:color w:val="000000" w:themeColor="text1"/>
                <w:szCs w:val="24"/>
                <w:lang w:eastAsia="zh-CN"/>
                <w14:textFill>
                  <w14:solidFill>
                    <w14:schemeClr w14:val="tx1"/>
                  </w14:solidFill>
                </w14:textFill>
              </w:rPr>
              <w:t>）</w:t>
            </w:r>
            <w:r>
              <w:rPr>
                <w:color w:val="000000" w:themeColor="text1"/>
                <w:szCs w:val="24"/>
                <w14:textFill>
                  <w14:solidFill>
                    <w14:schemeClr w14:val="tx1"/>
                  </w14:solidFill>
                </w14:textFill>
              </w:rPr>
              <w:t>在设计和设备采购阶段，优先选用先进的低噪音设备，从声源上降低设备本身</w:t>
            </w:r>
            <w:r>
              <w:rPr>
                <w:rFonts w:hint="eastAsia"/>
                <w:color w:val="000000" w:themeColor="text1"/>
                <w:szCs w:val="24"/>
                <w:lang w:eastAsia="zh-CN"/>
                <w14:textFill>
                  <w14:solidFill>
                    <w14:schemeClr w14:val="tx1"/>
                  </w14:solidFill>
                </w14:textFill>
              </w:rPr>
              <w:t>噪声</w:t>
            </w:r>
            <w:r>
              <w:rPr>
                <w:color w:val="000000" w:themeColor="text1"/>
                <w:szCs w:val="24"/>
                <w14:textFill>
                  <w14:solidFill>
                    <w14:schemeClr w14:val="tx1"/>
                  </w14:solidFill>
                </w14:textFill>
              </w:rPr>
              <w:t>。</w:t>
            </w:r>
          </w:p>
          <w:p w14:paraId="041FCF19">
            <w:pPr>
              <w:pStyle w:val="99"/>
              <w:keepNext w:val="0"/>
              <w:keepLines w:val="0"/>
              <w:pageBreakBefore w:val="0"/>
              <w:widowControl w:val="0"/>
              <w:kinsoku/>
              <w:wordWrap/>
              <w:overflowPunct/>
              <w:topLinePunct w:val="0"/>
              <w:bidi w:val="0"/>
              <w:spacing w:line="500" w:lineRule="exact"/>
              <w:rPr>
                <w:color w:val="000000" w:themeColor="text1"/>
                <w:szCs w:val="24"/>
                <w14:textFill>
                  <w14:solidFill>
                    <w14:schemeClr w14:val="tx1"/>
                  </w14:solidFill>
                </w14:textFill>
              </w:rPr>
            </w:pPr>
            <w:r>
              <w:rPr>
                <w:rFonts w:hint="eastAsia"/>
                <w:color w:val="000000" w:themeColor="text1"/>
                <w:szCs w:val="24"/>
                <w:lang w:eastAsia="zh-CN"/>
                <w14:textFill>
                  <w14:solidFill>
                    <w14:schemeClr w14:val="tx1"/>
                  </w14:solidFill>
                </w14:textFill>
              </w:rPr>
              <w:t>（</w:t>
            </w:r>
            <w:r>
              <w:rPr>
                <w:rFonts w:hint="eastAsia"/>
                <w:color w:val="000000" w:themeColor="text1"/>
                <w:szCs w:val="24"/>
                <w:lang w:val="en-US" w:eastAsia="zh-CN"/>
                <w14:textFill>
                  <w14:solidFill>
                    <w14:schemeClr w14:val="tx1"/>
                  </w14:solidFill>
                </w14:textFill>
              </w:rPr>
              <w:t>2</w:t>
            </w:r>
            <w:r>
              <w:rPr>
                <w:rFonts w:hint="eastAsia"/>
                <w:color w:val="000000" w:themeColor="text1"/>
                <w:szCs w:val="24"/>
                <w:lang w:eastAsia="zh-CN"/>
                <w14:textFill>
                  <w14:solidFill>
                    <w14:schemeClr w14:val="tx1"/>
                  </w14:solidFill>
                </w14:textFill>
              </w:rPr>
              <w:t>）</w:t>
            </w:r>
            <w:r>
              <w:rPr>
                <w:color w:val="000000" w:themeColor="text1"/>
                <w:szCs w:val="24"/>
                <w14:textFill>
                  <w14:solidFill>
                    <w14:schemeClr w14:val="tx1"/>
                  </w14:solidFill>
                </w14:textFill>
              </w:rPr>
              <w:t>日常生产需加强对各设备的维修、保养，对其主要磨损部位要及时添加润滑油，确保设备处于良好的运转状态，杜绝因设备不正常运转而产生的高噪音现象。加强管理。</w:t>
            </w:r>
          </w:p>
          <w:p w14:paraId="1B63A83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baseline"/>
              <w:rPr>
                <w:rFonts w:hint="eastAsia"/>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（3）升压</w:t>
            </w:r>
            <w:r>
              <w:rPr>
                <w:rFonts w:hint="eastAsia"/>
                <w:color w:val="000000" w:themeColor="text1"/>
                <w:kern w:val="0"/>
                <w:sz w:val="24"/>
                <w:lang w:val="en-US" w:eastAsia="zh-CN"/>
                <w14:textFill>
                  <w14:solidFill>
                    <w14:schemeClr w14:val="tx1"/>
                  </w14:solidFill>
                </w14:textFill>
              </w:rPr>
              <w:t>汇集</w:t>
            </w:r>
            <w:r>
              <w:rPr>
                <w:rFonts w:hint="eastAsia"/>
                <w:color w:val="000000" w:themeColor="text1"/>
                <w:kern w:val="0"/>
                <w:sz w:val="24"/>
                <w14:textFill>
                  <w14:solidFill>
                    <w14:schemeClr w14:val="tx1"/>
                  </w14:solidFill>
                </w14:textFill>
              </w:rPr>
              <w:t>站合理布局站内电气设备及配电装置；加强站内电气设备的日常维护，使其处于良好的运行状态，避免设备异常噪声排放以减少噪声对厂区环境的影响。</w:t>
            </w:r>
          </w:p>
          <w:p w14:paraId="428A1D0A">
            <w:pPr>
              <w:keepNext w:val="0"/>
              <w:keepLines w:val="0"/>
              <w:pageBreakBefore w:val="0"/>
              <w:widowControl w:val="0"/>
              <w:kinsoku/>
              <w:wordWrap/>
              <w:overflowPunct/>
              <w:topLinePunct w:val="0"/>
              <w:autoSpaceDE/>
              <w:autoSpaceDN/>
              <w:bidi w:val="0"/>
              <w:adjustRightInd w:val="0"/>
              <w:snapToGrid/>
              <w:spacing w:line="500" w:lineRule="exact"/>
              <w:ind w:firstLine="482" w:firstLineChars="200"/>
              <w:textAlignment w:val="auto"/>
              <w:rPr>
                <w:rFonts w:hint="default" w:eastAsia="宋体"/>
                <w:b/>
                <w:color w:val="000000" w:themeColor="text1"/>
                <w:lang w:val="en-US" w:eastAsia="zh-CN"/>
                <w14:textFill>
                  <w14:solidFill>
                    <w14:schemeClr w14:val="tx1"/>
                  </w14:solidFill>
                </w14:textFill>
              </w:rPr>
            </w:pPr>
            <w:r>
              <w:rPr>
                <w:rFonts w:hint="eastAsia"/>
                <w:b/>
                <w:color w:val="000000" w:themeColor="text1"/>
                <w:lang w:val="en-US" w:eastAsia="zh-CN"/>
                <w14:textFill>
                  <w14:solidFill>
                    <w14:schemeClr w14:val="tx1"/>
                  </w14:solidFill>
                </w14:textFill>
              </w:rPr>
              <w:t>5.地下水及土壤保护措施</w:t>
            </w:r>
          </w:p>
          <w:p w14:paraId="77E7183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ascii="宋体" w:hAnsi="宋体" w:cs="宋体"/>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本项目运营期正常运转情况下产生的废物不存在地下水、土壤环境污染途径</w:t>
            </w:r>
            <w:r>
              <w:rPr>
                <w:rFonts w:hint="eastAsia" w:ascii="宋体" w:hAnsi="宋体" w:cs="宋体"/>
                <w:color w:val="000000" w:themeColor="text1"/>
                <w14:textFill>
                  <w14:solidFill>
                    <w14:schemeClr w14:val="tx1"/>
                  </w14:solidFill>
                </w14:textFill>
              </w:rPr>
              <w:t>。</w:t>
            </w:r>
            <w:r>
              <w:rPr>
                <w:rFonts w:ascii="宋体" w:hAnsi="宋体" w:cs="宋体"/>
                <w:color w:val="000000" w:themeColor="text1"/>
                <w14:textFill>
                  <w14:solidFill>
                    <w14:schemeClr w14:val="tx1"/>
                  </w14:solidFill>
                </w14:textFill>
              </w:rPr>
              <w:t>与本项目地下水及土壤相关的污染源可能为</w:t>
            </w:r>
            <w:r>
              <w:rPr>
                <w:rFonts w:hint="eastAsia" w:ascii="宋体" w:hAnsi="宋体" w:cs="宋体"/>
                <w:color w:val="000000" w:themeColor="text1"/>
                <w14:textFill>
                  <w14:solidFill>
                    <w14:schemeClr w14:val="tx1"/>
                  </w14:solidFill>
                </w14:textFill>
              </w:rPr>
              <w:t>废变压器油</w:t>
            </w:r>
            <w:r>
              <w:rPr>
                <w:rFonts w:hint="eastAsia" w:ascii="宋体" w:hAnsi="宋体" w:cs="宋体"/>
                <w:color w:val="000000" w:themeColor="text1"/>
                <w:lang w:eastAsia="zh-CN"/>
                <w14:textFill>
                  <w14:solidFill>
                    <w14:schemeClr w14:val="tx1"/>
                  </w14:solidFill>
                </w14:textFill>
              </w:rPr>
              <w:t>泄漏</w:t>
            </w:r>
            <w:r>
              <w:rPr>
                <w:rFonts w:hint="eastAsia" w:ascii="宋体" w:hAnsi="宋体" w:cs="宋体"/>
                <w:color w:val="000000" w:themeColor="text1"/>
                <w14:textFill>
                  <w14:solidFill>
                    <w14:schemeClr w14:val="tx1"/>
                  </w14:solidFill>
                </w14:textFill>
              </w:rPr>
              <w:t>且事故油池丧失防渗能力，</w:t>
            </w:r>
            <w:r>
              <w:rPr>
                <w:rFonts w:ascii="宋体" w:hAnsi="宋体" w:cs="宋体"/>
                <w:color w:val="000000" w:themeColor="text1"/>
                <w14:textFill>
                  <w14:solidFill>
                    <w14:schemeClr w14:val="tx1"/>
                  </w14:solidFill>
                </w14:textFill>
              </w:rPr>
              <w:t>导致</w:t>
            </w:r>
            <w:r>
              <w:rPr>
                <w:rFonts w:hint="eastAsia" w:ascii="宋体" w:hAnsi="宋体" w:cs="宋体"/>
                <w:color w:val="000000" w:themeColor="text1"/>
                <w14:textFill>
                  <w14:solidFill>
                    <w14:schemeClr w14:val="tx1"/>
                  </w14:solidFill>
                </w14:textFill>
              </w:rPr>
              <w:t>污染物</w:t>
            </w:r>
            <w:r>
              <w:rPr>
                <w:rFonts w:ascii="宋体" w:hAnsi="宋体" w:cs="宋体"/>
                <w:color w:val="000000" w:themeColor="text1"/>
                <w14:textFill>
                  <w14:solidFill>
                    <w14:schemeClr w14:val="tx1"/>
                  </w14:solidFill>
                </w14:textFill>
              </w:rPr>
              <w:t>渗入</w:t>
            </w:r>
            <w:r>
              <w:rPr>
                <w:rFonts w:hint="eastAsia" w:ascii="宋体" w:hAnsi="宋体" w:cs="宋体"/>
                <w:color w:val="000000" w:themeColor="text1"/>
                <w14:textFill>
                  <w14:solidFill>
                    <w14:schemeClr w14:val="tx1"/>
                  </w14:solidFill>
                </w14:textFill>
              </w:rPr>
              <w:t>土壤，污染土壤环境；由于项目区地下水埋深较深，如在发现</w:t>
            </w:r>
            <w:r>
              <w:rPr>
                <w:rFonts w:hint="eastAsia" w:ascii="宋体" w:hAnsi="宋体" w:cs="宋体"/>
                <w:color w:val="000000" w:themeColor="text1"/>
                <w:lang w:eastAsia="zh-CN"/>
                <w14:textFill>
                  <w14:solidFill>
                    <w14:schemeClr w14:val="tx1"/>
                  </w14:solidFill>
                </w14:textFill>
              </w:rPr>
              <w:t>泄漏</w:t>
            </w:r>
            <w:r>
              <w:rPr>
                <w:rFonts w:hint="eastAsia" w:ascii="宋体" w:hAnsi="宋体" w:cs="宋体"/>
                <w:color w:val="000000" w:themeColor="text1"/>
                <w14:textFill>
                  <w14:solidFill>
                    <w14:schemeClr w14:val="tx1"/>
                  </w14:solidFill>
                </w14:textFill>
              </w:rPr>
              <w:t>及时采取措施的前提下，污染地下水可能性较小。</w:t>
            </w:r>
          </w:p>
          <w:p w14:paraId="2BF07F8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Cs/>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针对可能发生的地下水及土壤污染，</w:t>
            </w:r>
            <w:r>
              <w:rPr>
                <w:bCs/>
                <w:color w:val="000000" w:themeColor="text1"/>
                <w14:textFill>
                  <w14:solidFill>
                    <w14:schemeClr w14:val="tx1"/>
                  </w14:solidFill>
                </w14:textFill>
              </w:rPr>
              <w:t>本项目运行期地下水及土壤污染防治措施将按照</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源头控制、分区防治、污染监控、应急响应</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相结合的原则，从污染物的产生、入渗、扩散、应急响应全方位进行防控。</w:t>
            </w:r>
          </w:p>
          <w:p w14:paraId="7EFA264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Cs/>
                <w:color w:val="000000" w:themeColor="text1"/>
                <w14:textFill>
                  <w14:solidFill>
                    <w14:schemeClr w14:val="tx1"/>
                  </w14:solidFill>
                </w14:textFill>
              </w:rPr>
            </w:pPr>
            <w:r>
              <w:rPr>
                <w:bCs/>
                <w:color w:val="000000" w:themeColor="text1"/>
                <w14:textFill>
                  <w14:solidFill>
                    <w14:schemeClr w14:val="tx1"/>
                  </w14:solidFill>
                </w14:textFill>
              </w:rPr>
              <w:t>（1）源头控制措施</w:t>
            </w:r>
          </w:p>
          <w:p w14:paraId="3B6FBFE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Cs/>
                <w:color w:val="000000" w:themeColor="text1"/>
                <w14:textFill>
                  <w14:solidFill>
                    <w14:schemeClr w14:val="tx1"/>
                  </w14:solidFill>
                </w14:textFill>
              </w:rPr>
            </w:pPr>
            <w:r>
              <w:rPr>
                <w:bCs/>
                <w:color w:val="000000" w:themeColor="text1"/>
                <w14:textFill>
                  <w14:solidFill>
                    <w14:schemeClr w14:val="tx1"/>
                  </w14:solidFill>
                </w14:textFill>
              </w:rPr>
              <w:t>定期检查</w:t>
            </w:r>
            <w:r>
              <w:rPr>
                <w:rFonts w:hint="eastAsia"/>
                <w:bCs/>
                <w:color w:val="000000" w:themeColor="text1"/>
                <w14:textFill>
                  <w14:solidFill>
                    <w14:schemeClr w14:val="tx1"/>
                  </w14:solidFill>
                </w14:textFill>
              </w:rPr>
              <w:t>事故油池的</w:t>
            </w:r>
            <w:r>
              <w:rPr>
                <w:bCs/>
                <w:color w:val="000000" w:themeColor="text1"/>
                <w14:textFill>
                  <w14:solidFill>
                    <w14:schemeClr w14:val="tx1"/>
                  </w14:solidFill>
                </w14:textFill>
              </w:rPr>
              <w:t>密封性，查看池壁或池底是否发生破损。</w:t>
            </w:r>
          </w:p>
          <w:p w14:paraId="0E89B25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Cs/>
                <w:color w:val="000000" w:themeColor="text1"/>
                <w14:textFill>
                  <w14:solidFill>
                    <w14:schemeClr w14:val="tx1"/>
                  </w14:solidFill>
                </w14:textFill>
              </w:rPr>
            </w:pPr>
            <w:r>
              <w:rPr>
                <w:bCs/>
                <w:color w:val="000000" w:themeColor="text1"/>
                <w14:textFill>
                  <w14:solidFill>
                    <w14:schemeClr w14:val="tx1"/>
                  </w14:solidFill>
                </w14:textFill>
              </w:rPr>
              <w:t>（2）分区防渗</w:t>
            </w:r>
          </w:p>
          <w:p w14:paraId="421980A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b/>
                <w:color w:val="000000" w:themeColor="text1"/>
                <w14:textFill>
                  <w14:solidFill>
                    <w14:schemeClr w14:val="tx1"/>
                  </w14:solidFill>
                </w14:textFill>
              </w:rPr>
            </w:pPr>
            <w:r>
              <w:rPr>
                <w:bCs/>
                <w:color w:val="000000" w:themeColor="text1"/>
                <w14:textFill>
                  <w14:solidFill>
                    <w14:schemeClr w14:val="tx1"/>
                  </w14:solidFill>
                </w14:textFill>
              </w:rPr>
              <w:t>参照《环境影响评价技术导则 地下水环境》（HJ610-2016）、《一般工业固体废物贮存和填埋污染控制标准》（GB18599-2020）、《危险废物贮存污染控制标准》</w:t>
            </w:r>
            <w:r>
              <w:rPr>
                <w:color w:val="000000" w:themeColor="text1"/>
                <w14:textFill>
                  <w14:solidFill>
                    <w14:schemeClr w14:val="tx1"/>
                  </w14:solidFill>
                </w14:textFill>
              </w:rPr>
              <w:t>（GB18597-2023）</w:t>
            </w:r>
            <w:r>
              <w:rPr>
                <w:bCs/>
                <w:color w:val="000000" w:themeColor="text1"/>
                <w14:textFill>
                  <w14:solidFill>
                    <w14:schemeClr w14:val="tx1"/>
                  </w14:solidFill>
                </w14:textFill>
              </w:rPr>
              <w:t>，本项目的防渗污染防治区划见表</w:t>
            </w:r>
            <w:r>
              <w:rPr>
                <w:rFonts w:hint="eastAsia"/>
                <w:bCs/>
                <w:color w:val="000000" w:themeColor="text1"/>
                <w:lang w:val="en-US" w:eastAsia="zh-CN"/>
                <w14:textFill>
                  <w14:solidFill>
                    <w14:schemeClr w14:val="tx1"/>
                  </w14:solidFill>
                </w14:textFill>
              </w:rPr>
              <w:t>5-2</w:t>
            </w:r>
            <w:r>
              <w:rPr>
                <w:b/>
                <w:color w:val="000000" w:themeColor="text1"/>
                <w14:textFill>
                  <w14:solidFill>
                    <w14:schemeClr w14:val="tx1"/>
                  </w14:solidFill>
                </w14:textFill>
              </w:rPr>
              <w:t>。</w:t>
            </w:r>
          </w:p>
          <w:p w14:paraId="13065D27">
            <w:pPr>
              <w:keepNext w:val="0"/>
              <w:keepLines w:val="0"/>
              <w:pageBreakBefore w:val="0"/>
              <w:widowControl w:val="0"/>
              <w:tabs>
                <w:tab w:val="left" w:pos="4586"/>
                <w:tab w:val="left" w:pos="5786"/>
              </w:tabs>
              <w:kinsoku/>
              <w:wordWrap/>
              <w:overflowPunct/>
              <w:topLinePunct w:val="0"/>
              <w:autoSpaceDE w:val="0"/>
              <w:autoSpaceDN w:val="0"/>
              <w:bidi w:val="0"/>
              <w:adjustRightInd w:val="0"/>
              <w:snapToGrid w:val="0"/>
              <w:spacing w:before="157" w:beforeLines="50" w:line="240" w:lineRule="auto"/>
              <w:ind w:firstLine="0" w:firstLineChars="0"/>
              <w:jc w:val="center"/>
              <w:textAlignment w:val="auto"/>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表</w:t>
            </w:r>
            <w:r>
              <w:rPr>
                <w:rFonts w:hint="eastAsia" w:eastAsia="黑体" w:cs="Times New Roman"/>
                <w:b w:val="0"/>
                <w:bCs w:val="0"/>
                <w:color w:val="000000" w:themeColor="text1"/>
                <w:sz w:val="21"/>
                <w:szCs w:val="21"/>
                <w:lang w:val="en-US" w:eastAsia="zh-CN"/>
                <w14:textFill>
                  <w14:solidFill>
                    <w14:schemeClr w14:val="tx1"/>
                  </w14:solidFill>
                </w14:textFill>
              </w:rPr>
              <w:t xml:space="preserve">5-2   </w:t>
            </w:r>
            <w:r>
              <w:rPr>
                <w:rFonts w:hint="eastAsia" w:ascii="Times New Roman" w:hAnsi="Times New Roman" w:eastAsia="黑体" w:cs="Times New Roman"/>
                <w:b w:val="0"/>
                <w:bCs w:val="0"/>
                <w:color w:val="000000" w:themeColor="text1"/>
                <w:sz w:val="21"/>
                <w:szCs w:val="21"/>
                <w:lang w:val="en-US" w:eastAsia="zh-CN"/>
                <w14:textFill>
                  <w14:solidFill>
                    <w14:schemeClr w14:val="tx1"/>
                  </w14:solidFill>
                </w14:textFill>
              </w:rPr>
              <w:t>分区防渗一览表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639"/>
              <w:gridCol w:w="2145"/>
              <w:gridCol w:w="4552"/>
            </w:tblGrid>
            <w:tr w14:paraId="57B67A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286" w:hRule="atLeast"/>
                <w:jc w:val="center"/>
              </w:trPr>
              <w:tc>
                <w:tcPr>
                  <w:tcW w:w="983" w:type="pct"/>
                  <w:tcBorders>
                    <w:tl2br w:val="nil"/>
                    <w:tr2bl w:val="nil"/>
                  </w:tcBorders>
                  <w:tcMar>
                    <w:left w:w="57" w:type="dxa"/>
                    <w:right w:w="57" w:type="dxa"/>
                  </w:tcMar>
                  <w:vAlign w:val="center"/>
                </w:tcPr>
                <w:p w14:paraId="13E7D6CF">
                  <w:pPr>
                    <w:pStyle w:val="54"/>
                    <w:autoSpaceDE/>
                    <w:autoSpaceDN/>
                    <w:spacing w:line="240" w:lineRule="exact"/>
                    <w:ind w:firstLine="0" w:firstLineChars="0"/>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防渗区分类</w:t>
                  </w:r>
                </w:p>
              </w:tc>
              <w:tc>
                <w:tcPr>
                  <w:tcW w:w="1286" w:type="pct"/>
                  <w:tcBorders>
                    <w:tl2br w:val="nil"/>
                    <w:tr2bl w:val="nil"/>
                  </w:tcBorders>
                  <w:tcMar>
                    <w:left w:w="57" w:type="dxa"/>
                    <w:right w:w="57" w:type="dxa"/>
                  </w:tcMar>
                  <w:vAlign w:val="center"/>
                </w:tcPr>
                <w:p w14:paraId="00D40E37">
                  <w:pPr>
                    <w:pStyle w:val="54"/>
                    <w:autoSpaceDE/>
                    <w:autoSpaceDN/>
                    <w:spacing w:line="240" w:lineRule="exact"/>
                    <w:ind w:firstLine="0" w:firstLineChars="0"/>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区域</w:t>
                  </w:r>
                </w:p>
              </w:tc>
              <w:tc>
                <w:tcPr>
                  <w:tcW w:w="2729" w:type="pct"/>
                  <w:tcBorders>
                    <w:tl2br w:val="nil"/>
                    <w:tr2bl w:val="nil"/>
                  </w:tcBorders>
                  <w:tcMar>
                    <w:left w:w="57" w:type="dxa"/>
                    <w:right w:w="57" w:type="dxa"/>
                  </w:tcMar>
                  <w:vAlign w:val="center"/>
                </w:tcPr>
                <w:p w14:paraId="64C51344">
                  <w:pPr>
                    <w:pStyle w:val="54"/>
                    <w:autoSpaceDE/>
                    <w:autoSpaceDN/>
                    <w:spacing w:line="240" w:lineRule="exact"/>
                    <w:ind w:firstLine="0" w:firstLineChars="0"/>
                    <w:jc w:val="center"/>
                    <w:rPr>
                      <w:rFonts w:ascii="Times New Roman" w:hAnsi="Times New Roman" w:eastAsia="宋体" w:cs="Times New Roman"/>
                      <w:b/>
                      <w:bCs/>
                      <w:color w:val="000000" w:themeColor="text1"/>
                      <w:sz w:val="21"/>
                      <w:szCs w:val="21"/>
                      <w14:textFill>
                        <w14:solidFill>
                          <w14:schemeClr w14:val="tx1"/>
                        </w14:solidFill>
                      </w14:textFill>
                    </w:rPr>
                  </w:pPr>
                  <w:r>
                    <w:rPr>
                      <w:rFonts w:ascii="Times New Roman" w:hAnsi="Times New Roman" w:eastAsia="宋体" w:cs="Times New Roman"/>
                      <w:b/>
                      <w:bCs/>
                      <w:color w:val="000000" w:themeColor="text1"/>
                      <w:sz w:val="21"/>
                      <w:szCs w:val="21"/>
                      <w14:textFill>
                        <w14:solidFill>
                          <w14:schemeClr w14:val="tx1"/>
                        </w14:solidFill>
                      </w14:textFill>
                    </w:rPr>
                    <w:t>防渗要求</w:t>
                  </w:r>
                </w:p>
              </w:tc>
            </w:tr>
            <w:tr w14:paraId="6FC56C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68" w:hRule="atLeast"/>
                <w:jc w:val="center"/>
              </w:trPr>
              <w:tc>
                <w:tcPr>
                  <w:tcW w:w="983" w:type="pct"/>
                  <w:tcBorders>
                    <w:tl2br w:val="nil"/>
                    <w:tr2bl w:val="nil"/>
                  </w:tcBorders>
                  <w:tcMar>
                    <w:left w:w="57" w:type="dxa"/>
                    <w:right w:w="57" w:type="dxa"/>
                  </w:tcMar>
                  <w:vAlign w:val="center"/>
                </w:tcPr>
                <w:p w14:paraId="3136A926">
                  <w:pPr>
                    <w:pStyle w:val="54"/>
                    <w:autoSpaceDE/>
                    <w:autoSpaceDN/>
                    <w:spacing w:line="240" w:lineRule="exact"/>
                    <w:ind w:firstLine="0" w:firstLineChars="0"/>
                    <w:jc w:val="center"/>
                    <w:rPr>
                      <w:rFonts w:ascii="Times New Roman" w:hAnsi="Times New Roman" w:eastAsia="宋体" w:cs="Times New Roman"/>
                      <w:bCs/>
                      <w:color w:val="000000" w:themeColor="text1"/>
                      <w:sz w:val="21"/>
                      <w:szCs w:val="21"/>
                      <w14:textFill>
                        <w14:solidFill>
                          <w14:schemeClr w14:val="tx1"/>
                        </w14:solidFill>
                      </w14:textFill>
                    </w:rPr>
                  </w:pPr>
                  <w:r>
                    <w:rPr>
                      <w:rFonts w:ascii="Times New Roman" w:hAnsi="Times New Roman" w:eastAsia="宋体" w:cs="Times New Roman"/>
                      <w:bCs/>
                      <w:color w:val="000000" w:themeColor="text1"/>
                      <w:sz w:val="21"/>
                      <w:szCs w:val="21"/>
                      <w14:textFill>
                        <w14:solidFill>
                          <w14:schemeClr w14:val="tx1"/>
                        </w14:solidFill>
                      </w14:textFill>
                    </w:rPr>
                    <w:t>简单污染防渗区</w:t>
                  </w:r>
                </w:p>
              </w:tc>
              <w:tc>
                <w:tcPr>
                  <w:tcW w:w="1286" w:type="pct"/>
                  <w:tcBorders>
                    <w:tl2br w:val="nil"/>
                    <w:tr2bl w:val="nil"/>
                  </w:tcBorders>
                  <w:tcMar>
                    <w:left w:w="57" w:type="dxa"/>
                    <w:right w:w="57" w:type="dxa"/>
                  </w:tcMar>
                  <w:vAlign w:val="center"/>
                </w:tcPr>
                <w:p w14:paraId="0D0D05E0">
                  <w:pPr>
                    <w:pStyle w:val="54"/>
                    <w:autoSpaceDE/>
                    <w:autoSpaceDN/>
                    <w:spacing w:line="240" w:lineRule="exact"/>
                    <w:ind w:firstLine="0" w:firstLineChars="0"/>
                    <w:jc w:val="center"/>
                    <w:rPr>
                      <w:rFonts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14:textFill>
                        <w14:solidFill>
                          <w14:schemeClr w14:val="tx1"/>
                        </w14:solidFill>
                      </w14:textFill>
                    </w:rPr>
                    <w:t>办公生活用房、道路等</w:t>
                  </w:r>
                </w:p>
              </w:tc>
              <w:tc>
                <w:tcPr>
                  <w:tcW w:w="2729" w:type="pct"/>
                  <w:tcBorders>
                    <w:tl2br w:val="nil"/>
                    <w:tr2bl w:val="nil"/>
                  </w:tcBorders>
                  <w:tcMar>
                    <w:left w:w="57" w:type="dxa"/>
                    <w:right w:w="57" w:type="dxa"/>
                  </w:tcMar>
                  <w:vAlign w:val="center"/>
                </w:tcPr>
                <w:p w14:paraId="4438C1B8">
                  <w:pPr>
                    <w:pStyle w:val="54"/>
                    <w:autoSpaceDE/>
                    <w:autoSpaceDN/>
                    <w:spacing w:line="240" w:lineRule="exact"/>
                    <w:ind w:firstLine="0" w:firstLineChars="0"/>
                    <w:jc w:val="center"/>
                    <w:rPr>
                      <w:rFonts w:ascii="Times New Roman" w:hAnsi="Times New Roman" w:eastAsia="宋体" w:cs="Times New Roman"/>
                      <w:bCs/>
                      <w:color w:val="000000" w:themeColor="text1"/>
                      <w:sz w:val="21"/>
                      <w:szCs w:val="21"/>
                      <w14:textFill>
                        <w14:solidFill>
                          <w14:schemeClr w14:val="tx1"/>
                        </w14:solidFill>
                      </w14:textFill>
                    </w:rPr>
                  </w:pPr>
                  <w:r>
                    <w:rPr>
                      <w:rFonts w:ascii="Times New Roman" w:hAnsi="Times New Roman" w:eastAsia="宋体" w:cs="Times New Roman"/>
                      <w:bCs/>
                      <w:color w:val="000000" w:themeColor="text1"/>
                      <w:sz w:val="21"/>
                      <w:szCs w:val="21"/>
                      <w14:textFill>
                        <w14:solidFill>
                          <w14:schemeClr w14:val="tx1"/>
                        </w14:solidFill>
                      </w14:textFill>
                    </w:rPr>
                    <w:t>水泥硬化防渗</w:t>
                  </w:r>
                </w:p>
              </w:tc>
            </w:tr>
            <w:tr w14:paraId="35661E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983" w:type="pct"/>
                  <w:tcBorders>
                    <w:tl2br w:val="nil"/>
                    <w:tr2bl w:val="nil"/>
                  </w:tcBorders>
                  <w:tcMar>
                    <w:left w:w="57" w:type="dxa"/>
                    <w:right w:w="57" w:type="dxa"/>
                  </w:tcMar>
                  <w:vAlign w:val="center"/>
                </w:tcPr>
                <w:p w14:paraId="13542AD7">
                  <w:pPr>
                    <w:pStyle w:val="54"/>
                    <w:autoSpaceDE/>
                    <w:autoSpaceDN/>
                    <w:spacing w:line="24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一般污染防渗区</w:t>
                  </w:r>
                </w:p>
              </w:tc>
              <w:tc>
                <w:tcPr>
                  <w:tcW w:w="1286" w:type="pct"/>
                  <w:tcBorders>
                    <w:tl2br w:val="nil"/>
                    <w:tr2bl w:val="nil"/>
                  </w:tcBorders>
                  <w:tcMar>
                    <w:left w:w="57" w:type="dxa"/>
                    <w:right w:w="57" w:type="dxa"/>
                  </w:tcMar>
                  <w:vAlign w:val="center"/>
                </w:tcPr>
                <w:p w14:paraId="26199048">
                  <w:pPr>
                    <w:pStyle w:val="54"/>
                    <w:autoSpaceDE/>
                    <w:autoSpaceDN/>
                    <w:spacing w:line="240" w:lineRule="exact"/>
                    <w:ind w:firstLine="0" w:firstLineChars="0"/>
                    <w:jc w:val="center"/>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220kV</w:t>
                  </w:r>
                  <w:r>
                    <w:rPr>
                      <w:rFonts w:hint="eastAsia" w:ascii="Times New Roman" w:hAnsi="Times New Roman" w:eastAsia="宋体" w:cs="Times New Roman"/>
                      <w:color w:val="000000" w:themeColor="text1"/>
                      <w:sz w:val="21"/>
                      <w:szCs w:val="21"/>
                      <w14:textFill>
                        <w14:solidFill>
                          <w14:schemeClr w14:val="tx1"/>
                        </w14:solidFill>
                      </w14:textFill>
                    </w:rPr>
                    <w:t>升压</w:t>
                  </w:r>
                  <w:r>
                    <w:rPr>
                      <w:rFonts w:hint="eastAsia" w:ascii="Times New Roman" w:hAnsi="Times New Roman" w:cs="Times New Roman"/>
                      <w:color w:val="000000" w:themeColor="text1"/>
                      <w:sz w:val="21"/>
                      <w:szCs w:val="21"/>
                      <w:lang w:eastAsia="zh-CN"/>
                      <w14:textFill>
                        <w14:solidFill>
                          <w14:schemeClr w14:val="tx1"/>
                        </w14:solidFill>
                      </w14:textFill>
                    </w:rPr>
                    <w:t>汇集</w:t>
                  </w:r>
                  <w:r>
                    <w:rPr>
                      <w:rFonts w:hint="eastAsia" w:ascii="Times New Roman" w:hAnsi="Times New Roman" w:eastAsia="宋体" w:cs="Times New Roman"/>
                      <w:color w:val="000000" w:themeColor="text1"/>
                      <w:sz w:val="21"/>
                      <w:szCs w:val="21"/>
                      <w14:textFill>
                        <w14:solidFill>
                          <w14:schemeClr w14:val="tx1"/>
                        </w14:solidFill>
                      </w14:textFill>
                    </w:rPr>
                    <w:t>站</w:t>
                  </w:r>
                  <w:r>
                    <w:rPr>
                      <w:rFonts w:hint="eastAsia" w:ascii="Times New Roman" w:hAnsi="Times New Roman" w:cs="Times New Roman"/>
                      <w:color w:val="000000" w:themeColor="text1"/>
                      <w:sz w:val="21"/>
                      <w:szCs w:val="21"/>
                      <w:lang w:val="en-US" w:eastAsia="zh-CN"/>
                      <w14:textFill>
                        <w14:solidFill>
                          <w14:schemeClr w14:val="tx1"/>
                        </w14:solidFill>
                      </w14:textFill>
                    </w:rPr>
                    <w:t>生产区</w:t>
                  </w:r>
                  <w:r>
                    <w:rPr>
                      <w:rFonts w:hint="eastAsia" w:ascii="Times New Roman" w:hAnsi="Times New Roman" w:eastAsia="宋体" w:cs="Times New Roman"/>
                      <w:color w:val="000000" w:themeColor="text1"/>
                      <w:sz w:val="21"/>
                      <w:szCs w:val="21"/>
                      <w14:textFill>
                        <w14:solidFill>
                          <w14:schemeClr w14:val="tx1"/>
                        </w14:solidFill>
                      </w14:textFill>
                    </w:rPr>
                    <w:t>、地埋式一体化污水处理设施</w:t>
                  </w:r>
                  <w:r>
                    <w:rPr>
                      <w:rFonts w:hint="eastAsia" w:ascii="Times New Roman" w:hAnsi="Times New Roman" w:cs="Times New Roman"/>
                      <w:color w:val="000000" w:themeColor="text1"/>
                      <w:sz w:val="21"/>
                      <w:szCs w:val="21"/>
                      <w:lang w:val="en-US" w:eastAsia="zh-CN"/>
                      <w14:textFill>
                        <w14:solidFill>
                          <w14:schemeClr w14:val="tx1"/>
                        </w14:solidFill>
                      </w14:textFill>
                    </w:rPr>
                    <w:t>等</w:t>
                  </w:r>
                </w:p>
              </w:tc>
              <w:tc>
                <w:tcPr>
                  <w:tcW w:w="2729" w:type="pct"/>
                  <w:tcBorders>
                    <w:tl2br w:val="nil"/>
                    <w:tr2bl w:val="nil"/>
                  </w:tcBorders>
                  <w:tcMar>
                    <w:left w:w="57" w:type="dxa"/>
                    <w:right w:w="57" w:type="dxa"/>
                  </w:tcMar>
                  <w:vAlign w:val="center"/>
                </w:tcPr>
                <w:p w14:paraId="1C6F15EC">
                  <w:pPr>
                    <w:pStyle w:val="54"/>
                    <w:keepNext w:val="0"/>
                    <w:keepLines w:val="0"/>
                    <w:pageBreakBefore w:val="0"/>
                    <w:widowControl w:val="0"/>
                    <w:kinsoku/>
                    <w:wordWrap/>
                    <w:overflowPunct/>
                    <w:topLinePunct w:val="0"/>
                    <w:autoSpaceDE/>
                    <w:autoSpaceDN/>
                    <w:bidi w:val="0"/>
                    <w:adjustRightInd/>
                    <w:snapToGrid/>
                    <w:spacing w:line="240" w:lineRule="exact"/>
                    <w:ind w:left="-120" w:leftChars="-50" w:right="-120" w:rightChars="-50" w:firstLine="0" w:firstLineChars="0"/>
                    <w:jc w:val="center"/>
                    <w:textAlignment w:val="auto"/>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等效黏土防渗层Mb≥1.5m，K≤1.0×10</w:t>
                  </w:r>
                  <w:r>
                    <w:rPr>
                      <w:rFonts w:hint="eastAsia" w:ascii="Times New Roman" w:hAnsi="Times New Roman" w:eastAsia="宋体" w:cs="Times New Roman"/>
                      <w:color w:val="000000" w:themeColor="text1"/>
                      <w:sz w:val="21"/>
                      <w:szCs w:val="21"/>
                      <w:vertAlign w:val="superscript"/>
                      <w14:textFill>
                        <w14:solidFill>
                          <w14:schemeClr w14:val="tx1"/>
                        </w14:solidFill>
                      </w14:textFill>
                    </w:rPr>
                    <w:t>-7</w:t>
                  </w:r>
                  <w:r>
                    <w:rPr>
                      <w:rFonts w:hint="eastAsia" w:ascii="Times New Roman" w:hAnsi="Times New Roman" w:eastAsia="宋体" w:cs="Times New Roman"/>
                      <w:color w:val="000000" w:themeColor="text1"/>
                      <w:sz w:val="21"/>
                      <w:szCs w:val="21"/>
                      <w14:textFill>
                        <w14:solidFill>
                          <w14:schemeClr w14:val="tx1"/>
                        </w14:solidFill>
                      </w14:textFill>
                    </w:rPr>
                    <w:t>cm/s</w:t>
                  </w:r>
                </w:p>
              </w:tc>
            </w:tr>
            <w:tr w14:paraId="2EF639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553" w:hRule="atLeast"/>
                <w:jc w:val="center"/>
              </w:trPr>
              <w:tc>
                <w:tcPr>
                  <w:tcW w:w="983" w:type="pct"/>
                  <w:vMerge w:val="restart"/>
                  <w:tcBorders>
                    <w:tl2br w:val="nil"/>
                    <w:tr2bl w:val="nil"/>
                  </w:tcBorders>
                  <w:tcMar>
                    <w:left w:w="57" w:type="dxa"/>
                    <w:right w:w="57" w:type="dxa"/>
                  </w:tcMar>
                  <w:vAlign w:val="center"/>
                </w:tcPr>
                <w:p w14:paraId="33620EFD">
                  <w:pPr>
                    <w:pStyle w:val="54"/>
                    <w:autoSpaceDE/>
                    <w:autoSpaceDN/>
                    <w:spacing w:line="24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重点污染防渗区</w:t>
                  </w:r>
                </w:p>
              </w:tc>
              <w:tc>
                <w:tcPr>
                  <w:tcW w:w="1286" w:type="pct"/>
                  <w:tcBorders>
                    <w:tl2br w:val="nil"/>
                    <w:tr2bl w:val="nil"/>
                  </w:tcBorders>
                  <w:tcMar>
                    <w:left w:w="57" w:type="dxa"/>
                    <w:right w:w="57" w:type="dxa"/>
                  </w:tcMar>
                  <w:vAlign w:val="center"/>
                </w:tcPr>
                <w:p w14:paraId="4BA295B8">
                  <w:pPr>
                    <w:pStyle w:val="54"/>
                    <w:autoSpaceDE/>
                    <w:autoSpaceDN/>
                    <w:spacing w:line="24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事故油池</w:t>
                  </w:r>
                </w:p>
              </w:tc>
              <w:tc>
                <w:tcPr>
                  <w:tcW w:w="2729" w:type="pct"/>
                  <w:tcBorders>
                    <w:tl2br w:val="nil"/>
                    <w:tr2bl w:val="nil"/>
                  </w:tcBorders>
                  <w:tcMar>
                    <w:left w:w="57" w:type="dxa"/>
                    <w:right w:w="57" w:type="dxa"/>
                  </w:tcMar>
                  <w:vAlign w:val="center"/>
                </w:tcPr>
                <w:p w14:paraId="258C3A5E">
                  <w:pPr>
                    <w:pStyle w:val="54"/>
                    <w:autoSpaceDE/>
                    <w:autoSpaceDN/>
                    <w:spacing w:line="24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至少2mm厚高密度聚乙烯膜等人工防渗材料（渗透系数不大于10</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vertAlign w:val="superscript"/>
                      <w14:textFill>
                        <w14:solidFill>
                          <w14:schemeClr w14:val="tx1"/>
                        </w14:solidFill>
                      </w14:textFill>
                    </w:rPr>
                    <w:t>10</w:t>
                  </w:r>
                  <w:r>
                    <w:rPr>
                      <w:rFonts w:hint="eastAsia" w:ascii="Times New Roman" w:hAnsi="Times New Roman" w:eastAsia="宋体" w:cs="Times New Roman"/>
                      <w:color w:val="000000" w:themeColor="text1"/>
                      <w:sz w:val="21"/>
                      <w:szCs w:val="21"/>
                      <w14:textFill>
                        <w14:solidFill>
                          <w14:schemeClr w14:val="tx1"/>
                        </w14:solidFill>
                      </w14:textFill>
                    </w:rPr>
                    <w:t>cm/s）</w:t>
                  </w:r>
                </w:p>
              </w:tc>
            </w:tr>
            <w:tr w14:paraId="0B254F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3" w:hRule="atLeast"/>
                <w:jc w:val="center"/>
              </w:trPr>
              <w:tc>
                <w:tcPr>
                  <w:tcW w:w="983" w:type="pct"/>
                  <w:vMerge w:val="continue"/>
                  <w:tcBorders>
                    <w:tl2br w:val="nil"/>
                    <w:tr2bl w:val="nil"/>
                  </w:tcBorders>
                  <w:tcMar>
                    <w:left w:w="57" w:type="dxa"/>
                    <w:right w:w="57" w:type="dxa"/>
                  </w:tcMar>
                  <w:vAlign w:val="center"/>
                </w:tcPr>
                <w:p w14:paraId="055775D6">
                  <w:pPr>
                    <w:pStyle w:val="54"/>
                    <w:autoSpaceDE/>
                    <w:autoSpaceDN/>
                    <w:spacing w:line="24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1286" w:type="pct"/>
                  <w:tcBorders>
                    <w:tl2br w:val="nil"/>
                    <w:tr2bl w:val="nil"/>
                  </w:tcBorders>
                  <w:tcMar>
                    <w:left w:w="57" w:type="dxa"/>
                    <w:right w:w="57" w:type="dxa"/>
                  </w:tcMar>
                  <w:vAlign w:val="center"/>
                </w:tcPr>
                <w:p w14:paraId="5676DA21">
                  <w:pPr>
                    <w:pStyle w:val="54"/>
                    <w:autoSpaceDE/>
                    <w:autoSpaceDN/>
                    <w:spacing w:line="24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危险废物</w:t>
                  </w:r>
                  <w:r>
                    <w:rPr>
                      <w:rFonts w:hint="eastAsia" w:ascii="Times New Roman" w:hAnsi="Times New Roman" w:cs="Times New Roman"/>
                      <w:color w:val="000000" w:themeColor="text1"/>
                      <w:sz w:val="21"/>
                      <w:szCs w:val="21"/>
                      <w:lang w:val="en-US" w:eastAsia="zh-CN"/>
                      <w14:textFill>
                        <w14:solidFill>
                          <w14:schemeClr w14:val="tx1"/>
                        </w14:solidFill>
                      </w14:textFill>
                    </w:rPr>
                    <w:t>贮存点</w:t>
                  </w:r>
                </w:p>
              </w:tc>
              <w:tc>
                <w:tcPr>
                  <w:tcW w:w="2729" w:type="pct"/>
                  <w:tcBorders>
                    <w:tl2br w:val="nil"/>
                    <w:tr2bl w:val="nil"/>
                  </w:tcBorders>
                  <w:tcMar>
                    <w:left w:w="57" w:type="dxa"/>
                    <w:right w:w="57" w:type="dxa"/>
                  </w:tcMar>
                  <w:vAlign w:val="center"/>
                </w:tcPr>
                <w:p w14:paraId="4FD2A8A3">
                  <w:pPr>
                    <w:pStyle w:val="54"/>
                    <w:autoSpaceDE/>
                    <w:autoSpaceDN/>
                    <w:spacing w:line="240" w:lineRule="exact"/>
                    <w:ind w:firstLine="0" w:firstLineChars="0"/>
                    <w:jc w:val="center"/>
                    <w:rPr>
                      <w:rFonts w:hint="eastAsia"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防渗层为至少1m厚黏土层（渗透系数不大于10</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vertAlign w:val="superscript"/>
                      <w14:textFill>
                        <w14:solidFill>
                          <w14:schemeClr w14:val="tx1"/>
                        </w14:solidFill>
                      </w14:textFill>
                    </w:rPr>
                    <w:t>7</w:t>
                  </w:r>
                  <w:r>
                    <w:rPr>
                      <w:rFonts w:hint="eastAsia" w:ascii="Times New Roman" w:hAnsi="Times New Roman" w:eastAsia="宋体" w:cs="Times New Roman"/>
                      <w:color w:val="000000" w:themeColor="text1"/>
                      <w:sz w:val="21"/>
                      <w:szCs w:val="21"/>
                      <w14:textFill>
                        <w14:solidFill>
                          <w14:schemeClr w14:val="tx1"/>
                        </w14:solidFill>
                      </w14:textFill>
                    </w:rPr>
                    <w:t>cm/s），或至少2mm厚高密度聚乙烯膜等人工防渗材料（渗透系数不大于10</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vertAlign w:val="superscript"/>
                      <w14:textFill>
                        <w14:solidFill>
                          <w14:schemeClr w14:val="tx1"/>
                        </w14:solidFill>
                      </w14:textFill>
                    </w:rPr>
                    <w:t>10</w:t>
                  </w:r>
                  <w:r>
                    <w:rPr>
                      <w:rFonts w:hint="eastAsia" w:ascii="Times New Roman" w:hAnsi="Times New Roman" w:eastAsia="宋体" w:cs="Times New Roman"/>
                      <w:color w:val="000000" w:themeColor="text1"/>
                      <w:sz w:val="21"/>
                      <w:szCs w:val="21"/>
                      <w14:textFill>
                        <w14:solidFill>
                          <w14:schemeClr w14:val="tx1"/>
                        </w14:solidFill>
                      </w14:textFill>
                    </w:rPr>
                    <w:t>cm/s），或其他防渗性能等效的材料。</w:t>
                  </w:r>
                </w:p>
              </w:tc>
            </w:tr>
          </w:tbl>
          <w:p w14:paraId="61CFA3C7">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（3）污染监控</w:t>
            </w:r>
          </w:p>
          <w:p w14:paraId="21675713">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本项目设置专人负责定期巡检，一旦发现风险趋势，立即</w:t>
            </w:r>
            <w:r>
              <w:rPr>
                <w:rFonts w:hint="eastAsia"/>
                <w:color w:val="000000" w:themeColor="text1"/>
                <w:lang w:eastAsia="zh-CN"/>
                <w14:textFill>
                  <w14:solidFill>
                    <w14:schemeClr w14:val="tx1"/>
                  </w14:solidFill>
                </w14:textFill>
              </w:rPr>
              <w:t>采取相应</w:t>
            </w:r>
            <w:r>
              <w:rPr>
                <w:rFonts w:hint="eastAsia" w:eastAsia="宋体"/>
                <w:color w:val="000000" w:themeColor="text1"/>
                <w14:textFill>
                  <w14:solidFill>
                    <w14:schemeClr w14:val="tx1"/>
                  </w14:solidFill>
                </w14:textFill>
              </w:rPr>
              <w:t>的应急措施。</w:t>
            </w:r>
          </w:p>
          <w:p w14:paraId="73F7B268">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eastAsia="宋体"/>
                <w:color w:val="000000" w:themeColor="text1"/>
                <w14:textFill>
                  <w14:solidFill>
                    <w14:schemeClr w14:val="tx1"/>
                  </w14:solidFill>
                </w14:textFill>
              </w:rPr>
            </w:pPr>
            <w:r>
              <w:rPr>
                <w:rFonts w:hint="eastAsia" w:eastAsia="宋体"/>
                <w:color w:val="000000" w:themeColor="text1"/>
                <w14:textFill>
                  <w14:solidFill>
                    <w14:schemeClr w14:val="tx1"/>
                  </w14:solidFill>
                </w14:textFill>
              </w:rPr>
              <w:t>（4）应急响应</w:t>
            </w:r>
          </w:p>
          <w:p w14:paraId="105918CF">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eastAsia"/>
                <w:bCs/>
                <w:color w:val="000000" w:themeColor="text1"/>
                <w:highlight w:val="none"/>
                <w14:textFill>
                  <w14:solidFill>
                    <w14:schemeClr w14:val="tx1"/>
                  </w14:solidFill>
                </w14:textFill>
              </w:rPr>
            </w:pPr>
            <w:r>
              <w:rPr>
                <w:rFonts w:hint="eastAsia" w:eastAsia="宋体"/>
                <w:color w:val="000000" w:themeColor="text1"/>
                <w14:textFill>
                  <w14:solidFill>
                    <w14:schemeClr w14:val="tx1"/>
                  </w14:solidFill>
                </w14:textFill>
              </w:rPr>
              <w:t>当发生泄漏事故对土壤造成污染后，应立即采取应急措施。</w:t>
            </w:r>
          </w:p>
          <w:p w14:paraId="4AA05810">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6</w:t>
            </w:r>
            <w:r>
              <w:rPr>
                <w:rFonts w:hint="eastAsia"/>
                <w:b/>
                <w:color w:val="000000" w:themeColor="text1"/>
                <w14:textFill>
                  <w14:solidFill>
                    <w14:schemeClr w14:val="tx1"/>
                  </w14:solidFill>
                </w14:textFill>
              </w:rPr>
              <w:t>.</w:t>
            </w:r>
            <w:r>
              <w:rPr>
                <w:b/>
                <w:color w:val="000000" w:themeColor="text1"/>
                <w14:textFill>
                  <w14:solidFill>
                    <w14:schemeClr w14:val="tx1"/>
                  </w14:solidFill>
                </w14:textFill>
              </w:rPr>
              <w:t>固体废物防治措施</w:t>
            </w:r>
          </w:p>
          <w:p w14:paraId="4F9855D1">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项目运行中</w:t>
            </w:r>
            <w:r>
              <w:rPr>
                <w:color w:val="000000" w:themeColor="text1"/>
                <w14:textFill>
                  <w14:solidFill>
                    <w14:schemeClr w14:val="tx1"/>
                  </w14:solidFill>
                </w14:textFill>
              </w:rPr>
              <w:t>事故废油产生后</w:t>
            </w:r>
            <w:r>
              <w:rPr>
                <w:rFonts w:hint="eastAsia"/>
                <w:color w:val="000000" w:themeColor="text1"/>
                <w14:textFill>
                  <w14:solidFill>
                    <w14:schemeClr w14:val="tx1"/>
                  </w14:solidFill>
                </w14:textFill>
              </w:rPr>
              <w:t>应</w:t>
            </w:r>
            <w:r>
              <w:rPr>
                <w:color w:val="000000" w:themeColor="text1"/>
                <w14:textFill>
                  <w14:solidFill>
                    <w14:schemeClr w14:val="tx1"/>
                  </w14:solidFill>
                </w14:textFill>
              </w:rPr>
              <w:t>尽快由与公司签订合作协议的具有相关资质的单位进行</w:t>
            </w:r>
            <w:r>
              <w:rPr>
                <w:rFonts w:hint="eastAsia"/>
                <w:color w:val="000000" w:themeColor="text1"/>
                <w14:textFill>
                  <w14:solidFill>
                    <w14:schemeClr w14:val="tx1"/>
                  </w14:solidFill>
                </w14:textFill>
              </w:rPr>
              <w:t>清运处置</w:t>
            </w:r>
            <w:r>
              <w:rPr>
                <w:color w:val="000000" w:themeColor="text1"/>
                <w14:textFill>
                  <w14:solidFill>
                    <w14:schemeClr w14:val="tx1"/>
                  </w14:solidFill>
                </w14:textFill>
              </w:rPr>
              <w:t>，不在</w:t>
            </w:r>
            <w:r>
              <w:rPr>
                <w:rFonts w:hint="eastAsia"/>
                <w:color w:val="000000" w:themeColor="text1"/>
                <w14:textFill>
                  <w14:solidFill>
                    <w14:schemeClr w14:val="tx1"/>
                  </w14:solidFill>
                </w14:textFill>
              </w:rPr>
              <w:t>项目区</w:t>
            </w:r>
            <w:r>
              <w:rPr>
                <w:color w:val="000000" w:themeColor="text1"/>
                <w14:textFill>
                  <w14:solidFill>
                    <w14:schemeClr w14:val="tx1"/>
                  </w14:solidFill>
                </w14:textFill>
              </w:rPr>
              <w:t>内</w:t>
            </w:r>
            <w:r>
              <w:rPr>
                <w:rFonts w:hint="eastAsia"/>
                <w:color w:val="000000" w:themeColor="text1"/>
                <w14:textFill>
                  <w14:solidFill>
                    <w14:schemeClr w14:val="tx1"/>
                  </w14:solidFill>
                </w14:textFill>
              </w:rPr>
              <w:t>长期</w:t>
            </w:r>
            <w:r>
              <w:rPr>
                <w:color w:val="000000" w:themeColor="text1"/>
                <w14:textFill>
                  <w14:solidFill>
                    <w14:schemeClr w14:val="tx1"/>
                  </w14:solidFill>
                </w14:textFill>
              </w:rPr>
              <w:t>储存</w:t>
            </w:r>
            <w:r>
              <w:rPr>
                <w:rFonts w:hint="eastAsia"/>
                <w:color w:val="000000" w:themeColor="text1"/>
                <w14:textFill>
                  <w14:solidFill>
                    <w14:schemeClr w14:val="tx1"/>
                  </w14:solidFill>
                </w14:textFill>
              </w:rPr>
              <w:t>；废润滑油</w:t>
            </w:r>
            <w:r>
              <w:rPr>
                <w:rFonts w:hint="eastAsia"/>
                <w:color w:val="000000" w:themeColor="text1"/>
                <w:lang w:val="en-US" w:eastAsia="zh-CN"/>
                <w14:textFill>
                  <w14:solidFill>
                    <w14:schemeClr w14:val="tx1"/>
                  </w14:solidFill>
                </w14:textFill>
              </w:rPr>
              <w:t>及油桶</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废铅蓄电池、废含油抹布及劳保用品</w:t>
            </w:r>
            <w:r>
              <w:rPr>
                <w:rFonts w:hint="eastAsia" w:eastAsia="宋体"/>
                <w:color w:val="000000" w:themeColor="text1"/>
                <w14:textFill>
                  <w14:solidFill>
                    <w14:schemeClr w14:val="tx1"/>
                  </w14:solidFill>
                </w14:textFill>
              </w:rPr>
              <w:t>在</w:t>
            </w:r>
            <w:r>
              <w:rPr>
                <w:rFonts w:hint="eastAsia" w:eastAsia="宋体"/>
                <w:color w:val="000000" w:themeColor="text1"/>
                <w:lang w:val="en-US" w:eastAsia="zh-CN"/>
                <w14:textFill>
                  <w14:solidFill>
                    <w14:schemeClr w14:val="tx1"/>
                  </w14:solidFill>
                </w14:textFill>
              </w:rPr>
              <w:t>220kV</w:t>
            </w:r>
            <w:r>
              <w:rPr>
                <w:rFonts w:hint="eastAsia" w:eastAsia="宋体"/>
                <w:color w:val="000000" w:themeColor="text1"/>
                <w14:textFill>
                  <w14:solidFill>
                    <w14:schemeClr w14:val="tx1"/>
                  </w14:solidFill>
                </w14:textFill>
              </w:rPr>
              <w:t>升压</w:t>
            </w:r>
            <w:r>
              <w:rPr>
                <w:rFonts w:hint="eastAsia" w:eastAsia="宋体"/>
                <w:color w:val="000000" w:themeColor="text1"/>
                <w:lang w:eastAsia="zh-CN"/>
                <w14:textFill>
                  <w14:solidFill>
                    <w14:schemeClr w14:val="tx1"/>
                  </w14:solidFill>
                </w14:textFill>
              </w:rPr>
              <w:t>汇集</w:t>
            </w:r>
            <w:r>
              <w:rPr>
                <w:rFonts w:hint="eastAsia" w:eastAsia="宋体"/>
                <w:color w:val="000000" w:themeColor="text1"/>
                <w14:textFill>
                  <w14:solidFill>
                    <w14:schemeClr w14:val="tx1"/>
                  </w14:solidFill>
                </w14:textFill>
              </w:rPr>
              <w:t>站场区</w:t>
            </w:r>
            <w:r>
              <w:rPr>
                <w:rFonts w:hint="eastAsia" w:eastAsia="宋体"/>
                <w:color w:val="000000" w:themeColor="text1"/>
                <w:lang w:eastAsia="zh-CN"/>
                <w14:textFill>
                  <w14:solidFill>
                    <w14:schemeClr w14:val="tx1"/>
                  </w14:solidFill>
                </w14:textFill>
              </w:rPr>
              <w:t>危废</w:t>
            </w:r>
            <w:r>
              <w:rPr>
                <w:rFonts w:hint="eastAsia"/>
                <w:color w:val="000000" w:themeColor="text1"/>
                <w:lang w:val="en-US" w:eastAsia="zh-CN"/>
                <w14:textFill>
                  <w14:solidFill>
                    <w14:schemeClr w14:val="tx1"/>
                  </w14:solidFill>
                </w14:textFill>
              </w:rPr>
              <w:t>贮存点</w:t>
            </w:r>
            <w:r>
              <w:rPr>
                <w:rFonts w:hint="eastAsia" w:eastAsia="宋体"/>
                <w:color w:val="000000" w:themeColor="text1"/>
                <w14:textFill>
                  <w14:solidFill>
                    <w14:schemeClr w14:val="tx1"/>
                  </w14:solidFill>
                </w14:textFill>
              </w:rPr>
              <w:t>暂存后交危废处置资质单位进行处置</w:t>
            </w:r>
            <w:r>
              <w:rPr>
                <w:rFonts w:hint="eastAsia"/>
                <w:color w:val="000000" w:themeColor="text1"/>
                <w14:textFill>
                  <w14:solidFill>
                    <w14:schemeClr w14:val="tx1"/>
                  </w14:solidFill>
                </w14:textFill>
              </w:rPr>
              <w:t>；生活垃圾及污水处理干化污泥集中收集后交环卫部门清运</w:t>
            </w:r>
            <w:r>
              <w:rPr>
                <w:rFonts w:hint="eastAsia"/>
                <w:color w:val="000000" w:themeColor="text1"/>
                <w:lang w:eastAsia="zh-CN"/>
                <w14:textFill>
                  <w14:solidFill>
                    <w14:schemeClr w14:val="tx1"/>
                  </w14:solidFill>
                </w14:textFill>
              </w:rPr>
              <w:t>至且末县</w:t>
            </w:r>
            <w:r>
              <w:rPr>
                <w:rFonts w:hint="eastAsia"/>
                <w:color w:val="000000" w:themeColor="text1"/>
                <w14:textFill>
                  <w14:solidFill>
                    <w14:schemeClr w14:val="tx1"/>
                  </w14:solidFill>
                </w14:textFill>
              </w:rPr>
              <w:t>生活垃圾填埋场。</w:t>
            </w:r>
          </w:p>
          <w:p w14:paraId="6B6DD0F0">
            <w:pPr>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eastAsia="宋体"/>
                <w:color w:val="000000" w:themeColor="text1"/>
                <w:lang w:val="en-US" w:eastAsia="zh-CN"/>
                <w14:textFill>
                  <w14:solidFill>
                    <w14:schemeClr w14:val="tx1"/>
                  </w14:solidFill>
                </w14:textFill>
              </w:rPr>
              <w:t>220kV</w:t>
            </w:r>
            <w:r>
              <w:rPr>
                <w:rFonts w:hint="eastAsia" w:eastAsia="宋体"/>
                <w:color w:val="000000" w:themeColor="text1"/>
                <w14:textFill>
                  <w14:solidFill>
                    <w14:schemeClr w14:val="tx1"/>
                  </w14:solidFill>
                </w14:textFill>
              </w:rPr>
              <w:t>升压</w:t>
            </w:r>
            <w:r>
              <w:rPr>
                <w:rFonts w:hint="eastAsia" w:eastAsia="宋体"/>
                <w:color w:val="000000" w:themeColor="text1"/>
                <w:lang w:eastAsia="zh-CN"/>
                <w14:textFill>
                  <w14:solidFill>
                    <w14:schemeClr w14:val="tx1"/>
                  </w14:solidFill>
                </w14:textFill>
              </w:rPr>
              <w:t>汇集</w:t>
            </w:r>
            <w:r>
              <w:rPr>
                <w:rFonts w:hint="eastAsia" w:eastAsia="宋体"/>
                <w:color w:val="000000" w:themeColor="text1"/>
                <w14:textFill>
                  <w14:solidFill>
                    <w14:schemeClr w14:val="tx1"/>
                  </w14:solidFill>
                </w14:textFill>
              </w:rPr>
              <w:t>站</w:t>
            </w:r>
            <w:r>
              <w:rPr>
                <w:rFonts w:hint="eastAsia"/>
                <w:color w:val="000000" w:themeColor="text1"/>
                <w14:textFill>
                  <w14:solidFill>
                    <w14:schemeClr w14:val="tx1"/>
                  </w14:solidFill>
                </w14:textFill>
              </w:rPr>
              <w:t>事故油池容积</w:t>
            </w:r>
          </w:p>
          <w:p w14:paraId="1448FD1C">
            <w:pPr>
              <w:adjustRightInd w:val="0"/>
              <w:spacing w:line="500" w:lineRule="exact"/>
              <w:ind w:firstLine="48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根据《火力发电厂与变电站设计防火标准》</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GB50229-2019</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及《电力设备典型消防规程》</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DL5027-2015</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要求，户外单台油量为1000</w:t>
            </w:r>
            <w:r>
              <w:rPr>
                <w:rFonts w:hint="eastAsia"/>
                <w:color w:val="000000" w:themeColor="text1"/>
                <w:lang w:val="en-US" w:eastAsia="zh-CN"/>
                <w14:textFill>
                  <w14:solidFill>
                    <w14:schemeClr w14:val="tx1"/>
                  </w14:solidFill>
                </w14:textFill>
              </w:rPr>
              <w:t>kg</w:t>
            </w:r>
            <w:r>
              <w:rPr>
                <w:rFonts w:hint="eastAsia"/>
                <w:color w:val="000000" w:themeColor="text1"/>
                <w14:textFill>
                  <w14:solidFill>
                    <w14:schemeClr w14:val="tx1"/>
                  </w14:solidFill>
                </w14:textFill>
              </w:rPr>
              <w:t>以上的电气设备，应设置储油或挡油设施，其有效容积宜按设备油量的20%设计，并能将事故废油排至总事故油池</w:t>
            </w:r>
            <w:r>
              <w:rPr>
                <w:rFonts w:hint="eastAsia"/>
                <w:color w:val="000000" w:themeColor="text1"/>
                <w:lang w:val="en-US" w:eastAsia="zh-CN"/>
                <w14:textFill>
                  <w14:solidFill>
                    <w14:schemeClr w14:val="tx1"/>
                  </w14:solidFill>
                </w14:textFill>
              </w:rPr>
              <w:t>，</w:t>
            </w:r>
            <w:r>
              <w:rPr>
                <w:rFonts w:hint="eastAsia"/>
                <w:color w:val="000000" w:themeColor="text1"/>
                <w14:textFill>
                  <w14:solidFill>
                    <w14:schemeClr w14:val="tx1"/>
                  </w14:solidFill>
                </w14:textFill>
              </w:rPr>
              <w:t>事故油池的容量应按其接入的油量最大一台设备确定。本项目</w:t>
            </w:r>
            <w:r>
              <w:rPr>
                <w:rFonts w:hint="eastAsia"/>
                <w:color w:val="000000" w:themeColor="text1"/>
                <w:lang w:val="en-US" w:eastAsia="zh-CN"/>
                <w14:textFill>
                  <w14:solidFill>
                    <w14:schemeClr w14:val="tx1"/>
                  </w14:solidFill>
                </w14:textFill>
              </w:rPr>
              <w:t>升压汇集站</w:t>
            </w:r>
            <w:r>
              <w:rPr>
                <w:rFonts w:hint="eastAsia"/>
                <w:color w:val="000000" w:themeColor="text1"/>
                <w14:textFill>
                  <w14:solidFill>
                    <w14:schemeClr w14:val="tx1"/>
                  </w14:solidFill>
                </w14:textFill>
              </w:rPr>
              <w:t>内最大单台变压器油重约</w:t>
            </w:r>
            <w:r>
              <w:rPr>
                <w:rFonts w:hint="eastAsia"/>
                <w:color w:val="000000" w:themeColor="text1"/>
                <w:lang w:val="en-US" w:eastAsia="zh-CN"/>
                <w14:textFill>
                  <w14:solidFill>
                    <w14:schemeClr w14:val="tx1"/>
                  </w14:solidFill>
                </w14:textFill>
              </w:rPr>
              <w:t>38t</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约</w:t>
            </w:r>
            <w:r>
              <w:rPr>
                <w:rFonts w:hint="eastAsia"/>
                <w:color w:val="000000" w:themeColor="text1"/>
                <w:lang w:val="en-US" w:eastAsia="zh-CN"/>
                <w14:textFill>
                  <w14:solidFill>
                    <w14:schemeClr w14:val="tx1"/>
                  </w14:solidFill>
                </w14:textFill>
              </w:rPr>
              <w:t>42m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，事故油池有效容积约</w:t>
            </w:r>
            <w:r>
              <w:rPr>
                <w:rFonts w:hint="eastAsia"/>
                <w:color w:val="000000" w:themeColor="text1"/>
                <w:lang w:val="en-US" w:eastAsia="zh-CN"/>
                <w14:textFill>
                  <w14:solidFill>
                    <w14:schemeClr w14:val="tx1"/>
                  </w14:solidFill>
                </w14:textFill>
              </w:rPr>
              <w:t>50m</w:t>
            </w:r>
            <w:r>
              <w:rPr>
                <w:rFonts w:hint="eastAsia"/>
                <w:color w:val="000000" w:themeColor="text1"/>
                <w:vertAlign w:val="superscript"/>
                <w:lang w:val="en-US" w:eastAsia="zh-CN"/>
                <w14:textFill>
                  <w14:solidFill>
                    <w14:schemeClr w14:val="tx1"/>
                  </w14:solidFill>
                </w14:textFill>
              </w:rPr>
              <w:t>3</w:t>
            </w:r>
            <w:r>
              <w:rPr>
                <w:rFonts w:hint="eastAsia"/>
                <w:color w:val="000000" w:themeColor="text1"/>
                <w14:textFill>
                  <w14:solidFill>
                    <w14:schemeClr w14:val="tx1"/>
                  </w14:solidFill>
                </w14:textFill>
              </w:rPr>
              <w:t>，满足最大单台变压器</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0%排油量要求。</w:t>
            </w:r>
          </w:p>
          <w:p w14:paraId="2890EFD0">
            <w:pPr>
              <w:spacing w:line="500" w:lineRule="exact"/>
              <w:ind w:firstLine="480" w:firstLineChars="200"/>
              <w:rPr>
                <w:color w:val="000000" w:themeColor="text1"/>
                <w:lang w:bidi="zh-CN"/>
                <w14:textFill>
                  <w14:solidFill>
                    <w14:schemeClr w14:val="tx1"/>
                  </w14:solidFill>
                </w14:textFill>
              </w:rPr>
            </w:pPr>
            <w:r>
              <w:rPr>
                <w:color w:val="000000" w:themeColor="text1"/>
                <w:lang w:bidi="zh-CN"/>
                <w14:textFill>
                  <w14:solidFill>
                    <w14:schemeClr w14:val="tx1"/>
                  </w14:solidFill>
                </w14:textFill>
              </w:rPr>
              <w:t>（2）事故油池建设要求</w:t>
            </w:r>
          </w:p>
          <w:p w14:paraId="7D1CFE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480" w:firstLineChars="200"/>
              <w:textAlignment w:val="auto"/>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lang w:bidi="zh-CN"/>
                <w14:textFill>
                  <w14:solidFill>
                    <w14:schemeClr w14:val="tx1"/>
                  </w14:solidFill>
                </w14:textFill>
              </w:rPr>
              <w:t>①</w:t>
            </w:r>
            <w:r>
              <w:rPr>
                <w:rFonts w:hint="default" w:ascii="Times New Roman" w:hAnsi="Times New Roman" w:eastAsia="宋体" w:cs="Times New Roman"/>
                <w:color w:val="000000" w:themeColor="text1"/>
                <w:sz w:val="24"/>
                <w:szCs w:val="24"/>
                <w:highlight w:val="none"/>
                <w14:textFill>
                  <w14:solidFill>
                    <w14:schemeClr w14:val="tx1"/>
                  </w14:solidFill>
                </w14:textFill>
              </w:rPr>
              <w:t>事故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废油</w:t>
            </w:r>
            <w:r>
              <w:rPr>
                <w:rFonts w:hint="default" w:ascii="Times New Roman" w:hAnsi="Times New Roman" w:eastAsia="宋体" w:cs="Times New Roman"/>
                <w:color w:val="000000" w:themeColor="text1"/>
                <w:sz w:val="24"/>
                <w:szCs w:val="24"/>
                <w:highlight w:val="none"/>
                <w14:textFill>
                  <w14:solidFill>
                    <w14:schemeClr w14:val="tx1"/>
                  </w14:solidFill>
                </w14:textFill>
              </w:rPr>
              <w:t>贮存池防渗层应覆盖整个池体，</w:t>
            </w:r>
            <w:r>
              <w:rPr>
                <w:color w:val="000000" w:themeColor="text1"/>
                <w:lang w:bidi="zh-CN"/>
                <w14:textFill>
                  <w14:solidFill>
                    <w14:schemeClr w14:val="tx1"/>
                  </w14:solidFill>
                </w14:textFill>
              </w:rPr>
              <w:t>并应按照</w:t>
            </w:r>
            <w:r>
              <w:rPr>
                <w:color w:val="000000" w:themeColor="text1"/>
                <w14:textFill>
                  <w14:solidFill>
                    <w14:schemeClr w14:val="tx1"/>
                  </w14:solidFill>
                </w14:textFill>
              </w:rPr>
              <w:t>《危险废物贮存污染控制标准》（GB1859</w:t>
            </w:r>
            <w:r>
              <w:rPr>
                <w:rFonts w:hint="eastAsia"/>
                <w:color w:val="000000" w:themeColor="text1"/>
                <w:lang w:val="en-US" w:eastAsia="zh-CN"/>
                <w14:textFill>
                  <w14:solidFill>
                    <w14:schemeClr w14:val="tx1"/>
                  </w14:solidFill>
                </w14:textFill>
              </w:rPr>
              <w:t>7</w:t>
            </w:r>
            <w:r>
              <w:rPr>
                <w:color w:val="000000" w:themeColor="text1"/>
                <w14:textFill>
                  <w14:solidFill>
                    <w14:schemeClr w14:val="tx1"/>
                  </w14:solidFill>
                </w14:textFill>
              </w:rPr>
              <w:t>-20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w:t>
            </w:r>
            <w:r>
              <w:rPr>
                <w:color w:val="000000" w:themeColor="text1"/>
                <w:lang w:bidi="zh-CN"/>
                <w14:textFill>
                  <w14:solidFill>
                    <w14:schemeClr w14:val="tx1"/>
                  </w14:solidFill>
                </w14:textFill>
              </w:rPr>
              <w:t>的要求进行基础防渗</w:t>
            </w:r>
            <w:r>
              <w:rPr>
                <w:rFonts w:hint="eastAsia"/>
                <w:color w:val="000000" w:themeColor="text1"/>
                <w:lang w:bidi="zh-CN"/>
                <w14:textFill>
                  <w14:solidFill>
                    <w14:schemeClr w14:val="tx1"/>
                  </w14:solidFill>
                </w14:textFill>
              </w:rPr>
              <w:t>，</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防渗层为至少1m厚黏土层（渗透系数不大于10</w:t>
            </w:r>
            <w:r>
              <w:rPr>
                <w:rFonts w:hint="eastAsia" w:cs="Times New Roman"/>
                <w:snapToGrid w:val="0"/>
                <w:color w:val="000000" w:themeColor="text1"/>
                <w:kern w:val="0"/>
                <w:sz w:val="24"/>
                <w:highlight w:val="none"/>
                <w:vertAlign w:val="superscript"/>
                <w:lang w:val="en-US" w:eastAsia="zh-CN"/>
                <w14:textFill>
                  <w14:solidFill>
                    <w14:schemeClr w14:val="tx1"/>
                  </w14:solidFill>
                </w14:textFill>
              </w:rPr>
              <w:t>-</w:t>
            </w:r>
            <w:r>
              <w:rPr>
                <w:rFonts w:hint="default" w:ascii="Times New Roman" w:hAnsi="Times New Roman" w:eastAsia="宋体" w:cs="Times New Roman"/>
                <w:snapToGrid w:val="0"/>
                <w:color w:val="000000" w:themeColor="text1"/>
                <w:kern w:val="0"/>
                <w:sz w:val="24"/>
                <w:highlight w:val="none"/>
                <w:vertAlign w:val="superscript"/>
                <w14:textFill>
                  <w14:solidFill>
                    <w14:schemeClr w14:val="tx1"/>
                  </w14:solidFill>
                </w14:textFill>
              </w:rPr>
              <w:t>7</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cm/s），或至少2mm厚高密度聚乙烯膜等人工防渗材料（渗透系数不大于10</w:t>
            </w:r>
            <w:r>
              <w:rPr>
                <w:rFonts w:hint="eastAsia" w:cs="Times New Roman"/>
                <w:snapToGrid w:val="0"/>
                <w:color w:val="000000" w:themeColor="text1"/>
                <w:kern w:val="0"/>
                <w:sz w:val="24"/>
                <w:highlight w:val="none"/>
                <w:vertAlign w:val="superscript"/>
                <w:lang w:val="en-US" w:eastAsia="zh-CN"/>
                <w14:textFill>
                  <w14:solidFill>
                    <w14:schemeClr w14:val="tx1"/>
                  </w14:solidFill>
                </w14:textFill>
              </w:rPr>
              <w:t>-</w:t>
            </w:r>
            <w:r>
              <w:rPr>
                <w:rFonts w:hint="default" w:ascii="Times New Roman" w:hAnsi="Times New Roman" w:eastAsia="宋体" w:cs="Times New Roman"/>
                <w:snapToGrid w:val="0"/>
                <w:color w:val="000000" w:themeColor="text1"/>
                <w:kern w:val="0"/>
                <w:sz w:val="24"/>
                <w:highlight w:val="none"/>
                <w:vertAlign w:val="superscript"/>
                <w14:textFill>
                  <w14:solidFill>
                    <w14:schemeClr w14:val="tx1"/>
                  </w14:solidFill>
                </w14:textFill>
              </w:rPr>
              <w:t>10</w:t>
            </w:r>
            <w:r>
              <w:rPr>
                <w:rFonts w:hint="default" w:ascii="Times New Roman" w:hAnsi="Times New Roman" w:eastAsia="宋体" w:cs="Times New Roman"/>
                <w:snapToGrid w:val="0"/>
                <w:color w:val="000000" w:themeColor="text1"/>
                <w:kern w:val="0"/>
                <w:sz w:val="24"/>
                <w:highlight w:val="none"/>
                <w14:textFill>
                  <w14:solidFill>
                    <w14:schemeClr w14:val="tx1"/>
                  </w14:solidFill>
                </w14:textFill>
              </w:rPr>
              <w:t>cm/s），或其他防渗性能等效的材料</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17DA885E">
            <w:pPr>
              <w:spacing w:line="500" w:lineRule="exact"/>
              <w:ind w:firstLine="480" w:firstLineChars="200"/>
              <w:rPr>
                <w:color w:val="000000" w:themeColor="text1"/>
                <w:lang w:bidi="zh-CN"/>
                <w14:textFill>
                  <w14:solidFill>
                    <w14:schemeClr w14:val="tx1"/>
                  </w14:solidFill>
                </w14:textFill>
              </w:rPr>
            </w:pPr>
            <w:r>
              <w:rPr>
                <w:color w:val="000000" w:themeColor="text1"/>
                <w:lang w:bidi="zh-CN"/>
                <w14:textFill>
                  <w14:solidFill>
                    <w14:schemeClr w14:val="tx1"/>
                  </w14:solidFill>
                </w14:textFill>
              </w:rPr>
              <w:t>②事故油池应采取措施防止雨水、地面径流等进入，保证能防止当地重现期不小于25年的暴雨流入池内。</w:t>
            </w:r>
          </w:p>
          <w:p w14:paraId="669D98C9">
            <w:pPr>
              <w:spacing w:line="500" w:lineRule="exact"/>
              <w:ind w:firstLine="480" w:firstLineChars="200"/>
              <w:rPr>
                <w:color w:val="000000" w:themeColor="text1"/>
                <w:lang w:bidi="zh-CN"/>
                <w14:textFill>
                  <w14:solidFill>
                    <w14:schemeClr w14:val="tx1"/>
                  </w14:solidFill>
                </w14:textFill>
              </w:rPr>
            </w:pPr>
            <w:r>
              <w:rPr>
                <w:color w:val="000000" w:themeColor="text1"/>
                <w:lang w:bidi="zh-CN"/>
                <w14:textFill>
                  <w14:solidFill>
                    <w14:schemeClr w14:val="tx1"/>
                  </w14:solidFill>
                </w14:textFill>
              </w:rPr>
              <w:t>③事故油池应采取</w:t>
            </w:r>
            <w:r>
              <w:rPr>
                <w:rFonts w:hint="eastAsia"/>
                <w:color w:val="000000" w:themeColor="text1"/>
                <w:lang w:bidi="zh-CN"/>
                <w14:textFill>
                  <w14:solidFill>
                    <w14:schemeClr w14:val="tx1"/>
                  </w14:solidFill>
                </w14:textFill>
              </w:rPr>
              <w:t>密闭</w:t>
            </w:r>
            <w:r>
              <w:rPr>
                <w:color w:val="000000" w:themeColor="text1"/>
                <w:lang w:bidi="zh-CN"/>
                <w14:textFill>
                  <w14:solidFill>
                    <w14:schemeClr w14:val="tx1"/>
                  </w14:solidFill>
                </w14:textFill>
              </w:rPr>
              <w:t>措施</w:t>
            </w:r>
            <w:r>
              <w:rPr>
                <w:rFonts w:hint="eastAsia"/>
                <w:color w:val="000000" w:themeColor="text1"/>
                <w:lang w:bidi="zh-CN"/>
                <w14:textFill>
                  <w14:solidFill>
                    <w14:schemeClr w14:val="tx1"/>
                  </w14:solidFill>
                </w14:textFill>
              </w:rPr>
              <w:t>以</w:t>
            </w:r>
            <w:r>
              <w:rPr>
                <w:color w:val="000000" w:themeColor="text1"/>
                <w:lang w:bidi="zh-CN"/>
                <w14:textFill>
                  <w14:solidFill>
                    <w14:schemeClr w14:val="tx1"/>
                  </w14:solidFill>
                </w14:textFill>
              </w:rPr>
              <w:t>减少大气污染物的无组织排放。</w:t>
            </w:r>
          </w:p>
          <w:p w14:paraId="7B917F2F">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（3）危险废物收集措施</w:t>
            </w:r>
          </w:p>
          <w:p w14:paraId="1EFC20AD">
            <w:pPr>
              <w:adjustRightIn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危险废物应采取专用的容器进行收集，容器应满足相应的防渗、防漏、防腐和强度等要求，容器应根据</w:t>
            </w:r>
            <w:r>
              <w:rPr>
                <w:snapToGrid w:val="0"/>
                <w:color w:val="000000" w:themeColor="text1"/>
                <w14:textFill>
                  <w14:solidFill>
                    <w14:schemeClr w14:val="tx1"/>
                  </w14:solidFill>
                </w14:textFill>
              </w:rPr>
              <w:t>《危险废物识别标志设置技术规范》（HJ1276</w:t>
            </w:r>
            <w:r>
              <w:rPr>
                <w:rFonts w:hint="eastAsia"/>
                <w:snapToGrid w:val="0"/>
                <w:color w:val="000000" w:themeColor="text1"/>
                <w14:textFill>
                  <w14:solidFill>
                    <w14:schemeClr w14:val="tx1"/>
                  </w14:solidFill>
                </w14:textFill>
              </w:rPr>
              <w:t>-</w:t>
            </w:r>
            <w:r>
              <w:rPr>
                <w:snapToGrid w:val="0"/>
                <w:color w:val="000000" w:themeColor="text1"/>
                <w14:textFill>
                  <w14:solidFill>
                    <w14:schemeClr w14:val="tx1"/>
                  </w14:solidFill>
                </w14:textFill>
              </w:rPr>
              <w:t>2022）</w:t>
            </w:r>
            <w:r>
              <w:rPr>
                <w:color w:val="000000" w:themeColor="text1"/>
                <w14:textFill>
                  <w14:solidFill>
                    <w14:schemeClr w14:val="tx1"/>
                  </w14:solidFill>
                </w14:textFill>
              </w:rPr>
              <w:t>中要求粘贴</w:t>
            </w:r>
            <w:r>
              <w:rPr>
                <w:rFonts w:hint="eastAsia"/>
                <w:color w:val="000000" w:themeColor="text1"/>
                <w14:textFill>
                  <w14:solidFill>
                    <w14:schemeClr w14:val="tx1"/>
                  </w14:solidFill>
                </w14:textFill>
              </w:rPr>
              <w:t>危废</w:t>
            </w:r>
            <w:r>
              <w:rPr>
                <w:color w:val="000000" w:themeColor="text1"/>
                <w14:textFill>
                  <w14:solidFill>
                    <w14:schemeClr w14:val="tx1"/>
                  </w14:solidFill>
                </w14:textFill>
              </w:rPr>
              <w:t>物标识</w:t>
            </w:r>
            <w:r>
              <w:rPr>
                <w:rFonts w:hint="eastAsia"/>
                <w:color w:val="000000" w:themeColor="text1"/>
                <w14:textFill>
                  <w14:solidFill>
                    <w14:schemeClr w14:val="tx1"/>
                  </w14:solidFill>
                </w14:textFill>
              </w:rPr>
              <w:t>。</w:t>
            </w:r>
          </w:p>
          <w:p w14:paraId="16B0290A">
            <w:pPr>
              <w:keepNext w:val="0"/>
              <w:keepLines w:val="0"/>
              <w:pageBreakBefore w:val="0"/>
              <w:widowControl w:val="0"/>
              <w:kinsoku/>
              <w:wordWrap/>
              <w:overflowPunct/>
              <w:topLinePunct w:val="0"/>
              <w:bidi w:val="0"/>
              <w:adjustRightInd w:val="0"/>
              <w:spacing w:line="500" w:lineRule="exact"/>
              <w:ind w:firstLine="480" w:firstLineChars="200"/>
              <w:textAlignment w:val="auto"/>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（4）危废</w:t>
            </w:r>
            <w:r>
              <w:rPr>
                <w:rFonts w:hint="eastAsia"/>
                <w:color w:val="000000" w:themeColor="text1"/>
                <w:lang w:val="en-US" w:eastAsia="zh-CN"/>
                <w14:textFill>
                  <w14:solidFill>
                    <w14:schemeClr w14:val="tx1"/>
                  </w14:solidFill>
                </w14:textFill>
              </w:rPr>
              <w:t>贮存点</w:t>
            </w:r>
          </w:p>
          <w:p w14:paraId="219A643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snapToGrid w:val="0"/>
                <w:color w:val="000000" w:themeColor="text1"/>
                <w14:textFill>
                  <w14:solidFill>
                    <w14:schemeClr w14:val="tx1"/>
                  </w14:solidFill>
                </w14:textFill>
              </w:rPr>
            </w:pPr>
            <w:r>
              <w:rPr>
                <w:rFonts w:hint="eastAsia"/>
                <w:color w:val="000000" w:themeColor="text1"/>
                <w14:textFill>
                  <w14:solidFill>
                    <w14:schemeClr w14:val="tx1"/>
                  </w14:solidFill>
                </w14:textFill>
              </w:rPr>
              <w:t>本项目在</w:t>
            </w:r>
            <w:r>
              <w:rPr>
                <w:rFonts w:hint="eastAsia" w:eastAsia="宋体"/>
                <w:color w:val="000000" w:themeColor="text1"/>
                <w:lang w:val="en-US" w:eastAsia="zh-CN"/>
                <w14:textFill>
                  <w14:solidFill>
                    <w14:schemeClr w14:val="tx1"/>
                  </w14:solidFill>
                </w14:textFill>
              </w:rPr>
              <w:t>220kV</w:t>
            </w:r>
            <w:r>
              <w:rPr>
                <w:rFonts w:hint="eastAsia" w:eastAsia="宋体"/>
                <w:color w:val="000000" w:themeColor="text1"/>
                <w14:textFill>
                  <w14:solidFill>
                    <w14:schemeClr w14:val="tx1"/>
                  </w14:solidFill>
                </w14:textFill>
              </w:rPr>
              <w:t>升压</w:t>
            </w:r>
            <w:r>
              <w:rPr>
                <w:rFonts w:hint="eastAsia" w:eastAsia="宋体"/>
                <w:color w:val="000000" w:themeColor="text1"/>
                <w:lang w:eastAsia="zh-CN"/>
                <w14:textFill>
                  <w14:solidFill>
                    <w14:schemeClr w14:val="tx1"/>
                  </w14:solidFill>
                </w14:textFill>
              </w:rPr>
              <w:t>汇集</w:t>
            </w:r>
            <w:r>
              <w:rPr>
                <w:rFonts w:hint="eastAsia" w:eastAsia="宋体"/>
                <w:color w:val="000000" w:themeColor="text1"/>
                <w14:textFill>
                  <w14:solidFill>
                    <w14:schemeClr w14:val="tx1"/>
                  </w14:solidFill>
                </w14:textFill>
              </w:rPr>
              <w:t>站</w:t>
            </w:r>
            <w:r>
              <w:rPr>
                <w:rFonts w:hint="eastAsia"/>
                <w:color w:val="000000" w:themeColor="text1"/>
                <w14:textFill>
                  <w14:solidFill>
                    <w14:schemeClr w14:val="tx1"/>
                  </w14:solidFill>
                </w14:textFill>
              </w:rPr>
              <w:t>内</w:t>
            </w:r>
            <w:r>
              <w:rPr>
                <w:rFonts w:hint="eastAsia"/>
                <w:color w:val="000000" w:themeColor="text1"/>
                <w:lang w:val="en-US" w:eastAsia="zh-CN"/>
                <w14:textFill>
                  <w14:solidFill>
                    <w14:schemeClr w14:val="tx1"/>
                  </w14:solidFill>
                </w14:textFill>
              </w:rPr>
              <w:t>建设</w:t>
            </w:r>
            <w:r>
              <w:rPr>
                <w:rFonts w:hint="eastAsia"/>
                <w:color w:val="000000" w:themeColor="text1"/>
                <w14:textFill>
                  <w14:solidFill>
                    <w14:schemeClr w14:val="tx1"/>
                  </w14:solidFill>
                </w14:textFill>
              </w:rPr>
              <w:t>一座</w:t>
            </w:r>
            <w:r>
              <w:rPr>
                <w:rFonts w:hint="eastAsia"/>
                <w:color w:val="000000" w:themeColor="text1"/>
                <w:lang w:eastAsia="zh-CN"/>
                <w14:textFill>
                  <w14:solidFill>
                    <w14:schemeClr w14:val="tx1"/>
                  </w14:solidFill>
                </w14:textFill>
              </w:rPr>
              <w:t>危废</w:t>
            </w:r>
            <w:r>
              <w:rPr>
                <w:rFonts w:hint="eastAsia"/>
                <w:color w:val="000000" w:themeColor="text1"/>
                <w:lang w:val="en-US" w:eastAsia="zh-CN"/>
                <w14:textFill>
                  <w14:solidFill>
                    <w14:schemeClr w14:val="tx1"/>
                  </w14:solidFill>
                </w14:textFill>
              </w:rPr>
              <w:t>贮存点</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建筑</w:t>
            </w:r>
            <w:r>
              <w:rPr>
                <w:rFonts w:hint="eastAsia"/>
                <w:color w:val="000000" w:themeColor="text1"/>
                <w:lang w:eastAsia="zh-CN"/>
                <w14:textFill>
                  <w14:solidFill>
                    <w14:schemeClr w14:val="tx1"/>
                  </w14:solidFill>
                </w14:textFill>
              </w:rPr>
              <w:t>面积为</w:t>
            </w:r>
            <w:r>
              <w:rPr>
                <w:rFonts w:hint="eastAsia"/>
                <w:color w:val="000000" w:themeColor="text1"/>
                <w:lang w:val="en-US" w:eastAsia="zh-CN"/>
                <w14:textFill>
                  <w14:solidFill>
                    <w14:schemeClr w14:val="tx1"/>
                  </w14:solidFill>
                </w14:textFill>
              </w:rPr>
              <w:t>55m</w:t>
            </w:r>
            <w:r>
              <w:rPr>
                <w:rFonts w:hint="eastAsia"/>
                <w:color w:val="000000" w:themeColor="text1"/>
                <w:vertAlign w:val="superscript"/>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w:t>
            </w:r>
            <w:r>
              <w:rPr>
                <w:color w:val="000000" w:themeColor="text1"/>
                <w14:textFill>
                  <w14:solidFill>
                    <w14:schemeClr w14:val="tx1"/>
                  </w14:solidFill>
                </w14:textFill>
              </w:rPr>
              <w:t>危废</w:t>
            </w:r>
            <w:r>
              <w:rPr>
                <w:rFonts w:hint="eastAsia"/>
                <w:color w:val="000000" w:themeColor="text1"/>
                <w:lang w:val="en-US" w:eastAsia="zh-CN"/>
                <w14:textFill>
                  <w14:solidFill>
                    <w14:schemeClr w14:val="tx1"/>
                  </w14:solidFill>
                </w14:textFill>
              </w:rPr>
              <w:t>贮存点</w:t>
            </w:r>
            <w:r>
              <w:rPr>
                <w:color w:val="000000" w:themeColor="text1"/>
                <w14:textFill>
                  <w14:solidFill>
                    <w14:schemeClr w14:val="tx1"/>
                  </w14:solidFill>
                </w14:textFill>
              </w:rPr>
              <w:t>建设应符合《危险废物贮存污染控制标准》（GB1859</w:t>
            </w:r>
            <w:r>
              <w:rPr>
                <w:rFonts w:hint="eastAsia"/>
                <w:color w:val="000000" w:themeColor="text1"/>
                <w:lang w:val="en-US" w:eastAsia="zh-CN"/>
                <w14:textFill>
                  <w14:solidFill>
                    <w14:schemeClr w14:val="tx1"/>
                  </w14:solidFill>
                </w14:textFill>
              </w:rPr>
              <w:t>7</w:t>
            </w:r>
            <w:r>
              <w:rPr>
                <w:color w:val="000000" w:themeColor="text1"/>
                <w14:textFill>
                  <w14:solidFill>
                    <w14:schemeClr w14:val="tx1"/>
                  </w14:solidFill>
                </w14:textFill>
              </w:rPr>
              <w:t>-20</w:t>
            </w:r>
            <w:r>
              <w:rPr>
                <w:rFonts w:hint="eastAsia"/>
                <w:color w:val="000000" w:themeColor="text1"/>
                <w14:textFill>
                  <w14:solidFill>
                    <w14:schemeClr w14:val="tx1"/>
                  </w14:solidFill>
                </w14:textFill>
              </w:rPr>
              <w:t>23</w:t>
            </w:r>
            <w:r>
              <w:rPr>
                <w:color w:val="000000" w:themeColor="text1"/>
                <w14:textFill>
                  <w14:solidFill>
                    <w14:schemeClr w14:val="tx1"/>
                  </w14:solidFill>
                </w14:textFill>
              </w:rPr>
              <w:t>）要求，</w:t>
            </w:r>
            <w:r>
              <w:rPr>
                <w:rFonts w:hint="eastAsia"/>
                <w:color w:val="000000" w:themeColor="text1"/>
                <w:spacing w:val="-2"/>
                <w14:textFill>
                  <w14:solidFill>
                    <w14:schemeClr w14:val="tx1"/>
                  </w14:solidFill>
                </w14:textFill>
              </w:rPr>
              <w:t>地面与裙</w:t>
            </w:r>
            <w:r>
              <w:rPr>
                <w:rFonts w:hint="eastAsia"/>
                <w:color w:val="000000" w:themeColor="text1"/>
                <w:spacing w:val="-2"/>
                <w:lang w:eastAsia="zh-CN"/>
                <w14:textFill>
                  <w14:solidFill>
                    <w14:schemeClr w14:val="tx1"/>
                  </w14:solidFill>
                </w14:textFill>
              </w:rPr>
              <w:t>脚</w:t>
            </w:r>
            <w:r>
              <w:rPr>
                <w:color w:val="000000" w:themeColor="text1"/>
                <w:spacing w:val="-2"/>
                <w14:textFill>
                  <w14:solidFill>
                    <w14:schemeClr w14:val="tx1"/>
                  </w14:solidFill>
                </w14:textFill>
              </w:rPr>
              <w:t>必须</w:t>
            </w:r>
            <w:r>
              <w:rPr>
                <w:rFonts w:hint="eastAsia"/>
                <w:color w:val="000000" w:themeColor="text1"/>
                <w:spacing w:val="-2"/>
                <w14:textFill>
                  <w14:solidFill>
                    <w14:schemeClr w14:val="tx1"/>
                  </w14:solidFill>
                </w14:textFill>
              </w:rPr>
              <w:t>采取</w:t>
            </w:r>
            <w:r>
              <w:rPr>
                <w:color w:val="000000" w:themeColor="text1"/>
                <w:spacing w:val="-2"/>
                <w14:textFill>
                  <w14:solidFill>
                    <w14:schemeClr w14:val="tx1"/>
                  </w14:solidFill>
                </w14:textFill>
              </w:rPr>
              <w:t>防渗</w:t>
            </w:r>
            <w:r>
              <w:rPr>
                <w:snapToGrid w:val="0"/>
                <w:color w:val="000000" w:themeColor="text1"/>
                <w14:textFill>
                  <w14:solidFill>
                    <w14:schemeClr w14:val="tx1"/>
                  </w14:solidFill>
                </w14:textFill>
              </w:rPr>
              <w:t>，防渗层为至少1m厚粘土层（渗透系数≤10</w:t>
            </w:r>
            <w:r>
              <w:rPr>
                <w:rFonts w:hint="eastAsia"/>
                <w:snapToGrid w:val="0"/>
                <w:color w:val="000000" w:themeColor="text1"/>
                <w:vertAlign w:val="superscript"/>
                <w:lang w:val="en-US" w:eastAsia="zh-CN"/>
                <w14:textFill>
                  <w14:solidFill>
                    <w14:schemeClr w14:val="tx1"/>
                  </w14:solidFill>
                </w14:textFill>
              </w:rPr>
              <w:t>-</w:t>
            </w:r>
            <w:r>
              <w:rPr>
                <w:snapToGrid w:val="0"/>
                <w:color w:val="000000" w:themeColor="text1"/>
                <w:vertAlign w:val="superscript"/>
                <w14:textFill>
                  <w14:solidFill>
                    <w14:schemeClr w14:val="tx1"/>
                  </w14:solidFill>
                </w14:textFill>
              </w:rPr>
              <w:t>7</w:t>
            </w:r>
            <w:r>
              <w:rPr>
                <w:snapToGrid w:val="0"/>
                <w:color w:val="000000" w:themeColor="text1"/>
                <w14:textFill>
                  <w14:solidFill>
                    <w14:schemeClr w14:val="tx1"/>
                  </w14:solidFill>
                </w14:textFill>
              </w:rPr>
              <w:t>cm/s），或至少2mm厚高密度聚乙烯</w:t>
            </w:r>
            <w:r>
              <w:rPr>
                <w:rFonts w:hint="eastAsia"/>
                <w:snapToGrid w:val="0"/>
                <w:color w:val="000000" w:themeColor="text1"/>
                <w14:textFill>
                  <w14:solidFill>
                    <w14:schemeClr w14:val="tx1"/>
                  </w14:solidFill>
                </w14:textFill>
              </w:rPr>
              <w:t>等</w:t>
            </w:r>
            <w:r>
              <w:rPr>
                <w:snapToGrid w:val="0"/>
                <w:color w:val="000000" w:themeColor="text1"/>
                <w14:textFill>
                  <w14:solidFill>
                    <w14:schemeClr w14:val="tx1"/>
                  </w14:solidFill>
                </w14:textFill>
              </w:rPr>
              <w:t>人工材料</w:t>
            </w:r>
            <w:r>
              <w:rPr>
                <w:rFonts w:hint="eastAsia"/>
                <w:snapToGrid w:val="0"/>
                <w:color w:val="000000" w:themeColor="text1"/>
                <w14:textFill>
                  <w14:solidFill>
                    <w14:schemeClr w14:val="tx1"/>
                  </w14:solidFill>
                </w14:textFill>
              </w:rPr>
              <w:t>（</w:t>
            </w:r>
            <w:r>
              <w:rPr>
                <w:snapToGrid w:val="0"/>
                <w:color w:val="000000" w:themeColor="text1"/>
                <w14:textFill>
                  <w14:solidFill>
                    <w14:schemeClr w14:val="tx1"/>
                  </w14:solidFill>
                </w14:textFill>
              </w:rPr>
              <w:t>渗透系数≤10</w:t>
            </w:r>
            <w:r>
              <w:rPr>
                <w:rFonts w:hint="eastAsia"/>
                <w:snapToGrid w:val="0"/>
                <w:color w:val="000000" w:themeColor="text1"/>
                <w:vertAlign w:val="superscript"/>
                <w:lang w:val="en-US" w:eastAsia="zh-CN"/>
                <w14:textFill>
                  <w14:solidFill>
                    <w14:schemeClr w14:val="tx1"/>
                  </w14:solidFill>
                </w14:textFill>
              </w:rPr>
              <w:t>-</w:t>
            </w:r>
            <w:r>
              <w:rPr>
                <w:snapToGrid w:val="0"/>
                <w:color w:val="000000" w:themeColor="text1"/>
                <w:vertAlign w:val="superscript"/>
                <w14:textFill>
                  <w14:solidFill>
                    <w14:schemeClr w14:val="tx1"/>
                  </w14:solidFill>
                </w14:textFill>
              </w:rPr>
              <w:t>10</w:t>
            </w:r>
            <w:r>
              <w:rPr>
                <w:snapToGrid w:val="0"/>
                <w:color w:val="000000" w:themeColor="text1"/>
                <w14:textFill>
                  <w14:solidFill>
                    <w14:schemeClr w14:val="tx1"/>
                  </w14:solidFill>
                </w14:textFill>
              </w:rPr>
              <w:t>cm/s</w:t>
            </w:r>
            <w:r>
              <w:rPr>
                <w:rFonts w:hint="eastAsia"/>
                <w:snapToGrid w:val="0"/>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14:paraId="754AFA7E">
            <w:pPr>
              <w:keepNext w:val="0"/>
              <w:keepLines w:val="0"/>
              <w:pageBreakBefore w:val="0"/>
              <w:widowControl w:val="0"/>
              <w:kinsoku/>
              <w:wordWrap/>
              <w:overflowPunct/>
              <w:topLinePunct w:val="0"/>
              <w:bidi w:val="0"/>
              <w:adjustRightInd w:val="0"/>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危险废物收集装置及</w:t>
            </w:r>
            <w:r>
              <w:rPr>
                <w:rFonts w:hint="eastAsia"/>
                <w:color w:val="000000" w:themeColor="text1"/>
                <w:lang w:eastAsia="zh-CN"/>
                <w14:textFill>
                  <w14:solidFill>
                    <w14:schemeClr w14:val="tx1"/>
                  </w14:solidFill>
                </w14:textFill>
              </w:rPr>
              <w:t>危废</w:t>
            </w:r>
            <w:r>
              <w:rPr>
                <w:rFonts w:hint="eastAsia"/>
                <w:color w:val="000000" w:themeColor="text1"/>
                <w:lang w:val="en-US" w:eastAsia="zh-CN"/>
                <w14:textFill>
                  <w14:solidFill>
                    <w14:schemeClr w14:val="tx1"/>
                  </w14:solidFill>
                </w14:textFill>
              </w:rPr>
              <w:t>贮存点</w:t>
            </w:r>
            <w:r>
              <w:rPr>
                <w:color w:val="000000" w:themeColor="text1"/>
                <w14:textFill>
                  <w14:solidFill>
                    <w14:schemeClr w14:val="tx1"/>
                  </w14:solidFill>
                </w14:textFill>
              </w:rPr>
              <w:t>必须粘贴危险废物标识，标签格式及内容应按照</w:t>
            </w:r>
            <w:r>
              <w:rPr>
                <w:snapToGrid w:val="0"/>
                <w:color w:val="000000" w:themeColor="text1"/>
                <w14:textFill>
                  <w14:solidFill>
                    <w14:schemeClr w14:val="tx1"/>
                  </w14:solidFill>
                </w14:textFill>
              </w:rPr>
              <w:t>《危险废物识别标志设置技术规范》（HJ1276</w:t>
            </w:r>
            <w:r>
              <w:rPr>
                <w:rFonts w:hint="eastAsia"/>
                <w:snapToGrid w:val="0"/>
                <w:color w:val="000000" w:themeColor="text1"/>
                <w14:textFill>
                  <w14:solidFill>
                    <w14:schemeClr w14:val="tx1"/>
                  </w14:solidFill>
                </w14:textFill>
              </w:rPr>
              <w:t>-</w:t>
            </w:r>
            <w:r>
              <w:rPr>
                <w:snapToGrid w:val="0"/>
                <w:color w:val="000000" w:themeColor="text1"/>
                <w14:textFill>
                  <w14:solidFill>
                    <w14:schemeClr w14:val="tx1"/>
                  </w14:solidFill>
                </w14:textFill>
              </w:rPr>
              <w:t>2022）</w:t>
            </w:r>
            <w:r>
              <w:rPr>
                <w:color w:val="000000" w:themeColor="text1"/>
                <w14:textFill>
                  <w14:solidFill>
                    <w14:schemeClr w14:val="tx1"/>
                  </w14:solidFill>
                </w14:textFill>
              </w:rPr>
              <w:t>中要求执行，</w:t>
            </w:r>
            <w:r>
              <w:rPr>
                <w:rFonts w:hint="eastAsia"/>
                <w:color w:val="000000" w:themeColor="text1"/>
                <w:lang w:eastAsia="zh-CN"/>
                <w14:textFill>
                  <w14:solidFill>
                    <w14:schemeClr w14:val="tx1"/>
                  </w14:solidFill>
                </w14:textFill>
              </w:rPr>
              <w:t>危废</w:t>
            </w:r>
            <w:r>
              <w:rPr>
                <w:rFonts w:hint="eastAsia"/>
                <w:color w:val="000000" w:themeColor="text1"/>
                <w:lang w:val="en-US" w:eastAsia="zh-CN"/>
                <w14:textFill>
                  <w14:solidFill>
                    <w14:schemeClr w14:val="tx1"/>
                  </w14:solidFill>
                </w14:textFill>
              </w:rPr>
              <w:t>贮存点</w:t>
            </w:r>
            <w:r>
              <w:rPr>
                <w:rFonts w:hint="eastAsia"/>
                <w:color w:val="000000" w:themeColor="text1"/>
                <w14:textFill>
                  <w14:solidFill>
                    <w14:schemeClr w14:val="tx1"/>
                  </w14:solidFill>
                </w14:textFill>
              </w:rPr>
              <w:t>区</w:t>
            </w:r>
            <w:r>
              <w:rPr>
                <w:color w:val="000000" w:themeColor="text1"/>
                <w14:textFill>
                  <w14:solidFill>
                    <w14:schemeClr w14:val="tx1"/>
                  </w14:solidFill>
                </w14:textFill>
              </w:rPr>
              <w:t>域设置界限标志和警示牌。</w:t>
            </w:r>
            <w:r>
              <w:rPr>
                <w:rFonts w:hint="eastAsia"/>
                <w:color w:val="000000" w:themeColor="text1"/>
                <w14:textFill>
                  <w14:solidFill>
                    <w14:schemeClr w14:val="tx1"/>
                  </w14:solidFill>
                </w14:textFill>
              </w:rPr>
              <w:t>危险废物</w:t>
            </w:r>
            <w:r>
              <w:rPr>
                <w:color w:val="000000" w:themeColor="text1"/>
                <w14:textFill>
                  <w14:solidFill>
                    <w14:schemeClr w14:val="tx1"/>
                  </w14:solidFill>
                </w14:textFill>
              </w:rPr>
              <w:t>收集和转运作业人员根据工作需要配备必要的个人防护装备，如手套、防护服等。制定危险废物管理计划要求，对危险废物产生、贮存、转移等方面进行管控。</w:t>
            </w:r>
          </w:p>
          <w:p w14:paraId="1C63226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textAlignment w:val="auto"/>
              <w:rPr>
                <w:rFonts w:hint="default" w:ascii="Times New Roman" w:hAnsi="Times New Roman" w:eastAsia="宋体" w:cs="Times New Roman"/>
                <w:bCs/>
                <w:color w:val="000000" w:themeColor="text1"/>
                <w:sz w:val="24"/>
                <w14:textFill>
                  <w14:solidFill>
                    <w14:schemeClr w14:val="tx1"/>
                  </w14:solidFill>
                </w14:textFill>
              </w:rPr>
            </w:pP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eastAsia" w:ascii="Times New Roman" w:hAnsi="Times New Roman" w:eastAsia="宋体" w:cs="Times New Roman"/>
                <w:bCs/>
                <w:color w:val="000000" w:themeColor="text1"/>
                <w:sz w:val="24"/>
                <w:lang w:val="en-US" w:eastAsia="zh-CN"/>
                <w14:textFill>
                  <w14:solidFill>
                    <w14:schemeClr w14:val="tx1"/>
                  </w14:solidFill>
                </w14:textFill>
              </w:rPr>
              <w:t>5</w:t>
            </w: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eastAsia="宋体" w:cs="Times New Roman"/>
                <w:bCs/>
                <w:color w:val="000000" w:themeColor="text1"/>
                <w:sz w:val="24"/>
                <w14:textFill>
                  <w14:solidFill>
                    <w14:schemeClr w14:val="tx1"/>
                  </w14:solidFill>
                </w14:textFill>
              </w:rPr>
              <w:t>危险废物</w:t>
            </w:r>
            <w:r>
              <w:rPr>
                <w:rFonts w:hint="eastAsia"/>
                <w:bCs/>
                <w:color w:val="000000" w:themeColor="text1"/>
                <w:sz w:val="24"/>
                <w14:textFill>
                  <w14:solidFill>
                    <w14:schemeClr w14:val="tx1"/>
                  </w14:solidFill>
                </w14:textFill>
              </w:rPr>
              <w:t>贮存</w:t>
            </w:r>
            <w:r>
              <w:rPr>
                <w:rFonts w:hint="default" w:ascii="Times New Roman" w:hAnsi="Times New Roman" w:eastAsia="宋体" w:cs="Times New Roman"/>
                <w:bCs/>
                <w:color w:val="000000" w:themeColor="text1"/>
                <w:sz w:val="24"/>
                <w14:textFill>
                  <w14:solidFill>
                    <w14:schemeClr w14:val="tx1"/>
                  </w14:solidFill>
                </w14:textFill>
              </w:rPr>
              <w:t>管理要求：</w:t>
            </w:r>
          </w:p>
          <w:p w14:paraId="69787CB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sz w:val="24"/>
                <w:lang w:bidi="ar"/>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禁止一般工业固体废物和生活垃圾混入</w:t>
            </w:r>
            <w:r>
              <w:rPr>
                <w:rFonts w:hint="eastAsia" w:cs="Times New Roman"/>
                <w:color w:val="000000" w:themeColor="text1"/>
                <w:sz w:val="24"/>
                <w:lang w:eastAsia="zh-CN" w:bidi="ar"/>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禁止将不相容（相互反应）的危险废物在同一容器内混装；不相容危险废物要分别存放或存放在不渗透间隔分开的区域内，每个部分都应有防漏裙脚或储漏盘，防漏裙脚或储漏盘的材料要与危险废物相容。</w:t>
            </w:r>
          </w:p>
          <w:p w14:paraId="1833924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textAlignment w:val="auto"/>
              <w:rPr>
                <w:rFonts w:hint="default" w:ascii="Times New Roman" w:hAnsi="Times New Roman" w:cs="Times New Roman"/>
                <w:color w:val="000000" w:themeColor="text1"/>
                <w:sz w:val="24"/>
                <w:lang w:bidi="ar"/>
                <w14:textFill>
                  <w14:solidFill>
                    <w14:schemeClr w14:val="tx1"/>
                  </w14:solidFill>
                </w14:textFill>
              </w:rPr>
            </w:pPr>
            <w:r>
              <w:rPr>
                <w:rFonts w:hint="eastAsia"/>
                <w:bCs/>
                <w:color w:val="000000" w:themeColor="text1"/>
                <w:sz w:val="24"/>
                <w14:textFill>
                  <w14:solidFill>
                    <w14:schemeClr w14:val="tx1"/>
                  </w14:solidFill>
                </w14:textFill>
              </w:rPr>
              <w:t>危险废物贮存设施及包装物的标志应符合GB18597的要求。</w:t>
            </w:r>
            <w:r>
              <w:rPr>
                <w:rFonts w:hint="eastAsia"/>
                <w:bCs/>
                <w:color w:val="000000" w:themeColor="text1"/>
                <w:sz w:val="24"/>
                <w:lang w:eastAsia="zh-CN"/>
                <w14:textFill>
                  <w14:solidFill>
                    <w14:schemeClr w14:val="tx1"/>
                  </w14:solidFill>
                </w14:textFill>
              </w:rPr>
              <w:t>做好</w:t>
            </w:r>
            <w:r>
              <w:rPr>
                <w:rFonts w:hint="default" w:ascii="Times New Roman" w:hAnsi="Times New Roman" w:cs="Times New Roman"/>
                <w:color w:val="000000" w:themeColor="text1"/>
                <w:sz w:val="24"/>
                <w:lang w:bidi="ar"/>
                <w14:textFill>
                  <w14:solidFill>
                    <w14:schemeClr w14:val="tx1"/>
                  </w14:solidFill>
                </w14:textFill>
              </w:rPr>
              <w:t>危险废物情况的记录。记录上须注明危险废物的名称、来源、数量、特性和包装容器的类别、入库日期、存放库位、废物出库日期及接收单位名称。危险废物的记录和货单在危险废物回取后应继续保留3年。</w:t>
            </w:r>
          </w:p>
          <w:p w14:paraId="092B589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sz w:val="24"/>
                <w:lang w:bidi="ar"/>
                <w14:textFill>
                  <w14:solidFill>
                    <w14:schemeClr w14:val="tx1"/>
                  </w14:solidFill>
                </w14:textFill>
              </w:rPr>
            </w:pPr>
            <w:r>
              <w:rPr>
                <w:rFonts w:hint="default" w:ascii="Times New Roman" w:hAnsi="Times New Roman" w:cs="Times New Roman"/>
                <w:color w:val="000000" w:themeColor="text1"/>
                <w:sz w:val="24"/>
                <w:lang w:bidi="ar"/>
                <w14:textFill>
                  <w14:solidFill>
                    <w14:schemeClr w14:val="tx1"/>
                  </w14:solidFill>
                </w14:textFill>
              </w:rPr>
              <w:t>定期对所贮存的危险废物包装容器及贮存设施进行检查，发现破损，应及时采取措施清理更换。</w:t>
            </w:r>
          </w:p>
          <w:p w14:paraId="3206EBD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color w:val="000000" w:themeColor="text1"/>
                <w:sz w:val="24"/>
                <w:lang w:eastAsia="zh-CN" w:bidi="ar"/>
                <w14:textFill>
                  <w14:solidFill>
                    <w14:schemeClr w14:val="tx1"/>
                  </w14:solidFill>
                </w14:textFill>
              </w:rPr>
            </w:pP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eastAsia" w:ascii="Times New Roman" w:hAnsi="Times New Roman" w:eastAsia="宋体" w:cs="Times New Roman"/>
                <w:bCs/>
                <w:color w:val="000000" w:themeColor="text1"/>
                <w:sz w:val="24"/>
                <w:lang w:val="en-US" w:eastAsia="zh-CN"/>
                <w14:textFill>
                  <w14:solidFill>
                    <w14:schemeClr w14:val="tx1"/>
                  </w14:solidFill>
                </w14:textFill>
              </w:rPr>
              <w:t>6</w:t>
            </w:r>
            <w:r>
              <w:rPr>
                <w:rFonts w:hint="eastAsia" w:ascii="Times New Roman" w:hAnsi="Times New Roman" w:eastAsia="宋体" w:cs="Times New Roman"/>
                <w:bCs/>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bidi="ar"/>
                <w14:textFill>
                  <w14:solidFill>
                    <w14:schemeClr w14:val="tx1"/>
                  </w14:solidFill>
                </w14:textFill>
              </w:rPr>
              <w:t>危险废物转移</w:t>
            </w:r>
            <w:r>
              <w:rPr>
                <w:rFonts w:hint="eastAsia" w:cs="Times New Roman"/>
                <w:color w:val="000000" w:themeColor="text1"/>
                <w:sz w:val="24"/>
                <w:lang w:eastAsia="zh-CN" w:bidi="ar"/>
                <w14:textFill>
                  <w14:solidFill>
                    <w14:schemeClr w14:val="tx1"/>
                  </w14:solidFill>
                </w14:textFill>
              </w:rPr>
              <w:t>运输</w:t>
            </w:r>
            <w:r>
              <w:rPr>
                <w:rFonts w:hint="default" w:ascii="Times New Roman" w:hAnsi="Times New Roman" w:cs="Times New Roman"/>
                <w:color w:val="000000" w:themeColor="text1"/>
                <w:sz w:val="24"/>
                <w:lang w:bidi="ar"/>
                <w14:textFill>
                  <w14:solidFill>
                    <w14:schemeClr w14:val="tx1"/>
                  </w14:solidFill>
                </w14:textFill>
              </w:rPr>
              <w:t>的相关要求</w:t>
            </w:r>
            <w:r>
              <w:rPr>
                <w:rFonts w:hint="eastAsia" w:cs="Times New Roman"/>
                <w:color w:val="000000" w:themeColor="text1"/>
                <w:sz w:val="24"/>
                <w:lang w:eastAsia="zh-CN" w:bidi="ar"/>
                <w14:textFill>
                  <w14:solidFill>
                    <w14:schemeClr w14:val="tx1"/>
                  </w14:solidFill>
                </w14:textFill>
              </w:rPr>
              <w:t>：</w:t>
            </w:r>
          </w:p>
          <w:p w14:paraId="04D9A59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根据《危险化学品安全管理条例》</w:t>
            </w:r>
            <w:r>
              <w:rPr>
                <w:rFonts w:hint="eastAsia" w:cs="Times New Roman"/>
                <w:color w:val="000000" w:themeColor="text1"/>
                <w:sz w:val="24"/>
                <w:lang w:val="en-US" w:eastAsia="zh-CN"/>
                <w14:textFill>
                  <w14:solidFill>
                    <w14:schemeClr w14:val="tx1"/>
                  </w14:solidFill>
                </w14:textFill>
              </w:rPr>
              <w:t>和</w:t>
            </w:r>
            <w:r>
              <w:rPr>
                <w:rFonts w:hint="default" w:ascii="Times New Roman" w:hAnsi="Times New Roman" w:cs="Times New Roman"/>
                <w:color w:val="000000" w:themeColor="text1"/>
                <w:sz w:val="24"/>
                <w14:textFill>
                  <w14:solidFill>
                    <w14:schemeClr w14:val="tx1"/>
                  </w14:solidFill>
                </w14:textFill>
              </w:rPr>
              <w:t>《危险废物转移管理办法》的有关规定，在危险废物</w:t>
            </w:r>
            <w:r>
              <w:rPr>
                <w:rFonts w:hint="eastAsia" w:cs="Times New Roman"/>
                <w:color w:val="000000" w:themeColor="text1"/>
                <w:sz w:val="24"/>
                <w:lang w:eastAsia="zh-CN"/>
                <w14:textFill>
                  <w14:solidFill>
                    <w14:schemeClr w14:val="tx1"/>
                  </w14:solidFill>
                </w14:textFill>
              </w:rPr>
              <w:t>转移及运输</w:t>
            </w:r>
            <w:r>
              <w:rPr>
                <w:rFonts w:hint="default" w:ascii="Times New Roman" w:hAnsi="Times New Roman" w:cs="Times New Roman"/>
                <w:color w:val="000000" w:themeColor="text1"/>
                <w:sz w:val="24"/>
                <w14:textFill>
                  <w14:solidFill>
                    <w14:schemeClr w14:val="tx1"/>
                  </w14:solidFill>
                </w14:textFill>
              </w:rPr>
              <w:t>时必须严格遵守以下要求：</w:t>
            </w:r>
          </w:p>
          <w:p w14:paraId="3A5BB3E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危险废物在转移前，建设单位须按照国家有关规定报批危险废物转移计划；经批准后，建设单位应当向当地</w:t>
            </w:r>
            <w:r>
              <w:rPr>
                <w:rFonts w:hint="eastAsia" w:cs="Times New Roman"/>
                <w:color w:val="000000" w:themeColor="text1"/>
                <w:sz w:val="24"/>
                <w:lang w:eastAsia="zh-CN"/>
                <w14:textFill>
                  <w14:solidFill>
                    <w14:schemeClr w14:val="tx1"/>
                  </w14:solidFill>
                </w14:textFill>
              </w:rPr>
              <w:t>生态环境部门</w:t>
            </w:r>
            <w:r>
              <w:rPr>
                <w:rFonts w:hint="default" w:ascii="Times New Roman" w:hAnsi="Times New Roman" w:cs="Times New Roman"/>
                <w:color w:val="000000" w:themeColor="text1"/>
                <w:sz w:val="24"/>
                <w14:textFill>
                  <w14:solidFill>
                    <w14:schemeClr w14:val="tx1"/>
                  </w14:solidFill>
                </w14:textFill>
              </w:rPr>
              <w:t>申请领取联单。</w:t>
            </w:r>
          </w:p>
          <w:p w14:paraId="4104197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危险废物产生单位每转移一车（次）同类危险废物，应当填写一份联单。每车（次）有多类危险废物的，应当按每一类危险废物填写一份联单。危险废物电子转移联单数据应当在信息系统中至少保存十年。</w:t>
            </w:r>
          </w:p>
          <w:p w14:paraId="1453CDD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sz w:val="24"/>
                <w:lang w:eastAsia="zh-CN"/>
                <w14:textFill>
                  <w14:solidFill>
                    <w14:schemeClr w14:val="tx1"/>
                  </w14:solidFill>
                </w14:textFill>
              </w:rPr>
              <w:t>危废</w:t>
            </w:r>
            <w:r>
              <w:rPr>
                <w:rFonts w:hint="default" w:ascii="Times New Roman" w:hAnsi="Times New Roman" w:cs="Times New Roman"/>
                <w:color w:val="000000" w:themeColor="text1"/>
                <w:sz w:val="24"/>
                <w14:textFill>
                  <w14:solidFill>
                    <w14:schemeClr w14:val="tx1"/>
                  </w14:solidFill>
                </w14:textFill>
              </w:rPr>
              <w:t>处置单位运输人员必须掌握</w:t>
            </w:r>
            <w:r>
              <w:rPr>
                <w:rFonts w:hint="eastAsia" w:cs="Times New Roman"/>
                <w:color w:val="000000" w:themeColor="text1"/>
                <w:sz w:val="24"/>
                <w:lang w:eastAsia="zh-CN"/>
                <w14:textFill>
                  <w14:solidFill>
                    <w14:schemeClr w14:val="tx1"/>
                  </w14:solidFill>
                </w14:textFill>
              </w:rPr>
              <w:t>危废</w:t>
            </w:r>
            <w:r>
              <w:rPr>
                <w:rFonts w:hint="default" w:ascii="Times New Roman" w:hAnsi="Times New Roman" w:cs="Times New Roman"/>
                <w:color w:val="000000" w:themeColor="text1"/>
                <w:sz w:val="24"/>
                <w14:textFill>
                  <w14:solidFill>
                    <w14:schemeClr w14:val="tx1"/>
                  </w14:solidFill>
                </w14:textFill>
              </w:rPr>
              <w:t>运输的安全知识，了解所运载的</w:t>
            </w:r>
            <w:r>
              <w:rPr>
                <w:rFonts w:hint="eastAsia" w:cs="Times New Roman"/>
                <w:color w:val="000000" w:themeColor="text1"/>
                <w:sz w:val="24"/>
                <w:lang w:eastAsia="zh-CN"/>
                <w14:textFill>
                  <w14:solidFill>
                    <w14:schemeClr w14:val="tx1"/>
                  </w14:solidFill>
                </w14:textFill>
              </w:rPr>
              <w:t>危废</w:t>
            </w:r>
            <w:r>
              <w:rPr>
                <w:rFonts w:hint="default" w:ascii="Times New Roman" w:hAnsi="Times New Roman" w:cs="Times New Roman"/>
                <w:color w:val="000000" w:themeColor="text1"/>
                <w:sz w:val="24"/>
                <w14:textFill>
                  <w14:solidFill>
                    <w14:schemeClr w14:val="tx1"/>
                  </w14:solidFill>
                </w14:textFill>
              </w:rPr>
              <w:t>的性质、危害特性、包装容器的使用特性和发生意外时的应急措施。运输车辆必须具有车辆危险货物运输许可证。驾驶人员必须由取得驾驶执照的熟练人员担任。</w:t>
            </w:r>
          </w:p>
          <w:p w14:paraId="0052CF1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eastAsia" w:cs="Times New Roman"/>
                <w:color w:val="000000" w:themeColor="text1"/>
                <w:sz w:val="24"/>
                <w:lang w:eastAsia="zh-CN"/>
                <w14:textFill>
                  <w14:solidFill>
                    <w14:schemeClr w14:val="tx1"/>
                  </w14:solidFill>
                </w14:textFill>
              </w:rPr>
              <w:t>一</w:t>
            </w:r>
            <w:r>
              <w:rPr>
                <w:rFonts w:hint="default" w:ascii="Times New Roman" w:hAnsi="Times New Roman" w:cs="Times New Roman"/>
                <w:color w:val="000000" w:themeColor="text1"/>
                <w:sz w:val="24"/>
                <w14:textFill>
                  <w14:solidFill>
                    <w14:schemeClr w14:val="tx1"/>
                  </w14:solidFill>
                </w14:textFill>
              </w:rPr>
              <w:t>旦发生废弃物泄漏事故，公司和废弃物处置单位都应积极协助有关部门采取必要的安全措施，减少事故损失，防止事故蔓延、扩大；针对事故对人体、动植物、土壤、水源、空气造成的现实危害和可能产生的危害，应迅速采取封闭、隔离、洗消等措施，并对事故造成的危害进行监测、处置，直至符合国家环境保护标准。</w:t>
            </w:r>
          </w:p>
          <w:p w14:paraId="2405DA74">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7</w:t>
            </w:r>
            <w:r>
              <w:rPr>
                <w:rFonts w:hint="eastAsia"/>
                <w:b/>
                <w:color w:val="000000" w:themeColor="text1"/>
                <w14:textFill>
                  <w14:solidFill>
                    <w14:schemeClr w14:val="tx1"/>
                  </w14:solidFill>
                </w14:textFill>
              </w:rPr>
              <w:t>.</w:t>
            </w:r>
            <w:r>
              <w:rPr>
                <w:b/>
                <w:color w:val="000000" w:themeColor="text1"/>
                <w14:textFill>
                  <w14:solidFill>
                    <w14:schemeClr w14:val="tx1"/>
                  </w14:solidFill>
                </w14:textFill>
              </w:rPr>
              <w:t>电磁环境</w:t>
            </w:r>
          </w:p>
          <w:p w14:paraId="3A2BFB72">
            <w:pPr>
              <w:adjustRightInd w:val="0"/>
              <w:spacing w:line="500" w:lineRule="exact"/>
              <w:ind w:firstLine="480" w:firstLineChars="200"/>
              <w:rPr>
                <w:rFonts w:hint="default"/>
                <w:color w:val="000000" w:themeColor="text1"/>
                <w:lang w:val="en-US" w:eastAsia="zh-CN"/>
                <w14:textFill>
                  <w14:solidFill>
                    <w14:schemeClr w14:val="tx1"/>
                  </w14:solidFill>
                </w14:textFill>
              </w:rPr>
            </w:pPr>
            <w:r>
              <w:rPr>
                <w:bCs/>
                <w:color w:val="000000" w:themeColor="text1"/>
                <w:szCs w:val="21"/>
                <w14:textFill>
                  <w14:solidFill>
                    <w14:schemeClr w14:val="tx1"/>
                  </w14:solidFill>
                </w14:textFill>
              </w:rPr>
              <w:t>电磁环境保护措施见</w:t>
            </w:r>
            <w:r>
              <w:rPr>
                <w:rFonts w:hint="eastAsia"/>
                <w:bCs/>
                <w:color w:val="000000" w:themeColor="text1"/>
                <w:szCs w:val="21"/>
                <w:lang w:eastAsia="zh-CN"/>
                <w14:textFill>
                  <w14:solidFill>
                    <w14:schemeClr w14:val="tx1"/>
                  </w14:solidFill>
                </w14:textFill>
              </w:rPr>
              <w:t>“</w:t>
            </w:r>
            <w:r>
              <w:rPr>
                <w:bCs/>
                <w:color w:val="000000" w:themeColor="text1"/>
                <w:szCs w:val="21"/>
                <w14:textFill>
                  <w14:solidFill>
                    <w14:schemeClr w14:val="tx1"/>
                  </w14:solidFill>
                </w14:textFill>
              </w:rPr>
              <w:t>电磁环境影响专题评价</w:t>
            </w:r>
            <w:r>
              <w:rPr>
                <w:rFonts w:hint="eastAsia"/>
                <w:bCs/>
                <w:color w:val="000000" w:themeColor="text1"/>
                <w:szCs w:val="21"/>
                <w:lang w:eastAsia="zh-CN"/>
                <w14:textFill>
                  <w14:solidFill>
                    <w14:schemeClr w14:val="tx1"/>
                  </w14:solidFill>
                </w14:textFill>
              </w:rPr>
              <w:t>”</w:t>
            </w:r>
            <w:r>
              <w:rPr>
                <w:bCs/>
                <w:color w:val="000000" w:themeColor="text1"/>
                <w:szCs w:val="21"/>
                <w14:textFill>
                  <w14:solidFill>
                    <w14:schemeClr w14:val="tx1"/>
                  </w14:solidFill>
                </w14:textFill>
              </w:rPr>
              <w:t>，通过落实相关措施，运营期</w:t>
            </w:r>
            <w:r>
              <w:rPr>
                <w:rFonts w:hint="eastAsia" w:eastAsia="宋体"/>
                <w:color w:val="000000" w:themeColor="text1"/>
                <w:lang w:val="en-US" w:eastAsia="zh-CN"/>
                <w14:textFill>
                  <w14:solidFill>
                    <w14:schemeClr w14:val="tx1"/>
                  </w14:solidFill>
                </w14:textFill>
              </w:rPr>
              <w:t>220kV</w:t>
            </w:r>
            <w:r>
              <w:rPr>
                <w:rFonts w:hint="eastAsia" w:eastAsia="宋体"/>
                <w:color w:val="000000" w:themeColor="text1"/>
                <w14:textFill>
                  <w14:solidFill>
                    <w14:schemeClr w14:val="tx1"/>
                  </w14:solidFill>
                </w14:textFill>
              </w:rPr>
              <w:t>升压</w:t>
            </w:r>
            <w:r>
              <w:rPr>
                <w:rFonts w:hint="eastAsia" w:eastAsia="宋体"/>
                <w:color w:val="000000" w:themeColor="text1"/>
                <w:lang w:eastAsia="zh-CN"/>
                <w14:textFill>
                  <w14:solidFill>
                    <w14:schemeClr w14:val="tx1"/>
                  </w14:solidFill>
                </w14:textFill>
              </w:rPr>
              <w:t>汇集</w:t>
            </w:r>
            <w:r>
              <w:rPr>
                <w:rFonts w:hint="eastAsia" w:eastAsia="宋体"/>
                <w:color w:val="000000" w:themeColor="text1"/>
                <w14:textFill>
                  <w14:solidFill>
                    <w14:schemeClr w14:val="tx1"/>
                  </w14:solidFill>
                </w14:textFill>
              </w:rPr>
              <w:t>站</w:t>
            </w:r>
            <w:r>
              <w:rPr>
                <w:rFonts w:hint="eastAsia"/>
                <w:color w:val="000000" w:themeColor="text1"/>
                <w:lang w:val="en-US" w:eastAsia="zh-CN"/>
                <w14:textFill>
                  <w14:solidFill>
                    <w14:schemeClr w14:val="tx1"/>
                  </w14:solidFill>
                </w14:textFill>
              </w:rPr>
              <w:t>及外送线路</w:t>
            </w:r>
            <w:r>
              <w:rPr>
                <w:bCs/>
                <w:color w:val="000000" w:themeColor="text1"/>
                <w:szCs w:val="21"/>
                <w14:textFill>
                  <w14:solidFill>
                    <w14:schemeClr w14:val="tx1"/>
                  </w14:solidFill>
                </w14:textFill>
              </w:rPr>
              <w:t>产生的电磁场对周边</w:t>
            </w:r>
            <w:r>
              <w:rPr>
                <w:rFonts w:hint="eastAsia"/>
                <w:bCs/>
                <w:color w:val="000000" w:themeColor="text1"/>
                <w:szCs w:val="21"/>
                <w:lang w:val="en-US" w:eastAsia="zh-CN"/>
                <w14:textFill>
                  <w14:solidFill>
                    <w14:schemeClr w14:val="tx1"/>
                  </w14:solidFill>
                </w14:textFill>
              </w:rPr>
              <w:t>生态</w:t>
            </w:r>
            <w:r>
              <w:rPr>
                <w:bCs/>
                <w:color w:val="000000" w:themeColor="text1"/>
                <w:szCs w:val="21"/>
                <w14:textFill>
                  <w14:solidFill>
                    <w14:schemeClr w14:val="tx1"/>
                  </w14:solidFill>
                </w14:textFill>
              </w:rPr>
              <w:t>环境影响较小，在可接受范围内。</w:t>
            </w:r>
          </w:p>
          <w:p w14:paraId="3AA12380">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8</w:t>
            </w:r>
            <w:r>
              <w:rPr>
                <w:rFonts w:hint="eastAsia"/>
                <w:b/>
                <w:color w:val="000000" w:themeColor="text1"/>
                <w14:textFill>
                  <w14:solidFill>
                    <w14:schemeClr w14:val="tx1"/>
                  </w14:solidFill>
                </w14:textFill>
              </w:rPr>
              <w:t>.运营期生态环境保护措施及预期效果</w:t>
            </w:r>
          </w:p>
          <w:p w14:paraId="3117DCDC">
            <w:pPr>
              <w:adjustRightInd w:val="0"/>
              <w:spacing w:line="500" w:lineRule="exact"/>
              <w:ind w:firstLine="480" w:firstLineChars="200"/>
              <w:rPr>
                <w:bCs/>
                <w:color w:val="000000" w:themeColor="text1"/>
                <w14:textFill>
                  <w14:solidFill>
                    <w14:schemeClr w14:val="tx1"/>
                  </w14:solidFill>
                </w14:textFill>
              </w:rPr>
            </w:pPr>
            <w:r>
              <w:rPr>
                <w:rFonts w:hint="eastAsia"/>
                <w:bCs/>
                <w:color w:val="000000" w:themeColor="text1"/>
                <w14:textFill>
                  <w14:solidFill>
                    <w14:schemeClr w14:val="tx1"/>
                  </w14:solidFill>
                </w14:textFill>
              </w:rPr>
              <w:t>本工程运营期主要生态环境保护措施及预期效果详见表5-</w:t>
            </w:r>
            <w:r>
              <w:rPr>
                <w:rFonts w:hint="eastAsia"/>
                <w:bCs/>
                <w:color w:val="000000" w:themeColor="text1"/>
                <w:lang w:val="en-US" w:eastAsia="zh-CN"/>
                <w14:textFill>
                  <w14:solidFill>
                    <w14:schemeClr w14:val="tx1"/>
                  </w14:solidFill>
                </w14:textFill>
              </w:rPr>
              <w:t>3</w:t>
            </w:r>
            <w:r>
              <w:rPr>
                <w:rFonts w:hint="eastAsia"/>
                <w:bCs/>
                <w:color w:val="000000" w:themeColor="text1"/>
                <w14:textFill>
                  <w14:solidFill>
                    <w14:schemeClr w14:val="tx1"/>
                  </w14:solidFill>
                </w14:textFill>
              </w:rPr>
              <w:t>。</w:t>
            </w:r>
          </w:p>
          <w:p w14:paraId="6507E9D4">
            <w:pPr>
              <w:adjustRightInd w:val="0"/>
              <w:snapToGrid w:val="0"/>
              <w:jc w:val="center"/>
              <w:rPr>
                <w:rFonts w:hint="eastAsia" w:ascii="黑体" w:hAnsi="黑体" w:eastAsia="黑体" w:cs="黑体"/>
                <w:bCs/>
                <w:color w:val="000000" w:themeColor="text1"/>
                <w:sz w:val="21"/>
                <w:szCs w:val="21"/>
                <w14:textFill>
                  <w14:solidFill>
                    <w14:schemeClr w14:val="tx1"/>
                  </w14:solidFill>
                </w14:textFill>
              </w:rPr>
            </w:pPr>
          </w:p>
          <w:p w14:paraId="7E929B6C">
            <w:pPr>
              <w:adjustRightInd w:val="0"/>
              <w:snapToGrid w:val="0"/>
              <w:jc w:val="center"/>
              <w:rPr>
                <w:rFonts w:ascii="黑体" w:hAnsi="黑体" w:eastAsia="黑体" w:cs="黑体"/>
                <w:bCs/>
                <w:color w:val="000000" w:themeColor="text1"/>
                <w:sz w:val="21"/>
                <w:szCs w:val="21"/>
                <w14:textFill>
                  <w14:solidFill>
                    <w14:schemeClr w14:val="tx1"/>
                  </w14:solidFill>
                </w14:textFill>
              </w:rPr>
            </w:pPr>
            <w:r>
              <w:rPr>
                <w:rFonts w:hint="eastAsia" w:ascii="黑体" w:hAnsi="黑体" w:eastAsia="黑体" w:cs="黑体"/>
                <w:bCs/>
                <w:color w:val="000000" w:themeColor="text1"/>
                <w:sz w:val="21"/>
                <w:szCs w:val="21"/>
                <w14:textFill>
                  <w14:solidFill>
                    <w14:schemeClr w14:val="tx1"/>
                  </w14:solidFill>
                </w14:textFill>
              </w:rPr>
              <w:t>表5-</w:t>
            </w:r>
            <w:r>
              <w:rPr>
                <w:rFonts w:hint="eastAsia" w:ascii="黑体" w:hAnsi="黑体" w:eastAsia="黑体" w:cs="黑体"/>
                <w:bCs/>
                <w:color w:val="000000" w:themeColor="text1"/>
                <w:sz w:val="21"/>
                <w:szCs w:val="21"/>
                <w:lang w:val="en-US" w:eastAsia="zh-CN"/>
                <w14:textFill>
                  <w14:solidFill>
                    <w14:schemeClr w14:val="tx1"/>
                  </w14:solidFill>
                </w14:textFill>
              </w:rPr>
              <w:t>3</w:t>
            </w:r>
            <w:r>
              <w:rPr>
                <w:rFonts w:hint="eastAsia" w:ascii="黑体" w:hAnsi="黑体" w:eastAsia="黑体" w:cs="黑体"/>
                <w:bCs/>
                <w:color w:val="000000" w:themeColor="text1"/>
                <w:sz w:val="21"/>
                <w:szCs w:val="21"/>
                <w14:textFill>
                  <w14:solidFill>
                    <w14:schemeClr w14:val="tx1"/>
                  </w14:solidFill>
                </w14:textFill>
              </w:rPr>
              <w:t xml:space="preserve">   运营期生态环境保护措施及预期效果一览表</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35"/>
              <w:gridCol w:w="2544"/>
              <w:gridCol w:w="812"/>
              <w:gridCol w:w="669"/>
              <w:gridCol w:w="669"/>
              <w:gridCol w:w="1244"/>
              <w:gridCol w:w="1863"/>
            </w:tblGrid>
            <w:tr w14:paraId="01FA92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44" w:hRule="atLeast"/>
                <w:jc w:val="center"/>
              </w:trPr>
              <w:tc>
                <w:tcPr>
                  <w:tcW w:w="321" w:type="pct"/>
                  <w:tcBorders>
                    <w:tl2br w:val="nil"/>
                    <w:tr2bl w:val="nil"/>
                  </w:tcBorders>
                  <w:vAlign w:val="center"/>
                </w:tcPr>
                <w:p w14:paraId="6E0D6EA6">
                  <w:pPr>
                    <w:adjustRightInd w:val="0"/>
                    <w:snapToGrid w:val="0"/>
                    <w:spacing w:line="240" w:lineRule="auto"/>
                    <w:jc w:val="center"/>
                    <w:rPr>
                      <w:b/>
                      <w:bCs w:val="0"/>
                      <w:color w:val="000000" w:themeColor="text1"/>
                      <w:kern w:val="0"/>
                      <w:sz w:val="21"/>
                      <w:szCs w:val="21"/>
                      <w14:textFill>
                        <w14:solidFill>
                          <w14:schemeClr w14:val="tx1"/>
                        </w14:solidFill>
                      </w14:textFill>
                    </w:rPr>
                  </w:pPr>
                  <w:r>
                    <w:rPr>
                      <w:b/>
                      <w:bCs w:val="0"/>
                      <w:color w:val="000000" w:themeColor="text1"/>
                      <w:kern w:val="0"/>
                      <w:sz w:val="21"/>
                      <w:szCs w:val="21"/>
                      <w14:textFill>
                        <w14:solidFill>
                          <w14:schemeClr w14:val="tx1"/>
                        </w14:solidFill>
                      </w14:textFill>
                    </w:rPr>
                    <w:t>序号</w:t>
                  </w:r>
                </w:p>
              </w:tc>
              <w:tc>
                <w:tcPr>
                  <w:tcW w:w="1525" w:type="pct"/>
                  <w:tcBorders>
                    <w:tl2br w:val="nil"/>
                    <w:tr2bl w:val="nil"/>
                  </w:tcBorders>
                  <w:vAlign w:val="center"/>
                </w:tcPr>
                <w:p w14:paraId="500F7259">
                  <w:pPr>
                    <w:adjustRightInd w:val="0"/>
                    <w:snapToGrid w:val="0"/>
                    <w:spacing w:line="240" w:lineRule="auto"/>
                    <w:jc w:val="center"/>
                    <w:rPr>
                      <w:b/>
                      <w:bCs w:val="0"/>
                      <w:color w:val="000000" w:themeColor="text1"/>
                      <w:kern w:val="0"/>
                      <w:sz w:val="21"/>
                      <w:szCs w:val="21"/>
                      <w14:textFill>
                        <w14:solidFill>
                          <w14:schemeClr w14:val="tx1"/>
                        </w14:solidFill>
                      </w14:textFill>
                    </w:rPr>
                  </w:pPr>
                  <w:r>
                    <w:rPr>
                      <w:b/>
                      <w:bCs w:val="0"/>
                      <w:color w:val="000000" w:themeColor="text1"/>
                      <w:kern w:val="0"/>
                      <w:sz w:val="21"/>
                      <w:szCs w:val="21"/>
                      <w14:textFill>
                        <w14:solidFill>
                          <w14:schemeClr w14:val="tx1"/>
                        </w14:solidFill>
                      </w14:textFill>
                    </w:rPr>
                    <w:t>生态保护措施要求</w:t>
                  </w:r>
                </w:p>
              </w:tc>
              <w:tc>
                <w:tcPr>
                  <w:tcW w:w="487" w:type="pct"/>
                  <w:tcBorders>
                    <w:tl2br w:val="nil"/>
                    <w:tr2bl w:val="nil"/>
                  </w:tcBorders>
                  <w:vAlign w:val="center"/>
                </w:tcPr>
                <w:p w14:paraId="24E67D92">
                  <w:pPr>
                    <w:adjustRightInd w:val="0"/>
                    <w:snapToGrid w:val="0"/>
                    <w:spacing w:line="240" w:lineRule="auto"/>
                    <w:jc w:val="center"/>
                    <w:rPr>
                      <w:b/>
                      <w:bCs w:val="0"/>
                      <w:color w:val="000000" w:themeColor="text1"/>
                      <w:kern w:val="0"/>
                      <w:sz w:val="21"/>
                      <w:szCs w:val="21"/>
                      <w14:textFill>
                        <w14:solidFill>
                          <w14:schemeClr w14:val="tx1"/>
                        </w14:solidFill>
                      </w14:textFill>
                    </w:rPr>
                  </w:pPr>
                  <w:r>
                    <w:rPr>
                      <w:b/>
                      <w:bCs w:val="0"/>
                      <w:color w:val="000000" w:themeColor="text1"/>
                      <w:kern w:val="0"/>
                      <w:sz w:val="21"/>
                      <w:szCs w:val="21"/>
                      <w14:textFill>
                        <w14:solidFill>
                          <w14:schemeClr w14:val="tx1"/>
                        </w14:solidFill>
                      </w14:textFill>
                    </w:rPr>
                    <w:t>实施</w:t>
                  </w:r>
                </w:p>
                <w:p w14:paraId="72FC5011">
                  <w:pPr>
                    <w:adjustRightInd w:val="0"/>
                    <w:snapToGrid w:val="0"/>
                    <w:spacing w:line="240" w:lineRule="auto"/>
                    <w:jc w:val="center"/>
                    <w:rPr>
                      <w:b/>
                      <w:bCs w:val="0"/>
                      <w:color w:val="000000" w:themeColor="text1"/>
                      <w:kern w:val="0"/>
                      <w:sz w:val="21"/>
                      <w:szCs w:val="21"/>
                      <w14:textFill>
                        <w14:solidFill>
                          <w14:schemeClr w14:val="tx1"/>
                        </w14:solidFill>
                      </w14:textFill>
                    </w:rPr>
                  </w:pPr>
                  <w:r>
                    <w:rPr>
                      <w:b/>
                      <w:bCs w:val="0"/>
                      <w:color w:val="000000" w:themeColor="text1"/>
                      <w:kern w:val="0"/>
                      <w:sz w:val="21"/>
                      <w:szCs w:val="21"/>
                      <w14:textFill>
                        <w14:solidFill>
                          <w14:schemeClr w14:val="tx1"/>
                        </w14:solidFill>
                      </w14:textFill>
                    </w:rPr>
                    <w:t>部位</w:t>
                  </w:r>
                </w:p>
              </w:tc>
              <w:tc>
                <w:tcPr>
                  <w:tcW w:w="401" w:type="pct"/>
                  <w:tcBorders>
                    <w:tl2br w:val="nil"/>
                    <w:tr2bl w:val="nil"/>
                  </w:tcBorders>
                  <w:vAlign w:val="center"/>
                </w:tcPr>
                <w:p w14:paraId="0ECD4F83">
                  <w:pPr>
                    <w:adjustRightInd w:val="0"/>
                    <w:snapToGrid w:val="0"/>
                    <w:spacing w:line="240" w:lineRule="auto"/>
                    <w:jc w:val="center"/>
                    <w:rPr>
                      <w:b/>
                      <w:bCs w:val="0"/>
                      <w:color w:val="000000" w:themeColor="text1"/>
                      <w:kern w:val="0"/>
                      <w:sz w:val="21"/>
                      <w:szCs w:val="21"/>
                      <w14:textFill>
                        <w14:solidFill>
                          <w14:schemeClr w14:val="tx1"/>
                        </w14:solidFill>
                      </w14:textFill>
                    </w:rPr>
                  </w:pPr>
                  <w:r>
                    <w:rPr>
                      <w:b/>
                      <w:bCs w:val="0"/>
                      <w:color w:val="000000" w:themeColor="text1"/>
                      <w:kern w:val="0"/>
                      <w:sz w:val="21"/>
                      <w:szCs w:val="21"/>
                      <w14:textFill>
                        <w14:solidFill>
                          <w14:schemeClr w14:val="tx1"/>
                        </w14:solidFill>
                      </w14:textFill>
                    </w:rPr>
                    <w:t>实施时间</w:t>
                  </w:r>
                </w:p>
              </w:tc>
              <w:tc>
                <w:tcPr>
                  <w:tcW w:w="401" w:type="pct"/>
                  <w:tcBorders>
                    <w:tl2br w:val="nil"/>
                    <w:tr2bl w:val="nil"/>
                  </w:tcBorders>
                  <w:vAlign w:val="center"/>
                </w:tcPr>
                <w:p w14:paraId="43FADD88">
                  <w:pPr>
                    <w:adjustRightInd w:val="0"/>
                    <w:snapToGrid w:val="0"/>
                    <w:spacing w:line="240" w:lineRule="auto"/>
                    <w:jc w:val="center"/>
                    <w:rPr>
                      <w:b/>
                      <w:bCs w:val="0"/>
                      <w:color w:val="000000" w:themeColor="text1"/>
                      <w:kern w:val="0"/>
                      <w:sz w:val="21"/>
                      <w:szCs w:val="21"/>
                      <w14:textFill>
                        <w14:solidFill>
                          <w14:schemeClr w14:val="tx1"/>
                        </w14:solidFill>
                      </w14:textFill>
                    </w:rPr>
                  </w:pPr>
                  <w:r>
                    <w:rPr>
                      <w:b/>
                      <w:bCs w:val="0"/>
                      <w:color w:val="000000" w:themeColor="text1"/>
                      <w:kern w:val="0"/>
                      <w:sz w:val="21"/>
                      <w:szCs w:val="21"/>
                      <w14:textFill>
                        <w14:solidFill>
                          <w14:schemeClr w14:val="tx1"/>
                        </w14:solidFill>
                      </w14:textFill>
                    </w:rPr>
                    <w:t>责任主体</w:t>
                  </w:r>
                </w:p>
              </w:tc>
              <w:tc>
                <w:tcPr>
                  <w:tcW w:w="746" w:type="pct"/>
                  <w:tcBorders>
                    <w:tl2br w:val="nil"/>
                    <w:tr2bl w:val="nil"/>
                  </w:tcBorders>
                  <w:vAlign w:val="center"/>
                </w:tcPr>
                <w:p w14:paraId="308408A0">
                  <w:pPr>
                    <w:adjustRightInd w:val="0"/>
                    <w:snapToGrid w:val="0"/>
                    <w:spacing w:line="240" w:lineRule="auto"/>
                    <w:jc w:val="center"/>
                    <w:rPr>
                      <w:b/>
                      <w:bCs w:val="0"/>
                      <w:color w:val="000000" w:themeColor="text1"/>
                      <w:kern w:val="0"/>
                      <w:sz w:val="21"/>
                      <w:szCs w:val="21"/>
                      <w14:textFill>
                        <w14:solidFill>
                          <w14:schemeClr w14:val="tx1"/>
                        </w14:solidFill>
                      </w14:textFill>
                    </w:rPr>
                  </w:pPr>
                  <w:r>
                    <w:rPr>
                      <w:b/>
                      <w:bCs w:val="0"/>
                      <w:color w:val="000000" w:themeColor="text1"/>
                      <w:kern w:val="0"/>
                      <w:sz w:val="21"/>
                      <w:szCs w:val="21"/>
                      <w14:textFill>
                        <w14:solidFill>
                          <w14:schemeClr w14:val="tx1"/>
                        </w14:solidFill>
                      </w14:textFill>
                    </w:rPr>
                    <w:t>实施保障</w:t>
                  </w:r>
                </w:p>
              </w:tc>
              <w:tc>
                <w:tcPr>
                  <w:tcW w:w="1116" w:type="pct"/>
                  <w:tcBorders>
                    <w:tl2br w:val="nil"/>
                    <w:tr2bl w:val="nil"/>
                  </w:tcBorders>
                  <w:vAlign w:val="center"/>
                </w:tcPr>
                <w:p w14:paraId="41DA00CC">
                  <w:pPr>
                    <w:adjustRightInd w:val="0"/>
                    <w:snapToGrid w:val="0"/>
                    <w:spacing w:line="240" w:lineRule="auto"/>
                    <w:jc w:val="center"/>
                    <w:rPr>
                      <w:b/>
                      <w:bCs w:val="0"/>
                      <w:color w:val="000000" w:themeColor="text1"/>
                      <w:kern w:val="0"/>
                      <w:sz w:val="21"/>
                      <w:szCs w:val="21"/>
                      <w14:textFill>
                        <w14:solidFill>
                          <w14:schemeClr w14:val="tx1"/>
                        </w14:solidFill>
                      </w14:textFill>
                    </w:rPr>
                  </w:pPr>
                  <w:r>
                    <w:rPr>
                      <w:b/>
                      <w:bCs w:val="0"/>
                      <w:color w:val="000000" w:themeColor="text1"/>
                      <w:kern w:val="0"/>
                      <w:sz w:val="21"/>
                      <w:szCs w:val="21"/>
                      <w14:textFill>
                        <w14:solidFill>
                          <w14:schemeClr w14:val="tx1"/>
                        </w14:solidFill>
                      </w14:textFill>
                    </w:rPr>
                    <w:t>实施效果</w:t>
                  </w:r>
                </w:p>
              </w:tc>
            </w:tr>
            <w:tr w14:paraId="4D2812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85" w:hRule="atLeast"/>
                <w:jc w:val="center"/>
              </w:trPr>
              <w:tc>
                <w:tcPr>
                  <w:tcW w:w="321" w:type="pct"/>
                  <w:tcBorders>
                    <w:tl2br w:val="nil"/>
                    <w:tr2bl w:val="nil"/>
                  </w:tcBorders>
                  <w:vAlign w:val="center"/>
                </w:tcPr>
                <w:p w14:paraId="3D794610">
                  <w:pPr>
                    <w:adjustRightInd w:val="0"/>
                    <w:snapToGrid w:val="0"/>
                    <w:spacing w:line="240" w:lineRule="auto"/>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1</w:t>
                  </w:r>
                </w:p>
              </w:tc>
              <w:tc>
                <w:tcPr>
                  <w:tcW w:w="1525" w:type="pct"/>
                  <w:tcBorders>
                    <w:tl2br w:val="nil"/>
                    <w:tr2bl w:val="nil"/>
                  </w:tcBorders>
                  <w:vAlign w:val="center"/>
                </w:tcPr>
                <w:p w14:paraId="48A46182">
                  <w:pPr>
                    <w:adjustRightInd w:val="0"/>
                    <w:snapToGrid w:val="0"/>
                    <w:spacing w:line="240" w:lineRule="auto"/>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严格控制道路占地，加强绿化</w:t>
                  </w:r>
                </w:p>
              </w:tc>
              <w:tc>
                <w:tcPr>
                  <w:tcW w:w="487" w:type="pct"/>
                  <w:vMerge w:val="restart"/>
                  <w:tcBorders>
                    <w:tl2br w:val="nil"/>
                    <w:tr2bl w:val="nil"/>
                  </w:tcBorders>
                  <w:vAlign w:val="center"/>
                </w:tcPr>
                <w:p w14:paraId="18DD37FB">
                  <w:pPr>
                    <w:adjustRightInd w:val="0"/>
                    <w:snapToGrid w:val="0"/>
                    <w:spacing w:line="240" w:lineRule="auto"/>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建设项目生产运营区域</w:t>
                  </w:r>
                </w:p>
              </w:tc>
              <w:tc>
                <w:tcPr>
                  <w:tcW w:w="401" w:type="pct"/>
                  <w:vMerge w:val="restart"/>
                  <w:tcBorders>
                    <w:tl2br w:val="nil"/>
                    <w:tr2bl w:val="nil"/>
                  </w:tcBorders>
                  <w:vAlign w:val="center"/>
                </w:tcPr>
                <w:p w14:paraId="2E66E793">
                  <w:pPr>
                    <w:adjustRightInd w:val="0"/>
                    <w:snapToGrid w:val="0"/>
                    <w:spacing w:line="240" w:lineRule="auto"/>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运营期</w:t>
                  </w:r>
                </w:p>
              </w:tc>
              <w:tc>
                <w:tcPr>
                  <w:tcW w:w="401" w:type="pct"/>
                  <w:vMerge w:val="restart"/>
                  <w:tcBorders>
                    <w:tl2br w:val="nil"/>
                    <w:tr2bl w:val="nil"/>
                  </w:tcBorders>
                  <w:vAlign w:val="center"/>
                </w:tcPr>
                <w:p w14:paraId="1DB9BCC3">
                  <w:pPr>
                    <w:adjustRightInd w:val="0"/>
                    <w:snapToGrid w:val="0"/>
                    <w:spacing w:line="240" w:lineRule="auto"/>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建设单位</w:t>
                  </w:r>
                </w:p>
              </w:tc>
              <w:tc>
                <w:tcPr>
                  <w:tcW w:w="746" w:type="pct"/>
                  <w:vMerge w:val="restart"/>
                  <w:tcBorders>
                    <w:tl2br w:val="nil"/>
                    <w:tr2bl w:val="nil"/>
                  </w:tcBorders>
                  <w:vAlign w:val="center"/>
                </w:tcPr>
                <w:p w14:paraId="67248DCC">
                  <w:pPr>
                    <w:adjustRightInd w:val="0"/>
                    <w:snapToGrid w:val="0"/>
                    <w:spacing w:line="240" w:lineRule="auto"/>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①建立环境管理机构，配备专职或兼职环保管理人员；②制定相关方环境管理条例、质量管理规定；③开展经常性检查、监督，发现问题及时解决、纠正。</w:t>
                  </w:r>
                </w:p>
              </w:tc>
              <w:tc>
                <w:tcPr>
                  <w:tcW w:w="1116" w:type="pct"/>
                  <w:tcBorders>
                    <w:tl2br w:val="nil"/>
                    <w:tr2bl w:val="nil"/>
                  </w:tcBorders>
                  <w:vAlign w:val="center"/>
                </w:tcPr>
                <w:p w14:paraId="1252DF49">
                  <w:pPr>
                    <w:adjustRightInd w:val="0"/>
                    <w:snapToGrid w:val="0"/>
                    <w:spacing w:line="240" w:lineRule="auto"/>
                    <w:jc w:val="center"/>
                    <w:rPr>
                      <w:color w:val="000000" w:themeColor="text1"/>
                      <w:kern w:val="0"/>
                      <w:sz w:val="21"/>
                      <w:szCs w:val="21"/>
                      <w14:textFill>
                        <w14:solidFill>
                          <w14:schemeClr w14:val="tx1"/>
                        </w14:solidFill>
                      </w14:textFill>
                    </w:rPr>
                  </w:pPr>
                  <w:r>
                    <w:rPr>
                      <w:color w:val="000000" w:themeColor="text1"/>
                      <w:sz w:val="21"/>
                      <w:szCs w:val="21"/>
                      <w14:textFill>
                        <w14:solidFill>
                          <w14:schemeClr w14:val="tx1"/>
                        </w14:solidFill>
                      </w14:textFill>
                    </w:rPr>
                    <w:t>对区域生态环境无明显影响</w:t>
                  </w:r>
                </w:p>
              </w:tc>
            </w:tr>
            <w:tr w14:paraId="5D8987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21" w:type="pct"/>
                  <w:tcBorders>
                    <w:tl2br w:val="nil"/>
                    <w:tr2bl w:val="nil"/>
                  </w:tcBorders>
                  <w:vAlign w:val="center"/>
                </w:tcPr>
                <w:p w14:paraId="59B113CA">
                  <w:pPr>
                    <w:adjustRightInd w:val="0"/>
                    <w:snapToGrid w:val="0"/>
                    <w:spacing w:line="240" w:lineRule="auto"/>
                    <w:jc w:val="center"/>
                    <w:rPr>
                      <w:color w:val="000000" w:themeColor="text1"/>
                      <w:kern w:val="0"/>
                      <w:sz w:val="21"/>
                      <w:szCs w:val="21"/>
                      <w14:textFill>
                        <w14:solidFill>
                          <w14:schemeClr w14:val="tx1"/>
                        </w14:solidFill>
                      </w14:textFill>
                    </w:rPr>
                  </w:pPr>
                  <w:r>
                    <w:rPr>
                      <w:color w:val="000000" w:themeColor="text1"/>
                      <w:kern w:val="0"/>
                      <w:sz w:val="21"/>
                      <w:szCs w:val="21"/>
                      <w14:textFill>
                        <w14:solidFill>
                          <w14:schemeClr w14:val="tx1"/>
                        </w14:solidFill>
                      </w14:textFill>
                    </w:rPr>
                    <w:t>2</w:t>
                  </w:r>
                </w:p>
              </w:tc>
              <w:tc>
                <w:tcPr>
                  <w:tcW w:w="1525" w:type="pct"/>
                  <w:tcBorders>
                    <w:tl2br w:val="nil"/>
                    <w:tr2bl w:val="nil"/>
                  </w:tcBorders>
                  <w:vAlign w:val="center"/>
                </w:tcPr>
                <w:p w14:paraId="0DE72E43">
                  <w:pPr>
                    <w:adjustRightInd w:val="0"/>
                    <w:snapToGrid w:val="0"/>
                    <w:spacing w:line="240" w:lineRule="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制定安全操作规程，加强职工安全教育；对员工进行电磁环境基础知识培训，在巡检带电维修过程中，尽可能减少暴露在电磁场中的时间；设立电磁防护安全警示标志，禁止无关人员靠近带电架构等</w:t>
                  </w:r>
                </w:p>
              </w:tc>
              <w:tc>
                <w:tcPr>
                  <w:tcW w:w="487" w:type="pct"/>
                  <w:vMerge w:val="continue"/>
                  <w:tcBorders>
                    <w:tl2br w:val="nil"/>
                    <w:tr2bl w:val="nil"/>
                  </w:tcBorders>
                  <w:vAlign w:val="center"/>
                </w:tcPr>
                <w:p w14:paraId="6BD7962B">
                  <w:pPr>
                    <w:widowControl/>
                    <w:snapToGrid w:val="0"/>
                    <w:spacing w:line="240" w:lineRule="auto"/>
                    <w:jc w:val="left"/>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64A631A2">
                  <w:pPr>
                    <w:adjustRightInd w:val="0"/>
                    <w:snapToGrid w:val="0"/>
                    <w:spacing w:line="240" w:lineRule="auto"/>
                    <w:jc w:val="center"/>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0E757A88">
                  <w:pPr>
                    <w:adjustRightInd w:val="0"/>
                    <w:snapToGrid w:val="0"/>
                    <w:spacing w:line="240" w:lineRule="auto"/>
                    <w:jc w:val="center"/>
                    <w:rPr>
                      <w:color w:val="000000" w:themeColor="text1"/>
                      <w:kern w:val="0"/>
                      <w:sz w:val="21"/>
                      <w:szCs w:val="21"/>
                      <w14:textFill>
                        <w14:solidFill>
                          <w14:schemeClr w14:val="tx1"/>
                        </w14:solidFill>
                      </w14:textFill>
                    </w:rPr>
                  </w:pPr>
                </w:p>
              </w:tc>
              <w:tc>
                <w:tcPr>
                  <w:tcW w:w="746" w:type="pct"/>
                  <w:vMerge w:val="continue"/>
                  <w:tcBorders>
                    <w:tl2br w:val="nil"/>
                    <w:tr2bl w:val="nil"/>
                  </w:tcBorders>
                  <w:vAlign w:val="center"/>
                </w:tcPr>
                <w:p w14:paraId="3C0A06BF">
                  <w:pPr>
                    <w:widowControl/>
                    <w:snapToGrid w:val="0"/>
                    <w:spacing w:line="240" w:lineRule="auto"/>
                    <w:jc w:val="left"/>
                    <w:rPr>
                      <w:color w:val="000000" w:themeColor="text1"/>
                      <w:kern w:val="0"/>
                      <w:sz w:val="21"/>
                      <w:szCs w:val="21"/>
                      <w14:textFill>
                        <w14:solidFill>
                          <w14:schemeClr w14:val="tx1"/>
                        </w14:solidFill>
                      </w14:textFill>
                    </w:rPr>
                  </w:pPr>
                </w:p>
              </w:tc>
              <w:tc>
                <w:tcPr>
                  <w:tcW w:w="1116" w:type="pct"/>
                  <w:tcBorders>
                    <w:tl2br w:val="nil"/>
                    <w:tr2bl w:val="nil"/>
                  </w:tcBorders>
                  <w:vAlign w:val="center"/>
                </w:tcPr>
                <w:p w14:paraId="50941996">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220kV</w:t>
                  </w:r>
                  <w:r>
                    <w:rPr>
                      <w:color w:val="000000" w:themeColor="text1"/>
                      <w:sz w:val="21"/>
                      <w:szCs w:val="21"/>
                      <w14:textFill>
                        <w14:solidFill>
                          <w14:schemeClr w14:val="tx1"/>
                        </w14:solidFill>
                      </w14:textFill>
                    </w:rPr>
                    <w:t>升压</w:t>
                  </w:r>
                  <w:r>
                    <w:rPr>
                      <w:rFonts w:hint="eastAsia"/>
                      <w:color w:val="000000" w:themeColor="text1"/>
                      <w:sz w:val="21"/>
                      <w:szCs w:val="21"/>
                      <w:lang w:eastAsia="zh-CN"/>
                      <w14:textFill>
                        <w14:solidFill>
                          <w14:schemeClr w14:val="tx1"/>
                        </w14:solidFill>
                      </w14:textFill>
                    </w:rPr>
                    <w:t>汇集</w:t>
                  </w:r>
                  <w:r>
                    <w:rPr>
                      <w:color w:val="000000" w:themeColor="text1"/>
                      <w:sz w:val="21"/>
                      <w:szCs w:val="21"/>
                      <w14:textFill>
                        <w14:solidFill>
                          <w14:schemeClr w14:val="tx1"/>
                        </w14:solidFill>
                      </w14:textFill>
                    </w:rPr>
                    <w:t>站运行时产生的电磁影响满足《电磁环境控制限值》</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GB8702-2014</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要求</w:t>
                  </w:r>
                </w:p>
              </w:tc>
            </w:tr>
            <w:tr w14:paraId="5D6CEE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21" w:type="pct"/>
                  <w:tcBorders>
                    <w:tl2br w:val="nil"/>
                    <w:tr2bl w:val="nil"/>
                  </w:tcBorders>
                  <w:vAlign w:val="center"/>
                </w:tcPr>
                <w:p w14:paraId="031B5D18">
                  <w:pPr>
                    <w:adjustRightInd w:val="0"/>
                    <w:snapToGrid w:val="0"/>
                    <w:spacing w:line="240" w:lineRule="auto"/>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3</w:t>
                  </w:r>
                </w:p>
              </w:tc>
              <w:tc>
                <w:tcPr>
                  <w:tcW w:w="1525" w:type="pct"/>
                  <w:tcBorders>
                    <w:tl2br w:val="nil"/>
                    <w:tr2bl w:val="nil"/>
                  </w:tcBorders>
                  <w:vAlign w:val="center"/>
                </w:tcPr>
                <w:p w14:paraId="07E3F077">
                  <w:pPr>
                    <w:adjustRightInd w:val="0"/>
                    <w:snapToGrid w:val="0"/>
                    <w:spacing w:line="240" w:lineRule="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应定期对</w:t>
                  </w:r>
                  <w:r>
                    <w:rPr>
                      <w:rFonts w:hint="eastAsia"/>
                      <w:color w:val="000000" w:themeColor="text1"/>
                      <w:sz w:val="21"/>
                      <w:szCs w:val="21"/>
                      <w:lang w:val="en-US" w:eastAsia="zh-CN"/>
                      <w14:textFill>
                        <w14:solidFill>
                          <w14:schemeClr w14:val="tx1"/>
                        </w14:solidFill>
                      </w14:textFill>
                    </w:rPr>
                    <w:t>220kV</w:t>
                  </w:r>
                  <w:r>
                    <w:rPr>
                      <w:color w:val="000000" w:themeColor="text1"/>
                      <w:sz w:val="21"/>
                      <w:szCs w:val="21"/>
                      <w14:textFill>
                        <w14:solidFill>
                          <w14:schemeClr w14:val="tx1"/>
                        </w14:solidFill>
                      </w14:textFill>
                    </w:rPr>
                    <w:t>升压</w:t>
                  </w:r>
                  <w:r>
                    <w:rPr>
                      <w:rFonts w:hint="eastAsia"/>
                      <w:color w:val="000000" w:themeColor="text1"/>
                      <w:sz w:val="21"/>
                      <w:szCs w:val="21"/>
                      <w:lang w:eastAsia="zh-CN"/>
                      <w14:textFill>
                        <w14:solidFill>
                          <w14:schemeClr w14:val="tx1"/>
                        </w14:solidFill>
                      </w14:textFill>
                    </w:rPr>
                    <w:t>汇集</w:t>
                  </w:r>
                  <w:r>
                    <w:rPr>
                      <w:color w:val="000000" w:themeColor="text1"/>
                      <w:sz w:val="21"/>
                      <w:szCs w:val="21"/>
                      <w14:textFill>
                        <w14:solidFill>
                          <w14:schemeClr w14:val="tx1"/>
                        </w14:solidFill>
                      </w14:textFill>
                    </w:rPr>
                    <w:t>站事故油池的密闭性进行检查</w:t>
                  </w:r>
                  <w:r>
                    <w:rPr>
                      <w:rFonts w:hint="eastAsia"/>
                      <w:color w:val="000000" w:themeColor="text1"/>
                      <w:sz w:val="21"/>
                      <w:szCs w:val="21"/>
                      <w14:textFill>
                        <w14:solidFill>
                          <w14:schemeClr w14:val="tx1"/>
                        </w14:solidFill>
                      </w14:textFill>
                    </w:rPr>
                    <w:t>；油烟经油烟净化器处理达标排放</w:t>
                  </w:r>
                </w:p>
              </w:tc>
              <w:tc>
                <w:tcPr>
                  <w:tcW w:w="487" w:type="pct"/>
                  <w:vMerge w:val="continue"/>
                  <w:tcBorders>
                    <w:tl2br w:val="nil"/>
                    <w:tr2bl w:val="nil"/>
                  </w:tcBorders>
                  <w:vAlign w:val="center"/>
                </w:tcPr>
                <w:p w14:paraId="10D91D4A">
                  <w:pPr>
                    <w:widowControl/>
                    <w:snapToGrid w:val="0"/>
                    <w:spacing w:line="240" w:lineRule="auto"/>
                    <w:jc w:val="left"/>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42AF685E">
                  <w:pPr>
                    <w:adjustRightInd w:val="0"/>
                    <w:snapToGrid w:val="0"/>
                    <w:spacing w:line="240" w:lineRule="auto"/>
                    <w:jc w:val="center"/>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6C33801D">
                  <w:pPr>
                    <w:adjustRightInd w:val="0"/>
                    <w:snapToGrid w:val="0"/>
                    <w:spacing w:line="240" w:lineRule="auto"/>
                    <w:jc w:val="center"/>
                    <w:rPr>
                      <w:color w:val="000000" w:themeColor="text1"/>
                      <w:kern w:val="0"/>
                      <w:sz w:val="21"/>
                      <w:szCs w:val="21"/>
                      <w14:textFill>
                        <w14:solidFill>
                          <w14:schemeClr w14:val="tx1"/>
                        </w14:solidFill>
                      </w14:textFill>
                    </w:rPr>
                  </w:pPr>
                </w:p>
              </w:tc>
              <w:tc>
                <w:tcPr>
                  <w:tcW w:w="746" w:type="pct"/>
                  <w:vMerge w:val="continue"/>
                  <w:tcBorders>
                    <w:tl2br w:val="nil"/>
                    <w:tr2bl w:val="nil"/>
                  </w:tcBorders>
                  <w:vAlign w:val="center"/>
                </w:tcPr>
                <w:p w14:paraId="386BA191">
                  <w:pPr>
                    <w:widowControl/>
                    <w:snapToGrid w:val="0"/>
                    <w:spacing w:line="240" w:lineRule="auto"/>
                    <w:jc w:val="left"/>
                    <w:rPr>
                      <w:color w:val="000000" w:themeColor="text1"/>
                      <w:kern w:val="0"/>
                      <w:sz w:val="21"/>
                      <w:szCs w:val="21"/>
                      <w14:textFill>
                        <w14:solidFill>
                          <w14:schemeClr w14:val="tx1"/>
                        </w14:solidFill>
                      </w14:textFill>
                    </w:rPr>
                  </w:pPr>
                </w:p>
              </w:tc>
              <w:tc>
                <w:tcPr>
                  <w:tcW w:w="1116" w:type="pct"/>
                  <w:tcBorders>
                    <w:tl2br w:val="nil"/>
                    <w:tr2bl w:val="nil"/>
                  </w:tcBorders>
                  <w:vAlign w:val="center"/>
                </w:tcPr>
                <w:p w14:paraId="6A0997D0">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事故池密闭性达标；</w:t>
                  </w:r>
                  <w:r>
                    <w:rPr>
                      <w:rFonts w:hint="eastAsia"/>
                      <w:color w:val="000000" w:themeColor="text1"/>
                      <w:sz w:val="21"/>
                      <w:szCs w:val="21"/>
                      <w14:textFill>
                        <w14:solidFill>
                          <w14:schemeClr w14:val="tx1"/>
                        </w14:solidFill>
                      </w14:textFill>
                    </w:rPr>
                    <w:t>油烟均达标排放</w:t>
                  </w:r>
                </w:p>
              </w:tc>
            </w:tr>
            <w:tr w14:paraId="540FED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21" w:type="pct"/>
                  <w:tcBorders>
                    <w:tl2br w:val="nil"/>
                    <w:tr2bl w:val="nil"/>
                  </w:tcBorders>
                  <w:vAlign w:val="center"/>
                </w:tcPr>
                <w:p w14:paraId="0F9CFEAA">
                  <w:pPr>
                    <w:adjustRightInd w:val="0"/>
                    <w:snapToGrid w:val="0"/>
                    <w:spacing w:line="240" w:lineRule="auto"/>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4</w:t>
                  </w:r>
                </w:p>
              </w:tc>
              <w:tc>
                <w:tcPr>
                  <w:tcW w:w="1525" w:type="pct"/>
                  <w:tcBorders>
                    <w:tl2br w:val="nil"/>
                    <w:tr2bl w:val="nil"/>
                  </w:tcBorders>
                  <w:vAlign w:val="center"/>
                </w:tcPr>
                <w:p w14:paraId="7937B886">
                  <w:pPr>
                    <w:adjustRightInd w:val="0"/>
                    <w:snapToGrid w:val="0"/>
                    <w:spacing w:line="240" w:lineRule="auto"/>
                    <w:rPr>
                      <w:rFonts w:hint="default"/>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生活污水中的餐饮废水经隔油池处理后与其他生活污水一起排入地埋式一体化污水处理设施处理，经处理达标后</w:t>
                  </w:r>
                  <w:r>
                    <w:rPr>
                      <w:rFonts w:hint="eastAsia" w:cs="Times New Roman"/>
                      <w:color w:val="000000" w:themeColor="text1"/>
                      <w:sz w:val="21"/>
                      <w:szCs w:val="21"/>
                      <w:lang w:val="en-US" w:eastAsia="zh-CN"/>
                      <w14:textFill>
                        <w14:solidFill>
                          <w14:schemeClr w14:val="tx1"/>
                        </w14:solidFill>
                      </w14:textFill>
                    </w:rPr>
                    <w:t>冬储夏灌</w:t>
                  </w:r>
                </w:p>
              </w:tc>
              <w:tc>
                <w:tcPr>
                  <w:tcW w:w="487" w:type="pct"/>
                  <w:vMerge w:val="continue"/>
                  <w:tcBorders>
                    <w:tl2br w:val="nil"/>
                    <w:tr2bl w:val="nil"/>
                  </w:tcBorders>
                  <w:vAlign w:val="center"/>
                </w:tcPr>
                <w:p w14:paraId="1CBFC62A">
                  <w:pPr>
                    <w:widowControl/>
                    <w:snapToGrid w:val="0"/>
                    <w:spacing w:line="240" w:lineRule="auto"/>
                    <w:jc w:val="left"/>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00CE074E">
                  <w:pPr>
                    <w:adjustRightInd w:val="0"/>
                    <w:snapToGrid w:val="0"/>
                    <w:spacing w:line="240" w:lineRule="auto"/>
                    <w:jc w:val="center"/>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1E586AF4">
                  <w:pPr>
                    <w:adjustRightInd w:val="0"/>
                    <w:snapToGrid w:val="0"/>
                    <w:spacing w:line="240" w:lineRule="auto"/>
                    <w:jc w:val="center"/>
                    <w:rPr>
                      <w:color w:val="000000" w:themeColor="text1"/>
                      <w:kern w:val="0"/>
                      <w:sz w:val="21"/>
                      <w:szCs w:val="21"/>
                      <w14:textFill>
                        <w14:solidFill>
                          <w14:schemeClr w14:val="tx1"/>
                        </w14:solidFill>
                      </w14:textFill>
                    </w:rPr>
                  </w:pPr>
                </w:p>
              </w:tc>
              <w:tc>
                <w:tcPr>
                  <w:tcW w:w="746" w:type="pct"/>
                  <w:vMerge w:val="continue"/>
                  <w:tcBorders>
                    <w:tl2br w:val="nil"/>
                    <w:tr2bl w:val="nil"/>
                  </w:tcBorders>
                  <w:vAlign w:val="center"/>
                </w:tcPr>
                <w:p w14:paraId="1478F549">
                  <w:pPr>
                    <w:widowControl/>
                    <w:snapToGrid w:val="0"/>
                    <w:spacing w:line="240" w:lineRule="auto"/>
                    <w:jc w:val="left"/>
                    <w:rPr>
                      <w:color w:val="000000" w:themeColor="text1"/>
                      <w:kern w:val="0"/>
                      <w:sz w:val="21"/>
                      <w:szCs w:val="21"/>
                      <w14:textFill>
                        <w14:solidFill>
                          <w14:schemeClr w14:val="tx1"/>
                        </w14:solidFill>
                      </w14:textFill>
                    </w:rPr>
                  </w:pPr>
                </w:p>
              </w:tc>
              <w:tc>
                <w:tcPr>
                  <w:tcW w:w="1116" w:type="pct"/>
                  <w:tcBorders>
                    <w:tl2br w:val="nil"/>
                    <w:tr2bl w:val="nil"/>
                  </w:tcBorders>
                  <w:vAlign w:val="center"/>
                </w:tcPr>
                <w:p w14:paraId="48B5ACB3">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各类废水能够妥善处置</w:t>
                  </w:r>
                </w:p>
              </w:tc>
            </w:tr>
            <w:tr w14:paraId="71A3D2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321" w:type="pct"/>
                  <w:tcBorders>
                    <w:tl2br w:val="nil"/>
                    <w:tr2bl w:val="nil"/>
                  </w:tcBorders>
                  <w:vAlign w:val="center"/>
                </w:tcPr>
                <w:p w14:paraId="43C96576">
                  <w:pPr>
                    <w:adjustRightInd w:val="0"/>
                    <w:snapToGrid w:val="0"/>
                    <w:spacing w:line="240" w:lineRule="auto"/>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5</w:t>
                  </w:r>
                </w:p>
              </w:tc>
              <w:tc>
                <w:tcPr>
                  <w:tcW w:w="1525" w:type="pct"/>
                  <w:tcBorders>
                    <w:tl2br w:val="nil"/>
                    <w:tr2bl w:val="nil"/>
                  </w:tcBorders>
                  <w:vAlign w:val="center"/>
                </w:tcPr>
                <w:p w14:paraId="5A3F522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加</w:t>
                  </w:r>
                  <w:r>
                    <w:rPr>
                      <w:rFonts w:hint="default" w:ascii="Times New Roman" w:hAnsi="Times New Roman" w:eastAsia="宋体" w:cs="Times New Roman"/>
                      <w:color w:val="000000" w:themeColor="text1"/>
                      <w:sz w:val="21"/>
                      <w:szCs w:val="21"/>
                      <w:lang w:eastAsia="zh-CN"/>
                      <w14:textFill>
                        <w14:solidFill>
                          <w14:schemeClr w14:val="tx1"/>
                        </w14:solidFill>
                      </w14:textFill>
                    </w:rPr>
                    <w:t>强对</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220kV</w:t>
                  </w:r>
                  <w:r>
                    <w:rPr>
                      <w:rFonts w:hint="default" w:ascii="Times New Roman" w:hAnsi="Times New Roman" w:eastAsia="宋体" w:cs="Times New Roman"/>
                      <w:color w:val="000000" w:themeColor="text1"/>
                      <w:sz w:val="21"/>
                      <w:szCs w:val="21"/>
                      <w:lang w:eastAsia="zh-CN"/>
                      <w14:textFill>
                        <w14:solidFill>
                          <w14:schemeClr w14:val="tx1"/>
                        </w14:solidFill>
                      </w14:textFill>
                    </w:rPr>
                    <w:t>升压</w:t>
                  </w:r>
                  <w:r>
                    <w:rPr>
                      <w:rFonts w:hint="eastAsia" w:ascii="Times New Roman" w:hAnsi="Times New Roman" w:eastAsia="宋体" w:cs="Times New Roman"/>
                      <w:color w:val="000000" w:themeColor="text1"/>
                      <w:sz w:val="21"/>
                      <w:szCs w:val="21"/>
                      <w:lang w:eastAsia="zh-CN"/>
                      <w14:textFill>
                        <w14:solidFill>
                          <w14:schemeClr w14:val="tx1"/>
                        </w14:solidFill>
                      </w14:textFill>
                    </w:rPr>
                    <w:t>汇集</w:t>
                  </w:r>
                  <w:r>
                    <w:rPr>
                      <w:rFonts w:hint="default" w:ascii="Times New Roman" w:hAnsi="Times New Roman" w:eastAsia="宋体" w:cs="Times New Roman"/>
                      <w:color w:val="000000" w:themeColor="text1"/>
                      <w:sz w:val="21"/>
                      <w:szCs w:val="21"/>
                      <w:lang w:eastAsia="zh-CN"/>
                      <w14:textFill>
                        <w14:solidFill>
                          <w14:schemeClr w14:val="tx1"/>
                        </w14:solidFill>
                      </w14:textFill>
                    </w:rPr>
                    <w:t>站声环境监测，及时发现问题并按照相关要求进</w:t>
                  </w:r>
                  <w:r>
                    <w:rPr>
                      <w:bCs/>
                      <w:color w:val="000000" w:themeColor="text1"/>
                      <w:sz w:val="21"/>
                      <w:szCs w:val="21"/>
                      <w14:textFill>
                        <w14:solidFill>
                          <w14:schemeClr w14:val="tx1"/>
                        </w14:solidFill>
                      </w14:textFill>
                    </w:rPr>
                    <w:t>行处理</w:t>
                  </w:r>
                </w:p>
              </w:tc>
              <w:tc>
                <w:tcPr>
                  <w:tcW w:w="487" w:type="pct"/>
                  <w:vMerge w:val="continue"/>
                  <w:tcBorders>
                    <w:tl2br w:val="nil"/>
                    <w:tr2bl w:val="nil"/>
                  </w:tcBorders>
                  <w:vAlign w:val="center"/>
                </w:tcPr>
                <w:p w14:paraId="73DF78BD">
                  <w:pPr>
                    <w:widowControl/>
                    <w:snapToGrid w:val="0"/>
                    <w:spacing w:line="240" w:lineRule="auto"/>
                    <w:jc w:val="left"/>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07119038">
                  <w:pPr>
                    <w:adjustRightInd w:val="0"/>
                    <w:snapToGrid w:val="0"/>
                    <w:spacing w:line="240" w:lineRule="auto"/>
                    <w:jc w:val="center"/>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63D7DC25">
                  <w:pPr>
                    <w:adjustRightInd w:val="0"/>
                    <w:snapToGrid w:val="0"/>
                    <w:spacing w:line="240" w:lineRule="auto"/>
                    <w:jc w:val="center"/>
                    <w:rPr>
                      <w:color w:val="000000" w:themeColor="text1"/>
                      <w:kern w:val="0"/>
                      <w:sz w:val="21"/>
                      <w:szCs w:val="21"/>
                      <w14:textFill>
                        <w14:solidFill>
                          <w14:schemeClr w14:val="tx1"/>
                        </w14:solidFill>
                      </w14:textFill>
                    </w:rPr>
                  </w:pPr>
                </w:p>
              </w:tc>
              <w:tc>
                <w:tcPr>
                  <w:tcW w:w="746" w:type="pct"/>
                  <w:vMerge w:val="continue"/>
                  <w:tcBorders>
                    <w:tl2br w:val="nil"/>
                    <w:tr2bl w:val="nil"/>
                  </w:tcBorders>
                  <w:vAlign w:val="center"/>
                </w:tcPr>
                <w:p w14:paraId="708A8F27">
                  <w:pPr>
                    <w:widowControl/>
                    <w:snapToGrid w:val="0"/>
                    <w:spacing w:line="240" w:lineRule="auto"/>
                    <w:jc w:val="left"/>
                    <w:rPr>
                      <w:color w:val="000000" w:themeColor="text1"/>
                      <w:kern w:val="0"/>
                      <w:sz w:val="21"/>
                      <w:szCs w:val="21"/>
                      <w14:textFill>
                        <w14:solidFill>
                          <w14:schemeClr w14:val="tx1"/>
                        </w14:solidFill>
                      </w14:textFill>
                    </w:rPr>
                  </w:pPr>
                </w:p>
              </w:tc>
              <w:tc>
                <w:tcPr>
                  <w:tcW w:w="1116" w:type="pct"/>
                  <w:tcBorders>
                    <w:tl2br w:val="nil"/>
                    <w:tr2bl w:val="nil"/>
                  </w:tcBorders>
                  <w:vAlign w:val="center"/>
                </w:tcPr>
                <w:p w14:paraId="44CE3BAA">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厂界声环境达标</w:t>
                  </w:r>
                </w:p>
              </w:tc>
            </w:tr>
            <w:tr w14:paraId="5B3893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48" w:hRule="atLeast"/>
                <w:jc w:val="center"/>
              </w:trPr>
              <w:tc>
                <w:tcPr>
                  <w:tcW w:w="321" w:type="pct"/>
                  <w:tcBorders>
                    <w:tl2br w:val="nil"/>
                    <w:tr2bl w:val="nil"/>
                  </w:tcBorders>
                  <w:vAlign w:val="center"/>
                </w:tcPr>
                <w:p w14:paraId="7F641ED9">
                  <w:pPr>
                    <w:adjustRightInd w:val="0"/>
                    <w:snapToGrid w:val="0"/>
                    <w:spacing w:line="240" w:lineRule="auto"/>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6</w:t>
                  </w:r>
                </w:p>
              </w:tc>
              <w:tc>
                <w:tcPr>
                  <w:tcW w:w="1525" w:type="pct"/>
                  <w:tcBorders>
                    <w:tl2br w:val="nil"/>
                    <w:tr2bl w:val="nil"/>
                  </w:tcBorders>
                  <w:vAlign w:val="center"/>
                </w:tcPr>
                <w:p w14:paraId="391683A2">
                  <w:pPr>
                    <w:adjustRightInd w:val="0"/>
                    <w:snapToGrid w:val="0"/>
                    <w:spacing w:line="240" w:lineRule="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变压器</w:t>
                  </w:r>
                  <w:r>
                    <w:rPr>
                      <w:color w:val="000000" w:themeColor="text1"/>
                      <w:sz w:val="21"/>
                      <w:szCs w:val="21"/>
                      <w14:textFill>
                        <w14:solidFill>
                          <w14:schemeClr w14:val="tx1"/>
                        </w14:solidFill>
                      </w14:textFill>
                    </w:rPr>
                    <w:t>事故废油由资质单位进行清运处置；</w:t>
                  </w:r>
                  <w:r>
                    <w:rPr>
                      <w:rFonts w:hint="eastAsia"/>
                      <w:color w:val="000000" w:themeColor="text1"/>
                      <w:sz w:val="21"/>
                      <w:szCs w:val="21"/>
                      <w14:textFill>
                        <w14:solidFill>
                          <w14:schemeClr w14:val="tx1"/>
                        </w14:solidFill>
                      </w14:textFill>
                    </w:rPr>
                    <w:t>危险废物</w:t>
                  </w:r>
                  <w:r>
                    <w:rPr>
                      <w:color w:val="000000" w:themeColor="text1"/>
                      <w:sz w:val="21"/>
                      <w:szCs w:val="21"/>
                      <w14:textFill>
                        <w14:solidFill>
                          <w14:schemeClr w14:val="tx1"/>
                        </w14:solidFill>
                      </w14:textFill>
                    </w:rPr>
                    <w:t>经</w:t>
                  </w:r>
                  <w:r>
                    <w:rPr>
                      <w:rFonts w:hint="eastAsia"/>
                      <w:color w:val="000000" w:themeColor="text1"/>
                      <w:sz w:val="21"/>
                      <w:szCs w:val="21"/>
                      <w:lang w:val="en-US" w:eastAsia="zh-CN"/>
                      <w14:textFill>
                        <w14:solidFill>
                          <w14:schemeClr w14:val="tx1"/>
                        </w14:solidFill>
                      </w14:textFill>
                    </w:rPr>
                    <w:t>危废贮存点</w:t>
                  </w:r>
                  <w:r>
                    <w:rPr>
                      <w:color w:val="000000" w:themeColor="text1"/>
                      <w:sz w:val="21"/>
                      <w:szCs w:val="21"/>
                      <w14:textFill>
                        <w14:solidFill>
                          <w14:schemeClr w14:val="tx1"/>
                        </w14:solidFill>
                      </w14:textFill>
                    </w:rPr>
                    <w:t>暂存后交由资质单位进行处置</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生活垃圾</w:t>
                  </w:r>
                  <w:r>
                    <w:rPr>
                      <w:rFonts w:hint="eastAsia"/>
                      <w:color w:val="000000" w:themeColor="text1"/>
                      <w:sz w:val="21"/>
                      <w:szCs w:val="21"/>
                      <w:lang w:eastAsia="zh-CN"/>
                      <w14:textFill>
                        <w14:solidFill>
                          <w14:schemeClr w14:val="tx1"/>
                        </w14:solidFill>
                      </w14:textFill>
                    </w:rPr>
                    <w:t>及干化污泥</w:t>
                  </w:r>
                  <w:r>
                    <w:rPr>
                      <w:color w:val="000000" w:themeColor="text1"/>
                      <w:sz w:val="21"/>
                      <w:szCs w:val="21"/>
                      <w14:textFill>
                        <w14:solidFill>
                          <w14:schemeClr w14:val="tx1"/>
                        </w14:solidFill>
                      </w14:textFill>
                    </w:rPr>
                    <w:t>收集后</w:t>
                  </w:r>
                  <w:r>
                    <w:rPr>
                      <w:rFonts w:hint="eastAsia"/>
                      <w:color w:val="000000" w:themeColor="text1"/>
                      <w:sz w:val="21"/>
                      <w:szCs w:val="21"/>
                      <w14:textFill>
                        <w14:solidFill>
                          <w14:schemeClr w14:val="tx1"/>
                        </w14:solidFill>
                      </w14:textFill>
                    </w:rPr>
                    <w:t>交</w:t>
                  </w:r>
                  <w:r>
                    <w:rPr>
                      <w:color w:val="000000" w:themeColor="text1"/>
                      <w:sz w:val="21"/>
                      <w:szCs w:val="21"/>
                      <w14:textFill>
                        <w14:solidFill>
                          <w14:schemeClr w14:val="tx1"/>
                        </w14:solidFill>
                      </w14:textFill>
                    </w:rPr>
                    <w:t>环卫部门清运</w:t>
                  </w:r>
                </w:p>
              </w:tc>
              <w:tc>
                <w:tcPr>
                  <w:tcW w:w="487" w:type="pct"/>
                  <w:vMerge w:val="continue"/>
                  <w:tcBorders>
                    <w:tl2br w:val="nil"/>
                    <w:tr2bl w:val="nil"/>
                  </w:tcBorders>
                  <w:vAlign w:val="center"/>
                </w:tcPr>
                <w:p w14:paraId="2A2909A0">
                  <w:pPr>
                    <w:widowControl/>
                    <w:snapToGrid w:val="0"/>
                    <w:spacing w:line="240" w:lineRule="auto"/>
                    <w:jc w:val="left"/>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69F072E7">
                  <w:pPr>
                    <w:adjustRightInd w:val="0"/>
                    <w:snapToGrid w:val="0"/>
                    <w:spacing w:line="240" w:lineRule="auto"/>
                    <w:jc w:val="center"/>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508574C8">
                  <w:pPr>
                    <w:adjustRightInd w:val="0"/>
                    <w:snapToGrid w:val="0"/>
                    <w:spacing w:line="240" w:lineRule="auto"/>
                    <w:jc w:val="center"/>
                    <w:rPr>
                      <w:color w:val="000000" w:themeColor="text1"/>
                      <w:kern w:val="0"/>
                      <w:sz w:val="21"/>
                      <w:szCs w:val="21"/>
                      <w14:textFill>
                        <w14:solidFill>
                          <w14:schemeClr w14:val="tx1"/>
                        </w14:solidFill>
                      </w14:textFill>
                    </w:rPr>
                  </w:pPr>
                </w:p>
              </w:tc>
              <w:tc>
                <w:tcPr>
                  <w:tcW w:w="746" w:type="pct"/>
                  <w:vMerge w:val="continue"/>
                  <w:tcBorders>
                    <w:tl2br w:val="nil"/>
                    <w:tr2bl w:val="nil"/>
                  </w:tcBorders>
                  <w:vAlign w:val="center"/>
                </w:tcPr>
                <w:p w14:paraId="45E40833">
                  <w:pPr>
                    <w:widowControl/>
                    <w:snapToGrid w:val="0"/>
                    <w:spacing w:line="240" w:lineRule="auto"/>
                    <w:jc w:val="left"/>
                    <w:rPr>
                      <w:color w:val="000000" w:themeColor="text1"/>
                      <w:kern w:val="0"/>
                      <w:sz w:val="21"/>
                      <w:szCs w:val="21"/>
                      <w14:textFill>
                        <w14:solidFill>
                          <w14:schemeClr w14:val="tx1"/>
                        </w14:solidFill>
                      </w14:textFill>
                    </w:rPr>
                  </w:pPr>
                </w:p>
              </w:tc>
              <w:tc>
                <w:tcPr>
                  <w:tcW w:w="1116" w:type="pct"/>
                  <w:tcBorders>
                    <w:tl2br w:val="nil"/>
                    <w:tr2bl w:val="nil"/>
                  </w:tcBorders>
                  <w:vAlign w:val="center"/>
                </w:tcPr>
                <w:p w14:paraId="35047EC7">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各类固体废弃物能够妥善处置</w:t>
                  </w:r>
                </w:p>
              </w:tc>
            </w:tr>
            <w:tr w14:paraId="443821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321" w:type="pct"/>
                  <w:tcBorders>
                    <w:tl2br w:val="nil"/>
                    <w:tr2bl w:val="nil"/>
                  </w:tcBorders>
                  <w:vAlign w:val="center"/>
                </w:tcPr>
                <w:p w14:paraId="7E7E2F0B">
                  <w:pPr>
                    <w:adjustRightInd w:val="0"/>
                    <w:snapToGrid w:val="0"/>
                    <w:spacing w:line="240" w:lineRule="auto"/>
                    <w:jc w:val="center"/>
                    <w:rPr>
                      <w:color w:val="000000" w:themeColor="text1"/>
                      <w:kern w:val="0"/>
                      <w:sz w:val="21"/>
                      <w:szCs w:val="21"/>
                      <w14:textFill>
                        <w14:solidFill>
                          <w14:schemeClr w14:val="tx1"/>
                        </w14:solidFill>
                      </w14:textFill>
                    </w:rPr>
                  </w:pPr>
                  <w:r>
                    <w:rPr>
                      <w:rFonts w:hint="eastAsia"/>
                      <w:color w:val="000000" w:themeColor="text1"/>
                      <w:kern w:val="0"/>
                      <w:sz w:val="21"/>
                      <w:szCs w:val="21"/>
                      <w14:textFill>
                        <w14:solidFill>
                          <w14:schemeClr w14:val="tx1"/>
                        </w14:solidFill>
                      </w14:textFill>
                    </w:rPr>
                    <w:t>7</w:t>
                  </w:r>
                </w:p>
              </w:tc>
              <w:tc>
                <w:tcPr>
                  <w:tcW w:w="1525" w:type="pct"/>
                  <w:tcBorders>
                    <w:tl2br w:val="nil"/>
                    <w:tr2bl w:val="nil"/>
                  </w:tcBorders>
                  <w:vAlign w:val="center"/>
                </w:tcPr>
                <w:p w14:paraId="2CB179DA">
                  <w:pPr>
                    <w:adjustRightInd w:val="0"/>
                    <w:snapToGrid w:val="0"/>
                    <w:spacing w:line="240" w:lineRule="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工程环保竣工验收监测一次，建设单位组织开展定期监测</w:t>
                  </w:r>
                </w:p>
              </w:tc>
              <w:tc>
                <w:tcPr>
                  <w:tcW w:w="487" w:type="pct"/>
                  <w:vMerge w:val="continue"/>
                  <w:tcBorders>
                    <w:tl2br w:val="nil"/>
                    <w:tr2bl w:val="nil"/>
                  </w:tcBorders>
                  <w:vAlign w:val="center"/>
                </w:tcPr>
                <w:p w14:paraId="67589865">
                  <w:pPr>
                    <w:widowControl/>
                    <w:snapToGrid w:val="0"/>
                    <w:spacing w:line="240" w:lineRule="auto"/>
                    <w:jc w:val="left"/>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461A1B37">
                  <w:pPr>
                    <w:adjustRightInd w:val="0"/>
                    <w:snapToGrid w:val="0"/>
                    <w:spacing w:line="240" w:lineRule="auto"/>
                    <w:jc w:val="center"/>
                    <w:rPr>
                      <w:color w:val="000000" w:themeColor="text1"/>
                      <w:kern w:val="0"/>
                      <w:sz w:val="21"/>
                      <w:szCs w:val="21"/>
                      <w14:textFill>
                        <w14:solidFill>
                          <w14:schemeClr w14:val="tx1"/>
                        </w14:solidFill>
                      </w14:textFill>
                    </w:rPr>
                  </w:pPr>
                </w:p>
              </w:tc>
              <w:tc>
                <w:tcPr>
                  <w:tcW w:w="401" w:type="pct"/>
                  <w:vMerge w:val="continue"/>
                  <w:tcBorders>
                    <w:tl2br w:val="nil"/>
                    <w:tr2bl w:val="nil"/>
                  </w:tcBorders>
                  <w:vAlign w:val="center"/>
                </w:tcPr>
                <w:p w14:paraId="4D30D878">
                  <w:pPr>
                    <w:adjustRightInd w:val="0"/>
                    <w:snapToGrid w:val="0"/>
                    <w:spacing w:line="240" w:lineRule="auto"/>
                    <w:jc w:val="center"/>
                    <w:rPr>
                      <w:color w:val="000000" w:themeColor="text1"/>
                      <w:kern w:val="0"/>
                      <w:sz w:val="21"/>
                      <w:szCs w:val="21"/>
                      <w14:textFill>
                        <w14:solidFill>
                          <w14:schemeClr w14:val="tx1"/>
                        </w14:solidFill>
                      </w14:textFill>
                    </w:rPr>
                  </w:pPr>
                </w:p>
              </w:tc>
              <w:tc>
                <w:tcPr>
                  <w:tcW w:w="746" w:type="pct"/>
                  <w:vMerge w:val="continue"/>
                  <w:tcBorders>
                    <w:tl2br w:val="nil"/>
                    <w:tr2bl w:val="nil"/>
                  </w:tcBorders>
                  <w:vAlign w:val="center"/>
                </w:tcPr>
                <w:p w14:paraId="34DA56CE">
                  <w:pPr>
                    <w:widowControl/>
                    <w:snapToGrid w:val="0"/>
                    <w:spacing w:line="240" w:lineRule="auto"/>
                    <w:jc w:val="left"/>
                    <w:rPr>
                      <w:color w:val="000000" w:themeColor="text1"/>
                      <w:kern w:val="0"/>
                      <w:sz w:val="21"/>
                      <w:szCs w:val="21"/>
                      <w14:textFill>
                        <w14:solidFill>
                          <w14:schemeClr w14:val="tx1"/>
                        </w14:solidFill>
                      </w14:textFill>
                    </w:rPr>
                  </w:pPr>
                </w:p>
              </w:tc>
              <w:tc>
                <w:tcPr>
                  <w:tcW w:w="1116" w:type="pct"/>
                  <w:tcBorders>
                    <w:tl2br w:val="nil"/>
                    <w:tr2bl w:val="nil"/>
                  </w:tcBorders>
                  <w:vAlign w:val="center"/>
                </w:tcPr>
                <w:p w14:paraId="19120CC2">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监测结果达标</w:t>
                  </w:r>
                </w:p>
              </w:tc>
            </w:tr>
          </w:tbl>
          <w:p w14:paraId="55944D0F">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9</w:t>
            </w:r>
            <w:r>
              <w:rPr>
                <w:rFonts w:hint="eastAsia"/>
                <w:b/>
                <w:color w:val="000000" w:themeColor="text1"/>
                <w14:textFill>
                  <w14:solidFill>
                    <w14:schemeClr w14:val="tx1"/>
                  </w14:solidFill>
                </w14:textFill>
              </w:rPr>
              <w:t>.</w:t>
            </w:r>
            <w:r>
              <w:rPr>
                <w:b/>
                <w:color w:val="000000" w:themeColor="text1"/>
                <w14:textFill>
                  <w14:solidFill>
                    <w14:schemeClr w14:val="tx1"/>
                  </w14:solidFill>
                </w14:textFill>
              </w:rPr>
              <w:t>环境风险</w:t>
            </w:r>
            <w:r>
              <w:rPr>
                <w:rFonts w:hint="eastAsia"/>
                <w:b/>
                <w:color w:val="000000" w:themeColor="text1"/>
                <w14:textFill>
                  <w14:solidFill>
                    <w14:schemeClr w14:val="tx1"/>
                  </w14:solidFill>
                </w14:textFill>
              </w:rPr>
              <w:t>防治措施</w:t>
            </w:r>
          </w:p>
          <w:p w14:paraId="4A82920F">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14:textFill>
                  <w14:solidFill>
                    <w14:schemeClr w14:val="tx1"/>
                  </w14:solidFill>
                </w14:textFill>
              </w:rPr>
              <w:t>（1）环境风险防范措施</w:t>
            </w:r>
          </w:p>
          <w:p w14:paraId="42A0B5D8">
            <w:pPr>
              <w:autoSpaceDE w:val="0"/>
              <w:autoSpaceDN w:val="0"/>
              <w:adjustRightInd w:val="0"/>
              <w:snapToGrid w:val="0"/>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①</w:t>
            </w:r>
            <w:r>
              <w:rPr>
                <w:rFonts w:hint="eastAsia"/>
                <w:color w:val="000000" w:themeColor="text1"/>
                <w14:textFill>
                  <w14:solidFill>
                    <w14:schemeClr w14:val="tx1"/>
                  </w14:solidFill>
                </w14:textFill>
              </w:rPr>
              <w:t>加强对各种电器设备、事故油池、危废</w:t>
            </w:r>
            <w:r>
              <w:rPr>
                <w:rFonts w:hint="eastAsia"/>
                <w:color w:val="000000" w:themeColor="text1"/>
                <w:lang w:val="en-US" w:eastAsia="zh-CN"/>
                <w14:textFill>
                  <w14:solidFill>
                    <w14:schemeClr w14:val="tx1"/>
                  </w14:solidFill>
                </w14:textFill>
              </w:rPr>
              <w:t>贮存点</w:t>
            </w:r>
            <w:r>
              <w:rPr>
                <w:rFonts w:hint="eastAsia"/>
                <w:color w:val="000000" w:themeColor="text1"/>
                <w14:textFill>
                  <w14:solidFill>
                    <w14:schemeClr w14:val="tx1"/>
                  </w14:solidFill>
                </w14:textFill>
              </w:rPr>
              <w:t>及其他污染治理设施的管理并定期检修，及时发现和消除泄漏及火灾隐患。</w:t>
            </w:r>
          </w:p>
          <w:p w14:paraId="34784FBD">
            <w:pPr>
              <w:pStyle w:val="68"/>
              <w:wordWrap w:val="0"/>
              <w:adjustRightInd w:val="0"/>
              <w:spacing w:line="500" w:lineRule="exact"/>
              <w:ind w:firstLine="480" w:firstLineChars="20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②</w:t>
            </w:r>
            <w:r>
              <w:rPr>
                <w:rFonts w:ascii="Times New Roman" w:hAnsi="Times New Roman" w:cs="Times New Roman"/>
                <w:color w:val="000000" w:themeColor="text1"/>
                <w14:textFill>
                  <w14:solidFill>
                    <w14:schemeClr w14:val="tx1"/>
                  </w14:solidFill>
                </w14:textFill>
              </w:rPr>
              <w:t>本项</w:t>
            </w:r>
            <w:r>
              <w:rPr>
                <w:rFonts w:ascii="Times New Roman" w:hAnsi="Times New Roman" w:eastAsia="宋体" w:cs="Times New Roman"/>
                <w:color w:val="000000" w:themeColor="text1"/>
                <w14:textFill>
                  <w14:solidFill>
                    <w14:schemeClr w14:val="tx1"/>
                  </w14:solidFill>
                </w14:textFill>
              </w:rPr>
              <w:t>目在</w:t>
            </w:r>
            <w:r>
              <w:rPr>
                <w:rFonts w:hint="eastAsia" w:ascii="Times New Roman" w:hAnsi="Times New Roman" w:eastAsia="宋体" w:cs="Times New Roman"/>
                <w:color w:val="000000" w:themeColor="text1"/>
                <w:lang w:val="en-US" w:eastAsia="zh-CN"/>
                <w14:textFill>
                  <w14:solidFill>
                    <w14:schemeClr w14:val="tx1"/>
                  </w14:solidFill>
                </w14:textFill>
              </w:rPr>
              <w:t>220kV</w:t>
            </w:r>
            <w:r>
              <w:rPr>
                <w:rFonts w:ascii="Times New Roman" w:hAnsi="Times New Roman" w:eastAsia="宋体" w:cs="Times New Roman"/>
                <w:color w:val="000000" w:themeColor="text1"/>
                <w14:textFill>
                  <w14:solidFill>
                    <w14:schemeClr w14:val="tx1"/>
                  </w14:solidFill>
                </w14:textFill>
              </w:rPr>
              <w:t>升压</w:t>
            </w:r>
            <w:r>
              <w:rPr>
                <w:rFonts w:hint="eastAsia" w:ascii="Times New Roman" w:hAnsi="Times New Roman" w:eastAsia="宋体" w:cs="Times New Roman"/>
                <w:color w:val="000000" w:themeColor="text1"/>
                <w:lang w:eastAsia="zh-CN"/>
                <w14:textFill>
                  <w14:solidFill>
                    <w14:schemeClr w14:val="tx1"/>
                  </w14:solidFill>
                </w14:textFill>
              </w:rPr>
              <w:t>汇集</w:t>
            </w:r>
            <w:r>
              <w:rPr>
                <w:rFonts w:ascii="Times New Roman" w:hAnsi="Times New Roman" w:eastAsia="宋体" w:cs="Times New Roman"/>
                <w:color w:val="000000" w:themeColor="text1"/>
                <w14:textFill>
                  <w14:solidFill>
                    <w14:schemeClr w14:val="tx1"/>
                  </w14:solidFill>
                </w14:textFill>
              </w:rPr>
              <w:t>站设置了完善的消</w:t>
            </w:r>
            <w:r>
              <w:rPr>
                <w:rFonts w:ascii="Times New Roman" w:hAnsi="Times New Roman" w:cs="Times New Roman"/>
                <w:color w:val="000000" w:themeColor="text1"/>
                <w14:textFill>
                  <w14:solidFill>
                    <w14:schemeClr w14:val="tx1"/>
                  </w14:solidFill>
                </w14:textFill>
              </w:rPr>
              <w:t>防系统，检修排油通过排油管与事故油池相连。在事故失控情况下，泄漏的变压器油经事故排油管进入事故油池，避免变压器油泄漏到环境中而污染土壤及地下水，将上述环境风险控制在可接受的水平。</w:t>
            </w:r>
          </w:p>
          <w:p w14:paraId="3CDD234C">
            <w:pPr>
              <w:pStyle w:val="68"/>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③项目</w:t>
            </w:r>
            <w:r>
              <w:rPr>
                <w:rFonts w:hint="eastAsia" w:ascii="Times New Roman" w:hAnsi="Times New Roman" w:cs="Times New Roman"/>
                <w:color w:val="000000" w:themeColor="text1"/>
                <w:lang w:val="en-US" w:eastAsia="zh-CN"/>
                <w14:textFill>
                  <w14:solidFill>
                    <w14:schemeClr w14:val="tx1"/>
                  </w14:solidFill>
                </w14:textFill>
              </w:rPr>
              <w:t>危废贮存点</w:t>
            </w:r>
            <w:r>
              <w:rPr>
                <w:rFonts w:ascii="Times New Roman" w:hAnsi="Times New Roman" w:cs="Times New Roman"/>
                <w:color w:val="000000" w:themeColor="text1"/>
                <w14:textFill>
                  <w14:solidFill>
                    <w14:schemeClr w14:val="tx1"/>
                  </w14:solidFill>
                </w14:textFill>
              </w:rPr>
              <w:t>建设及运行管理应符合《危险废物贮存污染控制标准》（GB1859</w:t>
            </w:r>
            <w:r>
              <w:rPr>
                <w:rFonts w:hint="eastAsia" w:ascii="Times New Roman" w:hAnsi="Times New Roman" w:cs="Times New Roman"/>
                <w:color w:val="000000" w:themeColor="text1"/>
                <w:lang w:val="en-US" w:eastAsia="zh-CN"/>
                <w14:textFill>
                  <w14:solidFill>
                    <w14:schemeClr w14:val="tx1"/>
                  </w14:solidFill>
                </w14:textFill>
              </w:rPr>
              <w:t>7</w:t>
            </w:r>
            <w:r>
              <w:rPr>
                <w:rFonts w:ascii="Times New Roman" w:hAnsi="Times New Roman" w:cs="Times New Roman"/>
                <w:color w:val="000000" w:themeColor="text1"/>
                <w14:textFill>
                  <w14:solidFill>
                    <w14:schemeClr w14:val="tx1"/>
                  </w14:solidFill>
                </w14:textFill>
              </w:rPr>
              <w:t>-20</w:t>
            </w:r>
            <w:r>
              <w:rPr>
                <w:rFonts w:ascii="Times New Roman" w:hAnsi="Times New Roman" w:cs="Times New Roman"/>
                <w:color w:val="000000" w:themeColor="text1"/>
                <w:lang w:val="en-US"/>
                <w14:textFill>
                  <w14:solidFill>
                    <w14:schemeClr w14:val="tx1"/>
                  </w14:solidFill>
                </w14:textFill>
              </w:rPr>
              <w:t>23</w:t>
            </w:r>
            <w:r>
              <w:rPr>
                <w:rFonts w:ascii="Times New Roman" w:hAnsi="Times New Roman" w:cs="Times New Roman"/>
                <w:color w:val="000000" w:themeColor="text1"/>
                <w14:textFill>
                  <w14:solidFill>
                    <w14:schemeClr w14:val="tx1"/>
                  </w14:solidFill>
                </w14:textFill>
              </w:rPr>
              <w:t>）中相关要求。</w:t>
            </w:r>
          </w:p>
          <w:p w14:paraId="64ACF9C8">
            <w:pPr>
              <w:pStyle w:val="68"/>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④</w:t>
            </w:r>
            <w:r>
              <w:rPr>
                <w:rFonts w:hint="eastAsia" w:ascii="Times New Roman" w:hAnsi="Times New Roman" w:cs="Times New Roman"/>
                <w:b w:val="0"/>
                <w:i w:val="0"/>
                <w:color w:val="000000" w:themeColor="text1"/>
                <w:sz w:val="24"/>
                <w:szCs w:val="24"/>
                <w:lang w:val="en-US" w:eastAsia="zh-CN"/>
                <w14:textFill>
                  <w14:solidFill>
                    <w14:schemeClr w14:val="tx1"/>
                  </w14:solidFill>
                </w14:textFill>
              </w:rPr>
              <w:t>严格落实场区内分区防渗措施，防止泄漏风险</w:t>
            </w:r>
            <w:r>
              <w:rPr>
                <w:rFonts w:ascii="Times New Roman" w:hAnsi="Times New Roman" w:cs="Times New Roman"/>
                <w:color w:val="000000" w:themeColor="text1"/>
                <w:lang w:val="en-US"/>
                <w14:textFill>
                  <w14:solidFill>
                    <w14:schemeClr w14:val="tx1"/>
                  </w14:solidFill>
                </w14:textFill>
              </w:rPr>
              <w:t>。</w:t>
            </w:r>
          </w:p>
          <w:p w14:paraId="71FEB66A">
            <w:pPr>
              <w:autoSpaceDE w:val="0"/>
              <w:autoSpaceDN w:val="0"/>
              <w:adjustRightInd w:val="0"/>
              <w:snapToGrid w:val="0"/>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⑤</w:t>
            </w:r>
            <w:r>
              <w:rPr>
                <w:rFonts w:hint="eastAsia" w:ascii="Times New Roman" w:hAnsi="Times New Roman" w:eastAsia="宋体" w:cs="Times New Roman"/>
                <w:color w:val="000000" w:themeColor="text1"/>
                <w:lang w:val="en-US" w:eastAsia="zh-CN"/>
                <w14:textFill>
                  <w14:solidFill>
                    <w14:schemeClr w14:val="tx1"/>
                  </w14:solidFill>
                </w14:textFill>
              </w:rPr>
              <w:t>220kV</w:t>
            </w:r>
            <w:r>
              <w:rPr>
                <w:rFonts w:ascii="Times New Roman" w:hAnsi="Times New Roman" w:eastAsia="宋体" w:cs="Times New Roman"/>
                <w:color w:val="000000" w:themeColor="text1"/>
                <w14:textFill>
                  <w14:solidFill>
                    <w14:schemeClr w14:val="tx1"/>
                  </w14:solidFill>
                </w14:textFill>
              </w:rPr>
              <w:t>升压</w:t>
            </w:r>
            <w:r>
              <w:rPr>
                <w:rFonts w:hint="eastAsia" w:ascii="Times New Roman" w:hAnsi="Times New Roman" w:eastAsia="宋体" w:cs="Times New Roman"/>
                <w:color w:val="000000" w:themeColor="text1"/>
                <w:lang w:eastAsia="zh-CN"/>
                <w14:textFill>
                  <w14:solidFill>
                    <w14:schemeClr w14:val="tx1"/>
                  </w14:solidFill>
                </w14:textFill>
              </w:rPr>
              <w:t>汇集</w:t>
            </w:r>
            <w:r>
              <w:rPr>
                <w:rFonts w:ascii="Times New Roman" w:hAnsi="Times New Roman" w:eastAsia="宋体" w:cs="Times New Roman"/>
                <w:color w:val="000000" w:themeColor="text1"/>
                <w14:textFill>
                  <w14:solidFill>
                    <w14:schemeClr w14:val="tx1"/>
                  </w14:solidFill>
                </w14:textFill>
              </w:rPr>
              <w:t>站</w:t>
            </w:r>
            <w:r>
              <w:rPr>
                <w:rFonts w:hint="eastAsia"/>
                <w:color w:val="000000" w:themeColor="text1"/>
                <w14:textFill>
                  <w14:solidFill>
                    <w14:schemeClr w14:val="tx1"/>
                  </w14:solidFill>
                </w14:textFill>
              </w:rPr>
              <w:t>为禁烟区，设置“禁止烟火”的警示标志。</w:t>
            </w:r>
            <w:r>
              <w:rPr>
                <w:rFonts w:hint="eastAsia" w:ascii="Times New Roman" w:hAnsi="Times New Roman" w:eastAsia="宋体" w:cs="Times New Roman"/>
                <w:color w:val="000000" w:themeColor="text1"/>
                <w:lang w:val="en-US" w:eastAsia="zh-CN"/>
                <w14:textFill>
                  <w14:solidFill>
                    <w14:schemeClr w14:val="tx1"/>
                  </w14:solidFill>
                </w14:textFill>
              </w:rPr>
              <w:t>220kV</w:t>
            </w:r>
            <w:r>
              <w:rPr>
                <w:rFonts w:ascii="Times New Roman" w:hAnsi="Times New Roman" w:eastAsia="宋体" w:cs="Times New Roman"/>
                <w:color w:val="000000" w:themeColor="text1"/>
                <w14:textFill>
                  <w14:solidFill>
                    <w14:schemeClr w14:val="tx1"/>
                  </w14:solidFill>
                </w14:textFill>
              </w:rPr>
              <w:t>升压</w:t>
            </w:r>
            <w:r>
              <w:rPr>
                <w:rFonts w:hint="eastAsia" w:ascii="Times New Roman" w:hAnsi="Times New Roman" w:eastAsia="宋体" w:cs="Times New Roman"/>
                <w:color w:val="000000" w:themeColor="text1"/>
                <w:lang w:eastAsia="zh-CN"/>
                <w14:textFill>
                  <w14:solidFill>
                    <w14:schemeClr w14:val="tx1"/>
                  </w14:solidFill>
                </w14:textFill>
              </w:rPr>
              <w:t>汇集</w:t>
            </w:r>
            <w:r>
              <w:rPr>
                <w:rFonts w:ascii="Times New Roman" w:hAnsi="Times New Roman" w:eastAsia="宋体" w:cs="Times New Roman"/>
                <w:color w:val="000000" w:themeColor="text1"/>
                <w14:textFill>
                  <w14:solidFill>
                    <w14:schemeClr w14:val="tx1"/>
                  </w14:solidFill>
                </w14:textFill>
              </w:rPr>
              <w:t>站</w:t>
            </w:r>
            <w:r>
              <w:rPr>
                <w:rFonts w:hint="eastAsia"/>
                <w:color w:val="000000" w:themeColor="text1"/>
                <w14:textFill>
                  <w14:solidFill>
                    <w14:schemeClr w14:val="tx1"/>
                  </w14:solidFill>
                </w14:textFill>
              </w:rPr>
              <w:t>配备灭火器等应急救援保障设备及器材。</w:t>
            </w:r>
          </w:p>
          <w:p w14:paraId="44B2F8A4">
            <w:pPr>
              <w:autoSpaceDE w:val="0"/>
              <w:autoSpaceDN w:val="0"/>
              <w:adjustRightInd w:val="0"/>
              <w:snapToGrid w:val="0"/>
              <w:ind w:firstLine="480" w:firstLineChars="200"/>
              <w:rPr>
                <w:color w:val="000000" w:themeColor="text1"/>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⑥</w:t>
            </w:r>
            <w:r>
              <w:rPr>
                <w:color w:val="000000" w:themeColor="text1"/>
                <w14:textFill>
                  <w14:solidFill>
                    <w14:schemeClr w14:val="tx1"/>
                  </w14:solidFill>
                </w14:textFill>
              </w:rPr>
              <w:t>建立严格的环境管理制度，加强对工作人员和运行管理人员的防火意识和宣传教育，成立防火工作领导小组，进行定期和随机监督检查，发现隐患及时解决，并采取一定的奖惩制度机制，对引起火灾的责任者追究行政和法律责任。</w:t>
            </w:r>
          </w:p>
          <w:p w14:paraId="4CB565B5">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hint="eastAsia" w:ascii="宋体" w:hAnsi="宋体" w:eastAsia="宋体" w:cs="宋体"/>
                <w:color w:val="000000" w:themeColor="text1"/>
                <w:lang w:val="en-US"/>
                <w14:textFill>
                  <w14:solidFill>
                    <w14:schemeClr w14:val="tx1"/>
                  </w14:solidFill>
                </w14:textFill>
              </w:rPr>
              <w:t>⑦</w:t>
            </w:r>
            <w:r>
              <w:rPr>
                <w:rFonts w:ascii="Times New Roman" w:hAnsi="Times New Roman" w:cs="Times New Roman"/>
                <w:color w:val="000000" w:themeColor="text1"/>
                <w:lang w:val="en-US"/>
                <w14:textFill>
                  <w14:solidFill>
                    <w14:schemeClr w14:val="tx1"/>
                  </w14:solidFill>
                </w14:textFill>
              </w:rPr>
              <w:t>如发生油类物质泄漏，首先应限制其在地表污染的扩大，对泄漏区域进行筑堤，使油类物质汇集，将泄漏的油类物质及污染的土壤进行收集后交危废处置资质单位进行处置。</w:t>
            </w:r>
          </w:p>
          <w:p w14:paraId="55CEBE79">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14:textFill>
                  <w14:solidFill>
                    <w14:schemeClr w14:val="tx1"/>
                  </w14:solidFill>
                </w14:textFill>
              </w:rPr>
              <w:t>（2）应急预案</w:t>
            </w:r>
          </w:p>
          <w:p w14:paraId="1A4A7B0E">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14:textFill>
                  <w14:solidFill>
                    <w14:schemeClr w14:val="tx1"/>
                  </w14:solidFill>
                </w14:textFill>
              </w:rPr>
              <w:t>考虑到项目事故漏油可能造成的后果，建立快速科学有效的漏油应急反应体系非常必要。漏油事故的应急防治主要落实于应急计划的实施，事故发生后，能否迅速有效</w:t>
            </w:r>
            <w:r>
              <w:rPr>
                <w:rFonts w:hint="eastAsia" w:ascii="Times New Roman" w:hAnsi="Times New Roman" w:cs="Times New Roman"/>
                <w:color w:val="000000" w:themeColor="text1"/>
                <w:lang w:val="en-US" w:eastAsia="zh-CN"/>
                <w14:textFill>
                  <w14:solidFill>
                    <w14:schemeClr w14:val="tx1"/>
                  </w14:solidFill>
                </w14:textFill>
              </w:rPr>
              <w:t>地</w:t>
            </w:r>
            <w:r>
              <w:rPr>
                <w:rFonts w:hint="eastAsia" w:ascii="Times New Roman" w:hAnsi="Times New Roman" w:cs="Times New Roman"/>
                <w:color w:val="000000" w:themeColor="text1"/>
                <w:lang w:val="en-US"/>
                <w14:textFill>
                  <w14:solidFill>
                    <w14:schemeClr w14:val="tx1"/>
                  </w14:solidFill>
                </w14:textFill>
              </w:rPr>
              <w:t>做出漏油应急反应，对于控制污染、减少污染对环境造成的损失以及消除污染等都起着关键性作用。变压器事故漏油的应急反应体系包括以下几方面的内容：</w:t>
            </w:r>
          </w:p>
          <w:p w14:paraId="0496FF07">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①</w:t>
            </w:r>
            <w:r>
              <w:rPr>
                <w:rFonts w:hint="eastAsia" w:ascii="Times New Roman" w:hAnsi="Times New Roman" w:cs="Times New Roman"/>
                <w:color w:val="000000" w:themeColor="text1"/>
                <w:lang w:val="en-US"/>
                <w14:textFill>
                  <w14:solidFill>
                    <w14:schemeClr w14:val="tx1"/>
                  </w14:solidFill>
                </w14:textFill>
              </w:rPr>
              <w:t>健全的应急组织指挥系统。</w:t>
            </w:r>
          </w:p>
          <w:p w14:paraId="0ED4DF71">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14:textFill>
                  <w14:solidFill>
                    <w14:schemeClr w14:val="tx1"/>
                  </w14:solidFill>
                </w14:textFill>
              </w:rPr>
              <w:t>建立一套健全的应急组织指挥系统。</w:t>
            </w:r>
          </w:p>
          <w:p w14:paraId="16B5F7CE">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②</w:t>
            </w:r>
            <w:r>
              <w:rPr>
                <w:rFonts w:hint="eastAsia" w:ascii="Times New Roman" w:hAnsi="Times New Roman" w:cs="Times New Roman"/>
                <w:color w:val="000000" w:themeColor="text1"/>
                <w:lang w:val="en-US"/>
                <w14:textFill>
                  <w14:solidFill>
                    <w14:schemeClr w14:val="tx1"/>
                  </w14:solidFill>
                </w14:textFill>
              </w:rPr>
              <w:t>加强变压器、事故油池的日常维护和管理。</w:t>
            </w:r>
          </w:p>
          <w:p w14:paraId="2BFA1686">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hint="eastAsia" w:ascii="Times New Roman" w:hAnsi="Times New Roman" w:cs="Times New Roman"/>
                <w:color w:val="000000" w:themeColor="text1"/>
                <w:lang w:val="en-US"/>
                <w14:textFill>
                  <w14:solidFill>
                    <w14:schemeClr w14:val="tx1"/>
                  </w14:solidFill>
                </w14:textFill>
              </w:rPr>
              <w:t>对于变压器、事故油池的日常维护和管理，指定责任人，定期维护。</w:t>
            </w:r>
          </w:p>
          <w:p w14:paraId="6B38D731">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③</w:t>
            </w:r>
            <w:r>
              <w:rPr>
                <w:rFonts w:hint="eastAsia" w:ascii="Times New Roman" w:hAnsi="Times New Roman" w:cs="Times New Roman"/>
                <w:color w:val="000000" w:themeColor="text1"/>
                <w:lang w:val="en-US"/>
                <w14:textFill>
                  <w14:solidFill>
                    <w14:schemeClr w14:val="tx1"/>
                  </w14:solidFill>
                </w14:textFill>
              </w:rPr>
              <w:t>完善应急反应设施、设备的配备。防止事故漏油进入土壤及水环境的风险防范措施须落实，按照“三同时”的要求进行环保验收。</w:t>
            </w:r>
          </w:p>
          <w:p w14:paraId="5ED3FDDF">
            <w:pPr>
              <w:pStyle w:val="68"/>
              <w:wordWrap w:val="0"/>
              <w:adjustRightInd w:val="0"/>
              <w:spacing w:line="500" w:lineRule="exact"/>
              <w:ind w:firstLine="480" w:firstLineChars="200"/>
              <w:rPr>
                <w:rFonts w:ascii="Times New Roman" w:hAnsi="Times New Roman" w:cs="Times New Roman"/>
                <w:color w:val="000000" w:themeColor="text1"/>
                <w:lang w:val="en-US"/>
                <w14:textFill>
                  <w14:solidFill>
                    <w14:schemeClr w14:val="tx1"/>
                  </w14:solidFill>
                </w14:textFill>
              </w:rPr>
            </w:pPr>
            <w:r>
              <w:rPr>
                <w:rFonts w:ascii="Times New Roman" w:hAnsi="Times New Roman" w:cs="Times New Roman"/>
                <w:color w:val="000000" w:themeColor="text1"/>
                <w:lang w:val="en-US"/>
                <w14:textFill>
                  <w14:solidFill>
                    <w14:schemeClr w14:val="tx1"/>
                  </w14:solidFill>
                </w14:textFill>
              </w:rPr>
              <w:t>④</w:t>
            </w:r>
            <w:r>
              <w:rPr>
                <w:rFonts w:hint="eastAsia" w:ascii="Times New Roman" w:hAnsi="Times New Roman" w:cs="Times New Roman"/>
                <w:color w:val="000000" w:themeColor="text1"/>
                <w:lang w:val="en-US"/>
                <w14:textFill>
                  <w14:solidFill>
                    <w14:schemeClr w14:val="tx1"/>
                  </w14:solidFill>
                </w14:textFill>
              </w:rPr>
              <w:t>指定专门的应急防治人员，加强应急处理训练。电站运行期间，组织一次应急处理演练，投入正常运行后，定期演练。</w:t>
            </w:r>
          </w:p>
          <w:p w14:paraId="4B6E312D">
            <w:pPr>
              <w:autoSpaceDE w:val="0"/>
              <w:autoSpaceDN w:val="0"/>
              <w:adjustRightInd w:val="0"/>
              <w:snapToGrid w:val="0"/>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风险评价结论</w:t>
            </w:r>
          </w:p>
          <w:p w14:paraId="05587320">
            <w:pPr>
              <w:autoSpaceDE w:val="0"/>
              <w:autoSpaceDN w:val="0"/>
              <w:adjustRightInd w:val="0"/>
              <w:snapToGrid w:val="0"/>
              <w:spacing w:line="500" w:lineRule="exact"/>
              <w:ind w:firstLine="480" w:firstLineChars="200"/>
              <w:rPr>
                <w:rFonts w:ascii="Times New Roman" w:hAnsi="Times New Roman" w:cs="Times New Roman"/>
                <w:bCs/>
                <w:color w:val="000000" w:themeColor="text1"/>
                <w:sz w:val="21"/>
                <w:szCs w:val="21"/>
                <w14:textFill>
                  <w14:solidFill>
                    <w14:schemeClr w14:val="tx1"/>
                  </w14:solidFill>
                </w14:textFill>
              </w:rPr>
            </w:pPr>
            <w:r>
              <w:rPr>
                <w:color w:val="000000" w:themeColor="text1"/>
                <w14:textFill>
                  <w14:solidFill>
                    <w14:schemeClr w14:val="tx1"/>
                  </w14:solidFill>
                </w14:textFill>
              </w:rPr>
              <w:t>本项目的风险主要是火灾风险</w:t>
            </w:r>
            <w:r>
              <w:rPr>
                <w:rFonts w:hint="eastAsia"/>
                <w:color w:val="000000" w:themeColor="text1"/>
                <w14:textFill>
                  <w14:solidFill>
                    <w14:schemeClr w14:val="tx1"/>
                  </w14:solidFill>
                </w14:textFill>
              </w:rPr>
              <w:t>及油类泄漏风险</w:t>
            </w:r>
            <w:r>
              <w:rPr>
                <w:color w:val="000000" w:themeColor="text1"/>
                <w14:textFill>
                  <w14:solidFill>
                    <w14:schemeClr w14:val="tx1"/>
                  </w14:solidFill>
                </w14:textFill>
              </w:rPr>
              <w:t>。本项目企业在认真落实本报告提出的各项环境风险应急措施后，项目的风险处于可防控的水平，风险管理措施有效可行，因而从风险角度分析本项目的环境风险是可以防控的</w:t>
            </w:r>
            <w:r>
              <w:rPr>
                <w:rFonts w:hint="eastAsia"/>
                <w:color w:val="000000" w:themeColor="text1"/>
                <w:lang w:eastAsia="zh-CN"/>
                <w14:textFill>
                  <w14:solidFill>
                    <w14:schemeClr w14:val="tx1"/>
                  </w14:solidFill>
                </w14:textFill>
              </w:rPr>
              <w:t>。</w:t>
            </w:r>
          </w:p>
        </w:tc>
      </w:tr>
      <w:tr w14:paraId="5BEBA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24" w:hRule="atLeast"/>
          <w:jc w:val="center"/>
        </w:trPr>
        <w:tc>
          <w:tcPr>
            <w:tcW w:w="406" w:type="pct"/>
            <w:vAlign w:val="center"/>
          </w:tcPr>
          <w:p w14:paraId="42E3246D">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其他</w:t>
            </w:r>
          </w:p>
        </w:tc>
        <w:tc>
          <w:tcPr>
            <w:tcW w:w="4593" w:type="pct"/>
          </w:tcPr>
          <w:p w14:paraId="16D0F17B">
            <w:pPr>
              <w:adjustRightInd w:val="0"/>
              <w:spacing w:line="500" w:lineRule="exact"/>
              <w:ind w:firstLine="482" w:firstLineChars="200"/>
              <w:rPr>
                <w:b/>
                <w:color w:val="000000" w:themeColor="text1"/>
                <w14:textFill>
                  <w14:solidFill>
                    <w14:schemeClr w14:val="tx1"/>
                  </w14:solidFill>
                </w14:textFill>
              </w:rPr>
            </w:pPr>
            <w:bookmarkStart w:id="29" w:name="_Toc26911"/>
            <w:r>
              <w:rPr>
                <w:rFonts w:hint="eastAsia"/>
                <w:b/>
                <w:color w:val="000000" w:themeColor="text1"/>
                <w:lang w:val="en-US" w:eastAsia="zh-CN"/>
                <w14:textFill>
                  <w14:solidFill>
                    <w14:schemeClr w14:val="tx1"/>
                  </w14:solidFill>
                </w14:textFill>
              </w:rPr>
              <w:t>1</w:t>
            </w:r>
            <w:r>
              <w:rPr>
                <w:rFonts w:hint="eastAsia"/>
                <w:b/>
                <w:color w:val="000000" w:themeColor="text1"/>
                <w14:textFill>
                  <w14:solidFill>
                    <w14:schemeClr w14:val="tx1"/>
                  </w14:solidFill>
                </w14:textFill>
              </w:rPr>
              <w:t>.</w:t>
            </w:r>
            <w:r>
              <w:rPr>
                <w:b/>
                <w:color w:val="000000" w:themeColor="text1"/>
                <w14:textFill>
                  <w14:solidFill>
                    <w14:schemeClr w14:val="tx1"/>
                  </w14:solidFill>
                </w14:textFill>
              </w:rPr>
              <w:t>环境管理</w:t>
            </w:r>
          </w:p>
          <w:p w14:paraId="2A0FB66C">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环境管理是企业日常管理的重要内容，各类新建、改扩建工程都应建立环境管理机构，落实监测计划，这是推行清洁生产、节能减排，实施可持续发展战略，贯彻执行国家和地方环境保护法规，正确处理企业发展生产和保护环境的关系，实现经济效益、社会效益和环境效益三统一的组织保障和有力措施。</w:t>
            </w:r>
          </w:p>
          <w:p w14:paraId="1B448A6B">
            <w:pPr>
              <w:adjustRightIn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本工程环境管理计划见表</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4</w:t>
            </w:r>
            <w:r>
              <w:rPr>
                <w:color w:val="000000" w:themeColor="text1"/>
                <w14:textFill>
                  <w14:solidFill>
                    <w14:schemeClr w14:val="tx1"/>
                  </w14:solidFill>
                </w14:textFill>
              </w:rPr>
              <w:t>。</w:t>
            </w:r>
          </w:p>
          <w:p w14:paraId="2C1A5923">
            <w:pPr>
              <w:tabs>
                <w:tab w:val="left" w:pos="4586"/>
                <w:tab w:val="left" w:pos="5786"/>
              </w:tabs>
              <w:autoSpaceDE w:val="0"/>
              <w:autoSpaceDN w:val="0"/>
              <w:adjustRightInd w:val="0"/>
              <w:snapToGrid w:val="0"/>
              <w:jc w:val="center"/>
              <w:rPr>
                <w:rFonts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表5-</w:t>
            </w:r>
            <w:r>
              <w:rPr>
                <w:rFonts w:hint="eastAsia" w:ascii="黑体" w:hAnsi="黑体" w:eastAsia="黑体" w:cs="黑体"/>
                <w:color w:val="000000" w:themeColor="text1"/>
                <w:sz w:val="21"/>
                <w:szCs w:val="21"/>
                <w:lang w:val="en-US" w:eastAsia="zh-CN"/>
                <w14:textFill>
                  <w14:solidFill>
                    <w14:schemeClr w14:val="tx1"/>
                  </w14:solidFill>
                </w14:textFill>
              </w:rPr>
              <w:t>4</w:t>
            </w:r>
            <w:r>
              <w:rPr>
                <w:rFonts w:hint="eastAsia" w:ascii="黑体" w:hAnsi="黑体" w:eastAsia="黑体" w:cs="黑体"/>
                <w:color w:val="000000" w:themeColor="text1"/>
                <w:sz w:val="21"/>
                <w:szCs w:val="21"/>
                <w14:textFill>
                  <w14:solidFill>
                    <w14:schemeClr w14:val="tx1"/>
                  </w14:solidFill>
                </w14:textFill>
              </w:rPr>
              <w:t xml:space="preserve">   环境管理计划表</w:t>
            </w:r>
          </w:p>
          <w:tbl>
            <w:tblPr>
              <w:tblStyle w:val="28"/>
              <w:tblW w:w="8339" w:type="dxa"/>
              <w:tblInd w:w="2"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9"/>
              <w:gridCol w:w="5490"/>
              <w:gridCol w:w="1430"/>
            </w:tblGrid>
            <w:tr w14:paraId="71ADBF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51" w:type="pct"/>
                  <w:tcBorders>
                    <w:tl2br w:val="nil"/>
                    <w:tr2bl w:val="nil"/>
                  </w:tcBorders>
                  <w:vAlign w:val="center"/>
                </w:tcPr>
                <w:p w14:paraId="022A9DD5">
                  <w:pPr>
                    <w:pStyle w:val="51"/>
                    <w:wordWrap w:val="0"/>
                    <w:spacing w:after="0" w:line="240" w:lineRule="auto"/>
                    <w:rPr>
                      <w:rFonts w:eastAsia="宋体"/>
                      <w:b/>
                      <w:bCs/>
                      <w:color w:val="000000" w:themeColor="text1"/>
                      <w:sz w:val="21"/>
                      <w14:textFill>
                        <w14:solidFill>
                          <w14:schemeClr w14:val="tx1"/>
                        </w14:solidFill>
                      </w14:textFill>
                    </w:rPr>
                  </w:pPr>
                  <w:r>
                    <w:rPr>
                      <w:rFonts w:eastAsia="宋体"/>
                      <w:b/>
                      <w:bCs/>
                      <w:color w:val="000000" w:themeColor="text1"/>
                      <w:sz w:val="21"/>
                      <w14:textFill>
                        <w14:solidFill>
                          <w14:schemeClr w14:val="tx1"/>
                        </w14:solidFill>
                      </w14:textFill>
                    </w:rPr>
                    <w:t>管理阶段</w:t>
                  </w:r>
                </w:p>
              </w:tc>
              <w:tc>
                <w:tcPr>
                  <w:tcW w:w="3291" w:type="pct"/>
                  <w:tcBorders>
                    <w:tl2br w:val="nil"/>
                    <w:tr2bl w:val="nil"/>
                  </w:tcBorders>
                  <w:vAlign w:val="center"/>
                </w:tcPr>
                <w:p w14:paraId="6F2DA51E">
                  <w:pPr>
                    <w:pStyle w:val="51"/>
                    <w:wordWrap w:val="0"/>
                    <w:spacing w:after="0" w:line="240" w:lineRule="auto"/>
                    <w:rPr>
                      <w:rFonts w:eastAsia="宋体"/>
                      <w:b/>
                      <w:bCs/>
                      <w:color w:val="000000" w:themeColor="text1"/>
                      <w:sz w:val="21"/>
                      <w14:textFill>
                        <w14:solidFill>
                          <w14:schemeClr w14:val="tx1"/>
                        </w14:solidFill>
                      </w14:textFill>
                    </w:rPr>
                  </w:pPr>
                  <w:r>
                    <w:rPr>
                      <w:rFonts w:eastAsia="宋体"/>
                      <w:b/>
                      <w:bCs/>
                      <w:color w:val="000000" w:themeColor="text1"/>
                      <w:sz w:val="21"/>
                      <w14:textFill>
                        <w14:solidFill>
                          <w14:schemeClr w14:val="tx1"/>
                        </w14:solidFill>
                      </w14:textFill>
                    </w:rPr>
                    <w:t>环保措施</w:t>
                  </w:r>
                </w:p>
              </w:tc>
              <w:tc>
                <w:tcPr>
                  <w:tcW w:w="857" w:type="pct"/>
                  <w:tcBorders>
                    <w:tl2br w:val="nil"/>
                    <w:tr2bl w:val="nil"/>
                  </w:tcBorders>
                  <w:vAlign w:val="center"/>
                </w:tcPr>
                <w:p w14:paraId="279C56A5">
                  <w:pPr>
                    <w:pStyle w:val="51"/>
                    <w:wordWrap w:val="0"/>
                    <w:spacing w:after="0" w:line="240" w:lineRule="auto"/>
                    <w:rPr>
                      <w:rFonts w:eastAsia="宋体"/>
                      <w:b/>
                      <w:bCs/>
                      <w:color w:val="000000" w:themeColor="text1"/>
                      <w:sz w:val="21"/>
                      <w14:textFill>
                        <w14:solidFill>
                          <w14:schemeClr w14:val="tx1"/>
                        </w14:solidFill>
                      </w14:textFill>
                    </w:rPr>
                  </w:pPr>
                  <w:r>
                    <w:rPr>
                      <w:rFonts w:eastAsia="宋体"/>
                      <w:b/>
                      <w:bCs/>
                      <w:color w:val="000000" w:themeColor="text1"/>
                      <w:sz w:val="21"/>
                      <w14:textFill>
                        <w14:solidFill>
                          <w14:schemeClr w14:val="tx1"/>
                        </w14:solidFill>
                      </w14:textFill>
                    </w:rPr>
                    <w:t>实施机构</w:t>
                  </w:r>
                </w:p>
              </w:tc>
            </w:tr>
            <w:tr w14:paraId="4FD968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51" w:type="pct"/>
                  <w:tcBorders>
                    <w:tl2br w:val="nil"/>
                    <w:tr2bl w:val="nil"/>
                  </w:tcBorders>
                  <w:vAlign w:val="center"/>
                </w:tcPr>
                <w:p w14:paraId="41007030">
                  <w:pPr>
                    <w:pStyle w:val="51"/>
                    <w:wordWrap w:val="0"/>
                    <w:spacing w:after="0" w:line="240" w:lineRule="auto"/>
                    <w:rPr>
                      <w:rFonts w:eastAsia="宋体"/>
                      <w:color w:val="000000" w:themeColor="text1"/>
                      <w:sz w:val="21"/>
                      <w14:textFill>
                        <w14:solidFill>
                          <w14:schemeClr w14:val="tx1"/>
                        </w14:solidFill>
                      </w14:textFill>
                    </w:rPr>
                  </w:pPr>
                  <w:r>
                    <w:rPr>
                      <w:rFonts w:eastAsia="宋体"/>
                      <w:color w:val="000000" w:themeColor="text1"/>
                      <w:sz w:val="21"/>
                      <w14:textFill>
                        <w14:solidFill>
                          <w14:schemeClr w14:val="tx1"/>
                        </w14:solidFill>
                      </w14:textFill>
                    </w:rPr>
                    <w:t>建设前</w:t>
                  </w:r>
                </w:p>
              </w:tc>
              <w:tc>
                <w:tcPr>
                  <w:tcW w:w="3291" w:type="pct"/>
                  <w:tcBorders>
                    <w:tl2br w:val="nil"/>
                    <w:tr2bl w:val="nil"/>
                  </w:tcBorders>
                  <w:vAlign w:val="center"/>
                </w:tcPr>
                <w:p w14:paraId="7291BDB7">
                  <w:pPr>
                    <w:widowControl/>
                    <w:wordWrap w:val="0"/>
                    <w:adjustRightInd w:val="0"/>
                    <w:snapToGrid w:val="0"/>
                    <w:spacing w:line="240" w:lineRule="auto"/>
                    <w:jc w:val="left"/>
                    <w:rPr>
                      <w:color w:val="000000" w:themeColor="text1"/>
                      <w:kern w:val="0"/>
                      <w:sz w:val="21"/>
                      <w:szCs w:val="21"/>
                      <w:lang w:bidi="ar"/>
                      <w14:textFill>
                        <w14:solidFill>
                          <w14:schemeClr w14:val="tx1"/>
                        </w14:solidFill>
                      </w14:textFill>
                    </w:rPr>
                  </w:pPr>
                  <w:r>
                    <w:rPr>
                      <w:color w:val="000000" w:themeColor="text1"/>
                      <w:kern w:val="0"/>
                      <w:sz w:val="21"/>
                      <w:szCs w:val="21"/>
                      <w:lang w:bidi="ar"/>
                      <w14:textFill>
                        <w14:solidFill>
                          <w14:schemeClr w14:val="tx1"/>
                        </w14:solidFill>
                      </w14:textFill>
                    </w:rPr>
                    <w:t>1.</w:t>
                  </w:r>
                  <w:r>
                    <w:rPr>
                      <w:rFonts w:hint="eastAsia"/>
                      <w:color w:val="000000" w:themeColor="text1"/>
                      <w:kern w:val="0"/>
                      <w:sz w:val="21"/>
                      <w:szCs w:val="21"/>
                      <w:lang w:val="en-US" w:eastAsia="zh-CN" w:bidi="ar"/>
                      <w14:textFill>
                        <w14:solidFill>
                          <w14:schemeClr w14:val="tx1"/>
                        </w14:solidFill>
                      </w14:textFill>
                    </w:rPr>
                    <w:t>生态</w:t>
                  </w:r>
                  <w:r>
                    <w:rPr>
                      <w:color w:val="000000" w:themeColor="text1"/>
                      <w:kern w:val="0"/>
                      <w:sz w:val="21"/>
                      <w:szCs w:val="21"/>
                      <w:lang w:bidi="ar"/>
                      <w14:textFill>
                        <w14:solidFill>
                          <w14:schemeClr w14:val="tx1"/>
                        </w14:solidFill>
                      </w14:textFill>
                    </w:rPr>
                    <w:t>环境影响评价；2.优化设计、减少用地等；</w:t>
                  </w:r>
                </w:p>
                <w:p w14:paraId="61EE0817">
                  <w:pPr>
                    <w:widowControl/>
                    <w:wordWrap w:val="0"/>
                    <w:adjustRightInd w:val="0"/>
                    <w:snapToGrid w:val="0"/>
                    <w:spacing w:line="240" w:lineRule="auto"/>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3.选用低噪声设备，保证噪声达标排放；4.优化选址、选线，尽量减少对</w:t>
                  </w:r>
                  <w:r>
                    <w:rPr>
                      <w:rFonts w:hint="eastAsia"/>
                      <w:color w:val="000000" w:themeColor="text1"/>
                      <w:kern w:val="0"/>
                      <w:sz w:val="21"/>
                      <w:szCs w:val="21"/>
                      <w:lang w:bidi="ar"/>
                      <w14:textFill>
                        <w14:solidFill>
                          <w14:schemeClr w14:val="tx1"/>
                        </w14:solidFill>
                      </w14:textFill>
                    </w:rPr>
                    <w:t>项目区生态环境</w:t>
                  </w:r>
                  <w:r>
                    <w:rPr>
                      <w:color w:val="000000" w:themeColor="text1"/>
                      <w:kern w:val="0"/>
                      <w:sz w:val="21"/>
                      <w:szCs w:val="21"/>
                      <w:lang w:bidi="ar"/>
                      <w14:textFill>
                        <w14:solidFill>
                          <w14:schemeClr w14:val="tx1"/>
                        </w14:solidFill>
                      </w14:textFill>
                    </w:rPr>
                    <w:t>的影响。</w:t>
                  </w:r>
                </w:p>
              </w:tc>
              <w:tc>
                <w:tcPr>
                  <w:tcW w:w="857" w:type="pct"/>
                  <w:tcBorders>
                    <w:tl2br w:val="nil"/>
                    <w:tr2bl w:val="nil"/>
                  </w:tcBorders>
                  <w:vAlign w:val="center"/>
                </w:tcPr>
                <w:p w14:paraId="035B4B1C">
                  <w:pPr>
                    <w:pStyle w:val="51"/>
                    <w:wordWrap w:val="0"/>
                    <w:spacing w:after="0" w:line="240" w:lineRule="auto"/>
                    <w:rPr>
                      <w:rFonts w:eastAsia="宋体"/>
                      <w:color w:val="000000" w:themeColor="text1"/>
                      <w:sz w:val="21"/>
                      <w14:textFill>
                        <w14:solidFill>
                          <w14:schemeClr w14:val="tx1"/>
                        </w14:solidFill>
                      </w14:textFill>
                    </w:rPr>
                  </w:pPr>
                  <w:r>
                    <w:rPr>
                      <w:rFonts w:eastAsia="宋体"/>
                      <w:color w:val="000000" w:themeColor="text1"/>
                      <w:sz w:val="21"/>
                      <w14:textFill>
                        <w14:solidFill>
                          <w14:schemeClr w14:val="tx1"/>
                        </w14:solidFill>
                      </w14:textFill>
                    </w:rPr>
                    <w:t>设计单位</w:t>
                  </w:r>
                </w:p>
                <w:p w14:paraId="3E47A377">
                  <w:pPr>
                    <w:pStyle w:val="51"/>
                    <w:wordWrap w:val="0"/>
                    <w:spacing w:after="0" w:line="240" w:lineRule="auto"/>
                    <w:rPr>
                      <w:rFonts w:eastAsia="宋体"/>
                      <w:color w:val="000000" w:themeColor="text1"/>
                      <w:sz w:val="21"/>
                      <w14:textFill>
                        <w14:solidFill>
                          <w14:schemeClr w14:val="tx1"/>
                        </w14:solidFill>
                      </w14:textFill>
                    </w:rPr>
                  </w:pPr>
                  <w:r>
                    <w:rPr>
                      <w:rFonts w:eastAsia="宋体"/>
                      <w:color w:val="000000" w:themeColor="text1"/>
                      <w:sz w:val="21"/>
                      <w14:textFill>
                        <w14:solidFill>
                          <w14:schemeClr w14:val="tx1"/>
                        </w14:solidFill>
                      </w14:textFill>
                    </w:rPr>
                    <w:t>建设单位</w:t>
                  </w:r>
                </w:p>
              </w:tc>
            </w:tr>
            <w:tr w14:paraId="313E0B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821" w:hRule="atLeast"/>
              </w:trPr>
              <w:tc>
                <w:tcPr>
                  <w:tcW w:w="851" w:type="pct"/>
                  <w:tcBorders>
                    <w:tl2br w:val="nil"/>
                    <w:tr2bl w:val="nil"/>
                  </w:tcBorders>
                  <w:vAlign w:val="center"/>
                </w:tcPr>
                <w:p w14:paraId="72435524">
                  <w:pPr>
                    <w:pStyle w:val="51"/>
                    <w:wordWrap w:val="0"/>
                    <w:spacing w:after="0" w:line="240" w:lineRule="auto"/>
                    <w:rPr>
                      <w:rFonts w:eastAsia="宋体"/>
                      <w:color w:val="000000" w:themeColor="text1"/>
                      <w:sz w:val="21"/>
                      <w14:textFill>
                        <w14:solidFill>
                          <w14:schemeClr w14:val="tx1"/>
                        </w14:solidFill>
                      </w14:textFill>
                    </w:rPr>
                  </w:pPr>
                  <w:r>
                    <w:rPr>
                      <w:rFonts w:eastAsia="宋体"/>
                      <w:color w:val="000000" w:themeColor="text1"/>
                      <w:sz w:val="21"/>
                      <w14:textFill>
                        <w14:solidFill>
                          <w14:schemeClr w14:val="tx1"/>
                        </w14:solidFill>
                      </w14:textFill>
                    </w:rPr>
                    <w:t>施工期</w:t>
                  </w:r>
                </w:p>
              </w:tc>
              <w:tc>
                <w:tcPr>
                  <w:tcW w:w="3291" w:type="pct"/>
                  <w:tcBorders>
                    <w:tl2br w:val="nil"/>
                    <w:tr2bl w:val="nil"/>
                  </w:tcBorders>
                  <w:vAlign w:val="center"/>
                </w:tcPr>
                <w:p w14:paraId="50A1D3F0">
                  <w:pPr>
                    <w:widowControl/>
                    <w:wordWrap w:val="0"/>
                    <w:adjustRightInd w:val="0"/>
                    <w:snapToGrid w:val="0"/>
                    <w:spacing w:line="240" w:lineRule="auto"/>
                    <w:jc w:val="left"/>
                    <w:rPr>
                      <w:color w:val="000000" w:themeColor="text1"/>
                      <w:sz w:val="21"/>
                      <w:szCs w:val="21"/>
                      <w14:textFill>
                        <w14:solidFill>
                          <w14:schemeClr w14:val="tx1"/>
                        </w14:solidFill>
                      </w14:textFill>
                    </w:rPr>
                  </w:pPr>
                  <w:r>
                    <w:rPr>
                      <w:rFonts w:hint="eastAsia"/>
                      <w:color w:val="000000" w:themeColor="text1"/>
                      <w:kern w:val="0"/>
                      <w:sz w:val="21"/>
                      <w:szCs w:val="21"/>
                      <w:lang w:bidi="ar"/>
                      <w14:textFill>
                        <w14:solidFill>
                          <w14:schemeClr w14:val="tx1"/>
                        </w14:solidFill>
                      </w14:textFill>
                    </w:rPr>
                    <w:t>1.项目施工前应办理征地手续；2.</w:t>
                  </w:r>
                  <w:r>
                    <w:rPr>
                      <w:color w:val="000000" w:themeColor="text1"/>
                      <w:kern w:val="0"/>
                      <w:sz w:val="21"/>
                      <w:szCs w:val="21"/>
                      <w:lang w:bidi="ar"/>
                      <w14:textFill>
                        <w14:solidFill>
                          <w14:schemeClr w14:val="tx1"/>
                        </w14:solidFill>
                      </w14:textFill>
                    </w:rPr>
                    <w:t>在施工过程中严格按征地范围施工，尽量减少占地面积</w:t>
                  </w:r>
                  <w:r>
                    <w:rPr>
                      <w:rFonts w:hint="eastAsia"/>
                      <w:color w:val="000000" w:themeColor="text1"/>
                      <w:kern w:val="0"/>
                      <w:sz w:val="21"/>
                      <w:szCs w:val="21"/>
                      <w:lang w:bidi="ar"/>
                      <w14:textFill>
                        <w14:solidFill>
                          <w14:schemeClr w14:val="tx1"/>
                        </w14:solidFill>
                      </w14:textFill>
                    </w:rPr>
                    <w:t>；3.施工过程中对</w:t>
                  </w:r>
                  <w:r>
                    <w:rPr>
                      <w:rFonts w:hint="eastAsia"/>
                      <w:color w:val="000000" w:themeColor="text1"/>
                      <w:kern w:val="0"/>
                      <w:sz w:val="21"/>
                      <w:szCs w:val="21"/>
                      <w:lang w:eastAsia="zh-CN" w:bidi="ar"/>
                      <w14:textFill>
                        <w14:solidFill>
                          <w14:schemeClr w14:val="tx1"/>
                        </w14:solidFill>
                      </w14:textFill>
                    </w:rPr>
                    <w:t>野生植被密集区</w:t>
                  </w:r>
                  <w:r>
                    <w:rPr>
                      <w:rFonts w:hint="eastAsia"/>
                      <w:color w:val="000000" w:themeColor="text1"/>
                      <w:kern w:val="0"/>
                      <w:sz w:val="21"/>
                      <w:szCs w:val="21"/>
                      <w:lang w:bidi="ar"/>
                      <w14:textFill>
                        <w14:solidFill>
                          <w14:schemeClr w14:val="tx1"/>
                        </w14:solidFill>
                      </w14:textFill>
                    </w:rPr>
                    <w:t>进行避让；4</w:t>
                  </w:r>
                  <w:r>
                    <w:rPr>
                      <w:color w:val="000000" w:themeColor="text1"/>
                      <w:kern w:val="0"/>
                      <w:sz w:val="21"/>
                      <w:szCs w:val="21"/>
                      <w:lang w:bidi="ar"/>
                      <w14:textFill>
                        <w14:solidFill>
                          <w14:schemeClr w14:val="tx1"/>
                        </w14:solidFill>
                      </w14:textFill>
                    </w:rPr>
                    <w:t>.临时用地待施工结束后及时清理</w:t>
                  </w:r>
                  <w:r>
                    <w:rPr>
                      <w:rFonts w:hint="eastAsia"/>
                      <w:color w:val="000000" w:themeColor="text1"/>
                      <w:kern w:val="0"/>
                      <w:sz w:val="21"/>
                      <w:szCs w:val="21"/>
                      <w:lang w:bidi="ar"/>
                      <w14:textFill>
                        <w14:solidFill>
                          <w14:schemeClr w14:val="tx1"/>
                        </w14:solidFill>
                      </w14:textFill>
                    </w:rPr>
                    <w:t>、平整、恢复</w:t>
                  </w:r>
                  <w:r>
                    <w:rPr>
                      <w:color w:val="000000" w:themeColor="text1"/>
                      <w:kern w:val="0"/>
                      <w:sz w:val="21"/>
                      <w:szCs w:val="21"/>
                      <w:lang w:bidi="ar"/>
                      <w14:textFill>
                        <w14:solidFill>
                          <w14:schemeClr w14:val="tx1"/>
                        </w14:solidFill>
                      </w14:textFill>
                    </w:rPr>
                    <w:t>；</w:t>
                  </w:r>
                  <w:r>
                    <w:rPr>
                      <w:rFonts w:hint="eastAsia"/>
                      <w:color w:val="000000" w:themeColor="text1"/>
                      <w:kern w:val="0"/>
                      <w:sz w:val="21"/>
                      <w:szCs w:val="21"/>
                      <w:lang w:bidi="ar"/>
                      <w14:textFill>
                        <w14:solidFill>
                          <w14:schemeClr w14:val="tx1"/>
                        </w14:solidFill>
                      </w14:textFill>
                    </w:rPr>
                    <w:t>5.</w:t>
                  </w:r>
                  <w:r>
                    <w:rPr>
                      <w:color w:val="000000" w:themeColor="text1"/>
                      <w:kern w:val="0"/>
                      <w:sz w:val="21"/>
                      <w:szCs w:val="21"/>
                      <w:lang w:bidi="ar"/>
                      <w14:textFill>
                        <w14:solidFill>
                          <w14:schemeClr w14:val="tx1"/>
                        </w14:solidFill>
                      </w14:textFill>
                    </w:rPr>
                    <w:t>工程建设时先将表层土壤剥离，堆放保存好，施工结束后及时回填</w:t>
                  </w:r>
                  <w:r>
                    <w:rPr>
                      <w:rFonts w:hint="eastAsia"/>
                      <w:color w:val="000000" w:themeColor="text1"/>
                      <w:kern w:val="0"/>
                      <w:sz w:val="21"/>
                      <w:szCs w:val="21"/>
                      <w:lang w:bidi="ar"/>
                      <w14:textFill>
                        <w14:solidFill>
                          <w14:schemeClr w14:val="tx1"/>
                        </w14:solidFill>
                      </w14:textFill>
                    </w:rPr>
                    <w:t>；6.施工</w:t>
                  </w:r>
                  <w:r>
                    <w:rPr>
                      <w:rFonts w:hint="eastAsia"/>
                      <w:color w:val="000000" w:themeColor="text1"/>
                      <w:kern w:val="0"/>
                      <w:sz w:val="21"/>
                      <w:szCs w:val="21"/>
                      <w:lang w:val="en-US" w:eastAsia="zh-CN" w:bidi="ar"/>
                      <w14:textFill>
                        <w14:solidFill>
                          <w14:schemeClr w14:val="tx1"/>
                        </w14:solidFill>
                      </w14:textFill>
                    </w:rPr>
                    <w:t>冲洗</w:t>
                  </w:r>
                  <w:r>
                    <w:rPr>
                      <w:rFonts w:hint="eastAsia"/>
                      <w:color w:val="000000" w:themeColor="text1"/>
                      <w:kern w:val="0"/>
                      <w:sz w:val="21"/>
                      <w:szCs w:val="21"/>
                      <w:lang w:bidi="ar"/>
                      <w14:textFill>
                        <w14:solidFill>
                          <w14:schemeClr w14:val="tx1"/>
                        </w14:solidFill>
                      </w14:textFill>
                    </w:rPr>
                    <w:t>废水回用</w:t>
                  </w:r>
                  <w:r>
                    <w:rPr>
                      <w:rFonts w:hint="eastAsia"/>
                      <w:color w:val="000000" w:themeColor="text1"/>
                      <w:kern w:val="0"/>
                      <w:sz w:val="21"/>
                      <w:szCs w:val="21"/>
                      <w:lang w:val="en-US" w:eastAsia="zh-CN" w:bidi="ar"/>
                      <w14:textFill>
                        <w14:solidFill>
                          <w14:schemeClr w14:val="tx1"/>
                        </w14:solidFill>
                      </w14:textFill>
                    </w:rPr>
                    <w:t>抑尘</w:t>
                  </w:r>
                  <w:r>
                    <w:rPr>
                      <w:rFonts w:hint="eastAsia"/>
                      <w:color w:val="000000" w:themeColor="text1"/>
                      <w:kern w:val="0"/>
                      <w:sz w:val="21"/>
                      <w:szCs w:val="21"/>
                      <w:lang w:bidi="ar"/>
                      <w14:textFill>
                        <w14:solidFill>
                          <w14:schemeClr w14:val="tx1"/>
                        </w14:solidFill>
                      </w14:textFill>
                    </w:rPr>
                    <w:t>，生活污水经收集后清运；7</w:t>
                  </w:r>
                  <w:r>
                    <w:rPr>
                      <w:color w:val="000000" w:themeColor="text1"/>
                      <w:kern w:val="0"/>
                      <w:sz w:val="21"/>
                      <w:szCs w:val="21"/>
                      <w:lang w:bidi="ar"/>
                      <w14:textFill>
                        <w14:solidFill>
                          <w14:schemeClr w14:val="tx1"/>
                        </w14:solidFill>
                      </w14:textFill>
                    </w:rPr>
                    <w:t>.施工营地生活垃圾集中</w:t>
                  </w:r>
                  <w:r>
                    <w:rPr>
                      <w:rFonts w:hint="eastAsia"/>
                      <w:color w:val="000000" w:themeColor="text1"/>
                      <w:kern w:val="0"/>
                      <w:sz w:val="21"/>
                      <w:szCs w:val="21"/>
                      <w:lang w:bidi="ar"/>
                      <w14:textFill>
                        <w14:solidFill>
                          <w14:schemeClr w14:val="tx1"/>
                        </w14:solidFill>
                      </w14:textFill>
                    </w:rPr>
                    <w:t>收集</w:t>
                  </w:r>
                  <w:r>
                    <w:rPr>
                      <w:color w:val="000000" w:themeColor="text1"/>
                      <w:kern w:val="0"/>
                      <w:sz w:val="21"/>
                      <w:szCs w:val="21"/>
                      <w:lang w:bidi="ar"/>
                      <w14:textFill>
                        <w14:solidFill>
                          <w14:schemeClr w14:val="tx1"/>
                        </w14:solidFill>
                      </w14:textFill>
                    </w:rPr>
                    <w:t>清运，不得随意丢弃；</w:t>
                  </w:r>
                  <w:r>
                    <w:rPr>
                      <w:rFonts w:hint="eastAsia"/>
                      <w:color w:val="000000" w:themeColor="text1"/>
                      <w:kern w:val="0"/>
                      <w:sz w:val="21"/>
                      <w:szCs w:val="21"/>
                      <w:lang w:bidi="ar"/>
                      <w14:textFill>
                        <w14:solidFill>
                          <w14:schemeClr w14:val="tx1"/>
                        </w14:solidFill>
                      </w14:textFill>
                    </w:rPr>
                    <w:t>8</w:t>
                  </w:r>
                  <w:r>
                    <w:rPr>
                      <w:color w:val="000000" w:themeColor="text1"/>
                      <w:kern w:val="0"/>
                      <w:sz w:val="21"/>
                      <w:szCs w:val="21"/>
                      <w:lang w:bidi="ar"/>
                      <w14:textFill>
                        <w14:solidFill>
                          <w14:schemeClr w14:val="tx1"/>
                        </w14:solidFill>
                      </w14:textFill>
                    </w:rPr>
                    <w:t>.合理调配作业的地点、时间，</w:t>
                  </w:r>
                  <w:r>
                    <w:rPr>
                      <w:rFonts w:hint="eastAsia"/>
                      <w:color w:val="000000" w:themeColor="text1"/>
                      <w:kern w:val="0"/>
                      <w:sz w:val="21"/>
                      <w:szCs w:val="21"/>
                      <w:lang w:bidi="ar"/>
                      <w14:textFill>
                        <w14:solidFill>
                          <w14:schemeClr w14:val="tx1"/>
                        </w14:solidFill>
                      </w14:textFill>
                    </w:rPr>
                    <w:t>减小施工噪声影响。</w:t>
                  </w:r>
                </w:p>
              </w:tc>
              <w:tc>
                <w:tcPr>
                  <w:tcW w:w="857" w:type="pct"/>
                  <w:tcBorders>
                    <w:tl2br w:val="nil"/>
                    <w:tr2bl w:val="nil"/>
                  </w:tcBorders>
                  <w:vAlign w:val="center"/>
                </w:tcPr>
                <w:p w14:paraId="3FE7BFFD">
                  <w:pPr>
                    <w:pStyle w:val="51"/>
                    <w:wordWrap w:val="0"/>
                    <w:spacing w:after="0" w:line="240" w:lineRule="auto"/>
                    <w:rPr>
                      <w:rFonts w:eastAsia="宋体"/>
                      <w:color w:val="000000" w:themeColor="text1"/>
                      <w:sz w:val="21"/>
                      <w14:textFill>
                        <w14:solidFill>
                          <w14:schemeClr w14:val="tx1"/>
                        </w14:solidFill>
                      </w14:textFill>
                    </w:rPr>
                  </w:pPr>
                  <w:r>
                    <w:rPr>
                      <w:rFonts w:eastAsia="宋体"/>
                      <w:color w:val="000000" w:themeColor="text1"/>
                      <w:sz w:val="21"/>
                      <w14:textFill>
                        <w14:solidFill>
                          <w14:schemeClr w14:val="tx1"/>
                        </w14:solidFill>
                      </w14:textFill>
                    </w:rPr>
                    <w:t>施工单位</w:t>
                  </w:r>
                </w:p>
                <w:p w14:paraId="3C2B404A">
                  <w:pPr>
                    <w:pStyle w:val="51"/>
                    <w:wordWrap w:val="0"/>
                    <w:spacing w:after="0" w:line="240" w:lineRule="auto"/>
                    <w:rPr>
                      <w:rFonts w:eastAsia="宋体"/>
                      <w:color w:val="000000" w:themeColor="text1"/>
                      <w:sz w:val="21"/>
                      <w14:textFill>
                        <w14:solidFill>
                          <w14:schemeClr w14:val="tx1"/>
                        </w14:solidFill>
                      </w14:textFill>
                    </w:rPr>
                  </w:pPr>
                  <w:r>
                    <w:rPr>
                      <w:rFonts w:eastAsia="宋体"/>
                      <w:color w:val="000000" w:themeColor="text1"/>
                      <w:sz w:val="21"/>
                      <w14:textFill>
                        <w14:solidFill>
                          <w14:schemeClr w14:val="tx1"/>
                        </w14:solidFill>
                      </w14:textFill>
                    </w:rPr>
                    <w:t>建设单位</w:t>
                  </w:r>
                </w:p>
              </w:tc>
            </w:tr>
            <w:tr w14:paraId="47B243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51" w:type="pct"/>
                  <w:tcBorders>
                    <w:tl2br w:val="nil"/>
                    <w:tr2bl w:val="nil"/>
                  </w:tcBorders>
                  <w:vAlign w:val="center"/>
                </w:tcPr>
                <w:p w14:paraId="189FDEF9">
                  <w:pPr>
                    <w:pStyle w:val="51"/>
                    <w:wordWrap w:val="0"/>
                    <w:spacing w:after="0" w:line="240" w:lineRule="auto"/>
                    <w:rPr>
                      <w:rFonts w:eastAsia="宋体"/>
                      <w:color w:val="000000" w:themeColor="text1"/>
                      <w:sz w:val="21"/>
                      <w14:textFill>
                        <w14:solidFill>
                          <w14:schemeClr w14:val="tx1"/>
                        </w14:solidFill>
                      </w14:textFill>
                    </w:rPr>
                  </w:pPr>
                  <w:r>
                    <w:rPr>
                      <w:rFonts w:eastAsia="宋体"/>
                      <w:color w:val="000000" w:themeColor="text1"/>
                      <w:sz w:val="21"/>
                      <w14:textFill>
                        <w14:solidFill>
                          <w14:schemeClr w14:val="tx1"/>
                        </w14:solidFill>
                      </w14:textFill>
                    </w:rPr>
                    <w:t>运营期</w:t>
                  </w:r>
                </w:p>
              </w:tc>
              <w:tc>
                <w:tcPr>
                  <w:tcW w:w="3291" w:type="pct"/>
                  <w:tcBorders>
                    <w:tl2br w:val="nil"/>
                    <w:tr2bl w:val="nil"/>
                  </w:tcBorders>
                  <w:vAlign w:val="center"/>
                </w:tcPr>
                <w:p w14:paraId="18AFFCAF">
                  <w:pPr>
                    <w:widowControl/>
                    <w:wordWrap w:val="0"/>
                    <w:adjustRightInd w:val="0"/>
                    <w:snapToGrid w:val="0"/>
                    <w:spacing w:line="240" w:lineRule="auto"/>
                    <w:jc w:val="left"/>
                    <w:rPr>
                      <w:color w:val="000000" w:themeColor="text1"/>
                      <w:sz w:val="21"/>
                      <w:szCs w:val="21"/>
                      <w14:textFill>
                        <w14:solidFill>
                          <w14:schemeClr w14:val="tx1"/>
                        </w14:solidFill>
                      </w14:textFill>
                    </w:rPr>
                  </w:pPr>
                  <w:r>
                    <w:rPr>
                      <w:color w:val="000000" w:themeColor="text1"/>
                      <w:kern w:val="0"/>
                      <w:sz w:val="21"/>
                      <w:szCs w:val="21"/>
                      <w:lang w:bidi="ar"/>
                      <w14:textFill>
                        <w14:solidFill>
                          <w14:schemeClr w14:val="tx1"/>
                        </w14:solidFill>
                      </w14:textFill>
                    </w:rPr>
                    <w:t>1.环保设施的日常维护；2.日常环保管理工作；3.环境监测计划的实施。</w:t>
                  </w:r>
                </w:p>
              </w:tc>
              <w:tc>
                <w:tcPr>
                  <w:tcW w:w="857" w:type="pct"/>
                  <w:tcBorders>
                    <w:tl2br w:val="nil"/>
                    <w:tr2bl w:val="nil"/>
                  </w:tcBorders>
                  <w:vAlign w:val="center"/>
                </w:tcPr>
                <w:p w14:paraId="60F2BD5A">
                  <w:pPr>
                    <w:pStyle w:val="51"/>
                    <w:wordWrap w:val="0"/>
                    <w:spacing w:after="0" w:line="240" w:lineRule="auto"/>
                    <w:rPr>
                      <w:rFonts w:eastAsia="宋体"/>
                      <w:color w:val="000000" w:themeColor="text1"/>
                      <w:sz w:val="21"/>
                      <w14:textFill>
                        <w14:solidFill>
                          <w14:schemeClr w14:val="tx1"/>
                        </w14:solidFill>
                      </w14:textFill>
                    </w:rPr>
                  </w:pPr>
                  <w:r>
                    <w:rPr>
                      <w:rFonts w:eastAsia="宋体"/>
                      <w:color w:val="000000" w:themeColor="text1"/>
                      <w:sz w:val="21"/>
                      <w14:textFill>
                        <w14:solidFill>
                          <w14:schemeClr w14:val="tx1"/>
                        </w14:solidFill>
                      </w14:textFill>
                    </w:rPr>
                    <w:t>建设单位</w:t>
                  </w:r>
                </w:p>
              </w:tc>
            </w:tr>
          </w:tbl>
          <w:p w14:paraId="3B163F0E">
            <w:pPr>
              <w:adjustRightInd w:val="0"/>
              <w:spacing w:line="500" w:lineRule="exact"/>
              <w:ind w:firstLine="482" w:firstLineChars="200"/>
              <w:rPr>
                <w:b/>
                <w:color w:val="000000" w:themeColor="text1"/>
                <w14:textFill>
                  <w14:solidFill>
                    <w14:schemeClr w14:val="tx1"/>
                  </w14:solidFill>
                </w14:textFill>
              </w:rPr>
            </w:pPr>
            <w:r>
              <w:rPr>
                <w:rFonts w:hint="eastAsia"/>
                <w:b/>
                <w:color w:val="000000" w:themeColor="text1"/>
                <w:lang w:val="en-US" w:eastAsia="zh-CN"/>
                <w14:textFill>
                  <w14:solidFill>
                    <w14:schemeClr w14:val="tx1"/>
                  </w14:solidFill>
                </w14:textFill>
              </w:rPr>
              <w:t>2</w:t>
            </w:r>
            <w:r>
              <w:rPr>
                <w:rFonts w:hint="eastAsia"/>
                <w:b/>
                <w:color w:val="000000" w:themeColor="text1"/>
                <w14:textFill>
                  <w14:solidFill>
                    <w14:schemeClr w14:val="tx1"/>
                  </w14:solidFill>
                </w14:textFill>
              </w:rPr>
              <w:t>.</w:t>
            </w:r>
            <w:r>
              <w:rPr>
                <w:b/>
                <w:color w:val="000000" w:themeColor="text1"/>
                <w14:textFill>
                  <w14:solidFill>
                    <w14:schemeClr w14:val="tx1"/>
                  </w14:solidFill>
                </w14:textFill>
              </w:rPr>
              <w:t>环境监测计划</w:t>
            </w:r>
          </w:p>
          <w:p w14:paraId="5C4236E2">
            <w:pPr>
              <w:wordWrap w:val="0"/>
              <w:adjustRightInd w:val="0"/>
              <w:snapToGrid w:val="0"/>
              <w:spacing w:line="500" w:lineRule="exact"/>
              <w:ind w:firstLine="480" w:firstLineChars="200"/>
              <w:rPr>
                <w:bCs/>
                <w:color w:val="000000" w:themeColor="text1"/>
                <w14:textFill>
                  <w14:solidFill>
                    <w14:schemeClr w14:val="tx1"/>
                  </w14:solidFill>
                </w14:textFill>
              </w:rPr>
            </w:pPr>
            <w:r>
              <w:rPr>
                <w:bCs/>
                <w:color w:val="000000" w:themeColor="text1"/>
                <w14:textFill>
                  <w14:solidFill>
                    <w14:schemeClr w14:val="tx1"/>
                  </w14:solidFill>
                </w14:textFill>
              </w:rPr>
              <w:t>为了及时了解工程施工和运营过程中对环境保护目标产生影响的范围和程度，以便采取相应的减缓措施，根据</w:t>
            </w:r>
            <w:r>
              <w:rPr>
                <w:rFonts w:hint="eastAsia"/>
                <w:bCs/>
                <w:color w:val="000000" w:themeColor="text1"/>
                <w:lang w:val="en-US" w:eastAsia="zh-CN"/>
                <w14:textFill>
                  <w14:solidFill>
                    <w14:schemeClr w14:val="tx1"/>
                  </w14:solidFill>
                </w14:textFill>
              </w:rPr>
              <w:t>生态</w:t>
            </w:r>
            <w:r>
              <w:rPr>
                <w:bCs/>
                <w:color w:val="000000" w:themeColor="text1"/>
                <w14:textFill>
                  <w14:solidFill>
                    <w14:schemeClr w14:val="tx1"/>
                  </w14:solidFill>
                </w14:textFill>
              </w:rPr>
              <w:t>环境影响预测结论，对</w:t>
            </w:r>
            <w:r>
              <w:rPr>
                <w:rFonts w:hint="eastAsia"/>
                <w:bCs/>
                <w:color w:val="000000" w:themeColor="text1"/>
                <w14:textFill>
                  <w14:solidFill>
                    <w14:schemeClr w14:val="tx1"/>
                  </w14:solidFill>
                </w14:textFill>
              </w:rPr>
              <w:t>站址</w:t>
            </w:r>
            <w:r>
              <w:rPr>
                <w:bCs/>
                <w:color w:val="000000" w:themeColor="text1"/>
                <w14:textFill>
                  <w14:solidFill>
                    <w14:schemeClr w14:val="tx1"/>
                  </w14:solidFill>
                </w14:textFill>
              </w:rPr>
              <w:t>周围环境进行监测。</w:t>
            </w:r>
          </w:p>
          <w:p w14:paraId="0D884B65">
            <w:pPr>
              <w:wordWrap w:val="0"/>
              <w:adjustRightInd w:val="0"/>
              <w:snapToGrid w:val="0"/>
              <w:spacing w:line="500" w:lineRule="exact"/>
              <w:ind w:firstLine="480" w:firstLineChars="200"/>
              <w:rPr>
                <w:bCs/>
                <w:color w:val="000000" w:themeColor="text1"/>
                <w14:textFill>
                  <w14:solidFill>
                    <w14:schemeClr w14:val="tx1"/>
                  </w14:solidFill>
                </w14:textFill>
              </w:rPr>
            </w:pPr>
            <w:r>
              <w:rPr>
                <w:bCs/>
                <w:color w:val="000000" w:themeColor="text1"/>
                <w14:textFill>
                  <w14:solidFill>
                    <w14:schemeClr w14:val="tx1"/>
                  </w14:solidFill>
                </w14:textFill>
              </w:rPr>
              <w:t>（1）施工期</w:t>
            </w:r>
          </w:p>
          <w:p w14:paraId="234689C9">
            <w:pPr>
              <w:wordWrap w:val="0"/>
              <w:adjustRightInd w:val="0"/>
              <w:snapToGrid w:val="0"/>
              <w:spacing w:line="500" w:lineRule="exact"/>
              <w:ind w:firstLine="480" w:firstLineChars="200"/>
              <w:rPr>
                <w:bCs/>
                <w:color w:val="000000" w:themeColor="text1"/>
                <w14:textFill>
                  <w14:solidFill>
                    <w14:schemeClr w14:val="tx1"/>
                  </w14:solidFill>
                </w14:textFill>
              </w:rPr>
            </w:pPr>
            <w:r>
              <w:rPr>
                <w:bCs/>
                <w:color w:val="000000" w:themeColor="text1"/>
                <w14:textFill>
                  <w14:solidFill>
                    <w14:schemeClr w14:val="tx1"/>
                  </w14:solidFill>
                </w14:textFill>
              </w:rPr>
              <w:t>监测因子主要有噪声、</w:t>
            </w:r>
            <w:r>
              <w:rPr>
                <w:rFonts w:hint="eastAsia"/>
                <w:bCs/>
                <w:color w:val="000000" w:themeColor="text1"/>
                <w14:textFill>
                  <w14:solidFill>
                    <w14:schemeClr w14:val="tx1"/>
                  </w14:solidFill>
                </w14:textFill>
              </w:rPr>
              <w:t>颗粒物</w:t>
            </w:r>
            <w:r>
              <w:rPr>
                <w:bCs/>
                <w:color w:val="000000" w:themeColor="text1"/>
                <w14:textFill>
                  <w14:solidFill>
                    <w14:schemeClr w14:val="tx1"/>
                  </w14:solidFill>
                </w14:textFill>
              </w:rPr>
              <w:t>、施工迹地恢复</w:t>
            </w:r>
            <w:r>
              <w:rPr>
                <w:rFonts w:hint="eastAsia"/>
                <w:bCs/>
                <w:color w:val="000000" w:themeColor="text1"/>
                <w:lang w:eastAsia="zh-CN"/>
                <w14:textFill>
                  <w14:solidFill>
                    <w14:schemeClr w14:val="tx1"/>
                  </w14:solidFill>
                </w14:textFill>
              </w:rPr>
              <w:t>情况</w:t>
            </w:r>
            <w:r>
              <w:rPr>
                <w:bCs/>
                <w:color w:val="000000" w:themeColor="text1"/>
                <w14:textFill>
                  <w14:solidFill>
                    <w14:schemeClr w14:val="tx1"/>
                  </w14:solidFill>
                </w14:textFill>
              </w:rPr>
              <w:t>；监测频次为定时和不定时抽检相结合的方式进行</w:t>
            </w:r>
            <w:r>
              <w:rPr>
                <w:rFonts w:hint="eastAsia"/>
                <w:bCs/>
                <w:color w:val="000000" w:themeColor="text1"/>
                <w14:textFill>
                  <w14:solidFill>
                    <w14:schemeClr w14:val="tx1"/>
                  </w14:solidFill>
                </w14:textFill>
              </w:rPr>
              <w:t>，</w:t>
            </w:r>
            <w:r>
              <w:rPr>
                <w:bCs/>
                <w:color w:val="000000" w:themeColor="text1"/>
                <w14:textFill>
                  <w14:solidFill>
                    <w14:schemeClr w14:val="tx1"/>
                  </w14:solidFill>
                </w14:textFill>
              </w:rPr>
              <w:t>监测点设在</w:t>
            </w:r>
            <w:r>
              <w:rPr>
                <w:rFonts w:hint="eastAsia"/>
                <w:bCs/>
                <w:color w:val="000000" w:themeColor="text1"/>
                <w:lang w:val="en-US" w:eastAsia="zh-CN"/>
                <w14:textFill>
                  <w14:solidFill>
                    <w14:schemeClr w14:val="tx1"/>
                  </w14:solidFill>
                </w14:textFill>
              </w:rPr>
              <w:t>升压汇集站</w:t>
            </w:r>
            <w:r>
              <w:rPr>
                <w:rFonts w:hint="eastAsia"/>
                <w:bCs/>
                <w:color w:val="000000" w:themeColor="text1"/>
                <w14:textFill>
                  <w14:solidFill>
                    <w14:schemeClr w14:val="tx1"/>
                  </w14:solidFill>
                </w14:textFill>
              </w:rPr>
              <w:t>内</w:t>
            </w:r>
            <w:r>
              <w:rPr>
                <w:bCs/>
                <w:color w:val="000000" w:themeColor="text1"/>
                <w14:textFill>
                  <w14:solidFill>
                    <w14:schemeClr w14:val="tx1"/>
                  </w14:solidFill>
                </w14:textFill>
              </w:rPr>
              <w:t>。</w:t>
            </w:r>
          </w:p>
          <w:p w14:paraId="55F55FAB">
            <w:pPr>
              <w:wordWrap w:val="0"/>
              <w:adjustRightInd w:val="0"/>
              <w:spacing w:line="500" w:lineRule="exact"/>
              <w:ind w:firstLine="480" w:firstLineChars="200"/>
              <w:rPr>
                <w:bCs/>
                <w:color w:val="000000" w:themeColor="text1"/>
                <w14:textFill>
                  <w14:solidFill>
                    <w14:schemeClr w14:val="tx1"/>
                  </w14:solidFill>
                </w14:textFill>
              </w:rPr>
            </w:pPr>
            <w:r>
              <w:rPr>
                <w:bCs/>
                <w:color w:val="000000" w:themeColor="text1"/>
                <w14:textFill>
                  <w14:solidFill>
                    <w14:schemeClr w14:val="tx1"/>
                  </w14:solidFill>
                </w14:textFill>
              </w:rPr>
              <w:t>（2）运营期</w:t>
            </w:r>
          </w:p>
          <w:p w14:paraId="1243508F">
            <w:pPr>
              <w:wordWrap w:val="0"/>
              <w:adjustRightInd w:val="0"/>
              <w:spacing w:line="500" w:lineRule="exact"/>
              <w:ind w:firstLine="480" w:firstLineChars="200"/>
              <w:rPr>
                <w:rFonts w:hint="default" w:eastAsia="宋体"/>
                <w:bCs/>
                <w:color w:val="000000" w:themeColor="text1"/>
                <w:lang w:val="en-US" w:eastAsia="zh-CN"/>
                <w14:textFill>
                  <w14:solidFill>
                    <w14:schemeClr w14:val="tx1"/>
                  </w14:solidFill>
                </w14:textFill>
              </w:rPr>
            </w:pPr>
            <w:r>
              <w:rPr>
                <w:bCs/>
                <w:color w:val="000000" w:themeColor="text1"/>
                <w14:textFill>
                  <w14:solidFill>
                    <w14:schemeClr w14:val="tx1"/>
                  </w14:solidFill>
                </w14:textFill>
              </w:rPr>
              <w:t>运营期环境监测计划见表</w:t>
            </w:r>
            <w:r>
              <w:rPr>
                <w:rFonts w:hint="eastAsia"/>
                <w:bCs/>
                <w:color w:val="000000" w:themeColor="text1"/>
                <w14:textFill>
                  <w14:solidFill>
                    <w14:schemeClr w14:val="tx1"/>
                  </w14:solidFill>
                </w14:textFill>
              </w:rPr>
              <w:t>5-</w:t>
            </w:r>
            <w:r>
              <w:rPr>
                <w:rFonts w:hint="eastAsia"/>
                <w:bCs/>
                <w:color w:val="000000" w:themeColor="text1"/>
                <w:lang w:val="en-US" w:eastAsia="zh-CN"/>
                <w14:textFill>
                  <w14:solidFill>
                    <w14:schemeClr w14:val="tx1"/>
                  </w14:solidFill>
                </w14:textFill>
              </w:rPr>
              <w:t>5。</w:t>
            </w:r>
          </w:p>
          <w:bookmarkEnd w:id="29"/>
          <w:p w14:paraId="684469FA">
            <w:pPr>
              <w:tabs>
                <w:tab w:val="left" w:pos="4586"/>
                <w:tab w:val="left" w:pos="5786"/>
              </w:tabs>
              <w:autoSpaceDE w:val="0"/>
              <w:autoSpaceDN w:val="0"/>
              <w:adjustRightInd w:val="0"/>
              <w:snapToGrid w:val="0"/>
              <w:jc w:val="center"/>
              <w:rPr>
                <w:rFonts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表5-</w:t>
            </w:r>
            <w:r>
              <w:rPr>
                <w:rFonts w:hint="eastAsia" w:ascii="黑体" w:hAnsi="黑体" w:eastAsia="黑体" w:cs="黑体"/>
                <w:color w:val="000000" w:themeColor="text1"/>
                <w:sz w:val="21"/>
                <w:szCs w:val="21"/>
                <w:lang w:val="en-US" w:eastAsia="zh-CN"/>
                <w14:textFill>
                  <w14:solidFill>
                    <w14:schemeClr w14:val="tx1"/>
                  </w14:solidFill>
                </w14:textFill>
              </w:rPr>
              <w:t>5</w:t>
            </w:r>
            <w:r>
              <w:rPr>
                <w:rFonts w:hint="eastAsia" w:ascii="黑体" w:hAnsi="黑体" w:eastAsia="黑体" w:cs="黑体"/>
                <w:color w:val="000000" w:themeColor="text1"/>
                <w:sz w:val="21"/>
                <w:szCs w:val="21"/>
                <w14:textFill>
                  <w14:solidFill>
                    <w14:schemeClr w14:val="tx1"/>
                  </w14:solidFill>
                </w14:textFill>
              </w:rPr>
              <w:t xml:space="preserve">   运营期环境监测计划</w:t>
            </w:r>
          </w:p>
          <w:tbl>
            <w:tblPr>
              <w:tblStyle w:val="27"/>
              <w:tblW w:w="8235"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752"/>
              <w:gridCol w:w="2540"/>
              <w:gridCol w:w="4943"/>
            </w:tblGrid>
            <w:tr w14:paraId="65ACC0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52" w:type="dxa"/>
                  <w:tcBorders>
                    <w:tl2br w:val="nil"/>
                    <w:tr2bl w:val="nil"/>
                  </w:tcBorders>
                  <w:vAlign w:val="center"/>
                </w:tcPr>
                <w:p w14:paraId="5DFB0749">
                  <w:pPr>
                    <w:pStyle w:val="68"/>
                    <w:adjustRightInd w:val="0"/>
                    <w:snapToGrid w:val="0"/>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监测</w:t>
                  </w:r>
                </w:p>
                <w:p w14:paraId="649B7A7C">
                  <w:pPr>
                    <w:pStyle w:val="68"/>
                    <w:adjustRightInd w:val="0"/>
                    <w:snapToGrid w:val="0"/>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内容</w:t>
                  </w:r>
                </w:p>
              </w:tc>
              <w:tc>
                <w:tcPr>
                  <w:tcW w:w="2540" w:type="dxa"/>
                  <w:tcBorders>
                    <w:tl2br w:val="nil"/>
                    <w:tr2bl w:val="nil"/>
                  </w:tcBorders>
                  <w:vAlign w:val="center"/>
                </w:tcPr>
                <w:p w14:paraId="1061EEF5">
                  <w:pPr>
                    <w:pStyle w:val="68"/>
                    <w:adjustRightInd w:val="0"/>
                    <w:snapToGrid w:val="0"/>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监测因子</w:t>
                  </w:r>
                </w:p>
              </w:tc>
              <w:tc>
                <w:tcPr>
                  <w:tcW w:w="4943" w:type="dxa"/>
                  <w:tcBorders>
                    <w:tl2br w:val="nil"/>
                    <w:tr2bl w:val="nil"/>
                  </w:tcBorders>
                  <w:vAlign w:val="center"/>
                </w:tcPr>
                <w:p w14:paraId="51883CE0">
                  <w:pPr>
                    <w:pStyle w:val="68"/>
                    <w:adjustRightInd w:val="0"/>
                    <w:snapToGrid w:val="0"/>
                    <w:spacing w:line="240" w:lineRule="auto"/>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监测点位、监测要求、监管要求</w:t>
                  </w:r>
                </w:p>
              </w:tc>
            </w:tr>
            <w:tr w14:paraId="616412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52" w:type="dxa"/>
                  <w:tcBorders>
                    <w:tl2br w:val="nil"/>
                    <w:tr2bl w:val="nil"/>
                  </w:tcBorders>
                  <w:vAlign w:val="center"/>
                </w:tcPr>
                <w:p w14:paraId="054B4EE1">
                  <w:pPr>
                    <w:pStyle w:val="45"/>
                    <w:spacing w:beforeLines="0" w:afterLines="0" w:line="240" w:lineRule="auto"/>
                    <w:ind w:left="0" w:firstLine="0" w:firstLineChars="0"/>
                    <w:textAlignment w:val="baseline"/>
                    <w:rPr>
                      <w:rFonts w:hint="default" w:ascii="Times New Roman" w:hAnsi="Times New Roman" w:cs="Times New Roman"/>
                      <w:color w:val="000000" w:themeColor="text1"/>
                      <w:sz w:val="21"/>
                      <w:lang w:val="zh-CN"/>
                      <w14:textFill>
                        <w14:solidFill>
                          <w14:schemeClr w14:val="tx1"/>
                        </w14:solidFill>
                      </w14:textFill>
                    </w:rPr>
                  </w:pPr>
                  <w:r>
                    <w:rPr>
                      <w:rFonts w:hint="default" w:ascii="Times New Roman" w:hAnsi="Times New Roman" w:cs="Times New Roman"/>
                      <w:color w:val="000000" w:themeColor="text1"/>
                      <w:sz w:val="21"/>
                      <w:lang w:val="zh-CN"/>
                      <w14:textFill>
                        <w14:solidFill>
                          <w14:schemeClr w14:val="tx1"/>
                        </w14:solidFill>
                      </w14:textFill>
                    </w:rPr>
                    <w:t>电磁环境监测</w:t>
                  </w:r>
                </w:p>
              </w:tc>
              <w:tc>
                <w:tcPr>
                  <w:tcW w:w="2540" w:type="dxa"/>
                  <w:tcBorders>
                    <w:tl2br w:val="nil"/>
                    <w:tr2bl w:val="nil"/>
                  </w:tcBorders>
                  <w:vAlign w:val="center"/>
                </w:tcPr>
                <w:p w14:paraId="618762A1">
                  <w:pPr>
                    <w:pStyle w:val="45"/>
                    <w:spacing w:beforeLines="0" w:afterLines="0" w:line="240" w:lineRule="auto"/>
                    <w:ind w:left="0" w:firstLine="0" w:firstLineChars="0"/>
                    <w:jc w:val="left"/>
                    <w:textAlignment w:val="baseline"/>
                    <w:rPr>
                      <w:rFonts w:hint="default" w:ascii="Times New Roman" w:hAnsi="Times New Roman" w:cs="Times New Roman"/>
                      <w:color w:val="000000" w:themeColor="text1"/>
                      <w:sz w:val="21"/>
                      <w:lang w:val="zh-CN"/>
                      <w14:textFill>
                        <w14:solidFill>
                          <w14:schemeClr w14:val="tx1"/>
                        </w14:solidFill>
                      </w14:textFill>
                    </w:rPr>
                  </w:pPr>
                  <w:r>
                    <w:rPr>
                      <w:rFonts w:hint="default" w:ascii="Times New Roman" w:hAnsi="Times New Roman" w:cs="Times New Roman"/>
                      <w:color w:val="000000" w:themeColor="text1"/>
                      <w:sz w:val="21"/>
                      <w:lang w:val="zh-CN"/>
                      <w14:textFill>
                        <w14:solidFill>
                          <w14:schemeClr w14:val="tx1"/>
                        </w14:solidFill>
                      </w14:textFill>
                    </w:rPr>
                    <w:t>监测因子：工频电场、工频磁场</w:t>
                  </w:r>
                </w:p>
                <w:p w14:paraId="7A7F8C03">
                  <w:pPr>
                    <w:pStyle w:val="45"/>
                    <w:spacing w:beforeLines="0" w:afterLines="0" w:line="240" w:lineRule="auto"/>
                    <w:ind w:left="0" w:firstLine="0" w:firstLineChars="0"/>
                    <w:jc w:val="left"/>
                    <w:textAlignment w:val="baseline"/>
                    <w:rPr>
                      <w:rFonts w:hint="default" w:ascii="Times New Roman" w:hAnsi="Times New Roman" w:cs="Times New Roman"/>
                      <w:color w:val="000000" w:themeColor="text1"/>
                      <w:sz w:val="21"/>
                      <w:lang w:val="zh-CN"/>
                      <w14:textFill>
                        <w14:solidFill>
                          <w14:schemeClr w14:val="tx1"/>
                        </w14:solidFill>
                      </w14:textFill>
                    </w:rPr>
                  </w:pPr>
                  <w:r>
                    <w:rPr>
                      <w:rFonts w:hint="default" w:ascii="Times New Roman" w:hAnsi="Times New Roman" w:cs="Times New Roman"/>
                      <w:color w:val="000000" w:themeColor="text1"/>
                      <w:sz w:val="21"/>
                      <w:lang w:val="zh-CN"/>
                      <w14:textFill>
                        <w14:solidFill>
                          <w14:schemeClr w14:val="tx1"/>
                        </w14:solidFill>
                      </w14:textFill>
                    </w:rPr>
                    <w:t>监测频率：环保竣工验收监测一次，正常运行期间，建设单位应根据实际建设项目运行产生的环境影响情况进行监测</w:t>
                  </w:r>
                </w:p>
              </w:tc>
              <w:tc>
                <w:tcPr>
                  <w:tcW w:w="4943" w:type="dxa"/>
                  <w:tcBorders>
                    <w:tl2br w:val="nil"/>
                    <w:tr2bl w:val="nil"/>
                  </w:tcBorders>
                  <w:vAlign w:val="center"/>
                </w:tcPr>
                <w:p w14:paraId="49F3866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color w:val="000000" w:themeColor="text1"/>
                      <w:sz w:val="21"/>
                      <w:szCs w:val="21"/>
                      <w:lang w:val="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w:t>
                  </w:r>
                  <w:r>
                    <w:rPr>
                      <w:rFonts w:hint="default"/>
                      <w:color w:val="000000" w:themeColor="text1"/>
                      <w:sz w:val="21"/>
                      <w:szCs w:val="21"/>
                      <w:lang w:val="zh-CN"/>
                      <w14:textFill>
                        <w14:solidFill>
                          <w14:schemeClr w14:val="tx1"/>
                        </w14:solidFill>
                      </w14:textFill>
                    </w:rPr>
                    <w:t>升压</w:t>
                  </w:r>
                  <w:r>
                    <w:rPr>
                      <w:rFonts w:hint="eastAsia"/>
                      <w:color w:val="000000" w:themeColor="text1"/>
                      <w:sz w:val="21"/>
                      <w:szCs w:val="21"/>
                      <w:lang w:val="zh-CN"/>
                      <w14:textFill>
                        <w14:solidFill>
                          <w14:schemeClr w14:val="tx1"/>
                        </w14:solidFill>
                      </w14:textFill>
                    </w:rPr>
                    <w:t>汇集</w:t>
                  </w:r>
                  <w:r>
                    <w:rPr>
                      <w:rFonts w:hint="default"/>
                      <w:color w:val="000000" w:themeColor="text1"/>
                      <w:sz w:val="21"/>
                      <w:szCs w:val="21"/>
                      <w:lang w:val="zh-CN"/>
                      <w14:textFill>
                        <w14:solidFill>
                          <w14:schemeClr w14:val="tx1"/>
                        </w14:solidFill>
                      </w14:textFill>
                    </w:rPr>
                    <w:t>站</w:t>
                  </w:r>
                  <w:r>
                    <w:rPr>
                      <w:rFonts w:hint="eastAsia"/>
                      <w:color w:val="000000" w:themeColor="text1"/>
                      <w:sz w:val="21"/>
                      <w:szCs w:val="21"/>
                      <w:lang w:val="en-US" w:eastAsia="zh-CN"/>
                      <w14:textFill>
                        <w14:solidFill>
                          <w14:schemeClr w14:val="tx1"/>
                        </w14:solidFill>
                      </w14:textFill>
                    </w:rPr>
                    <w:t>四周</w:t>
                  </w:r>
                  <w:r>
                    <w:rPr>
                      <w:rFonts w:hint="default"/>
                      <w:color w:val="000000" w:themeColor="text1"/>
                      <w:sz w:val="21"/>
                      <w:szCs w:val="21"/>
                      <w:lang w:val="zh-CN"/>
                      <w14:textFill>
                        <w14:solidFill>
                          <w14:schemeClr w14:val="tx1"/>
                        </w14:solidFill>
                      </w14:textFill>
                    </w:rPr>
                    <w:t>：厂界外</w:t>
                  </w:r>
                  <w:r>
                    <w:rPr>
                      <w:rFonts w:hint="default"/>
                      <w:color w:val="000000" w:themeColor="text1"/>
                      <w:sz w:val="21"/>
                      <w:szCs w:val="21"/>
                      <w14:textFill>
                        <w14:solidFill>
                          <w14:schemeClr w14:val="tx1"/>
                        </w14:solidFill>
                      </w14:textFill>
                    </w:rPr>
                    <w:t>5</w:t>
                  </w:r>
                  <w:r>
                    <w:rPr>
                      <w:rFonts w:hint="default"/>
                      <w:color w:val="000000" w:themeColor="text1"/>
                      <w:sz w:val="21"/>
                      <w:szCs w:val="21"/>
                      <w:lang w:val="en-US" w:eastAsia="zh-CN"/>
                      <w14:textFill>
                        <w14:solidFill>
                          <w14:schemeClr w14:val="tx1"/>
                        </w14:solidFill>
                      </w14:textFill>
                    </w:rPr>
                    <w:t>m</w:t>
                  </w:r>
                  <w:r>
                    <w:rPr>
                      <w:rFonts w:hint="default"/>
                      <w:color w:val="000000" w:themeColor="text1"/>
                      <w:sz w:val="21"/>
                      <w:szCs w:val="21"/>
                      <w:lang w:val="zh-CN"/>
                      <w14:textFill>
                        <w14:solidFill>
                          <w14:schemeClr w14:val="tx1"/>
                        </w14:solidFill>
                      </w14:textFill>
                    </w:rPr>
                    <w:t>，监测高度在1.5</w:t>
                  </w:r>
                  <w:r>
                    <w:rPr>
                      <w:rFonts w:hint="default"/>
                      <w:color w:val="000000" w:themeColor="text1"/>
                      <w:sz w:val="21"/>
                      <w:szCs w:val="21"/>
                      <w:lang w:val="en-US" w:eastAsia="zh-CN"/>
                      <w14:textFill>
                        <w14:solidFill>
                          <w14:schemeClr w14:val="tx1"/>
                        </w14:solidFill>
                      </w14:textFill>
                    </w:rPr>
                    <w:t>m</w:t>
                  </w:r>
                  <w:r>
                    <w:rPr>
                      <w:rFonts w:hint="default"/>
                      <w:color w:val="000000" w:themeColor="text1"/>
                      <w:sz w:val="21"/>
                      <w:szCs w:val="21"/>
                      <w:lang w:val="zh-CN"/>
                      <w14:textFill>
                        <w14:solidFill>
                          <w14:schemeClr w14:val="tx1"/>
                        </w14:solidFill>
                      </w14:textFill>
                    </w:rPr>
                    <w:t>，测量工频电场及磁场</w:t>
                  </w:r>
                </w:p>
                <w:p w14:paraId="1FF733E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color w:val="000000" w:themeColor="text1"/>
                      <w:sz w:val="21"/>
                      <w:szCs w:val="21"/>
                      <w:lang w:val="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w:t>
                  </w:r>
                  <w:r>
                    <w:rPr>
                      <w:rFonts w:hint="default"/>
                      <w:color w:val="000000" w:themeColor="text1"/>
                      <w:sz w:val="21"/>
                      <w:szCs w:val="21"/>
                      <w:lang w:val="zh-CN"/>
                      <w14:textFill>
                        <w14:solidFill>
                          <w14:schemeClr w14:val="tx1"/>
                        </w14:solidFill>
                      </w14:textFill>
                    </w:rPr>
                    <w:t>输电线路沿线选择有代表性的点位进行监测，必要时设置监测断</w:t>
                  </w:r>
                  <w:r>
                    <w:rPr>
                      <w:rFonts w:hint="eastAsia"/>
                      <w:color w:val="000000" w:themeColor="text1"/>
                      <w:sz w:val="21"/>
                      <w:szCs w:val="21"/>
                      <w:lang w:val="en-US" w:eastAsia="zh-CN"/>
                      <w14:textFill>
                        <w14:solidFill>
                          <w14:schemeClr w14:val="tx1"/>
                        </w14:solidFill>
                      </w14:textFill>
                    </w:rPr>
                    <w:t>面</w:t>
                  </w:r>
                  <w:r>
                    <w:rPr>
                      <w:rFonts w:hint="eastAsia"/>
                      <w:color w:val="000000" w:themeColor="text1"/>
                      <w:sz w:val="21"/>
                      <w:szCs w:val="21"/>
                      <w:lang w:val="zh-CN"/>
                      <w14:textFill>
                        <w14:solidFill>
                          <w14:schemeClr w14:val="tx1"/>
                        </w14:solidFill>
                      </w14:textFill>
                    </w:rPr>
                    <w:t>，</w:t>
                  </w:r>
                  <w:r>
                    <w:rPr>
                      <w:rFonts w:hint="default"/>
                      <w:color w:val="000000" w:themeColor="text1"/>
                      <w:sz w:val="21"/>
                      <w:szCs w:val="21"/>
                      <w:lang w:val="zh-CN"/>
                      <w14:textFill>
                        <w14:solidFill>
                          <w14:schemeClr w14:val="tx1"/>
                        </w14:solidFill>
                      </w14:textFill>
                    </w:rPr>
                    <w:t>测量工频电场及磁场</w:t>
                  </w:r>
                </w:p>
                <w:p w14:paraId="22D53B48">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Times New Roman" w:hAnsi="Times New Roman" w:cs="Times New Roman"/>
                      <w:color w:val="000000" w:themeColor="text1"/>
                      <w:lang w:val="zh-CN"/>
                      <w14:textFill>
                        <w14:solidFill>
                          <w14:schemeClr w14:val="tx1"/>
                        </w14:solidFill>
                      </w14:textFill>
                    </w:rPr>
                  </w:pPr>
                  <w:r>
                    <w:rPr>
                      <w:rFonts w:hint="default"/>
                      <w:color w:val="000000" w:themeColor="text1"/>
                      <w:sz w:val="21"/>
                      <w:szCs w:val="21"/>
                      <w:lang w:val="zh-CN"/>
                      <w14:textFill>
                        <w14:solidFill>
                          <w14:schemeClr w14:val="tx1"/>
                        </w14:solidFill>
                      </w14:textFill>
                    </w:rPr>
                    <w:t>监测点位及要求应满足《建设项目竣工环境保护验收技术规范 输变电》</w:t>
                  </w:r>
                  <w:r>
                    <w:rPr>
                      <w:rFonts w:hint="eastAsia"/>
                      <w:color w:val="000000" w:themeColor="text1"/>
                      <w:sz w:val="21"/>
                      <w:szCs w:val="21"/>
                      <w:lang w:val="zh-CN"/>
                      <w14:textFill>
                        <w14:solidFill>
                          <w14:schemeClr w14:val="tx1"/>
                        </w14:solidFill>
                      </w14:textFill>
                    </w:rPr>
                    <w:t>（</w:t>
                  </w:r>
                  <w:r>
                    <w:rPr>
                      <w:rFonts w:hint="default"/>
                      <w:color w:val="000000" w:themeColor="text1"/>
                      <w:sz w:val="21"/>
                      <w:szCs w:val="21"/>
                      <w:lang w:val="zh-CN"/>
                      <w14:textFill>
                        <w14:solidFill>
                          <w14:schemeClr w14:val="tx1"/>
                        </w14:solidFill>
                      </w14:textFill>
                    </w:rPr>
                    <w:t>HJ705-2020</w:t>
                  </w:r>
                  <w:r>
                    <w:rPr>
                      <w:rFonts w:hint="eastAsia"/>
                      <w:color w:val="000000" w:themeColor="text1"/>
                      <w:sz w:val="21"/>
                      <w:szCs w:val="21"/>
                      <w:lang w:val="zh-CN"/>
                      <w14:textFill>
                        <w14:solidFill>
                          <w14:schemeClr w14:val="tx1"/>
                        </w14:solidFill>
                      </w14:textFill>
                    </w:rPr>
                    <w:t>）</w:t>
                  </w:r>
                  <w:r>
                    <w:rPr>
                      <w:rFonts w:hint="default"/>
                      <w:color w:val="000000" w:themeColor="text1"/>
                      <w:sz w:val="21"/>
                      <w:szCs w:val="21"/>
                      <w:lang w:val="zh-CN"/>
                      <w14:textFill>
                        <w14:solidFill>
                          <w14:schemeClr w14:val="tx1"/>
                        </w14:solidFill>
                      </w14:textFill>
                    </w:rPr>
                    <w:t>及《交流输变电工程电磁环境监测方法（试行）》（HJ681-2013）</w:t>
                  </w:r>
                </w:p>
              </w:tc>
            </w:tr>
            <w:tr w14:paraId="6F3405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52" w:type="dxa"/>
                  <w:tcBorders>
                    <w:tl2br w:val="nil"/>
                    <w:tr2bl w:val="nil"/>
                  </w:tcBorders>
                  <w:vAlign w:val="center"/>
                </w:tcPr>
                <w:p w14:paraId="4383F8F1">
                  <w:pPr>
                    <w:pStyle w:val="45"/>
                    <w:spacing w:beforeLines="0" w:afterLines="0" w:line="240" w:lineRule="auto"/>
                    <w:ind w:left="0" w:firstLine="0" w:firstLineChars="0"/>
                    <w:textAlignment w:val="baseline"/>
                    <w:rPr>
                      <w:rFonts w:hint="default" w:ascii="Times New Roman" w:hAnsi="Times New Roman" w:cs="Times New Roman"/>
                      <w:color w:val="000000" w:themeColor="text1"/>
                      <w:sz w:val="21"/>
                      <w:lang w:val="zh-CN"/>
                      <w14:textFill>
                        <w14:solidFill>
                          <w14:schemeClr w14:val="tx1"/>
                        </w14:solidFill>
                      </w14:textFill>
                    </w:rPr>
                  </w:pPr>
                  <w:r>
                    <w:rPr>
                      <w:rFonts w:hint="default" w:ascii="Times New Roman" w:hAnsi="Times New Roman" w:cs="Times New Roman"/>
                      <w:color w:val="000000" w:themeColor="text1"/>
                      <w:sz w:val="21"/>
                      <w:lang w:val="zh-CN"/>
                      <w14:textFill>
                        <w14:solidFill>
                          <w14:schemeClr w14:val="tx1"/>
                        </w14:solidFill>
                      </w14:textFill>
                    </w:rPr>
                    <w:t>声环境监测</w:t>
                  </w:r>
                </w:p>
              </w:tc>
              <w:tc>
                <w:tcPr>
                  <w:tcW w:w="2540" w:type="dxa"/>
                  <w:tcBorders>
                    <w:tl2br w:val="nil"/>
                    <w:tr2bl w:val="nil"/>
                  </w:tcBorders>
                  <w:vAlign w:val="center"/>
                </w:tcPr>
                <w:p w14:paraId="2D98BDC3">
                  <w:pPr>
                    <w:pStyle w:val="45"/>
                    <w:spacing w:beforeLines="0" w:afterLines="0" w:line="240" w:lineRule="auto"/>
                    <w:ind w:left="0" w:firstLine="0" w:firstLineChars="0"/>
                    <w:jc w:val="left"/>
                    <w:textAlignment w:val="baseline"/>
                    <w:rPr>
                      <w:rFonts w:hint="default" w:ascii="Times New Roman" w:hAnsi="Times New Roman" w:cs="Times New Roman"/>
                      <w:color w:val="000000" w:themeColor="text1"/>
                      <w:sz w:val="21"/>
                      <w:lang w:val="zh-CN"/>
                      <w14:textFill>
                        <w14:solidFill>
                          <w14:schemeClr w14:val="tx1"/>
                        </w14:solidFill>
                      </w14:textFill>
                    </w:rPr>
                  </w:pPr>
                  <w:r>
                    <w:rPr>
                      <w:rFonts w:hint="default" w:ascii="Times New Roman" w:hAnsi="Times New Roman" w:cs="Times New Roman"/>
                      <w:color w:val="000000" w:themeColor="text1"/>
                      <w:sz w:val="21"/>
                      <w:lang w:val="zh-CN"/>
                      <w14:textFill>
                        <w14:solidFill>
                          <w14:schemeClr w14:val="tx1"/>
                        </w14:solidFill>
                      </w14:textFill>
                    </w:rPr>
                    <w:t>监测因子：噪声</w:t>
                  </w:r>
                </w:p>
                <w:p w14:paraId="7C6566A1">
                  <w:pPr>
                    <w:pStyle w:val="45"/>
                    <w:spacing w:beforeLines="0" w:afterLines="0" w:line="240" w:lineRule="auto"/>
                    <w:ind w:left="0" w:firstLine="0" w:firstLineChars="0"/>
                    <w:jc w:val="left"/>
                    <w:textAlignment w:val="baseline"/>
                    <w:rPr>
                      <w:rFonts w:hint="default" w:ascii="Times New Roman" w:hAnsi="Times New Roman" w:cs="Times New Roman"/>
                      <w:color w:val="000000" w:themeColor="text1"/>
                      <w:sz w:val="21"/>
                      <w:lang w:val="zh-CN"/>
                      <w14:textFill>
                        <w14:solidFill>
                          <w14:schemeClr w14:val="tx1"/>
                        </w14:solidFill>
                      </w14:textFill>
                    </w:rPr>
                  </w:pPr>
                  <w:r>
                    <w:rPr>
                      <w:rFonts w:hint="default" w:ascii="Times New Roman" w:hAnsi="Times New Roman" w:cs="Times New Roman"/>
                      <w:color w:val="000000" w:themeColor="text1"/>
                      <w:sz w:val="21"/>
                      <w:lang w:val="zh-CN"/>
                      <w14:textFill>
                        <w14:solidFill>
                          <w14:schemeClr w14:val="tx1"/>
                        </w14:solidFill>
                      </w14:textFill>
                    </w:rPr>
                    <w:t>监测频率：环保竣工验收监测一次，正常运行期间，建设单位应根据实际建设项目运行产生的环境影响情况进行监测</w:t>
                  </w:r>
                </w:p>
              </w:tc>
              <w:tc>
                <w:tcPr>
                  <w:tcW w:w="4943" w:type="dxa"/>
                  <w:tcBorders>
                    <w:tl2br w:val="nil"/>
                    <w:tr2bl w:val="nil"/>
                  </w:tcBorders>
                  <w:vAlign w:val="center"/>
                </w:tcPr>
                <w:p w14:paraId="4420720A">
                  <w:pPr>
                    <w:pStyle w:val="45"/>
                    <w:keepNext w:val="0"/>
                    <w:keepLines w:val="0"/>
                    <w:pageBreakBefore w:val="0"/>
                    <w:kinsoku/>
                    <w:wordWrap/>
                    <w:overflowPunct/>
                    <w:topLinePunct w:val="0"/>
                    <w:autoSpaceDE/>
                    <w:autoSpaceDN/>
                    <w:bidi w:val="0"/>
                    <w:adjustRightInd w:val="0"/>
                    <w:snapToGrid w:val="0"/>
                    <w:spacing w:beforeLines="0" w:afterLines="0" w:line="240" w:lineRule="auto"/>
                    <w:ind w:left="0" w:firstLine="0" w:firstLineChars="0"/>
                    <w:jc w:val="both"/>
                    <w:textAlignment w:val="baseline"/>
                    <w:rPr>
                      <w:rFonts w:hint="default" w:ascii="Times New Roman" w:hAnsi="Times New Roman" w:cs="Times New Roman"/>
                      <w:color w:val="000000" w:themeColor="text1"/>
                      <w:sz w:val="21"/>
                      <w:szCs w:val="21"/>
                      <w:lang w:val="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lang w:val="zh-CN"/>
                      <w14:textFill>
                        <w14:solidFill>
                          <w14:schemeClr w14:val="tx1"/>
                        </w14:solidFill>
                      </w14:textFill>
                    </w:rPr>
                    <w:t>升压汇集站</w:t>
                  </w:r>
                  <w:r>
                    <w:rPr>
                      <w:rFonts w:hint="default" w:ascii="Times New Roman" w:hAnsi="Times New Roman" w:cs="Times New Roman"/>
                      <w:color w:val="000000" w:themeColor="text1"/>
                      <w:sz w:val="21"/>
                      <w:szCs w:val="21"/>
                      <w:lang w:val="en-US" w:eastAsia="zh-CN"/>
                      <w14:textFill>
                        <w14:solidFill>
                          <w14:schemeClr w14:val="tx1"/>
                        </w14:solidFill>
                      </w14:textFill>
                    </w:rPr>
                    <w:t>四周</w:t>
                  </w:r>
                  <w:r>
                    <w:rPr>
                      <w:rFonts w:hint="default" w:ascii="Times New Roman" w:hAnsi="Times New Roman" w:cs="Times New Roman"/>
                      <w:color w:val="000000" w:themeColor="text1"/>
                      <w:sz w:val="21"/>
                      <w:szCs w:val="21"/>
                      <w:lang w:val="zh-CN"/>
                      <w14:textFill>
                        <w14:solidFill>
                          <w14:schemeClr w14:val="tx1"/>
                        </w14:solidFill>
                      </w14:textFill>
                    </w:rPr>
                    <w:t>：厂界外1</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lang w:val="zh-CN"/>
                      <w14:textFill>
                        <w14:solidFill>
                          <w14:schemeClr w14:val="tx1"/>
                        </w14:solidFill>
                      </w14:textFill>
                    </w:rPr>
                    <w:t>，监测高度为1.2</w:t>
                  </w: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lang w:val="zh-CN"/>
                      <w14:textFill>
                        <w14:solidFill>
                          <w14:schemeClr w14:val="tx1"/>
                        </w14:solidFill>
                      </w14:textFill>
                    </w:rPr>
                    <w:t>以上，测量噪声</w:t>
                  </w:r>
                </w:p>
                <w:p w14:paraId="2F44BF3E">
                  <w:pPr>
                    <w:pStyle w:val="6"/>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both"/>
                    <w:textAlignment w:val="baseline"/>
                    <w:rPr>
                      <w:rFonts w:hint="default" w:ascii="Times New Roman" w:hAnsi="Times New Roman" w:cs="Times New Roman"/>
                      <w:color w:val="000000" w:themeColor="text1"/>
                      <w:sz w:val="21"/>
                      <w:szCs w:val="21"/>
                      <w:lang w:val="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lang w:val="zh-CN"/>
                      <w14:textFill>
                        <w14:solidFill>
                          <w14:schemeClr w14:val="tx1"/>
                        </w14:solidFill>
                      </w14:textFill>
                    </w:rPr>
                    <w:t>输电线路沿线选择有代表性的点位进行监测</w:t>
                  </w:r>
                  <w:r>
                    <w:rPr>
                      <w:rFonts w:hint="eastAsia" w:ascii="Times New Roman" w:hAnsi="Times New Roman" w:cs="Times New Roman"/>
                      <w:color w:val="000000" w:themeColor="text1"/>
                      <w:sz w:val="21"/>
                      <w:szCs w:val="21"/>
                      <w:lang w:val="zh-CN"/>
                      <w14:textFill>
                        <w14:solidFill>
                          <w14:schemeClr w14:val="tx1"/>
                        </w14:solidFill>
                      </w14:textFill>
                    </w:rPr>
                    <w:t>，</w:t>
                  </w:r>
                  <w:r>
                    <w:rPr>
                      <w:rFonts w:hint="default" w:ascii="Times New Roman" w:hAnsi="Times New Roman" w:eastAsia="宋体" w:cs="Times New Roman"/>
                      <w:color w:val="000000" w:themeColor="text1"/>
                      <w:kern w:val="0"/>
                      <w:sz w:val="21"/>
                      <w:szCs w:val="21"/>
                      <w:lang w:val="zh-CN" w:eastAsia="en-US" w:bidi="en-US"/>
                      <w14:textFill>
                        <w14:solidFill>
                          <w14:schemeClr w14:val="tx1"/>
                        </w14:solidFill>
                      </w14:textFill>
                    </w:rPr>
                    <w:t>测量噪声</w:t>
                  </w:r>
                </w:p>
                <w:p w14:paraId="65F5A313">
                  <w:pPr>
                    <w:pStyle w:val="45"/>
                    <w:keepNext w:val="0"/>
                    <w:keepLines w:val="0"/>
                    <w:pageBreakBefore w:val="0"/>
                    <w:widowControl w:val="0"/>
                    <w:kinsoku/>
                    <w:wordWrap/>
                    <w:overflowPunct/>
                    <w:topLinePunct w:val="0"/>
                    <w:autoSpaceDE/>
                    <w:autoSpaceDN/>
                    <w:bidi w:val="0"/>
                    <w:adjustRightInd w:val="0"/>
                    <w:snapToGrid w:val="0"/>
                    <w:spacing w:beforeLines="0" w:afterLines="0" w:line="240" w:lineRule="auto"/>
                    <w:ind w:left="0" w:firstLine="0" w:firstLineChars="0"/>
                    <w:jc w:val="both"/>
                    <w:textAlignment w:val="baseline"/>
                    <w:rPr>
                      <w:rFonts w:hint="default" w:ascii="Times New Roman" w:hAnsi="Times New Roman" w:cs="Times New Roman"/>
                      <w:color w:val="000000" w:themeColor="text1"/>
                      <w:sz w:val="21"/>
                      <w:lang w:val="zh-CN"/>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监测点位及要求应满足《</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建设项目</w:t>
                  </w:r>
                  <w:r>
                    <w:rPr>
                      <w:rFonts w:hint="default" w:ascii="Times New Roman" w:hAnsi="Times New Roman" w:eastAsia="宋体" w:cs="Times New Roman"/>
                      <w:color w:val="000000" w:themeColor="text1"/>
                      <w:sz w:val="21"/>
                      <w:szCs w:val="21"/>
                      <w:highlight w:val="none"/>
                      <w14:textFill>
                        <w14:solidFill>
                          <w14:schemeClr w14:val="tx1"/>
                        </w14:solidFill>
                      </w14:textFill>
                    </w:rPr>
                    <w:t>竣工环境保护验收技术规范 输变电》</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HJ705-2020</w:t>
                  </w:r>
                  <w:r>
                    <w:rPr>
                      <w:rFonts w:hint="default" w:ascii="Times New Roman" w:hAnsi="Times New Roman" w:cs="Times New Roman"/>
                      <w:color w:val="000000" w:themeColor="text1"/>
                      <w:sz w:val="21"/>
                      <w:szCs w:val="21"/>
                      <w:highlight w:val="none"/>
                      <w:lang w:eastAsia="zh-CN"/>
                      <w14:textFill>
                        <w14:solidFill>
                          <w14:schemeClr w14:val="tx1"/>
                        </w14:solidFill>
                      </w14:textFill>
                    </w:rPr>
                    <w:t>）及《工业企业厂界环境噪声排放标准》（GB 12348-2008）</w:t>
                  </w:r>
                </w:p>
              </w:tc>
            </w:tr>
            <w:tr w14:paraId="08F28A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752" w:type="dxa"/>
                  <w:tcBorders>
                    <w:tl2br w:val="nil"/>
                    <w:tr2bl w:val="nil"/>
                  </w:tcBorders>
                  <w:vAlign w:val="center"/>
                </w:tcPr>
                <w:p w14:paraId="0653E6CD">
                  <w:pPr>
                    <w:pStyle w:val="45"/>
                    <w:spacing w:beforeLines="0" w:afterLines="0" w:line="240" w:lineRule="auto"/>
                    <w:ind w:left="0" w:firstLine="0" w:firstLineChars="0"/>
                    <w:textAlignment w:val="baseline"/>
                    <w:rPr>
                      <w:rFonts w:hint="default" w:ascii="Times New Roman" w:hAnsi="Times New Roman" w:cs="Times New Roman"/>
                      <w:color w:val="000000" w:themeColor="text1"/>
                      <w:sz w:val="21"/>
                      <w:lang w:val="zh-CN"/>
                      <w14:textFill>
                        <w14:solidFill>
                          <w14:schemeClr w14:val="tx1"/>
                        </w14:solidFill>
                      </w14:textFill>
                    </w:rPr>
                  </w:pPr>
                  <w:r>
                    <w:rPr>
                      <w:rFonts w:hint="default" w:ascii="Times New Roman" w:hAnsi="Times New Roman" w:cs="Times New Roman"/>
                      <w:color w:val="000000" w:themeColor="text1"/>
                      <w:sz w:val="21"/>
                      <w:lang w:val="zh-CN"/>
                      <w14:textFill>
                        <w14:solidFill>
                          <w14:schemeClr w14:val="tx1"/>
                        </w14:solidFill>
                      </w14:textFill>
                    </w:rPr>
                    <w:t>生态恢复监管</w:t>
                  </w:r>
                </w:p>
              </w:tc>
              <w:tc>
                <w:tcPr>
                  <w:tcW w:w="2540" w:type="dxa"/>
                  <w:tcBorders>
                    <w:tl2br w:val="nil"/>
                    <w:tr2bl w:val="nil"/>
                  </w:tcBorders>
                  <w:vAlign w:val="center"/>
                </w:tcPr>
                <w:p w14:paraId="16E92271">
                  <w:pPr>
                    <w:pStyle w:val="9"/>
                    <w:jc w:val="left"/>
                    <w:rPr>
                      <w:rFonts w:hint="default" w:ascii="Times New Roman" w:hAnsi="Times New Roman" w:cs="Times New Roman"/>
                      <w:color w:val="000000" w:themeColor="text1"/>
                      <w:sz w:val="21"/>
                      <w14:textFill>
                        <w14:solidFill>
                          <w14:schemeClr w14:val="tx1"/>
                        </w14:solidFill>
                      </w14:textFill>
                    </w:rPr>
                  </w:pPr>
                  <w:r>
                    <w:rPr>
                      <w:rFonts w:hint="eastAsia" w:ascii="Times New Roman" w:hAnsi="Times New Roman" w:eastAsia="宋体" w:cs="Times New Roman"/>
                      <w:color w:val="000000" w:themeColor="text1"/>
                      <w:kern w:val="0"/>
                      <w:sz w:val="21"/>
                      <w:szCs w:val="21"/>
                      <w:lang w:val="zh-CN" w:eastAsia="zh-CN" w:bidi="ar-SA"/>
                      <w14:textFill>
                        <w14:solidFill>
                          <w14:schemeClr w14:val="tx1"/>
                        </w14:solidFill>
                      </w14:textFill>
                    </w:rPr>
                    <w:t>施工结束后占地恢复</w:t>
                  </w:r>
                </w:p>
              </w:tc>
              <w:tc>
                <w:tcPr>
                  <w:tcW w:w="4943" w:type="dxa"/>
                  <w:tcBorders>
                    <w:tl2br w:val="nil"/>
                    <w:tr2bl w:val="nil"/>
                  </w:tcBorders>
                  <w:vAlign w:val="center"/>
                </w:tcPr>
                <w:p w14:paraId="5F331C2E">
                  <w:pPr>
                    <w:pStyle w:val="45"/>
                    <w:spacing w:beforeLines="0" w:afterLines="0" w:line="240" w:lineRule="auto"/>
                    <w:ind w:left="0" w:firstLine="0" w:firstLineChars="0"/>
                    <w:jc w:val="left"/>
                    <w:textAlignment w:val="baseline"/>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cs="Times New Roman"/>
                      <w:color w:val="000000" w:themeColor="text1"/>
                      <w:sz w:val="21"/>
                      <w:lang w:val="zh-CN"/>
                      <w14:textFill>
                        <w14:solidFill>
                          <w14:schemeClr w14:val="tx1"/>
                        </w14:solidFill>
                      </w14:textFill>
                    </w:rPr>
                    <w:t>生态监管主要是定期对工程临时占地的水土流失控制情况进行调查统计，根据实际情况制定完善生态恢复计划，确保工程临时占地恢复原有地貌</w:t>
                  </w:r>
                  <w:r>
                    <w:rPr>
                      <w:rFonts w:hint="eastAsia" w:ascii="Times New Roman" w:cs="Times New Roman"/>
                      <w:color w:val="000000" w:themeColor="text1"/>
                      <w:sz w:val="21"/>
                      <w:lang w:val="zh-CN"/>
                      <w14:textFill>
                        <w14:solidFill>
                          <w14:schemeClr w14:val="tx1"/>
                        </w14:solidFill>
                      </w14:textFill>
                    </w:rPr>
                    <w:t>。</w:t>
                  </w:r>
                  <w:r>
                    <w:rPr>
                      <w:rFonts w:hint="eastAsia" w:ascii="Times New Roman" w:cs="Times New Roman"/>
                      <w:color w:val="000000" w:themeColor="text1"/>
                      <w:sz w:val="21"/>
                      <w:lang w:val="en-US" w:eastAsia="zh-CN"/>
                      <w14:textFill>
                        <w14:solidFill>
                          <w14:schemeClr w14:val="tx1"/>
                        </w14:solidFill>
                      </w14:textFill>
                    </w:rPr>
                    <w:t>经采取生态恢复措施后，临时占地植被覆盖度不小于10%，水土流失治理率100%。</w:t>
                  </w:r>
                </w:p>
              </w:tc>
            </w:tr>
          </w:tbl>
          <w:p w14:paraId="2600293D">
            <w:pPr>
              <w:rPr>
                <w:color w:val="000000" w:themeColor="text1"/>
                <w14:textFill>
                  <w14:solidFill>
                    <w14:schemeClr w14:val="tx1"/>
                  </w14:solidFill>
                </w14:textFill>
              </w:rPr>
            </w:pPr>
          </w:p>
        </w:tc>
      </w:tr>
      <w:tr w14:paraId="067A3F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95" w:hRule="atLeast"/>
          <w:jc w:val="center"/>
        </w:trPr>
        <w:tc>
          <w:tcPr>
            <w:tcW w:w="406" w:type="pct"/>
            <w:vAlign w:val="center"/>
          </w:tcPr>
          <w:p w14:paraId="5C78010E">
            <w:pPr>
              <w:adjustRightInd w:val="0"/>
              <w:snapToGrid w:val="0"/>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环保投资</w:t>
            </w:r>
          </w:p>
        </w:tc>
        <w:tc>
          <w:tcPr>
            <w:tcW w:w="4593" w:type="pct"/>
          </w:tcPr>
          <w:p w14:paraId="70A4A096">
            <w:pPr>
              <w:spacing w:line="500" w:lineRule="exact"/>
              <w:ind w:firstLine="480" w:firstLineChars="200"/>
              <w:rPr>
                <w:color w:val="000000" w:themeColor="text1"/>
                <w14:textFill>
                  <w14:solidFill>
                    <w14:schemeClr w14:val="tx1"/>
                  </w14:solidFill>
                </w14:textFill>
              </w:rPr>
            </w:pPr>
            <w:bookmarkStart w:id="30" w:name="_Toc18597"/>
            <w:r>
              <w:rPr>
                <w:color w:val="000000" w:themeColor="text1"/>
                <w14:textFill>
                  <w14:solidFill>
                    <w14:schemeClr w14:val="tx1"/>
                  </w14:solidFill>
                </w14:textFill>
              </w:rPr>
              <w:t>本项目工程</w:t>
            </w:r>
            <w:r>
              <w:rPr>
                <w:rFonts w:hint="eastAsia"/>
                <w:color w:val="000000" w:themeColor="text1"/>
                <w:lang w:eastAsia="zh-CN"/>
                <w14:textFill>
                  <w14:solidFill>
                    <w14:schemeClr w14:val="tx1"/>
                  </w14:solidFill>
                </w14:textFill>
              </w:rPr>
              <w:t>动态</w:t>
            </w:r>
            <w:r>
              <w:rPr>
                <w:color w:val="000000" w:themeColor="text1"/>
                <w14:textFill>
                  <w14:solidFill>
                    <w14:schemeClr w14:val="tx1"/>
                  </w14:solidFill>
                </w14:textFill>
              </w:rPr>
              <w:t>投资为</w:t>
            </w:r>
            <w:r>
              <w:rPr>
                <w:rFonts w:hint="eastAsia"/>
                <w:color w:val="000000" w:themeColor="text1"/>
                <w14:textFill>
                  <w14:solidFill>
                    <w14:schemeClr w14:val="tx1"/>
                  </w14:solidFill>
                </w14:textFill>
              </w:rPr>
              <w:t>12500</w:t>
            </w:r>
            <w:r>
              <w:rPr>
                <w:color w:val="000000" w:themeColor="text1"/>
                <w14:textFill>
                  <w14:solidFill>
                    <w14:schemeClr w14:val="tx1"/>
                  </w14:solidFill>
                </w14:textFill>
              </w:rPr>
              <w:t>万元，环保投资为</w:t>
            </w:r>
            <w:r>
              <w:rPr>
                <w:rFonts w:hint="eastAsia"/>
                <w:color w:val="000000" w:themeColor="text1"/>
                <w:lang w:val="en-US" w:eastAsia="zh-CN"/>
                <w14:textFill>
                  <w14:solidFill>
                    <w14:schemeClr w14:val="tx1"/>
                  </w14:solidFill>
                </w14:textFill>
              </w:rPr>
              <w:t>446.0</w:t>
            </w:r>
            <w:r>
              <w:rPr>
                <w:color w:val="000000" w:themeColor="text1"/>
                <w14:textFill>
                  <w14:solidFill>
                    <w14:schemeClr w14:val="tx1"/>
                  </w14:solidFill>
                </w14:textFill>
              </w:rPr>
              <w:t>万元，占总投资的</w:t>
            </w:r>
            <w:r>
              <w:rPr>
                <w:rFonts w:hint="eastAsia"/>
                <w:color w:val="000000" w:themeColor="text1"/>
                <w:lang w:val="en-US" w:eastAsia="zh-CN"/>
                <w14:textFill>
                  <w14:solidFill>
                    <w14:schemeClr w14:val="tx1"/>
                  </w14:solidFill>
                </w14:textFill>
              </w:rPr>
              <w:t>3.57</w:t>
            </w:r>
            <w:r>
              <w:rPr>
                <w:color w:val="000000" w:themeColor="text1"/>
                <w14:textFill>
                  <w14:solidFill>
                    <w14:schemeClr w14:val="tx1"/>
                  </w14:solidFill>
                </w14:textFill>
              </w:rPr>
              <w:t>%，环保投资估算见表</w:t>
            </w:r>
            <w:r>
              <w:rPr>
                <w:rFonts w:hint="eastAsia"/>
                <w:color w:val="000000" w:themeColor="text1"/>
                <w14:textFill>
                  <w14:solidFill>
                    <w14:schemeClr w14:val="tx1"/>
                  </w14:solidFill>
                </w14:textFill>
              </w:rPr>
              <w:t>5-</w:t>
            </w:r>
            <w:r>
              <w:rPr>
                <w:rFonts w:hint="eastAsia"/>
                <w:color w:val="000000" w:themeColor="text1"/>
                <w:lang w:val="en-US" w:eastAsia="zh-CN"/>
                <w14:textFill>
                  <w14:solidFill>
                    <w14:schemeClr w14:val="tx1"/>
                  </w14:solidFill>
                </w14:textFill>
              </w:rPr>
              <w:t>6</w:t>
            </w:r>
            <w:r>
              <w:rPr>
                <w:color w:val="000000" w:themeColor="text1"/>
                <w14:textFill>
                  <w14:solidFill>
                    <w14:schemeClr w14:val="tx1"/>
                  </w14:solidFill>
                </w14:textFill>
              </w:rPr>
              <w:t>。</w:t>
            </w:r>
          </w:p>
          <w:p w14:paraId="342BCC16">
            <w:pPr>
              <w:tabs>
                <w:tab w:val="left" w:pos="4586"/>
                <w:tab w:val="left" w:pos="5786"/>
              </w:tabs>
              <w:autoSpaceDE w:val="0"/>
              <w:autoSpaceDN w:val="0"/>
              <w:adjustRightInd w:val="0"/>
              <w:snapToGrid w:val="0"/>
              <w:spacing w:line="500" w:lineRule="exact"/>
              <w:jc w:val="center"/>
              <w:rPr>
                <w:rFonts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表5-</w:t>
            </w:r>
            <w:r>
              <w:rPr>
                <w:rFonts w:hint="eastAsia" w:ascii="黑体" w:hAnsi="黑体" w:eastAsia="黑体" w:cs="黑体"/>
                <w:color w:val="000000" w:themeColor="text1"/>
                <w:sz w:val="21"/>
                <w:szCs w:val="21"/>
                <w:lang w:val="en-US" w:eastAsia="zh-CN"/>
                <w14:textFill>
                  <w14:solidFill>
                    <w14:schemeClr w14:val="tx1"/>
                  </w14:solidFill>
                </w14:textFill>
              </w:rPr>
              <w:t>6</w:t>
            </w:r>
            <w:r>
              <w:rPr>
                <w:rFonts w:hint="eastAsia" w:ascii="黑体" w:hAnsi="黑体" w:eastAsia="黑体" w:cs="黑体"/>
                <w:color w:val="000000" w:themeColor="text1"/>
                <w:sz w:val="21"/>
                <w:szCs w:val="21"/>
                <w14:textFill>
                  <w14:solidFill>
                    <w14:schemeClr w14:val="tx1"/>
                  </w14:solidFill>
                </w14:textFill>
              </w:rPr>
              <w:t xml:space="preserve">   环保投资估算</w:t>
            </w:r>
          </w:p>
          <w:tbl>
            <w:tblPr>
              <w:tblStyle w:val="27"/>
              <w:tblW w:w="497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6"/>
              <w:gridCol w:w="982"/>
              <w:gridCol w:w="5042"/>
              <w:gridCol w:w="1101"/>
            </w:tblGrid>
            <w:tr w14:paraId="22097A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03" w:type="pct"/>
                  <w:tcBorders>
                    <w:tl2br w:val="nil"/>
                    <w:tr2bl w:val="nil"/>
                  </w:tcBorders>
                  <w:vAlign w:val="center"/>
                </w:tcPr>
                <w:p w14:paraId="0DD23FC6">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时期</w:t>
                  </w:r>
                </w:p>
              </w:tc>
              <w:tc>
                <w:tcPr>
                  <w:tcW w:w="592" w:type="pct"/>
                  <w:tcBorders>
                    <w:tl2br w:val="nil"/>
                    <w:tr2bl w:val="nil"/>
                  </w:tcBorders>
                  <w:vAlign w:val="center"/>
                </w:tcPr>
                <w:p w14:paraId="685C2981">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类别</w:t>
                  </w:r>
                </w:p>
              </w:tc>
              <w:tc>
                <w:tcPr>
                  <w:tcW w:w="3039" w:type="pct"/>
                  <w:tcBorders>
                    <w:tl2br w:val="nil"/>
                    <w:tr2bl w:val="nil"/>
                  </w:tcBorders>
                  <w:vAlign w:val="center"/>
                </w:tcPr>
                <w:p w14:paraId="496E1DB5">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环保措施主要内容</w:t>
                  </w:r>
                </w:p>
              </w:tc>
              <w:tc>
                <w:tcPr>
                  <w:tcW w:w="664" w:type="pct"/>
                  <w:tcBorders>
                    <w:tl2br w:val="nil"/>
                    <w:tr2bl w:val="nil"/>
                  </w:tcBorders>
                  <w:vAlign w:val="center"/>
                </w:tcPr>
                <w:p w14:paraId="2555EA38">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投资额（万元）</w:t>
                  </w:r>
                </w:p>
              </w:tc>
            </w:tr>
            <w:tr w14:paraId="3032F6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703" w:type="pct"/>
                  <w:vMerge w:val="restart"/>
                  <w:tcBorders>
                    <w:tl2br w:val="nil"/>
                    <w:tr2bl w:val="nil"/>
                  </w:tcBorders>
                  <w:vAlign w:val="center"/>
                </w:tcPr>
                <w:p w14:paraId="601AB1E4">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施工期</w:t>
                  </w:r>
                </w:p>
              </w:tc>
              <w:tc>
                <w:tcPr>
                  <w:tcW w:w="592" w:type="pct"/>
                  <w:tcBorders>
                    <w:tl2br w:val="nil"/>
                    <w:tr2bl w:val="nil"/>
                  </w:tcBorders>
                  <w:vAlign w:val="center"/>
                </w:tcPr>
                <w:p w14:paraId="0986C3F4">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废气</w:t>
                  </w:r>
                </w:p>
              </w:tc>
              <w:tc>
                <w:tcPr>
                  <w:tcW w:w="3039" w:type="pct"/>
                  <w:tcBorders>
                    <w:tl2br w:val="nil"/>
                    <w:tr2bl w:val="nil"/>
                  </w:tcBorders>
                  <w:vAlign w:val="center"/>
                </w:tcPr>
                <w:p w14:paraId="18497DB0">
                  <w:pPr>
                    <w:adjustRightInd w:val="0"/>
                    <w:snapToGrid w:val="0"/>
                    <w:spacing w:line="240" w:lineRule="auto"/>
                    <w:ind w:left="-120" w:leftChars="-50" w:right="-120" w:rightChars="-50"/>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围挡、洒水、覆盖防尘、防尘布等</w:t>
                  </w:r>
                </w:p>
              </w:tc>
              <w:tc>
                <w:tcPr>
                  <w:tcW w:w="664" w:type="pct"/>
                  <w:tcBorders>
                    <w:tl2br w:val="nil"/>
                    <w:tr2bl w:val="nil"/>
                  </w:tcBorders>
                  <w:vAlign w:val="center"/>
                </w:tcPr>
                <w:p w14:paraId="5A39440A">
                  <w:pPr>
                    <w:adjustRightInd w:val="0"/>
                    <w:snapToGrid w:val="0"/>
                    <w:spacing w:line="240" w:lineRule="auto"/>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10.0</w:t>
                  </w:r>
                </w:p>
              </w:tc>
            </w:tr>
            <w:tr w14:paraId="29EC7B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703" w:type="pct"/>
                  <w:vMerge w:val="continue"/>
                  <w:tcBorders>
                    <w:tl2br w:val="nil"/>
                    <w:tr2bl w:val="nil"/>
                  </w:tcBorders>
                  <w:vAlign w:val="center"/>
                </w:tcPr>
                <w:p w14:paraId="1577170E">
                  <w:pPr>
                    <w:adjustRightInd w:val="0"/>
                    <w:snapToGrid w:val="0"/>
                    <w:spacing w:line="240" w:lineRule="auto"/>
                    <w:jc w:val="center"/>
                    <w:rPr>
                      <w:bCs/>
                      <w:color w:val="000000" w:themeColor="text1"/>
                      <w:sz w:val="21"/>
                      <w:szCs w:val="21"/>
                      <w14:textFill>
                        <w14:solidFill>
                          <w14:schemeClr w14:val="tx1"/>
                        </w14:solidFill>
                      </w14:textFill>
                    </w:rPr>
                  </w:pPr>
                </w:p>
              </w:tc>
              <w:tc>
                <w:tcPr>
                  <w:tcW w:w="592" w:type="pct"/>
                  <w:tcBorders>
                    <w:tl2br w:val="nil"/>
                    <w:tr2bl w:val="nil"/>
                  </w:tcBorders>
                  <w:vAlign w:val="center"/>
                </w:tcPr>
                <w:p w14:paraId="77C47C6C">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废水</w:t>
                  </w:r>
                </w:p>
              </w:tc>
              <w:tc>
                <w:tcPr>
                  <w:tcW w:w="3039" w:type="pct"/>
                  <w:tcBorders>
                    <w:tl2br w:val="nil"/>
                    <w:tr2bl w:val="nil"/>
                  </w:tcBorders>
                  <w:vAlign w:val="center"/>
                </w:tcPr>
                <w:p w14:paraId="6B01E1BC">
                  <w:pPr>
                    <w:adjustRightInd w:val="0"/>
                    <w:snapToGrid w:val="0"/>
                    <w:spacing w:line="240" w:lineRule="auto"/>
                    <w:jc w:val="center"/>
                    <w:rPr>
                      <w:bCs/>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施工期临时沉淀池、环保</w:t>
                  </w:r>
                  <w:r>
                    <w:rPr>
                      <w:rFonts w:hint="eastAsia"/>
                      <w:color w:val="000000" w:themeColor="text1"/>
                      <w:sz w:val="21"/>
                      <w:szCs w:val="21"/>
                      <w14:textFill>
                        <w14:solidFill>
                          <w14:schemeClr w14:val="tx1"/>
                        </w14:solidFill>
                      </w14:textFill>
                    </w:rPr>
                    <w:t>厕所</w:t>
                  </w:r>
                  <w:r>
                    <w:rPr>
                      <w:rFonts w:hint="eastAsia"/>
                      <w:color w:val="000000" w:themeColor="text1"/>
                      <w:sz w:val="21"/>
                      <w:szCs w:val="21"/>
                      <w:lang w:val="en-US" w:eastAsia="zh-CN"/>
                      <w14:textFill>
                        <w14:solidFill>
                          <w14:schemeClr w14:val="tx1"/>
                        </w14:solidFill>
                      </w14:textFill>
                    </w:rPr>
                    <w:t>及防渗废水收集池</w:t>
                  </w:r>
                  <w:r>
                    <w:rPr>
                      <w:color w:val="000000" w:themeColor="text1"/>
                      <w:sz w:val="21"/>
                      <w:szCs w:val="21"/>
                      <w14:textFill>
                        <w14:solidFill>
                          <w14:schemeClr w14:val="tx1"/>
                        </w14:solidFill>
                      </w14:textFill>
                    </w:rPr>
                    <w:t>等</w:t>
                  </w:r>
                </w:p>
              </w:tc>
              <w:tc>
                <w:tcPr>
                  <w:tcW w:w="664" w:type="pct"/>
                  <w:tcBorders>
                    <w:tl2br w:val="nil"/>
                    <w:tr2bl w:val="nil"/>
                  </w:tcBorders>
                  <w:vAlign w:val="center"/>
                </w:tcPr>
                <w:p w14:paraId="3E5ABCF8">
                  <w:pPr>
                    <w:adjustRightInd w:val="0"/>
                    <w:snapToGrid w:val="0"/>
                    <w:spacing w:line="240" w:lineRule="auto"/>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20.0</w:t>
                  </w:r>
                </w:p>
              </w:tc>
            </w:tr>
            <w:tr w14:paraId="07D9E8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l2br w:val="nil"/>
                    <w:tr2bl w:val="nil"/>
                  </w:tcBorders>
                  <w:vAlign w:val="center"/>
                </w:tcPr>
                <w:p w14:paraId="63717612">
                  <w:pPr>
                    <w:adjustRightInd w:val="0"/>
                    <w:snapToGrid w:val="0"/>
                    <w:spacing w:line="240" w:lineRule="auto"/>
                    <w:jc w:val="center"/>
                    <w:rPr>
                      <w:bCs/>
                      <w:color w:val="000000" w:themeColor="text1"/>
                      <w:sz w:val="21"/>
                      <w:szCs w:val="21"/>
                      <w14:textFill>
                        <w14:solidFill>
                          <w14:schemeClr w14:val="tx1"/>
                        </w14:solidFill>
                      </w14:textFill>
                    </w:rPr>
                  </w:pPr>
                </w:p>
              </w:tc>
              <w:tc>
                <w:tcPr>
                  <w:tcW w:w="592" w:type="pct"/>
                  <w:tcBorders>
                    <w:tl2br w:val="nil"/>
                    <w:tr2bl w:val="nil"/>
                  </w:tcBorders>
                  <w:vAlign w:val="center"/>
                </w:tcPr>
                <w:p w14:paraId="6E9A4C54">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噪声</w:t>
                  </w:r>
                </w:p>
              </w:tc>
              <w:tc>
                <w:tcPr>
                  <w:tcW w:w="3039" w:type="pct"/>
                  <w:tcBorders>
                    <w:tl2br w:val="nil"/>
                    <w:tr2bl w:val="nil"/>
                  </w:tcBorders>
                  <w:vAlign w:val="center"/>
                </w:tcPr>
                <w:p w14:paraId="6E7F1090">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施工设备隔声、降噪等措施</w:t>
                  </w:r>
                </w:p>
              </w:tc>
              <w:tc>
                <w:tcPr>
                  <w:tcW w:w="664" w:type="pct"/>
                  <w:tcBorders>
                    <w:tl2br w:val="nil"/>
                    <w:tr2bl w:val="nil"/>
                  </w:tcBorders>
                  <w:vAlign w:val="center"/>
                </w:tcPr>
                <w:p w14:paraId="48A6EB1B">
                  <w:pPr>
                    <w:adjustRightInd w:val="0"/>
                    <w:snapToGrid w:val="0"/>
                    <w:spacing w:line="240" w:lineRule="auto"/>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15.0</w:t>
                  </w:r>
                </w:p>
              </w:tc>
            </w:tr>
            <w:tr w14:paraId="31E101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03" w:type="pct"/>
                  <w:vMerge w:val="continue"/>
                  <w:tcBorders>
                    <w:tl2br w:val="nil"/>
                    <w:tr2bl w:val="nil"/>
                  </w:tcBorders>
                  <w:vAlign w:val="center"/>
                </w:tcPr>
                <w:p w14:paraId="0B620D6C">
                  <w:pPr>
                    <w:adjustRightInd w:val="0"/>
                    <w:snapToGrid w:val="0"/>
                    <w:spacing w:line="240" w:lineRule="auto"/>
                    <w:jc w:val="center"/>
                    <w:rPr>
                      <w:bCs/>
                      <w:color w:val="000000" w:themeColor="text1"/>
                      <w:sz w:val="21"/>
                      <w:szCs w:val="21"/>
                      <w14:textFill>
                        <w14:solidFill>
                          <w14:schemeClr w14:val="tx1"/>
                        </w14:solidFill>
                      </w14:textFill>
                    </w:rPr>
                  </w:pPr>
                </w:p>
              </w:tc>
              <w:tc>
                <w:tcPr>
                  <w:tcW w:w="592" w:type="pct"/>
                  <w:tcBorders>
                    <w:tl2br w:val="nil"/>
                    <w:tr2bl w:val="nil"/>
                  </w:tcBorders>
                  <w:vAlign w:val="center"/>
                </w:tcPr>
                <w:p w14:paraId="20DFBBC8">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固废</w:t>
                  </w:r>
                </w:p>
              </w:tc>
              <w:tc>
                <w:tcPr>
                  <w:tcW w:w="3039" w:type="pct"/>
                  <w:tcBorders>
                    <w:tl2br w:val="nil"/>
                    <w:tr2bl w:val="nil"/>
                  </w:tcBorders>
                  <w:vAlign w:val="center"/>
                </w:tcPr>
                <w:p w14:paraId="310CE62F">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生活垃圾桶</w:t>
                  </w:r>
                  <w:r>
                    <w:rPr>
                      <w:rFonts w:hint="eastAsia"/>
                      <w:bCs/>
                      <w:color w:val="000000" w:themeColor="text1"/>
                      <w:sz w:val="21"/>
                      <w:szCs w:val="21"/>
                      <w:lang w:eastAsia="zh-CN"/>
                      <w14:textFill>
                        <w14:solidFill>
                          <w14:schemeClr w14:val="tx1"/>
                        </w14:solidFill>
                      </w14:textFill>
                    </w:rPr>
                    <w:t>、生活垃圾及建筑垃圾委托处置费</w:t>
                  </w:r>
                  <w:r>
                    <w:rPr>
                      <w:rFonts w:hint="eastAsia"/>
                      <w:bCs/>
                      <w:color w:val="000000" w:themeColor="text1"/>
                      <w:sz w:val="21"/>
                      <w:szCs w:val="21"/>
                      <w14:textFill>
                        <w14:solidFill>
                          <w14:schemeClr w14:val="tx1"/>
                        </w14:solidFill>
                      </w14:textFill>
                    </w:rPr>
                    <w:t>等</w:t>
                  </w:r>
                </w:p>
              </w:tc>
              <w:tc>
                <w:tcPr>
                  <w:tcW w:w="664" w:type="pct"/>
                  <w:tcBorders>
                    <w:tl2br w:val="nil"/>
                    <w:tr2bl w:val="nil"/>
                  </w:tcBorders>
                  <w:vAlign w:val="center"/>
                </w:tcPr>
                <w:p w14:paraId="390E0CA8">
                  <w:pPr>
                    <w:adjustRightInd w:val="0"/>
                    <w:snapToGrid w:val="0"/>
                    <w:spacing w:line="240" w:lineRule="auto"/>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8.0</w:t>
                  </w:r>
                </w:p>
              </w:tc>
            </w:tr>
            <w:tr w14:paraId="72274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703" w:type="pct"/>
                  <w:vMerge w:val="restart"/>
                  <w:tcBorders>
                    <w:tl2br w:val="nil"/>
                    <w:tr2bl w:val="nil"/>
                  </w:tcBorders>
                  <w:vAlign w:val="center"/>
                </w:tcPr>
                <w:p w14:paraId="6BF44A18">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运营期</w:t>
                  </w:r>
                </w:p>
              </w:tc>
              <w:tc>
                <w:tcPr>
                  <w:tcW w:w="3631" w:type="pct"/>
                  <w:gridSpan w:val="2"/>
                  <w:tcBorders>
                    <w:tl2br w:val="nil"/>
                    <w:tr2bl w:val="nil"/>
                  </w:tcBorders>
                  <w:vAlign w:val="center"/>
                </w:tcPr>
                <w:p w14:paraId="4CC8CF79">
                  <w:pPr>
                    <w:adjustRightInd w:val="0"/>
                    <w:snapToGrid w:val="0"/>
                    <w:spacing w:line="240" w:lineRule="auto"/>
                    <w:jc w:val="center"/>
                    <w:rPr>
                      <w:rFonts w:hint="eastAsia" w:eastAsia="宋体"/>
                      <w:bCs/>
                      <w:color w:val="000000" w:themeColor="text1"/>
                      <w:sz w:val="21"/>
                      <w:szCs w:val="21"/>
                      <w:lang w:eastAsia="zh-CN"/>
                      <w14:textFill>
                        <w14:solidFill>
                          <w14:schemeClr w14:val="tx1"/>
                        </w14:solidFill>
                      </w14:textFill>
                    </w:rPr>
                  </w:pPr>
                  <w:r>
                    <w:rPr>
                      <w:rFonts w:hint="eastAsia"/>
                      <w:bCs/>
                      <w:color w:val="000000" w:themeColor="text1"/>
                      <w:sz w:val="21"/>
                      <w:szCs w:val="21"/>
                      <w14:textFill>
                        <w14:solidFill>
                          <w14:schemeClr w14:val="tx1"/>
                        </w14:solidFill>
                      </w14:textFill>
                    </w:rPr>
                    <w:t>食堂油烟净化器</w:t>
                  </w:r>
                  <w:r>
                    <w:rPr>
                      <w:rFonts w:hint="eastAsia"/>
                      <w:bCs/>
                      <w:color w:val="000000" w:themeColor="text1"/>
                      <w:sz w:val="21"/>
                      <w:szCs w:val="21"/>
                      <w:lang w:eastAsia="zh-CN"/>
                      <w14:textFill>
                        <w14:solidFill>
                          <w14:schemeClr w14:val="tx1"/>
                        </w14:solidFill>
                      </w14:textFill>
                    </w:rPr>
                    <w:t>及隔油池</w:t>
                  </w:r>
                </w:p>
              </w:tc>
              <w:tc>
                <w:tcPr>
                  <w:tcW w:w="664" w:type="pct"/>
                  <w:tcBorders>
                    <w:tl2br w:val="nil"/>
                    <w:tr2bl w:val="nil"/>
                  </w:tcBorders>
                  <w:vAlign w:val="center"/>
                </w:tcPr>
                <w:p w14:paraId="48DA6820">
                  <w:pPr>
                    <w:adjustRightInd w:val="0"/>
                    <w:snapToGrid w:val="0"/>
                    <w:spacing w:line="240" w:lineRule="auto"/>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3.0</w:t>
                  </w:r>
                </w:p>
              </w:tc>
            </w:tr>
            <w:tr w14:paraId="584B5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703" w:type="pct"/>
                  <w:vMerge w:val="continue"/>
                  <w:tcBorders>
                    <w:tl2br w:val="nil"/>
                    <w:tr2bl w:val="nil"/>
                  </w:tcBorders>
                  <w:vAlign w:val="center"/>
                </w:tcPr>
                <w:p w14:paraId="5A5CE46A">
                  <w:pPr>
                    <w:adjustRightInd w:val="0"/>
                    <w:snapToGrid w:val="0"/>
                    <w:spacing w:line="240" w:lineRule="auto"/>
                    <w:jc w:val="center"/>
                    <w:rPr>
                      <w:bCs/>
                      <w:color w:val="000000" w:themeColor="text1"/>
                      <w:sz w:val="21"/>
                      <w:szCs w:val="21"/>
                      <w14:textFill>
                        <w14:solidFill>
                          <w14:schemeClr w14:val="tx1"/>
                        </w14:solidFill>
                      </w14:textFill>
                    </w:rPr>
                  </w:pPr>
                </w:p>
              </w:tc>
              <w:tc>
                <w:tcPr>
                  <w:tcW w:w="3631" w:type="pct"/>
                  <w:gridSpan w:val="2"/>
                  <w:tcBorders>
                    <w:tl2br w:val="nil"/>
                    <w:tr2bl w:val="nil"/>
                  </w:tcBorders>
                  <w:vAlign w:val="center"/>
                </w:tcPr>
                <w:p w14:paraId="47BCDF68">
                  <w:pPr>
                    <w:adjustRightInd w:val="0"/>
                    <w:snapToGrid w:val="0"/>
                    <w:spacing w:line="240" w:lineRule="auto"/>
                    <w:jc w:val="center"/>
                    <w:rPr>
                      <w:bCs/>
                      <w:color w:val="000000" w:themeColor="text1"/>
                      <w:sz w:val="21"/>
                      <w:szCs w:val="21"/>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220kV</w:t>
                  </w:r>
                  <w:r>
                    <w:rPr>
                      <w:rFonts w:hint="eastAsia"/>
                      <w:bCs/>
                      <w:color w:val="000000" w:themeColor="text1"/>
                      <w:sz w:val="21"/>
                      <w:szCs w:val="21"/>
                      <w14:textFill>
                        <w14:solidFill>
                          <w14:schemeClr w14:val="tx1"/>
                        </w14:solidFill>
                      </w14:textFill>
                    </w:rPr>
                    <w:t>升压</w:t>
                  </w:r>
                  <w:r>
                    <w:rPr>
                      <w:rFonts w:hint="eastAsia"/>
                      <w:bCs/>
                      <w:color w:val="000000" w:themeColor="text1"/>
                      <w:sz w:val="21"/>
                      <w:szCs w:val="21"/>
                      <w:lang w:eastAsia="zh-CN"/>
                      <w14:textFill>
                        <w14:solidFill>
                          <w14:schemeClr w14:val="tx1"/>
                        </w14:solidFill>
                      </w14:textFill>
                    </w:rPr>
                    <w:t>汇集</w:t>
                  </w:r>
                  <w:r>
                    <w:rPr>
                      <w:rFonts w:hint="eastAsia"/>
                      <w:bCs/>
                      <w:color w:val="000000" w:themeColor="text1"/>
                      <w:sz w:val="21"/>
                      <w:szCs w:val="21"/>
                      <w14:textFill>
                        <w14:solidFill>
                          <w14:schemeClr w14:val="tx1"/>
                        </w14:solidFill>
                      </w14:textFill>
                    </w:rPr>
                    <w:t>站厂区分区防渗</w:t>
                  </w:r>
                </w:p>
              </w:tc>
              <w:tc>
                <w:tcPr>
                  <w:tcW w:w="664" w:type="pct"/>
                  <w:tcBorders>
                    <w:tl2br w:val="nil"/>
                    <w:tr2bl w:val="nil"/>
                  </w:tcBorders>
                  <w:vAlign w:val="center"/>
                </w:tcPr>
                <w:p w14:paraId="0C359F95">
                  <w:pPr>
                    <w:adjustRightInd w:val="0"/>
                    <w:snapToGrid w:val="0"/>
                    <w:spacing w:line="240" w:lineRule="auto"/>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100.0</w:t>
                  </w:r>
                </w:p>
              </w:tc>
            </w:tr>
            <w:tr w14:paraId="1ACA5F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l2br w:val="nil"/>
                    <w:tr2bl w:val="nil"/>
                  </w:tcBorders>
                  <w:vAlign w:val="center"/>
                </w:tcPr>
                <w:p w14:paraId="06401682">
                  <w:pPr>
                    <w:adjustRightInd w:val="0"/>
                    <w:snapToGrid w:val="0"/>
                    <w:spacing w:line="240" w:lineRule="auto"/>
                    <w:jc w:val="center"/>
                    <w:rPr>
                      <w:bCs/>
                      <w:color w:val="000000" w:themeColor="text1"/>
                      <w:sz w:val="21"/>
                      <w:szCs w:val="21"/>
                      <w14:textFill>
                        <w14:solidFill>
                          <w14:schemeClr w14:val="tx1"/>
                        </w14:solidFill>
                      </w14:textFill>
                    </w:rPr>
                  </w:pPr>
                </w:p>
              </w:tc>
              <w:tc>
                <w:tcPr>
                  <w:tcW w:w="3631" w:type="pct"/>
                  <w:gridSpan w:val="2"/>
                  <w:tcBorders>
                    <w:tl2br w:val="nil"/>
                    <w:tr2bl w:val="nil"/>
                  </w:tcBorders>
                  <w:vAlign w:val="center"/>
                </w:tcPr>
                <w:p w14:paraId="5679F0D3">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220kV</w:t>
                  </w:r>
                  <w:r>
                    <w:rPr>
                      <w:rFonts w:hint="eastAsia"/>
                      <w:color w:val="000000" w:themeColor="text1"/>
                      <w:sz w:val="21"/>
                      <w:szCs w:val="21"/>
                      <w14:textFill>
                        <w14:solidFill>
                          <w14:schemeClr w14:val="tx1"/>
                        </w14:solidFill>
                      </w14:textFill>
                    </w:rPr>
                    <w:t>升压</w:t>
                  </w:r>
                  <w:r>
                    <w:rPr>
                      <w:rFonts w:hint="eastAsia"/>
                      <w:color w:val="000000" w:themeColor="text1"/>
                      <w:sz w:val="21"/>
                      <w:szCs w:val="21"/>
                      <w:lang w:eastAsia="zh-CN"/>
                      <w14:textFill>
                        <w14:solidFill>
                          <w14:schemeClr w14:val="tx1"/>
                        </w14:solidFill>
                      </w14:textFill>
                    </w:rPr>
                    <w:t>汇集</w:t>
                  </w:r>
                  <w:r>
                    <w:rPr>
                      <w:rFonts w:hint="eastAsia"/>
                      <w:color w:val="000000" w:themeColor="text1"/>
                      <w:sz w:val="21"/>
                      <w:szCs w:val="21"/>
                      <w14:textFill>
                        <w14:solidFill>
                          <w14:schemeClr w14:val="tx1"/>
                        </w14:solidFill>
                      </w14:textFill>
                    </w:rPr>
                    <w:t>站</w:t>
                  </w:r>
                  <w:r>
                    <w:rPr>
                      <w:color w:val="000000" w:themeColor="text1"/>
                      <w:sz w:val="21"/>
                      <w:szCs w:val="21"/>
                      <w14:textFill>
                        <w14:solidFill>
                          <w14:schemeClr w14:val="tx1"/>
                        </w14:solidFill>
                      </w14:textFill>
                    </w:rPr>
                    <w:t>地埋式一体化污水处理设施</w:t>
                  </w:r>
                  <w:r>
                    <w:rPr>
                      <w:rFonts w:hint="eastAsia"/>
                      <w:color w:val="000000" w:themeColor="text1"/>
                      <w:sz w:val="21"/>
                      <w:szCs w:val="21"/>
                      <w14:textFill>
                        <w14:solidFill>
                          <w14:schemeClr w14:val="tx1"/>
                        </w14:solidFill>
                      </w14:textFill>
                    </w:rPr>
                    <w:t>及储水池</w:t>
                  </w:r>
                </w:p>
              </w:tc>
              <w:tc>
                <w:tcPr>
                  <w:tcW w:w="664" w:type="pct"/>
                  <w:tcBorders>
                    <w:tl2br w:val="nil"/>
                    <w:tr2bl w:val="nil"/>
                  </w:tcBorders>
                  <w:vAlign w:val="center"/>
                </w:tcPr>
                <w:p w14:paraId="6D98ADED">
                  <w:pPr>
                    <w:adjustRightInd w:val="0"/>
                    <w:snapToGrid w:val="0"/>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50.0</w:t>
                  </w:r>
                </w:p>
              </w:tc>
            </w:tr>
            <w:tr w14:paraId="7199AE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l2br w:val="nil"/>
                    <w:tr2bl w:val="nil"/>
                  </w:tcBorders>
                  <w:vAlign w:val="center"/>
                </w:tcPr>
                <w:p w14:paraId="54BC6945">
                  <w:pPr>
                    <w:adjustRightInd w:val="0"/>
                    <w:snapToGrid w:val="0"/>
                    <w:spacing w:line="240" w:lineRule="auto"/>
                    <w:jc w:val="center"/>
                    <w:rPr>
                      <w:bCs/>
                      <w:color w:val="000000" w:themeColor="text1"/>
                      <w:sz w:val="21"/>
                      <w:szCs w:val="21"/>
                      <w14:textFill>
                        <w14:solidFill>
                          <w14:schemeClr w14:val="tx1"/>
                        </w14:solidFill>
                      </w14:textFill>
                    </w:rPr>
                  </w:pPr>
                </w:p>
              </w:tc>
              <w:tc>
                <w:tcPr>
                  <w:tcW w:w="3631" w:type="pct"/>
                  <w:gridSpan w:val="2"/>
                  <w:tcBorders>
                    <w:tl2br w:val="nil"/>
                    <w:tr2bl w:val="nil"/>
                  </w:tcBorders>
                  <w:vAlign w:val="center"/>
                </w:tcPr>
                <w:p w14:paraId="2335F0B3">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事故油池</w:t>
                  </w:r>
                </w:p>
              </w:tc>
              <w:tc>
                <w:tcPr>
                  <w:tcW w:w="664" w:type="pct"/>
                  <w:tcBorders>
                    <w:tl2br w:val="nil"/>
                    <w:tr2bl w:val="nil"/>
                  </w:tcBorders>
                  <w:vAlign w:val="center"/>
                </w:tcPr>
                <w:p w14:paraId="306EED1B">
                  <w:pPr>
                    <w:adjustRightInd w:val="0"/>
                    <w:snapToGrid w:val="0"/>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80.0</w:t>
                  </w:r>
                </w:p>
              </w:tc>
            </w:tr>
            <w:tr w14:paraId="5A5211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l2br w:val="nil"/>
                    <w:tr2bl w:val="nil"/>
                  </w:tcBorders>
                  <w:vAlign w:val="center"/>
                </w:tcPr>
                <w:p w14:paraId="2E6B4ED6">
                  <w:pPr>
                    <w:adjustRightInd w:val="0"/>
                    <w:snapToGrid w:val="0"/>
                    <w:spacing w:line="240" w:lineRule="auto"/>
                    <w:jc w:val="center"/>
                    <w:rPr>
                      <w:bCs/>
                      <w:color w:val="000000" w:themeColor="text1"/>
                      <w:sz w:val="21"/>
                      <w:szCs w:val="21"/>
                      <w14:textFill>
                        <w14:solidFill>
                          <w14:schemeClr w14:val="tx1"/>
                        </w14:solidFill>
                      </w14:textFill>
                    </w:rPr>
                  </w:pPr>
                </w:p>
              </w:tc>
              <w:tc>
                <w:tcPr>
                  <w:tcW w:w="3631" w:type="pct"/>
                  <w:gridSpan w:val="2"/>
                  <w:tcBorders>
                    <w:tl2br w:val="nil"/>
                    <w:tr2bl w:val="nil"/>
                  </w:tcBorders>
                  <w:vAlign w:val="center"/>
                </w:tcPr>
                <w:p w14:paraId="7543419A">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噪声防治（选用低噪声设备、基础</w:t>
                  </w:r>
                  <w:r>
                    <w:rPr>
                      <w:rFonts w:hint="eastAsia"/>
                      <w:color w:val="000000" w:themeColor="text1"/>
                      <w:sz w:val="21"/>
                      <w:szCs w:val="21"/>
                      <w:lang w:eastAsia="zh-CN"/>
                      <w14:textFill>
                        <w14:solidFill>
                          <w14:schemeClr w14:val="tx1"/>
                        </w14:solidFill>
                      </w14:textFill>
                    </w:rPr>
                    <w:t>减振</w:t>
                  </w:r>
                  <w:r>
                    <w:rPr>
                      <w:rFonts w:hint="eastAsia"/>
                      <w:color w:val="000000" w:themeColor="text1"/>
                      <w:sz w:val="21"/>
                      <w:szCs w:val="21"/>
                      <w14:textFill>
                        <w14:solidFill>
                          <w14:schemeClr w14:val="tx1"/>
                        </w14:solidFill>
                      </w14:textFill>
                    </w:rPr>
                    <w:t>隔声措施）</w:t>
                  </w:r>
                </w:p>
              </w:tc>
              <w:tc>
                <w:tcPr>
                  <w:tcW w:w="664" w:type="pct"/>
                  <w:tcBorders>
                    <w:tl2br w:val="nil"/>
                    <w:tr2bl w:val="nil"/>
                  </w:tcBorders>
                  <w:vAlign w:val="center"/>
                </w:tcPr>
                <w:p w14:paraId="17FF4B00">
                  <w:pPr>
                    <w:adjustRightInd w:val="0"/>
                    <w:snapToGrid w:val="0"/>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20</w:t>
                  </w:r>
                  <w:r>
                    <w:rPr>
                      <w:rFonts w:hint="eastAsia"/>
                      <w:color w:val="000000" w:themeColor="text1"/>
                      <w:sz w:val="21"/>
                      <w:szCs w:val="21"/>
                      <w:lang w:val="en-US" w:eastAsia="zh-CN"/>
                      <w14:textFill>
                        <w14:solidFill>
                          <w14:schemeClr w14:val="tx1"/>
                        </w14:solidFill>
                      </w14:textFill>
                    </w:rPr>
                    <w:t>.0</w:t>
                  </w:r>
                </w:p>
              </w:tc>
            </w:tr>
            <w:tr w14:paraId="2CFF52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l2br w:val="nil"/>
                    <w:tr2bl w:val="nil"/>
                  </w:tcBorders>
                  <w:vAlign w:val="center"/>
                </w:tcPr>
                <w:p w14:paraId="50924D47">
                  <w:pPr>
                    <w:adjustRightInd w:val="0"/>
                    <w:snapToGrid w:val="0"/>
                    <w:spacing w:line="240" w:lineRule="auto"/>
                    <w:jc w:val="center"/>
                    <w:rPr>
                      <w:bCs/>
                      <w:color w:val="000000" w:themeColor="text1"/>
                      <w:sz w:val="21"/>
                      <w:szCs w:val="21"/>
                      <w14:textFill>
                        <w14:solidFill>
                          <w14:schemeClr w14:val="tx1"/>
                        </w14:solidFill>
                      </w14:textFill>
                    </w:rPr>
                  </w:pPr>
                </w:p>
              </w:tc>
              <w:tc>
                <w:tcPr>
                  <w:tcW w:w="3631" w:type="pct"/>
                  <w:gridSpan w:val="2"/>
                  <w:tcBorders>
                    <w:tl2br w:val="nil"/>
                    <w:tr2bl w:val="nil"/>
                  </w:tcBorders>
                  <w:vAlign w:val="center"/>
                </w:tcPr>
                <w:p w14:paraId="6224E412">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固体废物防治（</w:t>
                  </w:r>
                  <w:r>
                    <w:rPr>
                      <w:rFonts w:hint="eastAsia"/>
                      <w:color w:val="000000" w:themeColor="text1"/>
                      <w:sz w:val="21"/>
                      <w:szCs w:val="21"/>
                      <w:lang w:eastAsia="zh-CN"/>
                      <w14:textFill>
                        <w14:solidFill>
                          <w14:schemeClr w14:val="tx1"/>
                        </w14:solidFill>
                      </w14:textFill>
                    </w:rPr>
                    <w:t>危废</w:t>
                  </w:r>
                  <w:r>
                    <w:rPr>
                      <w:rFonts w:hint="eastAsia"/>
                      <w:color w:val="000000" w:themeColor="text1"/>
                      <w:sz w:val="21"/>
                      <w:szCs w:val="21"/>
                      <w:lang w:val="en-US" w:eastAsia="zh-CN"/>
                      <w14:textFill>
                        <w14:solidFill>
                          <w14:schemeClr w14:val="tx1"/>
                        </w14:solidFill>
                      </w14:textFill>
                    </w:rPr>
                    <w:t>贮存点</w:t>
                  </w:r>
                  <w:r>
                    <w:rPr>
                      <w:rFonts w:hint="eastAsia"/>
                      <w:color w:val="000000" w:themeColor="text1"/>
                      <w:sz w:val="21"/>
                      <w:szCs w:val="21"/>
                      <w14:textFill>
                        <w14:solidFill>
                          <w14:schemeClr w14:val="tx1"/>
                        </w14:solidFill>
                      </w14:textFill>
                    </w:rPr>
                    <w:t>建设，</w:t>
                  </w:r>
                  <w:r>
                    <w:rPr>
                      <w:rFonts w:hint="eastAsia"/>
                      <w:color w:val="000000" w:themeColor="text1"/>
                      <w:sz w:val="21"/>
                      <w:szCs w:val="21"/>
                      <w:lang w:val="en-US" w:eastAsia="zh-CN"/>
                      <w14:textFill>
                        <w14:solidFill>
                          <w14:schemeClr w14:val="tx1"/>
                        </w14:solidFill>
                      </w14:textFill>
                    </w:rPr>
                    <w:t>危险废物</w:t>
                  </w:r>
                  <w:r>
                    <w:rPr>
                      <w:rFonts w:hint="eastAsia"/>
                      <w:color w:val="000000" w:themeColor="text1"/>
                      <w:sz w:val="21"/>
                      <w:szCs w:val="21"/>
                      <w14:textFill>
                        <w14:solidFill>
                          <w14:schemeClr w14:val="tx1"/>
                        </w14:solidFill>
                      </w14:textFill>
                    </w:rPr>
                    <w:t>委托处置）</w:t>
                  </w:r>
                </w:p>
              </w:tc>
              <w:tc>
                <w:tcPr>
                  <w:tcW w:w="664" w:type="pct"/>
                  <w:tcBorders>
                    <w:tl2br w:val="nil"/>
                    <w:tr2bl w:val="nil"/>
                  </w:tcBorders>
                  <w:vAlign w:val="center"/>
                </w:tcPr>
                <w:p w14:paraId="6CD2F083">
                  <w:pPr>
                    <w:adjustRightInd w:val="0"/>
                    <w:snapToGrid w:val="0"/>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50</w:t>
                  </w:r>
                  <w:r>
                    <w:rPr>
                      <w:rFonts w:hint="eastAsia"/>
                      <w:color w:val="000000" w:themeColor="text1"/>
                      <w:sz w:val="21"/>
                      <w:szCs w:val="21"/>
                      <w:lang w:val="en-US" w:eastAsia="zh-CN"/>
                      <w14:textFill>
                        <w14:solidFill>
                          <w14:schemeClr w14:val="tx1"/>
                        </w14:solidFill>
                      </w14:textFill>
                    </w:rPr>
                    <w:t>.0</w:t>
                  </w:r>
                </w:p>
              </w:tc>
            </w:tr>
            <w:tr w14:paraId="552777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3" w:type="pct"/>
                  <w:vMerge w:val="continue"/>
                  <w:tcBorders>
                    <w:tl2br w:val="nil"/>
                    <w:tr2bl w:val="nil"/>
                  </w:tcBorders>
                  <w:vAlign w:val="center"/>
                </w:tcPr>
                <w:p w14:paraId="5493D70D">
                  <w:pPr>
                    <w:adjustRightInd w:val="0"/>
                    <w:snapToGrid w:val="0"/>
                    <w:spacing w:line="240" w:lineRule="auto"/>
                    <w:jc w:val="center"/>
                    <w:rPr>
                      <w:bCs/>
                      <w:color w:val="000000" w:themeColor="text1"/>
                      <w:sz w:val="21"/>
                      <w:szCs w:val="21"/>
                      <w14:textFill>
                        <w14:solidFill>
                          <w14:schemeClr w14:val="tx1"/>
                        </w14:solidFill>
                      </w14:textFill>
                    </w:rPr>
                  </w:pPr>
                </w:p>
              </w:tc>
              <w:tc>
                <w:tcPr>
                  <w:tcW w:w="3631" w:type="pct"/>
                  <w:gridSpan w:val="2"/>
                  <w:tcBorders>
                    <w:tl2br w:val="nil"/>
                    <w:tr2bl w:val="nil"/>
                  </w:tcBorders>
                  <w:vAlign w:val="center"/>
                </w:tcPr>
                <w:p w14:paraId="65D97528">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环境管理和监测费用</w:t>
                  </w:r>
                </w:p>
              </w:tc>
              <w:tc>
                <w:tcPr>
                  <w:tcW w:w="664" w:type="pct"/>
                  <w:tcBorders>
                    <w:tl2br w:val="nil"/>
                    <w:tr2bl w:val="nil"/>
                  </w:tcBorders>
                  <w:vAlign w:val="center"/>
                </w:tcPr>
                <w:p w14:paraId="553CC6BF">
                  <w:pPr>
                    <w:adjustRightInd w:val="0"/>
                    <w:snapToGrid w:val="0"/>
                    <w:spacing w:line="240" w:lineRule="auto"/>
                    <w:jc w:val="center"/>
                    <w:rPr>
                      <w:rFonts w:hint="default" w:eastAsia="宋体"/>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10</w:t>
                  </w:r>
                  <w:r>
                    <w:rPr>
                      <w:rFonts w:hint="eastAsia"/>
                      <w:color w:val="000000" w:themeColor="text1"/>
                      <w:sz w:val="21"/>
                      <w:szCs w:val="21"/>
                      <w:lang w:val="en-US" w:eastAsia="zh-CN"/>
                      <w14:textFill>
                        <w14:solidFill>
                          <w14:schemeClr w14:val="tx1"/>
                        </w14:solidFill>
                      </w14:textFill>
                    </w:rPr>
                    <w:t>.0</w:t>
                  </w:r>
                </w:p>
              </w:tc>
            </w:tr>
            <w:tr w14:paraId="79E8F7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03" w:type="pct"/>
                  <w:tcBorders>
                    <w:tl2br w:val="nil"/>
                    <w:tr2bl w:val="nil"/>
                  </w:tcBorders>
                  <w:vAlign w:val="center"/>
                </w:tcPr>
                <w:p w14:paraId="68C81542">
                  <w:pPr>
                    <w:adjustRightInd w:val="0"/>
                    <w:snapToGrid w:val="0"/>
                    <w:spacing w:line="240" w:lineRule="auto"/>
                    <w:jc w:val="center"/>
                    <w:rPr>
                      <w:bCs/>
                      <w:color w:val="000000" w:themeColor="text1"/>
                      <w:sz w:val="21"/>
                      <w:szCs w:val="21"/>
                      <w14:textFill>
                        <w14:solidFill>
                          <w14:schemeClr w14:val="tx1"/>
                        </w14:solidFill>
                      </w14:textFill>
                    </w:rPr>
                  </w:pPr>
                  <w:r>
                    <w:rPr>
                      <w:rFonts w:hint="eastAsia"/>
                      <w:bCs/>
                      <w:color w:val="000000" w:themeColor="text1"/>
                      <w:sz w:val="21"/>
                      <w:szCs w:val="21"/>
                      <w14:textFill>
                        <w14:solidFill>
                          <w14:schemeClr w14:val="tx1"/>
                        </w14:solidFill>
                      </w14:textFill>
                    </w:rPr>
                    <w:t>生态</w:t>
                  </w:r>
                </w:p>
              </w:tc>
              <w:tc>
                <w:tcPr>
                  <w:tcW w:w="3631" w:type="pct"/>
                  <w:gridSpan w:val="2"/>
                  <w:tcBorders>
                    <w:tl2br w:val="nil"/>
                    <w:tr2bl w:val="nil"/>
                  </w:tcBorders>
                  <w:vAlign w:val="center"/>
                </w:tcPr>
                <w:p w14:paraId="4CB72637">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施工临时占地进行清理、平整、防沙治沙</w:t>
                  </w:r>
                  <w:r>
                    <w:rPr>
                      <w:rFonts w:hint="eastAsia"/>
                      <w:bCs/>
                      <w:color w:val="000000" w:themeColor="text1"/>
                      <w:sz w:val="21"/>
                      <w:szCs w:val="21"/>
                      <w14:textFill>
                        <w14:solidFill>
                          <w14:schemeClr w14:val="tx1"/>
                        </w14:solidFill>
                      </w14:textFill>
                    </w:rPr>
                    <w:t>及水土流失防治措施</w:t>
                  </w:r>
                  <w:r>
                    <w:rPr>
                      <w:bCs/>
                      <w:color w:val="000000" w:themeColor="text1"/>
                      <w:sz w:val="21"/>
                      <w:szCs w:val="21"/>
                      <w14:textFill>
                        <w14:solidFill>
                          <w14:schemeClr w14:val="tx1"/>
                        </w14:solidFill>
                      </w14:textFill>
                    </w:rPr>
                    <w:t>、生态监测</w:t>
                  </w:r>
                  <w:r>
                    <w:rPr>
                      <w:rFonts w:hint="eastAsia"/>
                      <w:bCs/>
                      <w:color w:val="000000" w:themeColor="text1"/>
                      <w:sz w:val="21"/>
                      <w:szCs w:val="21"/>
                      <w14:textFill>
                        <w14:solidFill>
                          <w14:schemeClr w14:val="tx1"/>
                        </w14:solidFill>
                      </w14:textFill>
                    </w:rPr>
                    <w:t>、生态恢复措施</w:t>
                  </w:r>
                </w:p>
              </w:tc>
              <w:tc>
                <w:tcPr>
                  <w:tcW w:w="664" w:type="pct"/>
                  <w:tcBorders>
                    <w:tl2br w:val="nil"/>
                    <w:tr2bl w:val="nil"/>
                  </w:tcBorders>
                  <w:vAlign w:val="center"/>
                </w:tcPr>
                <w:p w14:paraId="14842876">
                  <w:pPr>
                    <w:adjustRightInd w:val="0"/>
                    <w:snapToGrid w:val="0"/>
                    <w:spacing w:line="240" w:lineRule="auto"/>
                    <w:jc w:val="center"/>
                    <w:rPr>
                      <w:rFonts w:hint="default"/>
                      <w:bCs/>
                      <w:color w:val="000000" w:themeColor="text1"/>
                      <w:sz w:val="21"/>
                      <w:szCs w:val="21"/>
                      <w:lang w:val="en-US"/>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50.0</w:t>
                  </w:r>
                </w:p>
              </w:tc>
            </w:tr>
            <w:tr w14:paraId="296140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03" w:type="pct"/>
                  <w:tcBorders>
                    <w:tl2br w:val="nil"/>
                    <w:tr2bl w:val="nil"/>
                  </w:tcBorders>
                  <w:vAlign w:val="center"/>
                </w:tcPr>
                <w:p w14:paraId="52B4C887">
                  <w:pPr>
                    <w:adjustRightInd w:val="0"/>
                    <w:snapToGrid w:val="0"/>
                    <w:spacing w:line="240" w:lineRule="auto"/>
                    <w:jc w:val="center"/>
                    <w:rPr>
                      <w:rFonts w:hint="eastAsia"/>
                      <w:bCs/>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环境管理</w:t>
                  </w:r>
                </w:p>
              </w:tc>
              <w:tc>
                <w:tcPr>
                  <w:tcW w:w="3631" w:type="pct"/>
                  <w:gridSpan w:val="2"/>
                  <w:tcBorders>
                    <w:tl2br w:val="nil"/>
                    <w:tr2bl w:val="nil"/>
                  </w:tcBorders>
                  <w:vAlign w:val="center"/>
                </w:tcPr>
                <w:p w14:paraId="2C45ED3B">
                  <w:pPr>
                    <w:adjustRightInd w:val="0"/>
                    <w:snapToGrid w:val="0"/>
                    <w:spacing w:line="240" w:lineRule="auto"/>
                    <w:jc w:val="center"/>
                    <w:rPr>
                      <w:bCs/>
                      <w:color w:val="000000" w:themeColor="text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环评及环保竣工验收费用；环境管理及环境</w:t>
                  </w:r>
                  <w:r>
                    <w:rPr>
                      <w:rFonts w:hint="eastAsia"/>
                      <w:color w:val="000000" w:themeColor="text1"/>
                      <w:sz w:val="21"/>
                      <w:szCs w:val="21"/>
                      <w14:textFill>
                        <w14:solidFill>
                          <w14:schemeClr w14:val="tx1"/>
                        </w14:solidFill>
                      </w14:textFill>
                    </w:rPr>
                    <w:t>监测计划实施费等</w:t>
                  </w:r>
                </w:p>
              </w:tc>
              <w:tc>
                <w:tcPr>
                  <w:tcW w:w="664" w:type="pct"/>
                  <w:tcBorders>
                    <w:tl2br w:val="nil"/>
                    <w:tr2bl w:val="nil"/>
                  </w:tcBorders>
                  <w:vAlign w:val="center"/>
                </w:tcPr>
                <w:p w14:paraId="4E51E399">
                  <w:pPr>
                    <w:adjustRightInd w:val="0"/>
                    <w:snapToGrid w:val="0"/>
                    <w:spacing w:line="240" w:lineRule="auto"/>
                    <w:jc w:val="center"/>
                    <w:rPr>
                      <w:rFonts w:hint="default"/>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30.0</w:t>
                  </w:r>
                </w:p>
              </w:tc>
            </w:tr>
            <w:tr w14:paraId="1846B3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335" w:type="pct"/>
                  <w:gridSpan w:val="3"/>
                  <w:tcBorders>
                    <w:tl2br w:val="nil"/>
                    <w:tr2bl w:val="nil"/>
                  </w:tcBorders>
                  <w:vAlign w:val="center"/>
                </w:tcPr>
                <w:p w14:paraId="3C77E52E">
                  <w:pPr>
                    <w:adjustRightInd w:val="0"/>
                    <w:snapToGrid w:val="0"/>
                    <w:spacing w:line="240" w:lineRule="auto"/>
                    <w:jc w:val="center"/>
                    <w:rPr>
                      <w:bCs/>
                      <w:color w:val="000000" w:themeColor="text1"/>
                      <w:sz w:val="21"/>
                      <w:szCs w:val="21"/>
                      <w14:textFill>
                        <w14:solidFill>
                          <w14:schemeClr w14:val="tx1"/>
                        </w14:solidFill>
                      </w14:textFill>
                    </w:rPr>
                  </w:pPr>
                  <w:r>
                    <w:rPr>
                      <w:bCs/>
                      <w:color w:val="000000" w:themeColor="text1"/>
                      <w:sz w:val="21"/>
                      <w:szCs w:val="21"/>
                      <w14:textFill>
                        <w14:solidFill>
                          <w14:schemeClr w14:val="tx1"/>
                        </w14:solidFill>
                      </w14:textFill>
                    </w:rPr>
                    <w:t>合计</w:t>
                  </w:r>
                </w:p>
              </w:tc>
              <w:tc>
                <w:tcPr>
                  <w:tcW w:w="664" w:type="pct"/>
                  <w:tcBorders>
                    <w:tl2br w:val="nil"/>
                    <w:tr2bl w:val="nil"/>
                  </w:tcBorders>
                  <w:vAlign w:val="center"/>
                </w:tcPr>
                <w:p w14:paraId="7BF5F086">
                  <w:pPr>
                    <w:adjustRightInd w:val="0"/>
                    <w:snapToGrid w:val="0"/>
                    <w:spacing w:line="240" w:lineRule="auto"/>
                    <w:jc w:val="center"/>
                    <w:rPr>
                      <w:rFonts w:hint="default" w:eastAsia="宋体"/>
                      <w:bCs/>
                      <w:color w:val="000000" w:themeColor="text1"/>
                      <w:sz w:val="21"/>
                      <w:szCs w:val="21"/>
                      <w:lang w:val="en-US" w:eastAsia="zh-CN"/>
                      <w14:textFill>
                        <w14:solidFill>
                          <w14:schemeClr w14:val="tx1"/>
                        </w14:solidFill>
                      </w14:textFill>
                    </w:rPr>
                  </w:pPr>
                  <w:r>
                    <w:rPr>
                      <w:rFonts w:hint="eastAsia"/>
                      <w:bCs/>
                      <w:color w:val="000000" w:themeColor="text1"/>
                      <w:sz w:val="21"/>
                      <w:szCs w:val="21"/>
                      <w:lang w:val="en-US" w:eastAsia="zh-CN"/>
                      <w14:textFill>
                        <w14:solidFill>
                          <w14:schemeClr w14:val="tx1"/>
                        </w14:solidFill>
                      </w14:textFill>
                    </w:rPr>
                    <w:t>446.0</w:t>
                  </w:r>
                </w:p>
              </w:tc>
            </w:tr>
            <w:bookmarkEnd w:id="30"/>
          </w:tbl>
          <w:p w14:paraId="42854300">
            <w:pPr>
              <w:rPr>
                <w:color w:val="000000" w:themeColor="text1"/>
                <w14:textFill>
                  <w14:solidFill>
                    <w14:schemeClr w14:val="tx1"/>
                  </w14:solidFill>
                </w14:textFill>
              </w:rPr>
            </w:pPr>
          </w:p>
        </w:tc>
      </w:tr>
    </w:tbl>
    <w:p w14:paraId="2713C837">
      <w:pPr>
        <w:rPr>
          <w:color w:val="000000" w:themeColor="text1"/>
          <w14:textFill>
            <w14:solidFill>
              <w14:schemeClr w14:val="tx1"/>
            </w14:solidFill>
          </w14:textFill>
        </w:rPr>
        <w:sectPr>
          <w:pgSz w:w="11907" w:h="16840"/>
          <w:pgMar w:top="1440" w:right="1587" w:bottom="1440" w:left="1587" w:header="851" w:footer="1077" w:gutter="0"/>
          <w:pgBorders>
            <w:top w:val="none" w:sz="0" w:space="0"/>
            <w:left w:val="none" w:sz="0" w:space="0"/>
            <w:bottom w:val="none" w:sz="0" w:space="0"/>
            <w:right w:val="none" w:sz="0" w:space="0"/>
          </w:pgBorders>
          <w:pgNumType w:fmt="decimal"/>
          <w:cols w:space="720" w:num="1"/>
          <w:docGrid w:linePitch="312" w:charSpace="0"/>
        </w:sectPr>
      </w:pPr>
    </w:p>
    <w:p w14:paraId="0DCF6B65">
      <w:pPr>
        <w:pStyle w:val="22"/>
        <w:adjustRightInd w:val="0"/>
        <w:snapToGrid w:val="0"/>
        <w:spacing w:before="0" w:beforeAutospacing="0" w:after="0" w:afterAutospacing="0" w:line="360" w:lineRule="auto"/>
        <w:jc w:val="center"/>
        <w:outlineLvl w:val="0"/>
        <w:rPr>
          <w:rFonts w:ascii="Times New Roman" w:hAnsi="Times New Roman"/>
          <w:b/>
          <w:bCs/>
          <w:snapToGrid w:val="0"/>
          <w:color w:val="000000" w:themeColor="text1"/>
          <w:sz w:val="30"/>
          <w:szCs w:val="30"/>
          <w14:textFill>
            <w14:solidFill>
              <w14:schemeClr w14:val="tx1"/>
            </w14:solidFill>
          </w14:textFill>
        </w:rPr>
      </w:pPr>
      <w:bookmarkStart w:id="31" w:name="_Toc10320"/>
      <w:bookmarkStart w:id="32" w:name="_Toc12275"/>
      <w:bookmarkStart w:id="33" w:name="_Toc5164"/>
      <w:bookmarkStart w:id="34" w:name="_Toc23265"/>
      <w:r>
        <w:rPr>
          <w:rFonts w:ascii="Times New Roman" w:hAnsi="Times New Roman"/>
          <w:b/>
          <w:bCs/>
          <w:snapToGrid w:val="0"/>
          <w:color w:val="000000" w:themeColor="text1"/>
          <w:sz w:val="30"/>
          <w:szCs w:val="30"/>
          <w14:textFill>
            <w14:solidFill>
              <w14:schemeClr w14:val="tx1"/>
            </w14:solidFill>
          </w14:textFill>
        </w:rPr>
        <w:t>六、生态环境保护措施监督检查清单</w:t>
      </w:r>
      <w:bookmarkEnd w:id="31"/>
      <w:bookmarkEnd w:id="32"/>
      <w:bookmarkEnd w:id="33"/>
      <w:bookmarkEnd w:id="34"/>
    </w:p>
    <w:tbl>
      <w:tblPr>
        <w:tblStyle w:val="27"/>
        <w:tblW w:w="530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950"/>
        <w:gridCol w:w="1539"/>
        <w:gridCol w:w="1914"/>
        <w:gridCol w:w="2169"/>
      </w:tblGrid>
      <w:tr w14:paraId="35DFDF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95" w:type="pct"/>
            <w:vMerge w:val="restart"/>
            <w:tcBorders>
              <w:tl2br w:val="single" w:color="auto" w:sz="4" w:space="0"/>
            </w:tcBorders>
          </w:tcPr>
          <w:p w14:paraId="5B5F2687">
            <w:pPr>
              <w:pStyle w:val="21"/>
              <w:spacing w:after="0" w:line="240" w:lineRule="auto"/>
              <w:jc w:val="right"/>
              <w:rPr>
                <w:rFonts w:ascii="宋体" w:hAnsi="宋体" w:eastAsia="宋体" w:cs="宋体"/>
                <w:color w:val="000000" w:themeColor="text1"/>
                <w:sz w:val="21"/>
                <w:szCs w:val="21"/>
                <w14:textFill>
                  <w14:solidFill>
                    <w14:schemeClr w14:val="tx1"/>
                  </w14:solidFill>
                </w14:textFill>
              </w:rPr>
            </w:pPr>
            <w:bookmarkStart w:id="35" w:name="_Toc13497"/>
            <w:bookmarkStart w:id="36" w:name="_Toc32360"/>
            <w:r>
              <w:rPr>
                <w:rFonts w:hint="eastAsia" w:ascii="宋体" w:hAnsi="宋体" w:eastAsia="宋体" w:cs="宋体"/>
                <w:color w:val="000000" w:themeColor="text1"/>
                <w:sz w:val="21"/>
                <w:szCs w:val="21"/>
                <w14:textFill>
                  <w14:solidFill>
                    <w14:schemeClr w14:val="tx1"/>
                  </w14:solidFill>
                </w14:textFill>
              </w:rPr>
              <w:t>内容</w:t>
            </w:r>
            <w:bookmarkEnd w:id="35"/>
            <w:bookmarkEnd w:id="36"/>
          </w:p>
          <w:p w14:paraId="5C6C0193">
            <w:pPr>
              <w:pStyle w:val="21"/>
              <w:spacing w:after="0" w:line="240" w:lineRule="auto"/>
              <w:jc w:val="left"/>
              <w:rPr>
                <w:rFonts w:ascii="宋体" w:hAnsi="宋体" w:eastAsia="宋体" w:cs="宋体"/>
                <w:color w:val="000000" w:themeColor="text1"/>
                <w:sz w:val="21"/>
                <w:szCs w:val="21"/>
                <w14:textFill>
                  <w14:solidFill>
                    <w14:schemeClr w14:val="tx1"/>
                  </w14:solidFill>
                </w14:textFill>
              </w:rPr>
            </w:pPr>
            <w:bookmarkStart w:id="37" w:name="_Toc28924"/>
            <w:bookmarkStart w:id="38" w:name="_Toc19643"/>
            <w:r>
              <w:rPr>
                <w:rFonts w:hint="eastAsia" w:ascii="宋体" w:hAnsi="宋体" w:eastAsia="宋体" w:cs="宋体"/>
                <w:color w:val="000000" w:themeColor="text1"/>
                <w:sz w:val="21"/>
                <w:szCs w:val="21"/>
                <w14:textFill>
                  <w14:solidFill>
                    <w14:schemeClr w14:val="tx1"/>
                  </w14:solidFill>
                </w14:textFill>
              </w:rPr>
              <w:t>要素</w:t>
            </w:r>
            <w:bookmarkEnd w:id="37"/>
            <w:bookmarkEnd w:id="38"/>
          </w:p>
        </w:tc>
        <w:tc>
          <w:tcPr>
            <w:tcW w:w="1983" w:type="pct"/>
            <w:gridSpan w:val="2"/>
            <w:vAlign w:val="center"/>
          </w:tcPr>
          <w:p w14:paraId="4D1D3931">
            <w:pPr>
              <w:pStyle w:val="21"/>
              <w:spacing w:after="0" w:line="240" w:lineRule="auto"/>
              <w:jc w:val="center"/>
              <w:rPr>
                <w:rFonts w:ascii="宋体" w:hAnsi="宋体" w:eastAsia="宋体" w:cs="宋体"/>
                <w:color w:val="000000" w:themeColor="text1"/>
                <w:sz w:val="21"/>
                <w:szCs w:val="21"/>
                <w14:textFill>
                  <w14:solidFill>
                    <w14:schemeClr w14:val="tx1"/>
                  </w14:solidFill>
                </w14:textFill>
              </w:rPr>
            </w:pPr>
            <w:bookmarkStart w:id="39" w:name="_Toc20099"/>
            <w:bookmarkStart w:id="40" w:name="_Toc14291"/>
            <w:r>
              <w:rPr>
                <w:rFonts w:hint="eastAsia" w:ascii="宋体" w:hAnsi="宋体" w:eastAsia="宋体" w:cs="宋体"/>
                <w:color w:val="000000" w:themeColor="text1"/>
                <w:sz w:val="21"/>
                <w:szCs w:val="21"/>
                <w14:textFill>
                  <w14:solidFill>
                    <w14:schemeClr w14:val="tx1"/>
                  </w14:solidFill>
                </w14:textFill>
              </w:rPr>
              <w:t>施工期</w:t>
            </w:r>
            <w:bookmarkEnd w:id="39"/>
            <w:bookmarkEnd w:id="40"/>
          </w:p>
        </w:tc>
        <w:tc>
          <w:tcPr>
            <w:tcW w:w="2321" w:type="pct"/>
            <w:gridSpan w:val="2"/>
            <w:vAlign w:val="center"/>
          </w:tcPr>
          <w:p w14:paraId="702E15AD">
            <w:pPr>
              <w:pStyle w:val="21"/>
              <w:spacing w:after="0" w:line="240" w:lineRule="auto"/>
              <w:jc w:val="center"/>
              <w:rPr>
                <w:rFonts w:ascii="宋体" w:hAnsi="宋体" w:eastAsia="宋体" w:cs="宋体"/>
                <w:color w:val="000000" w:themeColor="text1"/>
                <w:sz w:val="21"/>
                <w:szCs w:val="21"/>
                <w14:textFill>
                  <w14:solidFill>
                    <w14:schemeClr w14:val="tx1"/>
                  </w14:solidFill>
                </w14:textFill>
              </w:rPr>
            </w:pPr>
            <w:bookmarkStart w:id="41" w:name="_Toc31860"/>
            <w:bookmarkStart w:id="42" w:name="_Toc12359"/>
            <w:r>
              <w:rPr>
                <w:rFonts w:hint="eastAsia" w:ascii="宋体" w:hAnsi="宋体" w:eastAsia="宋体" w:cs="宋体"/>
                <w:color w:val="000000" w:themeColor="text1"/>
                <w:sz w:val="21"/>
                <w:szCs w:val="21"/>
                <w14:textFill>
                  <w14:solidFill>
                    <w14:schemeClr w14:val="tx1"/>
                  </w14:solidFill>
                </w14:textFill>
              </w:rPr>
              <w:t>运营期</w:t>
            </w:r>
            <w:bookmarkEnd w:id="41"/>
            <w:bookmarkEnd w:id="42"/>
          </w:p>
        </w:tc>
      </w:tr>
      <w:tr w14:paraId="6D3D84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5" w:type="pct"/>
            <w:vMerge w:val="continue"/>
          </w:tcPr>
          <w:p w14:paraId="178C83FC">
            <w:pPr>
              <w:pStyle w:val="21"/>
              <w:spacing w:after="0" w:line="240" w:lineRule="auto"/>
              <w:jc w:val="center"/>
              <w:rPr>
                <w:rFonts w:ascii="宋体" w:hAnsi="宋体" w:eastAsia="宋体" w:cs="宋体"/>
                <w:color w:val="000000" w:themeColor="text1"/>
                <w:sz w:val="21"/>
                <w:szCs w:val="21"/>
                <w14:textFill>
                  <w14:solidFill>
                    <w14:schemeClr w14:val="tx1"/>
                  </w14:solidFill>
                </w14:textFill>
              </w:rPr>
            </w:pPr>
          </w:p>
        </w:tc>
        <w:tc>
          <w:tcPr>
            <w:tcW w:w="1108" w:type="pct"/>
            <w:vAlign w:val="center"/>
          </w:tcPr>
          <w:p w14:paraId="3F06AE45">
            <w:pPr>
              <w:pStyle w:val="21"/>
              <w:spacing w:after="0" w:line="240" w:lineRule="auto"/>
              <w:jc w:val="center"/>
              <w:rPr>
                <w:rFonts w:ascii="宋体" w:hAnsi="宋体" w:eastAsia="宋体" w:cs="宋体"/>
                <w:color w:val="000000" w:themeColor="text1"/>
                <w:sz w:val="21"/>
                <w:szCs w:val="21"/>
                <w14:textFill>
                  <w14:solidFill>
                    <w14:schemeClr w14:val="tx1"/>
                  </w14:solidFill>
                </w14:textFill>
              </w:rPr>
            </w:pPr>
            <w:bookmarkStart w:id="43" w:name="_Toc26288"/>
            <w:bookmarkStart w:id="44" w:name="_Toc9714"/>
            <w:r>
              <w:rPr>
                <w:rFonts w:hint="eastAsia" w:ascii="宋体" w:hAnsi="宋体" w:eastAsia="宋体" w:cs="宋体"/>
                <w:color w:val="000000" w:themeColor="text1"/>
                <w:sz w:val="21"/>
                <w:szCs w:val="21"/>
                <w14:textFill>
                  <w14:solidFill>
                    <w14:schemeClr w14:val="tx1"/>
                  </w14:solidFill>
                </w14:textFill>
              </w:rPr>
              <w:t>环境保护措施</w:t>
            </w:r>
            <w:bookmarkEnd w:id="43"/>
            <w:bookmarkEnd w:id="44"/>
          </w:p>
        </w:tc>
        <w:tc>
          <w:tcPr>
            <w:tcW w:w="874" w:type="pct"/>
            <w:vAlign w:val="center"/>
          </w:tcPr>
          <w:p w14:paraId="55D78EF3">
            <w:pPr>
              <w:pStyle w:val="21"/>
              <w:spacing w:after="0" w:line="240" w:lineRule="auto"/>
              <w:jc w:val="center"/>
              <w:rPr>
                <w:rFonts w:ascii="宋体" w:hAnsi="宋体" w:eastAsia="宋体" w:cs="宋体"/>
                <w:color w:val="000000" w:themeColor="text1"/>
                <w:sz w:val="21"/>
                <w:szCs w:val="21"/>
                <w14:textFill>
                  <w14:solidFill>
                    <w14:schemeClr w14:val="tx1"/>
                  </w14:solidFill>
                </w14:textFill>
              </w:rPr>
            </w:pPr>
            <w:bookmarkStart w:id="45" w:name="_Toc25085"/>
            <w:bookmarkStart w:id="46" w:name="_Toc5647"/>
            <w:r>
              <w:rPr>
                <w:rFonts w:hint="eastAsia" w:ascii="宋体" w:hAnsi="宋体" w:eastAsia="宋体" w:cs="宋体"/>
                <w:color w:val="000000" w:themeColor="text1"/>
                <w:sz w:val="21"/>
                <w:szCs w:val="21"/>
                <w14:textFill>
                  <w14:solidFill>
                    <w14:schemeClr w14:val="tx1"/>
                  </w14:solidFill>
                </w14:textFill>
              </w:rPr>
              <w:t>验收要求</w:t>
            </w:r>
            <w:bookmarkEnd w:id="45"/>
            <w:bookmarkEnd w:id="46"/>
          </w:p>
        </w:tc>
        <w:tc>
          <w:tcPr>
            <w:tcW w:w="1087" w:type="pct"/>
            <w:vAlign w:val="center"/>
          </w:tcPr>
          <w:p w14:paraId="17EC5C42">
            <w:pPr>
              <w:pStyle w:val="21"/>
              <w:spacing w:after="0" w:line="240" w:lineRule="auto"/>
              <w:jc w:val="center"/>
              <w:rPr>
                <w:rFonts w:ascii="宋体" w:hAnsi="宋体" w:eastAsia="宋体" w:cs="宋体"/>
                <w:color w:val="000000" w:themeColor="text1"/>
                <w:sz w:val="21"/>
                <w:szCs w:val="21"/>
                <w14:textFill>
                  <w14:solidFill>
                    <w14:schemeClr w14:val="tx1"/>
                  </w14:solidFill>
                </w14:textFill>
              </w:rPr>
            </w:pPr>
            <w:bookmarkStart w:id="47" w:name="_Toc16261"/>
            <w:bookmarkStart w:id="48" w:name="_Toc18380"/>
            <w:r>
              <w:rPr>
                <w:rFonts w:hint="eastAsia" w:ascii="宋体" w:hAnsi="宋体" w:eastAsia="宋体" w:cs="宋体"/>
                <w:color w:val="000000" w:themeColor="text1"/>
                <w:sz w:val="21"/>
                <w:szCs w:val="21"/>
                <w14:textFill>
                  <w14:solidFill>
                    <w14:schemeClr w14:val="tx1"/>
                  </w14:solidFill>
                </w14:textFill>
              </w:rPr>
              <w:t>环境保护措施</w:t>
            </w:r>
            <w:bookmarkEnd w:id="47"/>
            <w:bookmarkEnd w:id="48"/>
          </w:p>
        </w:tc>
        <w:tc>
          <w:tcPr>
            <w:tcW w:w="1233" w:type="pct"/>
            <w:vAlign w:val="center"/>
          </w:tcPr>
          <w:p w14:paraId="2D8C5056">
            <w:pPr>
              <w:pStyle w:val="21"/>
              <w:spacing w:after="0" w:line="240" w:lineRule="auto"/>
              <w:jc w:val="center"/>
              <w:rPr>
                <w:rFonts w:ascii="宋体" w:hAnsi="宋体" w:eastAsia="宋体" w:cs="宋体"/>
                <w:color w:val="000000" w:themeColor="text1"/>
                <w:sz w:val="21"/>
                <w:szCs w:val="21"/>
                <w14:textFill>
                  <w14:solidFill>
                    <w14:schemeClr w14:val="tx1"/>
                  </w14:solidFill>
                </w14:textFill>
              </w:rPr>
            </w:pPr>
            <w:bookmarkStart w:id="49" w:name="_Toc3082"/>
            <w:bookmarkStart w:id="50" w:name="_Toc83"/>
            <w:r>
              <w:rPr>
                <w:rFonts w:hint="eastAsia" w:ascii="宋体" w:hAnsi="宋体" w:eastAsia="宋体" w:cs="宋体"/>
                <w:color w:val="000000" w:themeColor="text1"/>
                <w:sz w:val="21"/>
                <w:szCs w:val="21"/>
                <w14:textFill>
                  <w14:solidFill>
                    <w14:schemeClr w14:val="tx1"/>
                  </w14:solidFill>
                </w14:textFill>
              </w:rPr>
              <w:t>验收要求</w:t>
            </w:r>
            <w:bookmarkEnd w:id="49"/>
            <w:bookmarkEnd w:id="50"/>
          </w:p>
        </w:tc>
      </w:tr>
      <w:tr w14:paraId="1D340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3" w:hRule="atLeast"/>
          <w:jc w:val="center"/>
        </w:trPr>
        <w:tc>
          <w:tcPr>
            <w:tcW w:w="695" w:type="pct"/>
            <w:vAlign w:val="center"/>
          </w:tcPr>
          <w:p w14:paraId="6F910C1C">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陆生生态</w:t>
            </w:r>
          </w:p>
        </w:tc>
        <w:tc>
          <w:tcPr>
            <w:tcW w:w="1108" w:type="pct"/>
            <w:vAlign w:val="center"/>
          </w:tcPr>
          <w:p w14:paraId="311F050E">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合理规划施工占地，尽量减少临时占地</w:t>
            </w:r>
            <w:r>
              <w:rPr>
                <w:rFonts w:hint="eastAsia"/>
                <w:color w:val="000000" w:themeColor="text1"/>
                <w:sz w:val="21"/>
                <w:szCs w:val="21"/>
                <w14:textFill>
                  <w14:solidFill>
                    <w14:schemeClr w14:val="tx1"/>
                  </w14:solidFill>
                </w14:textFill>
              </w:rPr>
              <w:t>；避免在雨季施工</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严格控制施工范围；</w:t>
            </w:r>
            <w:r>
              <w:rPr>
                <w:rFonts w:hint="eastAsia"/>
                <w:color w:val="000000" w:themeColor="text1"/>
                <w:sz w:val="21"/>
                <w:szCs w:val="21"/>
                <w:lang w:eastAsia="zh-CN"/>
                <w14:textFill>
                  <w14:solidFill>
                    <w14:schemeClr w14:val="tx1"/>
                  </w14:solidFill>
                </w14:textFill>
              </w:rPr>
              <w:t>严禁捕杀野生动物；</w:t>
            </w:r>
            <w:r>
              <w:rPr>
                <w:rFonts w:hint="eastAsia"/>
                <w:color w:val="000000" w:themeColor="text1"/>
                <w:sz w:val="21"/>
                <w:szCs w:val="21"/>
                <w14:textFill>
                  <w14:solidFill>
                    <w14:schemeClr w14:val="tx1"/>
                  </w14:solidFill>
                </w14:textFill>
              </w:rPr>
              <w:t>对占地办理征地手续；施工剥离表土经暂时堆存后用于回填；施工结束后对临时占地进行</w:t>
            </w:r>
            <w:r>
              <w:rPr>
                <w:rFonts w:hint="eastAsia"/>
                <w:color w:val="000000" w:themeColor="text1"/>
                <w:sz w:val="21"/>
                <w:szCs w:val="21"/>
                <w:lang w:eastAsia="zh-CN"/>
                <w14:textFill>
                  <w14:solidFill>
                    <w14:schemeClr w14:val="tx1"/>
                  </w14:solidFill>
                </w14:textFill>
              </w:rPr>
              <w:t>平整</w:t>
            </w:r>
            <w:r>
              <w:rPr>
                <w:rFonts w:hint="eastAsia"/>
                <w:color w:val="000000" w:themeColor="text1"/>
                <w:sz w:val="21"/>
                <w:szCs w:val="21"/>
                <w14:textFill>
                  <w14:solidFill>
                    <w14:schemeClr w14:val="tx1"/>
                  </w14:solidFill>
                </w14:textFill>
              </w:rPr>
              <w:t>恢复。</w:t>
            </w:r>
          </w:p>
        </w:tc>
        <w:tc>
          <w:tcPr>
            <w:tcW w:w="874" w:type="pct"/>
            <w:vAlign w:val="center"/>
          </w:tcPr>
          <w:p w14:paraId="29339686">
            <w:pPr>
              <w:wordWrap w:val="0"/>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施工结束后临时占地基本恢复。</w:t>
            </w:r>
          </w:p>
        </w:tc>
        <w:tc>
          <w:tcPr>
            <w:tcW w:w="1087" w:type="pct"/>
            <w:vAlign w:val="center"/>
          </w:tcPr>
          <w:p w14:paraId="5918A490">
            <w:pPr>
              <w:wordWrap w:val="0"/>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站区办公生活区绿化</w:t>
            </w:r>
            <w:r>
              <w:rPr>
                <w:rFonts w:hint="eastAsia"/>
                <w:color w:val="000000" w:themeColor="text1"/>
                <w:sz w:val="21"/>
                <w:szCs w:val="21"/>
                <w:lang w:eastAsia="zh-CN"/>
                <w14:textFill>
                  <w14:solidFill>
                    <w14:schemeClr w14:val="tx1"/>
                  </w14:solidFill>
                </w14:textFill>
              </w:rPr>
              <w:t>。</w:t>
            </w:r>
          </w:p>
        </w:tc>
        <w:tc>
          <w:tcPr>
            <w:tcW w:w="1233" w:type="pct"/>
            <w:vAlign w:val="center"/>
          </w:tcPr>
          <w:p w14:paraId="1EFE8064">
            <w:pPr>
              <w:wordWrap w:val="0"/>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本项目对周边陆生生态环境影响可得到有效减缓</w:t>
            </w:r>
            <w:r>
              <w:rPr>
                <w:rFonts w:hint="eastAsia"/>
                <w:color w:val="000000" w:themeColor="text1"/>
                <w:sz w:val="21"/>
                <w:szCs w:val="21"/>
                <w:lang w:eastAsia="zh-CN"/>
                <w14:textFill>
                  <w14:solidFill>
                    <w14:schemeClr w14:val="tx1"/>
                  </w14:solidFill>
                </w14:textFill>
              </w:rPr>
              <w:t>。</w:t>
            </w:r>
          </w:p>
        </w:tc>
      </w:tr>
      <w:tr w14:paraId="084A95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695" w:type="pct"/>
            <w:vAlign w:val="center"/>
          </w:tcPr>
          <w:p w14:paraId="6295769D">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水生生态</w:t>
            </w:r>
          </w:p>
        </w:tc>
        <w:tc>
          <w:tcPr>
            <w:tcW w:w="1108" w:type="pct"/>
            <w:vAlign w:val="center"/>
          </w:tcPr>
          <w:p w14:paraId="08A18B7F">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874" w:type="pct"/>
            <w:vAlign w:val="center"/>
          </w:tcPr>
          <w:p w14:paraId="475B217A">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087" w:type="pct"/>
            <w:vAlign w:val="center"/>
          </w:tcPr>
          <w:p w14:paraId="176BE701">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33" w:type="pct"/>
            <w:vAlign w:val="center"/>
          </w:tcPr>
          <w:p w14:paraId="0109D5A8">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46F0F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48" w:hRule="atLeast"/>
          <w:jc w:val="center"/>
        </w:trPr>
        <w:tc>
          <w:tcPr>
            <w:tcW w:w="695" w:type="pct"/>
            <w:vAlign w:val="center"/>
          </w:tcPr>
          <w:p w14:paraId="3470D20C">
            <w:pPr>
              <w:adjustRightInd w:val="0"/>
              <w:snapToGrid w:val="0"/>
              <w:spacing w:line="240" w:lineRule="auto"/>
              <w:ind w:left="-120" w:leftChars="-50" w:right="-120" w:rightChars="-5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地表水环境</w:t>
            </w:r>
          </w:p>
        </w:tc>
        <w:tc>
          <w:tcPr>
            <w:tcW w:w="1108" w:type="pct"/>
            <w:vMerge w:val="restart"/>
            <w:vAlign w:val="center"/>
          </w:tcPr>
          <w:p w14:paraId="452FFEF9">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施工期混凝土养护废水自然蒸发，车辆冲洗废水经沉淀后回用于施工场地洒水降尘</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施工期间设置环保厕所</w:t>
            </w:r>
            <w:r>
              <w:rPr>
                <w:rFonts w:hint="eastAsia"/>
                <w:color w:val="000000" w:themeColor="text1"/>
                <w:sz w:val="21"/>
                <w:szCs w:val="21"/>
                <w:lang w:eastAsia="zh-CN"/>
                <w14:textFill>
                  <w14:solidFill>
                    <w14:schemeClr w14:val="tx1"/>
                  </w14:solidFill>
                </w14:textFill>
              </w:rPr>
              <w:t>及防渗废水收集池</w:t>
            </w:r>
            <w:r>
              <w:rPr>
                <w:rFonts w:hint="eastAsia"/>
                <w:color w:val="000000" w:themeColor="text1"/>
                <w:sz w:val="21"/>
                <w:szCs w:val="21"/>
                <w14:textFill>
                  <w14:solidFill>
                    <w14:schemeClr w14:val="tx1"/>
                  </w14:solidFill>
                </w14:textFill>
              </w:rPr>
              <w:t>，生活污水</w:t>
            </w:r>
            <w:r>
              <w:rPr>
                <w:rFonts w:hint="eastAsia"/>
                <w:color w:val="000000" w:themeColor="text1"/>
                <w:sz w:val="21"/>
                <w:szCs w:val="21"/>
                <w:lang w:eastAsia="zh-CN"/>
                <w14:textFill>
                  <w14:solidFill>
                    <w14:schemeClr w14:val="tx1"/>
                  </w14:solidFill>
                </w14:textFill>
              </w:rPr>
              <w:t>经收集后</w:t>
            </w:r>
            <w:r>
              <w:rPr>
                <w:rFonts w:hint="eastAsia"/>
                <w:color w:val="000000" w:themeColor="text1"/>
                <w:sz w:val="21"/>
                <w:szCs w:val="21"/>
                <w14:textFill>
                  <w14:solidFill>
                    <w14:schemeClr w14:val="tx1"/>
                  </w14:solidFill>
                </w14:textFill>
              </w:rPr>
              <w:t>定期清运至</w:t>
            </w:r>
            <w:r>
              <w:rPr>
                <w:rFonts w:hint="eastAsia"/>
                <w:color w:val="000000" w:themeColor="text1"/>
                <w:sz w:val="21"/>
                <w:szCs w:val="21"/>
                <w:lang w:eastAsia="zh-CN"/>
                <w14:textFill>
                  <w14:solidFill>
                    <w14:schemeClr w14:val="tx1"/>
                  </w14:solidFill>
                </w14:textFill>
              </w:rPr>
              <w:t>巴州且末县</w:t>
            </w:r>
            <w:r>
              <w:rPr>
                <w:rFonts w:hint="eastAsia"/>
                <w:color w:val="000000" w:themeColor="text1"/>
                <w:sz w:val="21"/>
                <w:szCs w:val="21"/>
                <w14:textFill>
                  <w14:solidFill>
                    <w14:schemeClr w14:val="tx1"/>
                  </w14:solidFill>
                </w14:textFill>
              </w:rPr>
              <w:t>污水处理厂。</w:t>
            </w:r>
          </w:p>
        </w:tc>
        <w:tc>
          <w:tcPr>
            <w:tcW w:w="874" w:type="pct"/>
            <w:vMerge w:val="restart"/>
            <w:vAlign w:val="center"/>
          </w:tcPr>
          <w:p w14:paraId="5DF2B162">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临时沉淀池</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14:textFill>
                  <w14:solidFill>
                    <w14:schemeClr w14:val="tx1"/>
                  </w14:solidFill>
                </w14:textFill>
              </w:rPr>
              <w:t>移动厕所</w:t>
            </w:r>
            <w:r>
              <w:rPr>
                <w:rFonts w:hint="eastAsia"/>
                <w:color w:val="000000" w:themeColor="text1"/>
                <w:sz w:val="21"/>
                <w:szCs w:val="21"/>
                <w:lang w:eastAsia="zh-CN"/>
                <w14:textFill>
                  <w14:solidFill>
                    <w14:schemeClr w14:val="tx1"/>
                  </w14:solidFill>
                </w14:textFill>
              </w:rPr>
              <w:t>及废水收集池</w:t>
            </w:r>
            <w:r>
              <w:rPr>
                <w:color w:val="000000" w:themeColor="text1"/>
                <w:sz w:val="21"/>
                <w:szCs w:val="21"/>
                <w14:textFill>
                  <w14:solidFill>
                    <w14:schemeClr w14:val="tx1"/>
                  </w14:solidFill>
                </w14:textFill>
              </w:rPr>
              <w:t>均进行拆除，场地恢复</w:t>
            </w:r>
            <w:r>
              <w:rPr>
                <w:rFonts w:hint="eastAsia"/>
                <w:color w:val="000000" w:themeColor="text1"/>
                <w:sz w:val="21"/>
                <w:szCs w:val="21"/>
                <w14:textFill>
                  <w14:solidFill>
                    <w14:schemeClr w14:val="tx1"/>
                  </w14:solidFill>
                </w14:textFill>
              </w:rPr>
              <w:t>，现场无施工废水及生活污水遗留</w:t>
            </w:r>
          </w:p>
        </w:tc>
        <w:tc>
          <w:tcPr>
            <w:tcW w:w="1087" w:type="pct"/>
            <w:vAlign w:val="center"/>
          </w:tcPr>
          <w:p w14:paraId="07ECF64A">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生活污水中的餐饮废水经隔油池处理后与其他生活污水一起排入地埋式一体化污水处理设施处理，经处理后冬储夏灌。</w:t>
            </w:r>
          </w:p>
        </w:tc>
        <w:tc>
          <w:tcPr>
            <w:tcW w:w="1233" w:type="pct"/>
            <w:vAlign w:val="center"/>
          </w:tcPr>
          <w:p w14:paraId="07AFF735">
            <w:pPr>
              <w:adjustRightInd w:val="0"/>
              <w:snapToGrid w:val="0"/>
              <w:spacing w:line="240" w:lineRule="auto"/>
              <w:ind w:left="-120" w:leftChars="-50" w:right="-120" w:rightChars="-50"/>
              <w:jc w:val="center"/>
              <w:rPr>
                <w:rFonts w:hint="eastAsia" w:eastAsia="宋体"/>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t>《农村生活污水处理排放标准》（DB654275-2019）中</w:t>
            </w:r>
            <w:r>
              <w:rPr>
                <w:rFonts w:hint="eastAsia"/>
                <w:color w:val="000000" w:themeColor="text1"/>
                <w:sz w:val="21"/>
                <w:szCs w:val="21"/>
                <w:lang w:val="en-US" w:eastAsia="zh-CN"/>
                <w14:textFill>
                  <w14:solidFill>
                    <w14:schemeClr w14:val="tx1"/>
                  </w14:solidFill>
                </w14:textFill>
              </w:rPr>
              <w:t>B</w:t>
            </w:r>
            <w:r>
              <w:rPr>
                <w:color w:val="000000" w:themeColor="text1"/>
                <w:sz w:val="21"/>
                <w:szCs w:val="21"/>
                <w14:textFill>
                  <w14:solidFill>
                    <w14:schemeClr w14:val="tx1"/>
                  </w14:solidFill>
                </w14:textFill>
              </w:rPr>
              <w:t>级标准</w:t>
            </w:r>
            <w:r>
              <w:rPr>
                <w:rFonts w:hint="eastAsia"/>
                <w:color w:val="000000" w:themeColor="text1"/>
                <w:sz w:val="21"/>
                <w:szCs w:val="21"/>
                <w:lang w:eastAsia="zh-CN"/>
                <w14:textFill>
                  <w14:solidFill>
                    <w14:schemeClr w14:val="tx1"/>
                  </w14:solidFill>
                </w14:textFill>
              </w:rPr>
              <w:t>。</w:t>
            </w:r>
          </w:p>
        </w:tc>
      </w:tr>
      <w:tr w14:paraId="44A39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695" w:type="pct"/>
            <w:vAlign w:val="center"/>
          </w:tcPr>
          <w:p w14:paraId="3798A98B">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地下水及土壤环境</w:t>
            </w:r>
          </w:p>
        </w:tc>
        <w:tc>
          <w:tcPr>
            <w:tcW w:w="1108" w:type="pct"/>
            <w:vMerge w:val="continue"/>
            <w:vAlign w:val="center"/>
          </w:tcPr>
          <w:p w14:paraId="31820239">
            <w:pPr>
              <w:adjustRightInd w:val="0"/>
              <w:snapToGrid w:val="0"/>
              <w:spacing w:line="240" w:lineRule="auto"/>
              <w:jc w:val="center"/>
              <w:rPr>
                <w:color w:val="000000" w:themeColor="text1"/>
                <w:sz w:val="21"/>
                <w:szCs w:val="21"/>
                <w14:textFill>
                  <w14:solidFill>
                    <w14:schemeClr w14:val="tx1"/>
                  </w14:solidFill>
                </w14:textFill>
              </w:rPr>
            </w:pPr>
          </w:p>
        </w:tc>
        <w:tc>
          <w:tcPr>
            <w:tcW w:w="874" w:type="pct"/>
            <w:vMerge w:val="continue"/>
            <w:vAlign w:val="center"/>
          </w:tcPr>
          <w:p w14:paraId="1D7430AD">
            <w:pPr>
              <w:adjustRightInd w:val="0"/>
              <w:snapToGrid w:val="0"/>
              <w:spacing w:line="240" w:lineRule="auto"/>
              <w:jc w:val="center"/>
              <w:rPr>
                <w:color w:val="000000" w:themeColor="text1"/>
                <w:sz w:val="21"/>
                <w:szCs w:val="21"/>
                <w14:textFill>
                  <w14:solidFill>
                    <w14:schemeClr w14:val="tx1"/>
                  </w14:solidFill>
                </w14:textFill>
              </w:rPr>
            </w:pPr>
          </w:p>
        </w:tc>
        <w:tc>
          <w:tcPr>
            <w:tcW w:w="1087" w:type="pct"/>
            <w:vAlign w:val="center"/>
          </w:tcPr>
          <w:p w14:paraId="208A3892">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事故油池、</w:t>
            </w:r>
            <w:r>
              <w:rPr>
                <w:rFonts w:hint="eastAsia"/>
                <w:color w:val="000000" w:themeColor="text1"/>
                <w:sz w:val="21"/>
                <w:szCs w:val="21"/>
                <w:lang w:eastAsia="zh-CN"/>
                <w14:textFill>
                  <w14:solidFill>
                    <w14:schemeClr w14:val="tx1"/>
                  </w14:solidFill>
                </w14:textFill>
              </w:rPr>
              <w:t>危废</w:t>
            </w:r>
            <w:r>
              <w:rPr>
                <w:rFonts w:hint="eastAsia"/>
                <w:color w:val="000000" w:themeColor="text1"/>
                <w:sz w:val="21"/>
                <w:szCs w:val="21"/>
                <w:lang w:val="en-US" w:eastAsia="zh-CN"/>
                <w14:textFill>
                  <w14:solidFill>
                    <w14:schemeClr w14:val="tx1"/>
                  </w14:solidFill>
                </w14:textFill>
              </w:rPr>
              <w:t>贮存点</w:t>
            </w: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地埋式一体化污水处理设施进行</w:t>
            </w:r>
            <w:r>
              <w:rPr>
                <w:rFonts w:hint="eastAsia"/>
                <w:color w:val="000000" w:themeColor="text1"/>
                <w:sz w:val="21"/>
                <w:szCs w:val="21"/>
                <w14:textFill>
                  <w14:solidFill>
                    <w14:schemeClr w14:val="tx1"/>
                  </w14:solidFill>
                </w14:textFill>
              </w:rPr>
              <w:t>分区</w:t>
            </w:r>
            <w:r>
              <w:rPr>
                <w:color w:val="000000" w:themeColor="text1"/>
                <w:sz w:val="21"/>
                <w:szCs w:val="21"/>
                <w14:textFill>
                  <w14:solidFill>
                    <w14:schemeClr w14:val="tx1"/>
                  </w14:solidFill>
                </w14:textFill>
              </w:rPr>
              <w:t>防渗处理。</w:t>
            </w:r>
          </w:p>
        </w:tc>
        <w:tc>
          <w:tcPr>
            <w:tcW w:w="1233" w:type="pct"/>
            <w:vAlign w:val="center"/>
          </w:tcPr>
          <w:p w14:paraId="510BD6F9">
            <w:pPr>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不会对当地地下水及土壤环境产生影响</w:t>
            </w:r>
            <w:r>
              <w:rPr>
                <w:rFonts w:hint="eastAsia"/>
                <w:color w:val="000000" w:themeColor="text1"/>
                <w:sz w:val="21"/>
                <w:szCs w:val="21"/>
                <w:lang w:eastAsia="zh-CN"/>
                <w14:textFill>
                  <w14:solidFill>
                    <w14:schemeClr w14:val="tx1"/>
                  </w14:solidFill>
                </w14:textFill>
              </w:rPr>
              <w:t>。</w:t>
            </w:r>
          </w:p>
        </w:tc>
      </w:tr>
      <w:tr w14:paraId="09E956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36" w:hRule="atLeast"/>
          <w:jc w:val="center"/>
        </w:trPr>
        <w:tc>
          <w:tcPr>
            <w:tcW w:w="695" w:type="pct"/>
            <w:vAlign w:val="center"/>
          </w:tcPr>
          <w:p w14:paraId="2F940EB4">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声环境</w:t>
            </w:r>
          </w:p>
        </w:tc>
        <w:tc>
          <w:tcPr>
            <w:tcW w:w="1108" w:type="pct"/>
            <w:vAlign w:val="center"/>
          </w:tcPr>
          <w:p w14:paraId="7454896F">
            <w:pPr>
              <w:adjustRightInd w:val="0"/>
              <w:snapToGrid w:val="0"/>
              <w:spacing w:line="240" w:lineRule="auto"/>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避免在同一地点安排大量动力机械设备</w:t>
            </w:r>
            <w:r>
              <w:rPr>
                <w:rFonts w:hint="eastAsia"/>
                <w:color w:val="000000" w:themeColor="text1"/>
                <w:sz w:val="21"/>
                <w:szCs w:val="21"/>
                <w:lang w:eastAsia="zh-CN"/>
                <w14:textFill>
                  <w14:solidFill>
                    <w14:schemeClr w14:val="tx1"/>
                  </w14:solidFill>
                </w14:textFill>
              </w:rPr>
              <w:t>；</w:t>
            </w:r>
            <w:r>
              <w:rPr>
                <w:color w:val="000000" w:themeColor="text1"/>
                <w:sz w:val="21"/>
                <w:szCs w:val="21"/>
                <w14:textFill>
                  <w14:solidFill>
                    <w14:schemeClr w14:val="tx1"/>
                  </w14:solidFill>
                </w14:textFill>
              </w:rPr>
              <w:t>采取低噪声设备</w:t>
            </w:r>
            <w:r>
              <w:rPr>
                <w:rFonts w:hint="eastAsia"/>
                <w:color w:val="000000" w:themeColor="text1"/>
                <w:sz w:val="21"/>
                <w:szCs w:val="21"/>
                <w:lang w:eastAsia="zh-CN"/>
                <w14:textFill>
                  <w14:solidFill>
                    <w14:schemeClr w14:val="tx1"/>
                  </w14:solidFill>
                </w14:textFill>
              </w:rPr>
              <w:t>；对动力机械设备进行定期维修、养护；尽量缩短施工时间</w:t>
            </w:r>
            <w:r>
              <w:rPr>
                <w:color w:val="000000" w:themeColor="text1"/>
                <w:sz w:val="21"/>
                <w:szCs w:val="21"/>
                <w14:textFill>
                  <w14:solidFill>
                    <w14:schemeClr w14:val="tx1"/>
                  </w14:solidFill>
                </w14:textFill>
              </w:rPr>
              <w:t>。</w:t>
            </w:r>
          </w:p>
        </w:tc>
        <w:tc>
          <w:tcPr>
            <w:tcW w:w="874" w:type="pct"/>
            <w:vAlign w:val="center"/>
          </w:tcPr>
          <w:p w14:paraId="62184C4F">
            <w:pPr>
              <w:adjustRightInd w:val="0"/>
              <w:snapToGrid w:val="0"/>
              <w:spacing w:line="240" w:lineRule="auto"/>
              <w:ind w:left="-120" w:leftChars="-50" w:right="-120" w:rightChars="-50"/>
              <w:jc w:val="center"/>
              <w:rPr>
                <w:rFonts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14:textFill>
                  <w14:solidFill>
                    <w14:schemeClr w14:val="tx1"/>
                  </w14:solidFill>
                </w14:textFill>
              </w:rPr>
              <w:t>满足《建筑施工噪声排放标准》（GB12523-2025）</w:t>
            </w:r>
            <w:r>
              <w:rPr>
                <w:color w:val="000000" w:themeColor="text1"/>
                <w:sz w:val="21"/>
                <w:szCs w:val="21"/>
                <w14:textFill>
                  <w14:solidFill>
                    <w14:schemeClr w14:val="tx1"/>
                  </w14:solidFill>
                </w14:textFill>
              </w:rPr>
              <w:t>。</w:t>
            </w:r>
          </w:p>
        </w:tc>
        <w:tc>
          <w:tcPr>
            <w:tcW w:w="1087" w:type="pct"/>
            <w:vAlign w:val="center"/>
          </w:tcPr>
          <w:p w14:paraId="70DA715D">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选用低噪声设备；加强设备维护；优化设备布局等。</w:t>
            </w:r>
          </w:p>
        </w:tc>
        <w:tc>
          <w:tcPr>
            <w:tcW w:w="1233" w:type="pct"/>
            <w:vAlign w:val="center"/>
          </w:tcPr>
          <w:p w14:paraId="4945544A">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满足《工业企业厂界环境噪声排放标准》（GB12348-2008）中2类标准。</w:t>
            </w:r>
          </w:p>
        </w:tc>
      </w:tr>
      <w:tr w14:paraId="157BEC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95" w:type="pct"/>
            <w:vAlign w:val="center"/>
          </w:tcPr>
          <w:p w14:paraId="047CE3A5">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振动</w:t>
            </w:r>
          </w:p>
        </w:tc>
        <w:tc>
          <w:tcPr>
            <w:tcW w:w="1108" w:type="pct"/>
            <w:vAlign w:val="center"/>
          </w:tcPr>
          <w:p w14:paraId="0C190D00">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874" w:type="pct"/>
            <w:vAlign w:val="center"/>
          </w:tcPr>
          <w:p w14:paraId="4021B68C">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087" w:type="pct"/>
            <w:vAlign w:val="center"/>
          </w:tcPr>
          <w:p w14:paraId="65C3315B">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233" w:type="pct"/>
            <w:vAlign w:val="center"/>
          </w:tcPr>
          <w:p w14:paraId="40657E40">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r w14:paraId="5204A2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95" w:type="pct"/>
            <w:vAlign w:val="center"/>
          </w:tcPr>
          <w:p w14:paraId="5A747F77">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大气环境</w:t>
            </w:r>
          </w:p>
        </w:tc>
        <w:tc>
          <w:tcPr>
            <w:tcW w:w="1108" w:type="pct"/>
            <w:vAlign w:val="center"/>
          </w:tcPr>
          <w:p w14:paraId="1DB88EF0">
            <w:pPr>
              <w:adjustRightInd w:val="0"/>
              <w:snapToGrid w:val="0"/>
              <w:spacing w:line="240" w:lineRule="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临时堆放土石方表面进行遮盖、四周进行围挡或定期对临时堆放土石方表面洒水。裸露地面应采取覆盖防尘布或防尘网，定时定量洒水。车辆应加盖篷布或采取密闭运输方式。使用环保焊条。机械、车辆使用标准柴油，加强机械、车辆维护保养等。</w:t>
            </w:r>
          </w:p>
        </w:tc>
        <w:tc>
          <w:tcPr>
            <w:tcW w:w="874" w:type="pct"/>
            <w:vAlign w:val="center"/>
          </w:tcPr>
          <w:p w14:paraId="63FD0638">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环境空气质量未受施工影响，未发生投诉事件。</w:t>
            </w:r>
          </w:p>
        </w:tc>
        <w:tc>
          <w:tcPr>
            <w:tcW w:w="1087" w:type="pct"/>
            <w:vAlign w:val="center"/>
          </w:tcPr>
          <w:p w14:paraId="334C23D2">
            <w:pPr>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加强事故油池的维护与管理，食堂油烟经油烟净化器处理后</w:t>
            </w:r>
            <w:r>
              <w:rPr>
                <w:rFonts w:hint="eastAsia"/>
                <w:color w:val="000000" w:themeColor="text1"/>
                <w:sz w:val="21"/>
                <w:szCs w:val="21"/>
                <w:lang w:val="en-US" w:eastAsia="zh-CN"/>
                <w14:textFill>
                  <w14:solidFill>
                    <w14:schemeClr w14:val="tx1"/>
                  </w14:solidFill>
                </w14:textFill>
              </w:rPr>
              <w:t>达标</w:t>
            </w:r>
            <w:r>
              <w:rPr>
                <w:rFonts w:hint="eastAsia"/>
                <w:color w:val="000000" w:themeColor="text1"/>
                <w:sz w:val="21"/>
                <w:szCs w:val="21"/>
                <w14:textFill>
                  <w14:solidFill>
                    <w14:schemeClr w14:val="tx1"/>
                  </w14:solidFill>
                </w14:textFill>
              </w:rPr>
              <w:t>排放</w:t>
            </w:r>
            <w:r>
              <w:rPr>
                <w:rFonts w:hint="eastAsia"/>
                <w:color w:val="000000" w:themeColor="text1"/>
                <w:sz w:val="21"/>
                <w:szCs w:val="21"/>
                <w:lang w:eastAsia="zh-CN"/>
                <w14:textFill>
                  <w14:solidFill>
                    <w14:schemeClr w14:val="tx1"/>
                  </w14:solidFill>
                </w14:textFill>
              </w:rPr>
              <w:t>。</w:t>
            </w:r>
          </w:p>
        </w:tc>
        <w:tc>
          <w:tcPr>
            <w:tcW w:w="1233" w:type="pct"/>
            <w:vAlign w:val="center"/>
          </w:tcPr>
          <w:p w14:paraId="2FE27D1B">
            <w:pPr>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油烟去除效率及排放浓度满足《饮食业油烟排放标准</w:t>
            </w:r>
            <w:r>
              <w:rPr>
                <w:rFonts w:hint="eastAsia"/>
                <w:color w:val="000000" w:themeColor="text1"/>
                <w:sz w:val="21"/>
                <w:szCs w:val="21"/>
                <w:lang w:eastAsia="zh-CN"/>
                <w14:textFill>
                  <w14:solidFill>
                    <w14:schemeClr w14:val="tx1"/>
                  </w14:solidFill>
                </w14:textFill>
              </w:rPr>
              <w:t>（试行）</w:t>
            </w:r>
            <w:r>
              <w:rPr>
                <w:rFonts w:hint="eastAsia"/>
                <w:color w:val="000000" w:themeColor="text1"/>
                <w:sz w:val="21"/>
                <w:szCs w:val="21"/>
                <w14:textFill>
                  <w14:solidFill>
                    <w14:schemeClr w14:val="tx1"/>
                  </w14:solidFill>
                </w14:textFill>
              </w:rPr>
              <w:t>》（GB18483-2001）要求。</w:t>
            </w:r>
          </w:p>
        </w:tc>
      </w:tr>
      <w:tr w14:paraId="5F6528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2" w:hRule="atLeast"/>
          <w:jc w:val="center"/>
        </w:trPr>
        <w:tc>
          <w:tcPr>
            <w:tcW w:w="695" w:type="pct"/>
            <w:vAlign w:val="center"/>
          </w:tcPr>
          <w:p w14:paraId="350D37CE">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固体废物</w:t>
            </w:r>
          </w:p>
        </w:tc>
        <w:tc>
          <w:tcPr>
            <w:tcW w:w="1108" w:type="pct"/>
            <w:vAlign w:val="center"/>
          </w:tcPr>
          <w:p w14:paraId="4D83DF27">
            <w:pPr>
              <w:wordWrap w:val="0"/>
              <w:adjustRightInd w:val="0"/>
              <w:snapToGrid w:val="0"/>
              <w:spacing w:line="240" w:lineRule="auto"/>
              <w:jc w:val="center"/>
              <w:rPr>
                <w:color w:val="000000" w:themeColor="text1"/>
                <w:sz w:val="21"/>
                <w:szCs w:val="21"/>
                <w14:textFill>
                  <w14:solidFill>
                    <w14:schemeClr w14:val="tx1"/>
                  </w14:solidFill>
                </w14:textFill>
              </w:rPr>
            </w:pPr>
            <w:r>
              <w:rPr>
                <w:rFonts w:hint="eastAsia" w:eastAsia="宋体"/>
                <w:color w:val="000000" w:themeColor="text1"/>
                <w:sz w:val="21"/>
                <w:szCs w:val="21"/>
                <w14:textFill>
                  <w14:solidFill>
                    <w14:schemeClr w14:val="tx1"/>
                  </w14:solidFill>
                </w14:textFill>
              </w:rPr>
              <w:t>施</w:t>
            </w:r>
            <w:r>
              <w:rPr>
                <w:color w:val="000000" w:themeColor="text1"/>
                <w:sz w:val="21"/>
                <w:szCs w:val="21"/>
                <w14:textFill>
                  <w14:solidFill>
                    <w14:schemeClr w14:val="tx1"/>
                  </w14:solidFill>
                </w14:textFill>
              </w:rPr>
              <w:t>工人员生活垃圾统一收集后交当地环卫部门</w:t>
            </w:r>
            <w:r>
              <w:rPr>
                <w:rFonts w:hint="eastAsia"/>
                <w:color w:val="000000" w:themeColor="text1"/>
                <w:sz w:val="21"/>
                <w:szCs w:val="21"/>
                <w14:textFill>
                  <w14:solidFill>
                    <w14:schemeClr w14:val="tx1"/>
                  </w14:solidFill>
                </w14:textFill>
              </w:rPr>
              <w:t>清运</w:t>
            </w:r>
            <w:r>
              <w:rPr>
                <w:rFonts w:hint="eastAsia"/>
                <w:color w:val="000000" w:themeColor="text1"/>
                <w:sz w:val="21"/>
                <w:szCs w:val="21"/>
                <w:lang w:eastAsia="zh-CN"/>
                <w14:textFill>
                  <w14:solidFill>
                    <w14:schemeClr w14:val="tx1"/>
                  </w14:solidFill>
                </w14:textFill>
              </w:rPr>
              <w:t>至且末县生活垃圾填埋场</w:t>
            </w:r>
            <w:r>
              <w:rPr>
                <w:color w:val="000000" w:themeColor="text1"/>
                <w:sz w:val="21"/>
                <w:szCs w:val="21"/>
                <w14:textFill>
                  <w14:solidFill>
                    <w14:schemeClr w14:val="tx1"/>
                  </w14:solidFill>
                </w14:textFill>
              </w:rPr>
              <w:t>。</w:t>
            </w:r>
            <w:r>
              <w:rPr>
                <w:rFonts w:hint="eastAsia"/>
                <w:color w:val="000000" w:themeColor="text1"/>
                <w:sz w:val="21"/>
                <w:szCs w:val="21"/>
                <w14:textFill>
                  <w14:solidFill>
                    <w14:schemeClr w14:val="tx1"/>
                  </w14:solidFill>
                </w14:textFill>
              </w:rPr>
              <w:t>建筑垃</w:t>
            </w:r>
            <w:r>
              <w:rPr>
                <w:rFonts w:hint="eastAsia"/>
                <w:color w:val="000000" w:themeColor="text1"/>
                <w:sz w:val="21"/>
                <w:szCs w:val="21"/>
                <w:lang w:eastAsia="zh-CN"/>
                <w14:textFill>
                  <w14:solidFill>
                    <w14:schemeClr w14:val="tx1"/>
                  </w14:solidFill>
                </w14:textFill>
              </w:rPr>
              <w:t>圾优先回收利用，</w:t>
            </w:r>
            <w:r>
              <w:rPr>
                <w:rFonts w:hint="eastAsia" w:ascii="Times New Roman" w:hAnsi="Times New Roman" w:cs="Times New Roman"/>
                <w:color w:val="000000" w:themeColor="text1"/>
                <w:sz w:val="21"/>
                <w:szCs w:val="21"/>
                <w:highlight w:val="none"/>
                <w:lang w:eastAsia="zh-CN"/>
                <w14:textFill>
                  <w14:solidFill>
                    <w14:schemeClr w14:val="tx1"/>
                  </w14:solidFill>
                </w14:textFill>
              </w:rPr>
              <w:t>不能综合利用的部分</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统一收集至住建部门指定场所进行处理</w:t>
            </w:r>
            <w:r>
              <w:rPr>
                <w:rFonts w:hint="eastAsia" w:ascii="Times New Roman" w:hAnsi="Times New Roman" w:cs="Times New Roman"/>
                <w:color w:val="000000" w:themeColor="text1"/>
                <w:sz w:val="21"/>
                <w:szCs w:val="21"/>
                <w:highlight w:val="none"/>
                <w:lang w:eastAsia="zh-CN"/>
                <w14:textFill>
                  <w14:solidFill>
                    <w14:schemeClr w14:val="tx1"/>
                  </w14:solidFill>
                </w14:textFill>
              </w:rPr>
              <w:t>。</w:t>
            </w:r>
          </w:p>
        </w:tc>
        <w:tc>
          <w:tcPr>
            <w:tcW w:w="874" w:type="pct"/>
            <w:vAlign w:val="center"/>
          </w:tcPr>
          <w:p w14:paraId="4D561039">
            <w:pPr>
              <w:wordWrap w:val="0"/>
              <w:adjustRightInd w:val="0"/>
              <w:snapToGrid w:val="0"/>
              <w:spacing w:line="240" w:lineRule="auto"/>
              <w:ind w:left="-120" w:leftChars="-50" w:right="-120" w:rightChars="-50"/>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施工现场无固废遗留。</w:t>
            </w:r>
          </w:p>
        </w:tc>
        <w:tc>
          <w:tcPr>
            <w:tcW w:w="1087" w:type="pct"/>
            <w:vAlign w:val="center"/>
          </w:tcPr>
          <w:p w14:paraId="0F55CDB2">
            <w:pPr>
              <w:wordWrap w:val="0"/>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变压器事故废油由资质单位进行清运处置；危险废物经</w:t>
            </w:r>
            <w:r>
              <w:rPr>
                <w:rFonts w:hint="eastAsia"/>
                <w:color w:val="000000" w:themeColor="text1"/>
                <w:sz w:val="21"/>
                <w:szCs w:val="21"/>
                <w:lang w:val="en-US" w:eastAsia="zh-CN"/>
                <w14:textFill>
                  <w14:solidFill>
                    <w14:schemeClr w14:val="tx1"/>
                  </w14:solidFill>
                </w14:textFill>
              </w:rPr>
              <w:t>危废贮存点</w:t>
            </w:r>
            <w:r>
              <w:rPr>
                <w:rFonts w:hint="eastAsia"/>
                <w:color w:val="000000" w:themeColor="text1"/>
                <w:sz w:val="21"/>
                <w:szCs w:val="21"/>
                <w14:textFill>
                  <w14:solidFill>
                    <w14:schemeClr w14:val="tx1"/>
                  </w14:solidFill>
                </w14:textFill>
              </w:rPr>
              <w:t>暂存后交由资质单位进行处置；生活垃圾</w:t>
            </w:r>
            <w:r>
              <w:rPr>
                <w:rFonts w:hint="eastAsia"/>
                <w:color w:val="000000" w:themeColor="text1"/>
                <w:sz w:val="21"/>
                <w:szCs w:val="21"/>
                <w:lang w:eastAsia="zh-CN"/>
                <w14:textFill>
                  <w14:solidFill>
                    <w14:schemeClr w14:val="tx1"/>
                  </w14:solidFill>
                </w14:textFill>
              </w:rPr>
              <w:t>与</w:t>
            </w:r>
            <w:r>
              <w:rPr>
                <w:rFonts w:hint="eastAsia"/>
                <w:color w:val="000000" w:themeColor="text1"/>
                <w:sz w:val="21"/>
                <w:szCs w:val="21"/>
                <w14:textFill>
                  <w14:solidFill>
                    <w14:schemeClr w14:val="tx1"/>
                  </w14:solidFill>
                </w14:textFill>
              </w:rPr>
              <w:t>干化污泥收集后交环卫部门清运。</w:t>
            </w:r>
          </w:p>
        </w:tc>
        <w:tc>
          <w:tcPr>
            <w:tcW w:w="1233" w:type="pct"/>
            <w:vAlign w:val="center"/>
          </w:tcPr>
          <w:p w14:paraId="2AE70C54">
            <w:pPr>
              <w:wordWrap w:val="0"/>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具备固废管理台账；签订危废处置协议，危废转移办理转移联单；</w:t>
            </w:r>
            <w:r>
              <w:rPr>
                <w:color w:val="000000" w:themeColor="text1"/>
                <w:sz w:val="21"/>
                <w:szCs w:val="21"/>
                <w14:textFill>
                  <w14:solidFill>
                    <w14:schemeClr w14:val="tx1"/>
                  </w14:solidFill>
                </w14:textFill>
              </w:rPr>
              <w:t>各类固体废弃物能够妥善处置</w:t>
            </w:r>
            <w:r>
              <w:rPr>
                <w:rFonts w:hint="eastAsia"/>
                <w:color w:val="000000" w:themeColor="text1"/>
                <w:sz w:val="21"/>
                <w:szCs w:val="21"/>
                <w14:textFill>
                  <w14:solidFill>
                    <w14:schemeClr w14:val="tx1"/>
                  </w14:solidFill>
                </w14:textFill>
              </w:rPr>
              <w:t>。</w:t>
            </w:r>
          </w:p>
        </w:tc>
      </w:tr>
      <w:tr w14:paraId="2AE576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695" w:type="pct"/>
            <w:vAlign w:val="center"/>
          </w:tcPr>
          <w:p w14:paraId="5689BA16">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电磁环境</w:t>
            </w:r>
          </w:p>
        </w:tc>
        <w:tc>
          <w:tcPr>
            <w:tcW w:w="1108" w:type="pct"/>
            <w:vAlign w:val="center"/>
          </w:tcPr>
          <w:p w14:paraId="6A9467BA">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874" w:type="pct"/>
            <w:vAlign w:val="center"/>
          </w:tcPr>
          <w:p w14:paraId="64790F8B">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087" w:type="pct"/>
            <w:vAlign w:val="center"/>
          </w:tcPr>
          <w:p w14:paraId="4119BEC9">
            <w:pPr>
              <w:wordWrap w:val="0"/>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lang w:eastAsia="zh-CN"/>
                <w14:textFill>
                  <w14:solidFill>
                    <w14:schemeClr w14:val="tx1"/>
                  </w14:solidFill>
                </w14:textFill>
              </w:rPr>
              <w:t>选用低辐射设备；站内按功能布置电器设备；</w:t>
            </w:r>
            <w:r>
              <w:rPr>
                <w:color w:val="000000" w:themeColor="text1"/>
                <w:sz w:val="21"/>
                <w:szCs w:val="21"/>
                <w14:textFill>
                  <w14:solidFill>
                    <w14:schemeClr w14:val="tx1"/>
                  </w14:solidFill>
                </w14:textFill>
              </w:rPr>
              <w:t>悬挂警示标识，定期巡检等。</w:t>
            </w:r>
          </w:p>
        </w:tc>
        <w:tc>
          <w:tcPr>
            <w:tcW w:w="1233" w:type="pct"/>
            <w:vAlign w:val="center"/>
          </w:tcPr>
          <w:p w14:paraId="0B0AF634">
            <w:pPr>
              <w:wordWrap w:val="0"/>
              <w:adjustRightInd w:val="0"/>
              <w:snapToGrid w:val="0"/>
              <w:spacing w:line="240" w:lineRule="auto"/>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满足</w:t>
            </w:r>
            <w:r>
              <w:rPr>
                <w:color w:val="000000" w:themeColor="text1"/>
                <w:sz w:val="21"/>
                <w:szCs w:val="21"/>
                <w14:textFill>
                  <w14:solidFill>
                    <w14:schemeClr w14:val="tx1"/>
                  </w14:solidFill>
                </w14:textFill>
              </w:rPr>
              <w:t>《电磁环境控制限值》（GB8702-2014）</w:t>
            </w:r>
            <w:r>
              <w:rPr>
                <w:rFonts w:hint="eastAsia"/>
                <w:color w:val="000000" w:themeColor="text1"/>
                <w:sz w:val="21"/>
                <w:szCs w:val="21"/>
                <w14:textFill>
                  <w14:solidFill>
                    <w14:schemeClr w14:val="tx1"/>
                  </w14:solidFill>
                </w14:textFill>
              </w:rPr>
              <w:t>要求。</w:t>
            </w:r>
          </w:p>
        </w:tc>
      </w:tr>
      <w:tr w14:paraId="2B4416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695" w:type="pct"/>
            <w:vAlign w:val="center"/>
          </w:tcPr>
          <w:p w14:paraId="6A1A2DF2">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环境风险</w:t>
            </w:r>
          </w:p>
        </w:tc>
        <w:tc>
          <w:tcPr>
            <w:tcW w:w="1108" w:type="pct"/>
            <w:vAlign w:val="center"/>
          </w:tcPr>
          <w:p w14:paraId="38B73B8A">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874" w:type="pct"/>
            <w:vAlign w:val="center"/>
          </w:tcPr>
          <w:p w14:paraId="2695286E">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087" w:type="pct"/>
            <w:vAlign w:val="center"/>
          </w:tcPr>
          <w:p w14:paraId="27B96EF9">
            <w:pPr>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加强对各种电器设备、事故油池及危废</w:t>
            </w:r>
            <w:r>
              <w:rPr>
                <w:rFonts w:hint="eastAsia"/>
                <w:color w:val="000000" w:themeColor="text1"/>
                <w:sz w:val="21"/>
                <w:szCs w:val="21"/>
                <w:lang w:val="en-US" w:eastAsia="zh-CN"/>
                <w14:textFill>
                  <w14:solidFill>
                    <w14:schemeClr w14:val="tx1"/>
                  </w14:solidFill>
                </w14:textFill>
              </w:rPr>
              <w:t>贮存点</w:t>
            </w:r>
            <w:r>
              <w:rPr>
                <w:rFonts w:hint="eastAsia"/>
                <w:color w:val="000000" w:themeColor="text1"/>
                <w:sz w:val="21"/>
                <w:szCs w:val="21"/>
                <w14:textFill>
                  <w14:solidFill>
                    <w14:schemeClr w14:val="tx1"/>
                  </w14:solidFill>
                </w14:textFill>
              </w:rPr>
              <w:t>的管理并定期检修；设置“禁止烟火”的警示标志；严格落实分区防渗措施；编制应急预案</w:t>
            </w:r>
            <w:r>
              <w:rPr>
                <w:rFonts w:hint="eastAsia"/>
                <w:color w:val="000000" w:themeColor="text1"/>
                <w:sz w:val="21"/>
                <w:szCs w:val="21"/>
                <w:lang w:eastAsia="zh-CN"/>
                <w14:textFill>
                  <w14:solidFill>
                    <w14:schemeClr w14:val="tx1"/>
                  </w14:solidFill>
                </w14:textFill>
              </w:rPr>
              <w:t>。</w:t>
            </w:r>
          </w:p>
        </w:tc>
        <w:tc>
          <w:tcPr>
            <w:tcW w:w="1233" w:type="pct"/>
            <w:vAlign w:val="center"/>
          </w:tcPr>
          <w:p w14:paraId="06996A55">
            <w:pPr>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rFonts w:ascii="宋体" w:hAnsi="宋体" w:cs="宋体"/>
                <w:color w:val="000000" w:themeColor="text1"/>
                <w:spacing w:val="14"/>
                <w:sz w:val="21"/>
                <w:szCs w:val="21"/>
                <w14:textFill>
                  <w14:solidFill>
                    <w14:schemeClr w14:val="tx1"/>
                  </w14:solidFill>
                </w14:textFill>
              </w:rPr>
              <w:t>危</w:t>
            </w:r>
            <w:r>
              <w:rPr>
                <w:rFonts w:ascii="宋体" w:hAnsi="宋体" w:cs="宋体"/>
                <w:color w:val="000000" w:themeColor="text1"/>
                <w:spacing w:val="8"/>
                <w:sz w:val="21"/>
                <w:szCs w:val="21"/>
                <w14:textFill>
                  <w14:solidFill>
                    <w14:schemeClr w14:val="tx1"/>
                  </w14:solidFill>
                </w14:textFill>
              </w:rPr>
              <w:t>险废物执行《危险</w:t>
            </w:r>
            <w:r>
              <w:rPr>
                <w:rFonts w:ascii="宋体" w:hAnsi="宋体" w:cs="宋体"/>
                <w:color w:val="000000" w:themeColor="text1"/>
                <w:spacing w:val="11"/>
                <w:sz w:val="21"/>
                <w:szCs w:val="21"/>
                <w14:textFill>
                  <w14:solidFill>
                    <w14:schemeClr w14:val="tx1"/>
                  </w14:solidFill>
                </w14:textFill>
              </w:rPr>
              <w:t>废</w:t>
            </w:r>
            <w:r>
              <w:rPr>
                <w:rFonts w:ascii="宋体" w:hAnsi="宋体" w:cs="宋体"/>
                <w:color w:val="000000" w:themeColor="text1"/>
                <w:spacing w:val="9"/>
                <w:sz w:val="21"/>
                <w:szCs w:val="21"/>
                <w14:textFill>
                  <w14:solidFill>
                    <w14:schemeClr w14:val="tx1"/>
                  </w14:solidFill>
                </w14:textFill>
              </w:rPr>
              <w:t>物贮存污染控制标</w:t>
            </w:r>
            <w:r>
              <w:rPr>
                <w:rFonts w:ascii="宋体" w:hAnsi="宋体" w:cs="宋体"/>
                <w:color w:val="000000" w:themeColor="text1"/>
                <w:spacing w:val="8"/>
                <w:sz w:val="21"/>
                <w:szCs w:val="21"/>
                <w14:textFill>
                  <w14:solidFill>
                    <w14:schemeClr w14:val="tx1"/>
                  </w14:solidFill>
                </w14:textFill>
              </w:rPr>
              <w:t>准》</w:t>
            </w:r>
            <w:r>
              <w:rPr>
                <w:rFonts w:hint="eastAsia"/>
                <w:color w:val="000000" w:themeColor="text1"/>
                <w:spacing w:val="5"/>
                <w:sz w:val="21"/>
                <w:szCs w:val="21"/>
                <w14:textFill>
                  <w14:solidFill>
                    <w14:schemeClr w14:val="tx1"/>
                  </w14:solidFill>
                </w14:textFill>
              </w:rPr>
              <w:t>（</w:t>
            </w:r>
            <w:r>
              <w:rPr>
                <w:rFonts w:eastAsia="Times New Roman"/>
                <w:color w:val="000000" w:themeColor="text1"/>
                <w:sz w:val="21"/>
                <w:szCs w:val="21"/>
                <w14:textFill>
                  <w14:solidFill>
                    <w14:schemeClr w14:val="tx1"/>
                  </w14:solidFill>
                </w14:textFill>
              </w:rPr>
              <w:t>GB</w:t>
            </w:r>
            <w:r>
              <w:rPr>
                <w:rFonts w:eastAsia="Times New Roman"/>
                <w:color w:val="000000" w:themeColor="text1"/>
                <w:spacing w:val="4"/>
                <w:sz w:val="21"/>
                <w:szCs w:val="21"/>
                <w14:textFill>
                  <w14:solidFill>
                    <w14:schemeClr w14:val="tx1"/>
                  </w14:solidFill>
                </w14:textFill>
              </w:rPr>
              <w:t>18597-2023</w:t>
            </w:r>
            <w:r>
              <w:rPr>
                <w:rFonts w:hint="eastAsia"/>
                <w:color w:val="000000" w:themeColor="text1"/>
                <w:spacing w:val="5"/>
                <w:sz w:val="21"/>
                <w:szCs w:val="21"/>
                <w14:textFill>
                  <w14:solidFill>
                    <w14:schemeClr w14:val="tx1"/>
                  </w14:solidFill>
                </w14:textFill>
              </w:rPr>
              <w:t>）</w:t>
            </w:r>
            <w:r>
              <w:rPr>
                <w:rFonts w:hint="eastAsia"/>
                <w:color w:val="000000" w:themeColor="text1"/>
                <w:spacing w:val="5"/>
                <w:sz w:val="21"/>
                <w:szCs w:val="21"/>
                <w:lang w:eastAsia="zh-CN"/>
                <w14:textFill>
                  <w14:solidFill>
                    <w14:schemeClr w14:val="tx1"/>
                  </w14:solidFill>
                </w14:textFill>
              </w:rPr>
              <w:t>；事故</w:t>
            </w:r>
            <w:r>
              <w:rPr>
                <w:rFonts w:hint="eastAsia"/>
                <w:color w:val="000000" w:themeColor="text1"/>
                <w:spacing w:val="5"/>
                <w:sz w:val="21"/>
                <w:szCs w:val="21"/>
                <w:lang w:val="en-US" w:eastAsia="zh-CN"/>
                <w14:textFill>
                  <w14:solidFill>
                    <w14:schemeClr w14:val="tx1"/>
                  </w14:solidFill>
                </w14:textFill>
              </w:rPr>
              <w:t>油</w:t>
            </w:r>
            <w:r>
              <w:rPr>
                <w:rFonts w:hint="eastAsia"/>
                <w:color w:val="000000" w:themeColor="text1"/>
                <w:spacing w:val="5"/>
                <w:sz w:val="21"/>
                <w:szCs w:val="21"/>
                <w:lang w:eastAsia="zh-CN"/>
                <w14:textFill>
                  <w14:solidFill>
                    <w14:schemeClr w14:val="tx1"/>
                  </w14:solidFill>
                </w14:textFill>
              </w:rPr>
              <w:t>池验收合格、已编制并备案环境风险应急预案、定期应急演练。</w:t>
            </w:r>
          </w:p>
        </w:tc>
      </w:tr>
      <w:tr w14:paraId="41880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695" w:type="pct"/>
            <w:vAlign w:val="center"/>
          </w:tcPr>
          <w:p w14:paraId="30AA889B">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环境监测</w:t>
            </w:r>
          </w:p>
        </w:tc>
        <w:tc>
          <w:tcPr>
            <w:tcW w:w="1108" w:type="pct"/>
            <w:vAlign w:val="center"/>
          </w:tcPr>
          <w:p w14:paraId="143E08B1">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噪声、大气、生态</w:t>
            </w:r>
          </w:p>
          <w:p w14:paraId="0DF69BC8">
            <w:pPr>
              <w:wordWrap w:val="0"/>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lang w:eastAsia="zh-CN"/>
                <w14:textFill>
                  <w14:solidFill>
                    <w14:schemeClr w14:val="tx1"/>
                  </w14:solidFill>
                </w14:textFill>
              </w:rPr>
              <w:t>恢复</w:t>
            </w:r>
            <w:r>
              <w:rPr>
                <w:color w:val="000000" w:themeColor="text1"/>
                <w:sz w:val="21"/>
                <w:szCs w:val="21"/>
                <w14:textFill>
                  <w14:solidFill>
                    <w14:schemeClr w14:val="tx1"/>
                  </w14:solidFill>
                </w14:textFill>
              </w:rPr>
              <w:t>监测</w:t>
            </w:r>
            <w:r>
              <w:rPr>
                <w:rFonts w:hint="eastAsia"/>
                <w:color w:val="000000" w:themeColor="text1"/>
                <w:sz w:val="21"/>
                <w:szCs w:val="21"/>
                <w:lang w:eastAsia="zh-CN"/>
                <w14:textFill>
                  <w14:solidFill>
                    <w14:schemeClr w14:val="tx1"/>
                  </w14:solidFill>
                </w14:textFill>
              </w:rPr>
              <w:t>。</w:t>
            </w:r>
          </w:p>
        </w:tc>
        <w:tc>
          <w:tcPr>
            <w:tcW w:w="874" w:type="pct"/>
            <w:vAlign w:val="center"/>
          </w:tcPr>
          <w:p w14:paraId="046F4CDD">
            <w:pPr>
              <w:wordWrap w:val="0"/>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噪声及大气采取现场监测，施工结束后进行生态调查</w:t>
            </w:r>
            <w:r>
              <w:rPr>
                <w:rFonts w:hint="eastAsia"/>
                <w:color w:val="000000" w:themeColor="text1"/>
                <w:sz w:val="21"/>
                <w:szCs w:val="21"/>
                <w:lang w:eastAsia="zh-CN"/>
                <w14:textFill>
                  <w14:solidFill>
                    <w14:schemeClr w14:val="tx1"/>
                  </w14:solidFill>
                </w14:textFill>
              </w:rPr>
              <w:t>。</w:t>
            </w:r>
          </w:p>
        </w:tc>
        <w:tc>
          <w:tcPr>
            <w:tcW w:w="1087" w:type="pct"/>
            <w:vAlign w:val="center"/>
          </w:tcPr>
          <w:p w14:paraId="4156BD5D">
            <w:pPr>
              <w:wordWrap w:val="0"/>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t>噪声、</w:t>
            </w:r>
            <w:r>
              <w:rPr>
                <w:rFonts w:hint="eastAsia"/>
                <w:color w:val="000000" w:themeColor="text1"/>
                <w:sz w:val="21"/>
                <w:szCs w:val="21"/>
                <w14:textFill>
                  <w14:solidFill>
                    <w14:schemeClr w14:val="tx1"/>
                  </w14:solidFill>
                </w14:textFill>
              </w:rPr>
              <w:t>大气、</w:t>
            </w:r>
            <w:r>
              <w:rPr>
                <w:color w:val="000000" w:themeColor="text1"/>
                <w:sz w:val="21"/>
                <w:szCs w:val="21"/>
                <w14:textFill>
                  <w14:solidFill>
                    <w14:schemeClr w14:val="tx1"/>
                  </w14:solidFill>
                </w14:textFill>
              </w:rPr>
              <w:t>生态、电磁</w:t>
            </w:r>
            <w:r>
              <w:rPr>
                <w:rFonts w:hint="eastAsia"/>
                <w:color w:val="000000" w:themeColor="text1"/>
                <w:sz w:val="21"/>
                <w:szCs w:val="21"/>
                <w:lang w:eastAsia="zh-CN"/>
                <w14:textFill>
                  <w14:solidFill>
                    <w14:schemeClr w14:val="tx1"/>
                  </w14:solidFill>
                </w14:textFill>
              </w:rPr>
              <w:t>。</w:t>
            </w:r>
          </w:p>
        </w:tc>
        <w:tc>
          <w:tcPr>
            <w:tcW w:w="1233" w:type="pct"/>
            <w:vAlign w:val="center"/>
          </w:tcPr>
          <w:p w14:paraId="47E2DD70">
            <w:pPr>
              <w:wordWrap w:val="0"/>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委托有资质的单位开展监测或自行监测，监测记录完整</w:t>
            </w:r>
            <w:r>
              <w:rPr>
                <w:rFonts w:hint="eastAsia"/>
                <w:color w:val="000000" w:themeColor="text1"/>
                <w:sz w:val="21"/>
                <w:szCs w:val="21"/>
                <w:lang w:eastAsia="zh-CN"/>
                <w14:textFill>
                  <w14:solidFill>
                    <w14:schemeClr w14:val="tx1"/>
                  </w14:solidFill>
                </w14:textFill>
              </w:rPr>
              <w:t>。</w:t>
            </w:r>
          </w:p>
        </w:tc>
      </w:tr>
      <w:tr w14:paraId="7FD0E0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695" w:type="pct"/>
            <w:vAlign w:val="center"/>
          </w:tcPr>
          <w:p w14:paraId="41B05154">
            <w:pPr>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其他</w:t>
            </w:r>
          </w:p>
        </w:tc>
        <w:tc>
          <w:tcPr>
            <w:tcW w:w="1108" w:type="pct"/>
            <w:vAlign w:val="center"/>
          </w:tcPr>
          <w:p w14:paraId="23EBBBAF">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874" w:type="pct"/>
            <w:vAlign w:val="center"/>
          </w:tcPr>
          <w:p w14:paraId="33691CEB">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c>
          <w:tcPr>
            <w:tcW w:w="1087" w:type="pct"/>
            <w:vAlign w:val="center"/>
          </w:tcPr>
          <w:p w14:paraId="7B231261">
            <w:pPr>
              <w:wordWrap w:val="0"/>
              <w:adjustRightInd w:val="0"/>
              <w:snapToGrid w:val="0"/>
              <w:spacing w:line="240" w:lineRule="auto"/>
              <w:jc w:val="center"/>
              <w:rPr>
                <w:rFonts w:hint="eastAsia" w:eastAsia="宋体"/>
                <w:color w:val="000000" w:themeColor="text1"/>
                <w:sz w:val="21"/>
                <w:szCs w:val="21"/>
                <w:lang w:eastAsia="zh-CN"/>
                <w14:textFill>
                  <w14:solidFill>
                    <w14:schemeClr w14:val="tx1"/>
                  </w14:solidFill>
                </w14:textFill>
              </w:rPr>
            </w:pPr>
            <w:r>
              <w:rPr>
                <w:color w:val="000000" w:themeColor="text1"/>
                <w:sz w:val="21"/>
                <w:szCs w:val="21"/>
                <w14:textFill>
                  <w14:solidFill>
                    <w14:schemeClr w14:val="tx1"/>
                  </w14:solidFill>
                </w14:textFill>
              </w:rPr>
              <w:t>建设项目环评及审批手续完备、环境保护档案资料齐全</w:t>
            </w:r>
            <w:r>
              <w:rPr>
                <w:rFonts w:hint="eastAsia"/>
                <w:color w:val="000000" w:themeColor="text1"/>
                <w:sz w:val="21"/>
                <w:szCs w:val="21"/>
                <w:lang w:eastAsia="zh-CN"/>
                <w14:textFill>
                  <w14:solidFill>
                    <w14:schemeClr w14:val="tx1"/>
                  </w14:solidFill>
                </w14:textFill>
              </w:rPr>
              <w:t>。</w:t>
            </w:r>
          </w:p>
        </w:tc>
        <w:tc>
          <w:tcPr>
            <w:tcW w:w="1233" w:type="pct"/>
            <w:vAlign w:val="center"/>
          </w:tcPr>
          <w:p w14:paraId="1454DDA1">
            <w:pPr>
              <w:wordWrap w:val="0"/>
              <w:adjustRightInd w:val="0"/>
              <w:snapToGrid w:val="0"/>
              <w:spacing w:line="240" w:lineRule="auto"/>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w:t>
            </w:r>
          </w:p>
        </w:tc>
      </w:tr>
    </w:tbl>
    <w:p w14:paraId="63C394EB">
      <w:pPr>
        <w:pStyle w:val="22"/>
        <w:adjustRightInd w:val="0"/>
        <w:snapToGrid w:val="0"/>
        <w:spacing w:before="0" w:beforeAutospacing="0" w:after="0" w:afterAutospacing="0" w:line="360" w:lineRule="auto"/>
        <w:jc w:val="center"/>
        <w:rPr>
          <w:rFonts w:ascii="Times New Roman" w:hAnsi="Times New Roman"/>
          <w:snapToGrid w:val="0"/>
          <w:color w:val="000000" w:themeColor="text1"/>
          <w:sz w:val="30"/>
          <w:szCs w:val="30"/>
          <w14:textFill>
            <w14:solidFill>
              <w14:schemeClr w14:val="tx1"/>
            </w14:solidFill>
          </w14:textFill>
        </w:rPr>
      </w:pPr>
      <w:bookmarkStart w:id="51" w:name="_Toc21477"/>
      <w:bookmarkStart w:id="52" w:name="_Toc6824"/>
    </w:p>
    <w:p w14:paraId="7BE14A0A">
      <w:pPr>
        <w:pStyle w:val="22"/>
        <w:adjustRightInd w:val="0"/>
        <w:snapToGrid w:val="0"/>
        <w:spacing w:before="0" w:beforeAutospacing="0" w:after="0" w:afterAutospacing="0" w:line="360" w:lineRule="auto"/>
        <w:jc w:val="center"/>
        <w:rPr>
          <w:rFonts w:ascii="Times New Roman" w:hAnsi="Times New Roman"/>
          <w:snapToGrid w:val="0"/>
          <w:color w:val="000000" w:themeColor="text1"/>
          <w:sz w:val="30"/>
          <w:szCs w:val="30"/>
          <w14:textFill>
            <w14:solidFill>
              <w14:schemeClr w14:val="tx1"/>
            </w14:solidFill>
          </w14:textFill>
        </w:rPr>
      </w:pPr>
    </w:p>
    <w:p w14:paraId="0617B24C">
      <w:pPr>
        <w:pStyle w:val="22"/>
        <w:adjustRightInd w:val="0"/>
        <w:snapToGrid w:val="0"/>
        <w:spacing w:before="0" w:beforeAutospacing="0" w:after="0" w:afterAutospacing="0" w:line="360" w:lineRule="auto"/>
        <w:jc w:val="center"/>
        <w:rPr>
          <w:rFonts w:ascii="Times New Roman" w:hAnsi="Times New Roman"/>
          <w:snapToGrid w:val="0"/>
          <w:color w:val="000000" w:themeColor="text1"/>
          <w:sz w:val="30"/>
          <w:szCs w:val="30"/>
          <w14:textFill>
            <w14:solidFill>
              <w14:schemeClr w14:val="tx1"/>
            </w14:solidFill>
          </w14:textFill>
        </w:rPr>
      </w:pPr>
    </w:p>
    <w:p w14:paraId="0C25C065">
      <w:pPr>
        <w:pStyle w:val="22"/>
        <w:adjustRightInd w:val="0"/>
        <w:snapToGrid w:val="0"/>
        <w:spacing w:before="0" w:beforeAutospacing="0" w:after="0" w:afterAutospacing="0" w:line="360" w:lineRule="auto"/>
        <w:jc w:val="center"/>
        <w:rPr>
          <w:rFonts w:ascii="Times New Roman" w:hAnsi="Times New Roman"/>
          <w:snapToGrid w:val="0"/>
          <w:color w:val="000000" w:themeColor="text1"/>
          <w:sz w:val="30"/>
          <w:szCs w:val="30"/>
          <w14:textFill>
            <w14:solidFill>
              <w14:schemeClr w14:val="tx1"/>
            </w14:solidFill>
          </w14:textFill>
        </w:rPr>
      </w:pPr>
    </w:p>
    <w:p w14:paraId="36F2DC39">
      <w:pPr>
        <w:pStyle w:val="22"/>
        <w:adjustRightInd w:val="0"/>
        <w:snapToGrid w:val="0"/>
        <w:spacing w:before="0" w:beforeAutospacing="0" w:after="0" w:afterAutospacing="0" w:line="360" w:lineRule="auto"/>
        <w:jc w:val="center"/>
        <w:outlineLvl w:val="0"/>
        <w:rPr>
          <w:rFonts w:ascii="Times New Roman" w:hAnsi="Times New Roman"/>
          <w:b/>
          <w:bCs/>
          <w:snapToGrid w:val="0"/>
          <w:color w:val="000000" w:themeColor="text1"/>
          <w:sz w:val="30"/>
          <w:szCs w:val="30"/>
          <w14:textFill>
            <w14:solidFill>
              <w14:schemeClr w14:val="tx1"/>
            </w14:solidFill>
          </w14:textFill>
        </w:rPr>
      </w:pPr>
      <w:bookmarkStart w:id="53" w:name="_Toc25781"/>
      <w:bookmarkStart w:id="54" w:name="_Toc2769"/>
    </w:p>
    <w:p w14:paraId="343BED0D">
      <w:pPr>
        <w:pStyle w:val="22"/>
        <w:adjustRightInd w:val="0"/>
        <w:snapToGrid w:val="0"/>
        <w:spacing w:before="0" w:beforeAutospacing="0" w:after="0" w:afterAutospacing="0" w:line="360" w:lineRule="auto"/>
        <w:jc w:val="center"/>
        <w:outlineLvl w:val="0"/>
        <w:rPr>
          <w:rFonts w:ascii="Times New Roman" w:hAnsi="Times New Roman"/>
          <w:b/>
          <w:bCs/>
          <w:snapToGrid w:val="0"/>
          <w:color w:val="000000" w:themeColor="text1"/>
          <w:sz w:val="30"/>
          <w:szCs w:val="30"/>
          <w14:textFill>
            <w14:solidFill>
              <w14:schemeClr w14:val="tx1"/>
            </w14:solidFill>
          </w14:textFill>
        </w:rPr>
      </w:pPr>
    </w:p>
    <w:p w14:paraId="1725A2A4">
      <w:pPr>
        <w:pStyle w:val="22"/>
        <w:adjustRightInd w:val="0"/>
        <w:snapToGrid w:val="0"/>
        <w:spacing w:before="0" w:beforeAutospacing="0" w:after="0" w:afterAutospacing="0" w:line="360" w:lineRule="auto"/>
        <w:jc w:val="center"/>
        <w:outlineLvl w:val="0"/>
        <w:rPr>
          <w:rFonts w:ascii="Times New Roman" w:hAnsi="Times New Roman"/>
          <w:b/>
          <w:bCs/>
          <w:snapToGrid w:val="0"/>
          <w:color w:val="000000" w:themeColor="text1"/>
          <w:sz w:val="30"/>
          <w:szCs w:val="30"/>
          <w14:textFill>
            <w14:solidFill>
              <w14:schemeClr w14:val="tx1"/>
            </w14:solidFill>
          </w14:textFill>
        </w:rPr>
      </w:pPr>
    </w:p>
    <w:p w14:paraId="2E9CC705">
      <w:pPr>
        <w:pStyle w:val="22"/>
        <w:adjustRightInd w:val="0"/>
        <w:snapToGrid w:val="0"/>
        <w:spacing w:before="0" w:beforeAutospacing="0" w:after="0" w:afterAutospacing="0" w:line="360" w:lineRule="auto"/>
        <w:jc w:val="center"/>
        <w:outlineLvl w:val="0"/>
        <w:rPr>
          <w:rFonts w:ascii="Times New Roman" w:hAnsi="Times New Roman"/>
          <w:b/>
          <w:bCs/>
          <w:snapToGrid w:val="0"/>
          <w:color w:val="000000" w:themeColor="text1"/>
          <w:sz w:val="30"/>
          <w:szCs w:val="30"/>
          <w14:textFill>
            <w14:solidFill>
              <w14:schemeClr w14:val="tx1"/>
            </w14:solidFill>
          </w14:textFill>
        </w:rPr>
      </w:pPr>
      <w:r>
        <w:rPr>
          <w:rFonts w:ascii="Times New Roman" w:hAnsi="Times New Roman"/>
          <w:b/>
          <w:bCs/>
          <w:snapToGrid w:val="0"/>
          <w:color w:val="000000" w:themeColor="text1"/>
          <w:sz w:val="30"/>
          <w:szCs w:val="30"/>
          <w14:textFill>
            <w14:solidFill>
              <w14:schemeClr w14:val="tx1"/>
            </w14:solidFill>
          </w14:textFill>
        </w:rPr>
        <w:t>七、结论</w:t>
      </w:r>
      <w:bookmarkEnd w:id="51"/>
      <w:bookmarkEnd w:id="52"/>
      <w:bookmarkEnd w:id="53"/>
      <w:bookmarkEnd w:id="54"/>
    </w:p>
    <w:tbl>
      <w:tblPr>
        <w:tblStyle w:val="27"/>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63F00D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8" w:hRule="atLeast"/>
          <w:jc w:val="center"/>
        </w:trPr>
        <w:tc>
          <w:tcPr>
            <w:tcW w:w="9289" w:type="dxa"/>
          </w:tcPr>
          <w:p w14:paraId="60D419C1">
            <w:pPr>
              <w:spacing w:line="50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综上所述，</w:t>
            </w:r>
            <w:r>
              <w:rPr>
                <w:rFonts w:hint="default"/>
                <w:color w:val="000000" w:themeColor="text1"/>
                <w:sz w:val="24"/>
                <w:lang w:val="en-US"/>
                <w14:textFill>
                  <w14:solidFill>
                    <w14:schemeClr w14:val="tx1"/>
                  </w14:solidFill>
                </w14:textFill>
              </w:rPr>
              <w:t>新疆且末250MW/1000MWh构网型独立新型储能项目220千伏输变电工程</w:t>
            </w:r>
            <w:r>
              <w:rPr>
                <w:rFonts w:hint="eastAsia"/>
                <w:color w:val="000000" w:themeColor="text1"/>
                <w:sz w:val="24"/>
                <w14:textFill>
                  <w14:solidFill>
                    <w14:schemeClr w14:val="tx1"/>
                  </w14:solidFill>
                </w14:textFill>
              </w:rPr>
              <w:t>符合国家和地方的相关产业政策，选址符合“生态环境分区管控”和当地规划，所采用的污染防治措施合理可行，可确保污染物稳定达标排放；项目处理达标后的各项污染物对周围</w:t>
            </w:r>
            <w:r>
              <w:rPr>
                <w:rFonts w:hint="eastAsia"/>
                <w:color w:val="000000" w:themeColor="text1"/>
                <w:sz w:val="24"/>
                <w:lang w:val="en-US" w:eastAsia="zh-CN"/>
                <w14:textFill>
                  <w14:solidFill>
                    <w14:schemeClr w14:val="tx1"/>
                  </w14:solidFill>
                </w14:textFill>
              </w:rPr>
              <w:t>生态</w:t>
            </w:r>
            <w:r>
              <w:rPr>
                <w:rFonts w:hint="eastAsia"/>
                <w:color w:val="000000" w:themeColor="text1"/>
                <w:sz w:val="24"/>
                <w14:textFill>
                  <w14:solidFill>
                    <w14:schemeClr w14:val="tx1"/>
                  </w14:solidFill>
                </w14:textFill>
              </w:rPr>
              <w:t>环境的影响较小，不会改变当地的环境功能区划，项目的环境风险较小且可以接受。在落实本报告提出的各项污染防治措施、严格执行“三同时”制度的情况下，从环保角度分析，项目在拟建地的建设</w:t>
            </w:r>
            <w:r>
              <w:rPr>
                <w:rFonts w:hint="eastAsia"/>
                <w:color w:val="000000" w:themeColor="text1"/>
                <w:sz w:val="24"/>
                <w:lang w:val="en-US" w:eastAsia="zh-CN"/>
                <w14:textFill>
                  <w14:solidFill>
                    <w14:schemeClr w14:val="tx1"/>
                  </w14:solidFill>
                </w14:textFill>
              </w:rPr>
              <w:t>生态</w:t>
            </w:r>
            <w:r>
              <w:rPr>
                <w:rFonts w:hint="eastAsia"/>
                <w:color w:val="000000" w:themeColor="text1"/>
                <w:sz w:val="24"/>
                <w14:textFill>
                  <w14:solidFill>
                    <w14:schemeClr w14:val="tx1"/>
                  </w14:solidFill>
                </w14:textFill>
              </w:rPr>
              <w:t>环境影响可行。</w:t>
            </w:r>
          </w:p>
          <w:p w14:paraId="1F5CD10C">
            <w:pPr>
              <w:spacing w:line="360" w:lineRule="auto"/>
              <w:ind w:firstLine="480" w:firstLineChars="200"/>
              <w:rPr>
                <w:color w:val="000000" w:themeColor="text1"/>
                <w14:textFill>
                  <w14:solidFill>
                    <w14:schemeClr w14:val="tx1"/>
                  </w14:solidFill>
                </w14:textFill>
              </w:rPr>
            </w:pPr>
          </w:p>
          <w:p w14:paraId="0B71D9EF">
            <w:pPr>
              <w:ind w:firstLine="480" w:firstLineChars="200"/>
              <w:rPr>
                <w:color w:val="000000" w:themeColor="text1"/>
                <w14:textFill>
                  <w14:solidFill>
                    <w14:schemeClr w14:val="tx1"/>
                  </w14:solidFill>
                </w14:textFill>
              </w:rPr>
            </w:pPr>
          </w:p>
          <w:p w14:paraId="4835DFB3">
            <w:pPr>
              <w:ind w:firstLine="480" w:firstLineChars="200"/>
              <w:rPr>
                <w:color w:val="000000" w:themeColor="text1"/>
                <w14:textFill>
                  <w14:solidFill>
                    <w14:schemeClr w14:val="tx1"/>
                  </w14:solidFill>
                </w14:textFill>
              </w:rPr>
            </w:pPr>
          </w:p>
          <w:p w14:paraId="0F7E84D4">
            <w:pPr>
              <w:ind w:firstLine="480" w:firstLineChars="200"/>
              <w:rPr>
                <w:color w:val="000000" w:themeColor="text1"/>
                <w14:textFill>
                  <w14:solidFill>
                    <w14:schemeClr w14:val="tx1"/>
                  </w14:solidFill>
                </w14:textFill>
              </w:rPr>
            </w:pPr>
          </w:p>
          <w:p w14:paraId="21E4A44F">
            <w:pPr>
              <w:ind w:firstLine="480" w:firstLineChars="200"/>
              <w:rPr>
                <w:color w:val="000000" w:themeColor="text1"/>
                <w14:textFill>
                  <w14:solidFill>
                    <w14:schemeClr w14:val="tx1"/>
                  </w14:solidFill>
                </w14:textFill>
              </w:rPr>
            </w:pPr>
          </w:p>
          <w:p w14:paraId="0C213320">
            <w:pPr>
              <w:ind w:firstLine="480" w:firstLineChars="200"/>
              <w:rPr>
                <w:color w:val="000000" w:themeColor="text1"/>
                <w14:textFill>
                  <w14:solidFill>
                    <w14:schemeClr w14:val="tx1"/>
                  </w14:solidFill>
                </w14:textFill>
              </w:rPr>
            </w:pPr>
          </w:p>
          <w:p w14:paraId="5BA94357">
            <w:pPr>
              <w:ind w:firstLine="480" w:firstLineChars="200"/>
              <w:rPr>
                <w:color w:val="000000" w:themeColor="text1"/>
                <w14:textFill>
                  <w14:solidFill>
                    <w14:schemeClr w14:val="tx1"/>
                  </w14:solidFill>
                </w14:textFill>
              </w:rPr>
            </w:pPr>
          </w:p>
          <w:p w14:paraId="5160670C">
            <w:pPr>
              <w:ind w:firstLine="480" w:firstLineChars="200"/>
              <w:rPr>
                <w:color w:val="000000" w:themeColor="text1"/>
                <w14:textFill>
                  <w14:solidFill>
                    <w14:schemeClr w14:val="tx1"/>
                  </w14:solidFill>
                </w14:textFill>
              </w:rPr>
            </w:pPr>
          </w:p>
          <w:p w14:paraId="6B4F06BD">
            <w:pPr>
              <w:ind w:firstLine="480" w:firstLineChars="200"/>
              <w:rPr>
                <w:color w:val="000000" w:themeColor="text1"/>
                <w14:textFill>
                  <w14:solidFill>
                    <w14:schemeClr w14:val="tx1"/>
                  </w14:solidFill>
                </w14:textFill>
              </w:rPr>
            </w:pPr>
          </w:p>
          <w:p w14:paraId="7AC586D8">
            <w:pPr>
              <w:ind w:firstLine="480" w:firstLineChars="200"/>
              <w:rPr>
                <w:color w:val="000000" w:themeColor="text1"/>
                <w14:textFill>
                  <w14:solidFill>
                    <w14:schemeClr w14:val="tx1"/>
                  </w14:solidFill>
                </w14:textFill>
              </w:rPr>
            </w:pPr>
          </w:p>
          <w:p w14:paraId="6CA5061A">
            <w:pPr>
              <w:ind w:firstLine="480" w:firstLineChars="200"/>
              <w:rPr>
                <w:color w:val="000000" w:themeColor="text1"/>
                <w14:textFill>
                  <w14:solidFill>
                    <w14:schemeClr w14:val="tx1"/>
                  </w14:solidFill>
                </w14:textFill>
              </w:rPr>
            </w:pPr>
          </w:p>
          <w:p w14:paraId="6DD7679A">
            <w:pPr>
              <w:ind w:firstLine="480" w:firstLineChars="200"/>
              <w:rPr>
                <w:color w:val="000000" w:themeColor="text1"/>
                <w14:textFill>
                  <w14:solidFill>
                    <w14:schemeClr w14:val="tx1"/>
                  </w14:solidFill>
                </w14:textFill>
              </w:rPr>
            </w:pPr>
          </w:p>
          <w:p w14:paraId="5339E0F8">
            <w:pPr>
              <w:ind w:firstLine="480" w:firstLineChars="200"/>
              <w:rPr>
                <w:color w:val="000000" w:themeColor="text1"/>
                <w14:textFill>
                  <w14:solidFill>
                    <w14:schemeClr w14:val="tx1"/>
                  </w14:solidFill>
                </w14:textFill>
              </w:rPr>
            </w:pPr>
          </w:p>
          <w:p w14:paraId="4034B8D4">
            <w:pPr>
              <w:ind w:firstLine="480" w:firstLineChars="200"/>
              <w:rPr>
                <w:color w:val="000000" w:themeColor="text1"/>
                <w14:textFill>
                  <w14:solidFill>
                    <w14:schemeClr w14:val="tx1"/>
                  </w14:solidFill>
                </w14:textFill>
              </w:rPr>
            </w:pPr>
          </w:p>
          <w:p w14:paraId="3C31A731">
            <w:pPr>
              <w:ind w:firstLine="480" w:firstLineChars="200"/>
              <w:rPr>
                <w:color w:val="000000" w:themeColor="text1"/>
                <w14:textFill>
                  <w14:solidFill>
                    <w14:schemeClr w14:val="tx1"/>
                  </w14:solidFill>
                </w14:textFill>
              </w:rPr>
            </w:pPr>
          </w:p>
          <w:p w14:paraId="036D4CCC">
            <w:pPr>
              <w:pStyle w:val="34"/>
              <w:rPr>
                <w:color w:val="000000" w:themeColor="text1"/>
                <w14:textFill>
                  <w14:solidFill>
                    <w14:schemeClr w14:val="tx1"/>
                  </w14:solidFill>
                </w14:textFill>
              </w:rPr>
            </w:pPr>
          </w:p>
          <w:p w14:paraId="76394184">
            <w:pPr>
              <w:rPr>
                <w:color w:val="000000" w:themeColor="text1"/>
                <w14:textFill>
                  <w14:solidFill>
                    <w14:schemeClr w14:val="tx1"/>
                  </w14:solidFill>
                </w14:textFill>
              </w:rPr>
            </w:pPr>
          </w:p>
          <w:p w14:paraId="02616B51">
            <w:pPr>
              <w:pStyle w:val="34"/>
              <w:rPr>
                <w:color w:val="000000" w:themeColor="text1"/>
                <w14:textFill>
                  <w14:solidFill>
                    <w14:schemeClr w14:val="tx1"/>
                  </w14:solidFill>
                </w14:textFill>
              </w:rPr>
            </w:pPr>
          </w:p>
          <w:p w14:paraId="330FA4B0">
            <w:pPr>
              <w:pStyle w:val="34"/>
              <w:rPr>
                <w:color w:val="000000" w:themeColor="text1"/>
                <w14:textFill>
                  <w14:solidFill>
                    <w14:schemeClr w14:val="tx1"/>
                  </w14:solidFill>
                </w14:textFill>
              </w:rPr>
            </w:pPr>
          </w:p>
          <w:p w14:paraId="18CEB9B1">
            <w:pPr>
              <w:ind w:firstLine="480" w:firstLineChars="200"/>
              <w:rPr>
                <w:color w:val="000000" w:themeColor="text1"/>
                <w:szCs w:val="21"/>
                <w14:textFill>
                  <w14:solidFill>
                    <w14:schemeClr w14:val="tx1"/>
                  </w14:solidFill>
                </w14:textFill>
              </w:rPr>
            </w:pPr>
          </w:p>
        </w:tc>
      </w:tr>
    </w:tbl>
    <w:p w14:paraId="34B055A4">
      <w:pPr>
        <w:rPr>
          <w:color w:val="000000" w:themeColor="text1"/>
          <w14:textFill>
            <w14:solidFill>
              <w14:schemeClr w14:val="tx1"/>
            </w14:solidFill>
          </w14:textFill>
        </w:rPr>
        <w:sectPr>
          <w:footerReference r:id="rId8" w:type="default"/>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14:paraId="56F8D00B">
      <w:pPr>
        <w:adjustRightInd w:val="0"/>
        <w:snapToGrid w:val="0"/>
        <w:spacing w:line="360" w:lineRule="auto"/>
        <w:rPr>
          <w:color w:val="000000" w:themeColor="text1"/>
          <w14:textFill>
            <w14:solidFill>
              <w14:schemeClr w14:val="tx1"/>
            </w14:solidFill>
          </w14:textFill>
        </w:rPr>
      </w:pPr>
    </w:p>
    <w:p w14:paraId="0CC44B6E">
      <w:pPr>
        <w:adjustRightInd w:val="0"/>
        <w:snapToGrid w:val="0"/>
        <w:spacing w:line="360" w:lineRule="auto"/>
        <w:rPr>
          <w:color w:val="000000" w:themeColor="text1"/>
          <w14:textFill>
            <w14:solidFill>
              <w14:schemeClr w14:val="tx1"/>
            </w14:solidFill>
          </w14:textFill>
        </w:rPr>
      </w:pPr>
    </w:p>
    <w:p w14:paraId="7DE8C409">
      <w:pPr>
        <w:adjustRightInd w:val="0"/>
        <w:snapToGrid w:val="0"/>
        <w:spacing w:line="360" w:lineRule="auto"/>
        <w:rPr>
          <w:color w:val="000000" w:themeColor="text1"/>
          <w14:textFill>
            <w14:solidFill>
              <w14:schemeClr w14:val="tx1"/>
            </w14:solidFill>
          </w14:textFill>
        </w:rPr>
      </w:pPr>
    </w:p>
    <w:p w14:paraId="1B018198">
      <w:pPr>
        <w:adjustRightInd w:val="0"/>
        <w:snapToGrid w:val="0"/>
        <w:spacing w:line="360" w:lineRule="auto"/>
        <w:rPr>
          <w:color w:val="000000" w:themeColor="text1"/>
          <w14:textFill>
            <w14:solidFill>
              <w14:schemeClr w14:val="tx1"/>
            </w14:solidFill>
          </w14:textFill>
        </w:rPr>
      </w:pPr>
    </w:p>
    <w:p w14:paraId="0A2FBBAA">
      <w:pPr>
        <w:adjustRightInd w:val="0"/>
        <w:snapToGrid w:val="0"/>
        <w:spacing w:line="360" w:lineRule="auto"/>
        <w:rPr>
          <w:color w:val="000000" w:themeColor="text1"/>
          <w14:textFill>
            <w14:solidFill>
              <w14:schemeClr w14:val="tx1"/>
            </w14:solidFill>
          </w14:textFill>
        </w:rPr>
      </w:pPr>
    </w:p>
    <w:p w14:paraId="2016D02D">
      <w:pPr>
        <w:adjustRightInd w:val="0"/>
        <w:snapToGrid w:val="0"/>
        <w:spacing w:line="360" w:lineRule="auto"/>
        <w:rPr>
          <w:color w:val="000000" w:themeColor="text1"/>
          <w14:textFill>
            <w14:solidFill>
              <w14:schemeClr w14:val="tx1"/>
            </w14:solidFill>
          </w14:textFill>
        </w:rPr>
      </w:pPr>
    </w:p>
    <w:p w14:paraId="10A1A743">
      <w:pPr>
        <w:tabs>
          <w:tab w:val="left" w:pos="425"/>
        </w:tabs>
        <w:spacing w:line="360" w:lineRule="auto"/>
        <w:outlineLvl w:val="0"/>
        <w:rPr>
          <w:b/>
          <w:bCs/>
          <w:color w:val="000000" w:themeColor="text1"/>
          <w:sz w:val="32"/>
          <w:szCs w:val="32"/>
          <w14:textFill>
            <w14:solidFill>
              <w14:schemeClr w14:val="tx1"/>
            </w14:solidFill>
          </w14:textFill>
        </w:rPr>
      </w:pPr>
    </w:p>
    <w:p w14:paraId="6FABBA45">
      <w:pPr>
        <w:spacing w:line="360" w:lineRule="auto"/>
        <w:jc w:val="center"/>
        <w:rPr>
          <w:rFonts w:hint="eastAsia" w:asciiTheme="minorEastAsia" w:hAnsiTheme="minorEastAsia" w:eastAsiaTheme="minorEastAsia" w:cstheme="minorEastAsia"/>
          <w:b/>
          <w:bCs/>
          <w:color w:val="000000" w:themeColor="text1"/>
          <w:sz w:val="44"/>
          <w:szCs w:val="44"/>
          <w14:textFill>
            <w14:solidFill>
              <w14:schemeClr w14:val="tx1"/>
            </w14:solidFill>
          </w14:textFill>
        </w:rPr>
      </w:pPr>
      <w:bookmarkStart w:id="55" w:name="_Toc20536"/>
      <w:r>
        <w:rPr>
          <w:rFonts w:hint="eastAsia" w:asciiTheme="minorEastAsia" w:hAnsiTheme="minorEastAsia" w:eastAsiaTheme="minorEastAsia" w:cstheme="minorEastAsia"/>
          <w:b/>
          <w:bCs/>
          <w:color w:val="000000" w:themeColor="text1"/>
          <w:sz w:val="44"/>
          <w:szCs w:val="44"/>
          <w14:textFill>
            <w14:solidFill>
              <w14:schemeClr w14:val="tx1"/>
            </w14:solidFill>
          </w14:textFill>
        </w:rPr>
        <w:t>新疆且末250MW/1000MWh构网型独立新型</w:t>
      </w:r>
    </w:p>
    <w:p w14:paraId="15943DB1">
      <w:pPr>
        <w:spacing w:line="360" w:lineRule="auto"/>
        <w:jc w:val="center"/>
        <w:rPr>
          <w:rFonts w:hint="eastAsia" w:asciiTheme="minorEastAsia" w:hAnsiTheme="minorEastAsia" w:eastAsiaTheme="minorEastAsia" w:cstheme="minorEastAsia"/>
          <w:b/>
          <w:bCs/>
          <w:color w:val="000000" w:themeColor="text1"/>
          <w:sz w:val="44"/>
          <w:szCs w:val="44"/>
          <w14:textFill>
            <w14:solidFill>
              <w14:schemeClr w14:val="tx1"/>
            </w14:solidFill>
          </w14:textFill>
        </w:rPr>
      </w:pPr>
      <w:r>
        <w:rPr>
          <w:rFonts w:hint="eastAsia" w:asciiTheme="minorEastAsia" w:hAnsiTheme="minorEastAsia" w:eastAsiaTheme="minorEastAsia" w:cstheme="minorEastAsia"/>
          <w:b/>
          <w:bCs/>
          <w:color w:val="000000" w:themeColor="text1"/>
          <w:sz w:val="44"/>
          <w:szCs w:val="44"/>
          <w14:textFill>
            <w14:solidFill>
              <w14:schemeClr w14:val="tx1"/>
            </w14:solidFill>
          </w14:textFill>
        </w:rPr>
        <w:t>储能项目220千伏输变电工程</w:t>
      </w:r>
    </w:p>
    <w:p w14:paraId="12152B86">
      <w:pPr>
        <w:pStyle w:val="22"/>
        <w:adjustRightInd w:val="0"/>
        <w:snapToGrid w:val="0"/>
        <w:spacing w:before="0" w:beforeAutospacing="0" w:after="0" w:afterAutospacing="0" w:line="360" w:lineRule="auto"/>
        <w:jc w:val="center"/>
        <w:outlineLvl w:val="0"/>
        <w:rPr>
          <w:rFonts w:ascii="Times New Roman" w:hAnsi="Times New Roman" w:eastAsia="宋体" w:cs="Times New Roman"/>
          <w:b/>
          <w:bCs/>
          <w:snapToGrid w:val="0"/>
          <w:color w:val="000000" w:themeColor="text1"/>
          <w:sz w:val="44"/>
          <w:szCs w:val="44"/>
          <w14:textFill>
            <w14:solidFill>
              <w14:schemeClr w14:val="tx1"/>
            </w14:solidFill>
          </w14:textFill>
        </w:rPr>
      </w:pPr>
      <w:bookmarkStart w:id="56" w:name="_Toc26771"/>
      <w:r>
        <w:rPr>
          <w:rFonts w:ascii="Times New Roman" w:hAnsi="Times New Roman" w:eastAsia="宋体" w:cs="Times New Roman"/>
          <w:b/>
          <w:bCs/>
          <w:snapToGrid w:val="0"/>
          <w:color w:val="000000" w:themeColor="text1"/>
          <w:sz w:val="44"/>
          <w:szCs w:val="44"/>
          <w14:textFill>
            <w14:solidFill>
              <w14:schemeClr w14:val="tx1"/>
            </w14:solidFill>
          </w14:textFill>
        </w:rPr>
        <w:t>电磁环境影响专题评价</w:t>
      </w:r>
      <w:bookmarkEnd w:id="55"/>
      <w:bookmarkEnd w:id="56"/>
    </w:p>
    <w:p w14:paraId="1EE87C56">
      <w:pPr>
        <w:adjustRightInd w:val="0"/>
        <w:snapToGrid w:val="0"/>
        <w:spacing w:line="360" w:lineRule="auto"/>
        <w:ind w:firstLine="480" w:firstLineChars="200"/>
        <w:rPr>
          <w:color w:val="000000" w:themeColor="text1"/>
          <w14:textFill>
            <w14:solidFill>
              <w14:schemeClr w14:val="tx1"/>
            </w14:solidFill>
          </w14:textFill>
        </w:rPr>
      </w:pPr>
    </w:p>
    <w:p w14:paraId="7E6C905A">
      <w:pPr>
        <w:adjustRightInd w:val="0"/>
        <w:snapToGrid w:val="0"/>
        <w:spacing w:line="360" w:lineRule="auto"/>
        <w:ind w:firstLine="480" w:firstLineChars="200"/>
        <w:rPr>
          <w:color w:val="000000" w:themeColor="text1"/>
          <w14:textFill>
            <w14:solidFill>
              <w14:schemeClr w14:val="tx1"/>
            </w14:solidFill>
          </w14:textFill>
        </w:rPr>
      </w:pPr>
    </w:p>
    <w:p w14:paraId="0DA4AB1E">
      <w:pPr>
        <w:adjustRightInd w:val="0"/>
        <w:snapToGrid w:val="0"/>
        <w:spacing w:line="360" w:lineRule="auto"/>
        <w:ind w:firstLine="480" w:firstLineChars="200"/>
        <w:rPr>
          <w:color w:val="000000" w:themeColor="text1"/>
          <w14:textFill>
            <w14:solidFill>
              <w14:schemeClr w14:val="tx1"/>
            </w14:solidFill>
          </w14:textFill>
        </w:rPr>
      </w:pPr>
    </w:p>
    <w:p w14:paraId="1D55D469">
      <w:pPr>
        <w:adjustRightInd w:val="0"/>
        <w:snapToGrid w:val="0"/>
        <w:spacing w:line="360" w:lineRule="auto"/>
        <w:ind w:firstLine="480" w:firstLineChars="200"/>
        <w:rPr>
          <w:color w:val="000000" w:themeColor="text1"/>
          <w14:textFill>
            <w14:solidFill>
              <w14:schemeClr w14:val="tx1"/>
            </w14:solidFill>
          </w14:textFill>
        </w:rPr>
      </w:pPr>
    </w:p>
    <w:p w14:paraId="28A75B5C">
      <w:pPr>
        <w:adjustRightInd w:val="0"/>
        <w:snapToGrid w:val="0"/>
        <w:spacing w:line="360" w:lineRule="auto"/>
        <w:ind w:firstLine="480" w:firstLineChars="200"/>
        <w:rPr>
          <w:color w:val="000000" w:themeColor="text1"/>
          <w14:textFill>
            <w14:solidFill>
              <w14:schemeClr w14:val="tx1"/>
            </w14:solidFill>
          </w14:textFill>
        </w:rPr>
      </w:pPr>
    </w:p>
    <w:p w14:paraId="38FC04E1">
      <w:pPr>
        <w:adjustRightInd w:val="0"/>
        <w:snapToGrid w:val="0"/>
        <w:spacing w:line="360" w:lineRule="auto"/>
        <w:ind w:firstLine="480" w:firstLineChars="200"/>
        <w:rPr>
          <w:color w:val="000000" w:themeColor="text1"/>
          <w14:textFill>
            <w14:solidFill>
              <w14:schemeClr w14:val="tx1"/>
            </w14:solidFill>
          </w14:textFill>
        </w:rPr>
      </w:pPr>
    </w:p>
    <w:p w14:paraId="4644E71B">
      <w:pPr>
        <w:adjustRightInd w:val="0"/>
        <w:snapToGrid w:val="0"/>
        <w:spacing w:line="360" w:lineRule="auto"/>
        <w:ind w:firstLine="480" w:firstLineChars="200"/>
        <w:rPr>
          <w:color w:val="000000" w:themeColor="text1"/>
          <w14:textFill>
            <w14:solidFill>
              <w14:schemeClr w14:val="tx1"/>
            </w14:solidFill>
          </w14:textFill>
        </w:rPr>
      </w:pPr>
    </w:p>
    <w:p w14:paraId="1F876C2A">
      <w:pPr>
        <w:adjustRightInd w:val="0"/>
        <w:snapToGrid w:val="0"/>
        <w:spacing w:line="360" w:lineRule="auto"/>
        <w:ind w:firstLine="480" w:firstLineChars="200"/>
        <w:rPr>
          <w:color w:val="000000" w:themeColor="text1"/>
          <w14:textFill>
            <w14:solidFill>
              <w14:schemeClr w14:val="tx1"/>
            </w14:solidFill>
          </w14:textFill>
        </w:rPr>
      </w:pPr>
    </w:p>
    <w:p w14:paraId="373B32E2">
      <w:pPr>
        <w:adjustRightInd w:val="0"/>
        <w:snapToGrid w:val="0"/>
        <w:spacing w:line="360" w:lineRule="auto"/>
        <w:ind w:firstLine="480" w:firstLineChars="200"/>
        <w:rPr>
          <w:color w:val="000000" w:themeColor="text1"/>
          <w14:textFill>
            <w14:solidFill>
              <w14:schemeClr w14:val="tx1"/>
            </w14:solidFill>
          </w14:textFill>
        </w:rPr>
      </w:pPr>
    </w:p>
    <w:p w14:paraId="2748383D">
      <w:pPr>
        <w:keepNext w:val="0"/>
        <w:keepLines w:val="0"/>
        <w:pageBreakBefore w:val="0"/>
        <w:widowControl w:val="0"/>
        <w:tabs>
          <w:tab w:val="left" w:pos="425"/>
        </w:tabs>
        <w:kinsoku/>
        <w:wordWrap/>
        <w:overflowPunct/>
        <w:topLinePunct w:val="0"/>
        <w:autoSpaceDE/>
        <w:autoSpaceDN/>
        <w:bidi w:val="0"/>
        <w:adjustRightInd w:val="0"/>
        <w:snapToGrid w:val="0"/>
        <w:spacing w:line="480" w:lineRule="auto"/>
        <w:jc w:val="center"/>
        <w:textAlignment w:val="auto"/>
        <w:rPr>
          <w:rFonts w:hint="eastAsia"/>
          <w:b/>
          <w:bCs/>
          <w:color w:val="000000" w:themeColor="text1"/>
          <w:sz w:val="32"/>
          <w:szCs w:val="32"/>
          <w:lang w:eastAsia="zh-CN"/>
          <w14:textFill>
            <w14:solidFill>
              <w14:schemeClr w14:val="tx1"/>
            </w14:solidFill>
          </w14:textFill>
        </w:rPr>
      </w:pPr>
      <w:r>
        <w:rPr>
          <w:b/>
          <w:bCs/>
          <w:color w:val="000000" w:themeColor="text1"/>
          <w:sz w:val="32"/>
          <w:szCs w:val="32"/>
          <w14:textFill>
            <w14:solidFill>
              <w14:schemeClr w14:val="tx1"/>
            </w14:solidFill>
          </w14:textFill>
        </w:rPr>
        <w:t>建设单位：</w:t>
      </w:r>
      <w:r>
        <w:rPr>
          <w:rFonts w:hint="eastAsia"/>
          <w:b/>
          <w:bCs/>
          <w:color w:val="000000" w:themeColor="text1"/>
          <w:sz w:val="32"/>
          <w:szCs w:val="32"/>
          <w14:textFill>
            <w14:solidFill>
              <w14:schemeClr w14:val="tx1"/>
            </w14:solidFill>
          </w14:textFill>
        </w:rPr>
        <w:t>且末融玉储能有限责任公司</w:t>
      </w:r>
    </w:p>
    <w:p w14:paraId="6FDAA20E">
      <w:pPr>
        <w:tabs>
          <w:tab w:val="left" w:pos="425"/>
        </w:tabs>
        <w:adjustRightInd w:val="0"/>
        <w:snapToGrid w:val="0"/>
        <w:spacing w:line="480" w:lineRule="auto"/>
        <w:jc w:val="center"/>
        <w:rPr>
          <w:b/>
          <w:bCs/>
          <w:color w:val="000000" w:themeColor="text1"/>
          <w:sz w:val="32"/>
          <w:szCs w:val="32"/>
          <w14:textFill>
            <w14:solidFill>
              <w14:schemeClr w14:val="tx1"/>
            </w14:solidFill>
          </w14:textFill>
        </w:rPr>
        <w:sectPr>
          <w:footerReference r:id="rId9" w:type="default"/>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r>
        <w:rPr>
          <w:b/>
          <w:bCs/>
          <w:color w:val="000000" w:themeColor="text1"/>
          <w:sz w:val="32"/>
          <w:szCs w:val="32"/>
          <w14:textFill>
            <w14:solidFill>
              <w14:schemeClr w14:val="tx1"/>
            </w14:solidFill>
          </w14:textFill>
        </w:rPr>
        <w:t>编制日期：202</w:t>
      </w:r>
      <w:r>
        <w:rPr>
          <w:rFonts w:hint="eastAsia"/>
          <w:b/>
          <w:bCs/>
          <w:color w:val="000000" w:themeColor="text1"/>
          <w:sz w:val="32"/>
          <w:szCs w:val="32"/>
          <w:lang w:val="en-US" w:eastAsia="zh-CN"/>
          <w14:textFill>
            <w14:solidFill>
              <w14:schemeClr w14:val="tx1"/>
            </w14:solidFill>
          </w14:textFill>
        </w:rPr>
        <w:t>6</w:t>
      </w:r>
      <w:r>
        <w:rPr>
          <w:b/>
          <w:bCs/>
          <w:color w:val="000000" w:themeColor="text1"/>
          <w:sz w:val="32"/>
          <w:szCs w:val="32"/>
          <w14:textFill>
            <w14:solidFill>
              <w14:schemeClr w14:val="tx1"/>
            </w14:solidFill>
          </w14:textFill>
        </w:rPr>
        <w:t>年</w:t>
      </w:r>
      <w:r>
        <w:rPr>
          <w:rFonts w:hint="eastAsia"/>
          <w:b/>
          <w:bCs/>
          <w:color w:val="000000" w:themeColor="text1"/>
          <w:sz w:val="32"/>
          <w:szCs w:val="32"/>
          <w:lang w:val="en-US" w:eastAsia="zh-CN"/>
          <w14:textFill>
            <w14:solidFill>
              <w14:schemeClr w14:val="tx1"/>
            </w14:solidFill>
          </w14:textFill>
        </w:rPr>
        <w:t>9</w:t>
      </w:r>
      <w:r>
        <w:rPr>
          <w:b/>
          <w:bCs/>
          <w:color w:val="000000" w:themeColor="text1"/>
          <w:sz w:val="32"/>
          <w:szCs w:val="32"/>
          <w14:textFill>
            <w14:solidFill>
              <w14:schemeClr w14:val="tx1"/>
            </w14:solidFill>
          </w14:textFill>
        </w:rPr>
        <w:t>月</w:t>
      </w:r>
    </w:p>
    <w:p w14:paraId="3C77049C">
      <w:pPr>
        <w:spacing w:line="500" w:lineRule="exact"/>
        <w:ind w:firstLine="482" w:firstLineChars="200"/>
        <w:rPr>
          <w:b/>
          <w:bCs/>
          <w:color w:val="000000" w:themeColor="text1"/>
          <w14:textFill>
            <w14:solidFill>
              <w14:schemeClr w14:val="tx1"/>
            </w14:solidFill>
          </w14:textFill>
        </w:rPr>
      </w:pPr>
      <w:bookmarkStart w:id="57" w:name="_Toc13562"/>
      <w:bookmarkStart w:id="58" w:name="_Toc4968"/>
      <w:bookmarkStart w:id="59" w:name="_Toc3658"/>
      <w:r>
        <w:rPr>
          <w:b/>
          <w:bCs/>
          <w:color w:val="000000" w:themeColor="text1"/>
          <w14:textFill>
            <w14:solidFill>
              <w14:schemeClr w14:val="tx1"/>
            </w14:solidFill>
          </w14:textFill>
        </w:rPr>
        <w:t>1.总则</w:t>
      </w:r>
      <w:bookmarkEnd w:id="57"/>
      <w:bookmarkEnd w:id="58"/>
      <w:bookmarkEnd w:id="59"/>
    </w:p>
    <w:p w14:paraId="3EF14E9B">
      <w:pPr>
        <w:spacing w:line="500" w:lineRule="exact"/>
        <w:ind w:firstLine="482" w:firstLineChars="200"/>
        <w:rPr>
          <w:b/>
          <w:bCs/>
          <w:color w:val="000000" w:themeColor="text1"/>
          <w14:textFill>
            <w14:solidFill>
              <w14:schemeClr w14:val="tx1"/>
            </w14:solidFill>
          </w14:textFill>
        </w:rPr>
      </w:pPr>
      <w:bookmarkStart w:id="60" w:name="_Toc480"/>
      <w:bookmarkStart w:id="61" w:name="_Toc8847"/>
      <w:bookmarkStart w:id="62" w:name="_Toc7936"/>
      <w:r>
        <w:rPr>
          <w:b/>
          <w:bCs/>
          <w:color w:val="000000" w:themeColor="text1"/>
          <w14:textFill>
            <w14:solidFill>
              <w14:schemeClr w14:val="tx1"/>
            </w14:solidFill>
          </w14:textFill>
        </w:rPr>
        <w:t>1.1项目规模</w:t>
      </w:r>
      <w:bookmarkEnd w:id="60"/>
      <w:bookmarkEnd w:id="61"/>
      <w:bookmarkEnd w:id="62"/>
    </w:p>
    <w:p w14:paraId="39DAE3D8">
      <w:pPr>
        <w:keepNext w:val="0"/>
        <w:keepLines w:val="0"/>
        <w:pageBreakBefore w:val="0"/>
        <w:widowControl w:val="0"/>
        <w:kinsoku/>
        <w:wordWrap/>
        <w:overflowPunct/>
        <w:topLinePunct w:val="0"/>
        <w:autoSpaceDE/>
        <w:autoSpaceDN/>
        <w:bidi w:val="0"/>
        <w:adjustRightInd w:val="0"/>
        <w:snapToGrid w:val="0"/>
        <w:spacing w:line="500" w:lineRule="exact"/>
        <w:ind w:firstLine="492" w:firstLineChars="200"/>
        <w:textAlignment w:val="auto"/>
        <w:rPr>
          <w:rFonts w:hint="eastAsia"/>
          <w:color w:val="000000" w:themeColor="text1"/>
          <w:sz w:val="24"/>
          <w14:textFill>
            <w14:solidFill>
              <w14:schemeClr w14:val="tx1"/>
            </w14:solidFill>
          </w14:textFill>
        </w:rPr>
      </w:pPr>
      <w:bookmarkStart w:id="63" w:name="_Toc13188"/>
      <w:bookmarkStart w:id="64" w:name="_Toc22313"/>
      <w:r>
        <w:rPr>
          <w:color w:val="000000" w:themeColor="text1"/>
          <w:spacing w:val="3"/>
          <w:sz w:val="24"/>
          <w14:textFill>
            <w14:solidFill>
              <w14:schemeClr w14:val="tx1"/>
            </w14:solidFill>
          </w14:textFill>
        </w:rPr>
        <w:t>本项目为</w:t>
      </w:r>
      <w:r>
        <w:rPr>
          <w:rFonts w:hint="eastAsia"/>
          <w:color w:val="000000" w:themeColor="text1"/>
          <w:spacing w:val="3"/>
          <w:sz w:val="24"/>
          <w14:textFill>
            <w14:solidFill>
              <w14:schemeClr w14:val="tx1"/>
            </w14:solidFill>
          </w14:textFill>
        </w:rPr>
        <w:t>新疆且末250MW/1000MWh构网型独立新型储能项目220千伏输变电工程</w:t>
      </w:r>
      <w:r>
        <w:rPr>
          <w:color w:val="000000" w:themeColor="text1"/>
          <w:spacing w:val="3"/>
          <w:sz w:val="24"/>
          <w14:textFill>
            <w14:solidFill>
              <w14:schemeClr w14:val="tx1"/>
            </w14:solidFill>
          </w14:textFill>
        </w:rPr>
        <w:t>，工程</w:t>
      </w:r>
      <w:r>
        <w:rPr>
          <w:color w:val="000000" w:themeColor="text1"/>
          <w:sz w:val="24"/>
          <w14:textFill>
            <w14:solidFill>
              <w14:schemeClr w14:val="tx1"/>
            </w14:solidFill>
          </w14:textFill>
        </w:rPr>
        <w:t>位于</w:t>
      </w:r>
      <w:r>
        <w:rPr>
          <w:rFonts w:hint="eastAsia"/>
          <w:b w:val="0"/>
          <w:bCs w:val="0"/>
          <w:color w:val="000000" w:themeColor="text1"/>
          <w:lang w:val="en-US" w:eastAsia="zh-CN"/>
          <w14:textFill>
            <w14:solidFill>
              <w14:schemeClr w14:val="tx1"/>
            </w14:solidFill>
          </w14:textFill>
        </w:rPr>
        <w:t>巴音郭楞蒙古自治州且末县昆仑工业园区西侧</w:t>
      </w:r>
      <w:r>
        <w:rPr>
          <w:color w:val="000000" w:themeColor="text1"/>
          <w:spacing w:val="4"/>
          <w:sz w:val="24"/>
          <w14:textFill>
            <w14:solidFill>
              <w14:schemeClr w14:val="tx1"/>
            </w14:solidFill>
          </w14:textFill>
        </w:rPr>
        <w:t>。</w:t>
      </w:r>
      <w:r>
        <w:rPr>
          <w:rFonts w:hint="eastAsia"/>
          <w:color w:val="000000" w:themeColor="text1"/>
          <w:sz w:val="24"/>
          <w14:textFill>
            <w14:solidFill>
              <w14:schemeClr w14:val="tx1"/>
            </w14:solidFill>
          </w14:textFill>
        </w:rPr>
        <w:t>建设内容</w:t>
      </w:r>
      <w:r>
        <w:rPr>
          <w:rFonts w:hint="eastAsia"/>
          <w:color w:val="000000" w:themeColor="text1"/>
          <w:sz w:val="24"/>
          <w:lang w:val="en-US" w:eastAsia="zh-CN"/>
          <w14:textFill>
            <w14:solidFill>
              <w14:schemeClr w14:val="tx1"/>
            </w14:solidFill>
          </w14:textFill>
        </w:rPr>
        <w:t>为</w:t>
      </w:r>
      <w:r>
        <w:rPr>
          <w:rFonts w:hint="eastAsia" w:ascii="Times New Roman" w:hAnsi="Times New Roman" w:eastAsia="宋体" w:cs="Times New Roman"/>
          <w:color w:val="000000" w:themeColor="text1"/>
          <w:sz w:val="24"/>
          <w:lang w:val="en-US" w:eastAsia="zh-CN"/>
          <w14:textFill>
            <w14:solidFill>
              <w14:schemeClr w14:val="tx1"/>
            </w14:solidFill>
          </w14:textFill>
        </w:rPr>
        <w:t>新建1座</w:t>
      </w:r>
      <w:r>
        <w:rPr>
          <w:rFonts w:hint="eastAsia" w:ascii="Times New Roman" w:hAnsi="Times New Roman" w:cs="Times New Roman"/>
          <w:color w:val="000000" w:themeColor="text1"/>
          <w:sz w:val="24"/>
          <w:lang w:val="en-US" w:eastAsia="zh-CN"/>
          <w14:textFill>
            <w14:solidFill>
              <w14:schemeClr w14:val="tx1"/>
            </w14:solidFill>
          </w14:textFill>
        </w:rPr>
        <w:t>220</w:t>
      </w:r>
      <w:r>
        <w:rPr>
          <w:rFonts w:hint="eastAsia" w:ascii="Times New Roman" w:hAnsi="Times New Roman" w:eastAsia="宋体" w:cs="Times New Roman"/>
          <w:color w:val="000000" w:themeColor="text1"/>
          <w:sz w:val="24"/>
          <w:lang w:val="en-US" w:eastAsia="zh-CN"/>
          <w14:textFill>
            <w14:solidFill>
              <w14:schemeClr w14:val="tx1"/>
            </w14:solidFill>
          </w14:textFill>
        </w:rPr>
        <w:t>kV升压</w:t>
      </w:r>
      <w:r>
        <w:rPr>
          <w:rFonts w:hint="eastAsia" w:ascii="Times New Roman" w:hAnsi="Times New Roman" w:cs="Times New Roman"/>
          <w:color w:val="000000" w:themeColor="text1"/>
          <w:sz w:val="24"/>
          <w:lang w:val="en-US" w:eastAsia="zh-CN"/>
          <w14:textFill>
            <w14:solidFill>
              <w14:schemeClr w14:val="tx1"/>
            </w14:solidFill>
          </w14:textFill>
        </w:rPr>
        <w:t>汇集</w:t>
      </w:r>
      <w:r>
        <w:rPr>
          <w:rFonts w:hint="eastAsia" w:ascii="Times New Roman" w:hAnsi="Times New Roman" w:eastAsia="宋体" w:cs="Times New Roman"/>
          <w:color w:val="000000" w:themeColor="text1"/>
          <w:sz w:val="24"/>
          <w:lang w:val="en-US" w:eastAsia="zh-CN"/>
          <w14:textFill>
            <w14:solidFill>
              <w14:schemeClr w14:val="tx1"/>
            </w14:solidFill>
          </w14:textFill>
        </w:rPr>
        <w:t>站，</w:t>
      </w:r>
      <w:r>
        <w:rPr>
          <w:rFonts w:hint="eastAsia" w:ascii="Times New Roman" w:hAnsi="Times New Roman" w:cs="Times New Roman"/>
          <w:color w:val="000000" w:themeColor="text1"/>
          <w:sz w:val="24"/>
          <w:lang w:val="en-US" w:eastAsia="zh-CN"/>
          <w14:textFill>
            <w14:solidFill>
              <w14:schemeClr w14:val="tx1"/>
            </w14:solidFill>
          </w14:textFill>
        </w:rPr>
        <w:t>站内</w:t>
      </w:r>
      <w:r>
        <w:rPr>
          <w:rFonts w:hint="eastAsia" w:ascii="Times New Roman" w:hAnsi="Times New Roman" w:eastAsia="宋体" w:cs="Times New Roman"/>
          <w:color w:val="000000" w:themeColor="text1"/>
          <w:sz w:val="24"/>
          <w:lang w:val="en-US" w:eastAsia="zh-CN"/>
          <w14:textFill>
            <w14:solidFill>
              <w14:schemeClr w14:val="tx1"/>
            </w14:solidFill>
          </w14:textFill>
        </w:rPr>
        <w:t>新建1台220/35kV主变，容量250MVA，采用三相双绕组油浸风冷有载调压变压器，电压组合：242±8×1.25%/36.5kV；联接组标号：YN，d11，远期预留2台250MVA主变压器</w:t>
      </w:r>
      <w:r>
        <w:rPr>
          <w:rFonts w:hint="eastAsia" w:ascii="Times New Roman" w:hAnsi="Times New Roman" w:cs="Times New Roman"/>
          <w:color w:val="000000" w:themeColor="text1"/>
          <w:sz w:val="24"/>
          <w:lang w:val="en-US" w:eastAsia="zh-CN"/>
          <w14:textFill>
            <w14:solidFill>
              <w14:schemeClr w14:val="tx1"/>
            </w14:solidFill>
          </w14:textFill>
        </w:rPr>
        <w:t>；同步新建2.8</w:t>
      </w:r>
      <w:r>
        <w:rPr>
          <w:rFonts w:hint="eastAsia" w:cs="Times New Roman"/>
          <w:color w:val="000000" w:themeColor="text1"/>
          <w:sz w:val="24"/>
          <w:lang w:val="en-US" w:eastAsia="zh-CN"/>
          <w14:textFill>
            <w14:solidFill>
              <w14:schemeClr w14:val="tx1"/>
            </w14:solidFill>
          </w14:textFill>
        </w:rPr>
        <w:t>8</w:t>
      </w:r>
      <w:r>
        <w:rPr>
          <w:rFonts w:hint="eastAsia" w:ascii="Times New Roman" w:hAnsi="Times New Roman" w:cs="Times New Roman"/>
          <w:color w:val="000000" w:themeColor="text1"/>
          <w:sz w:val="24"/>
          <w:lang w:val="en-US" w:eastAsia="zh-CN"/>
          <w14:textFill>
            <w14:solidFill>
              <w14:schemeClr w14:val="tx1"/>
            </w14:solidFill>
          </w14:textFill>
        </w:rPr>
        <w:t>km的22</w:t>
      </w:r>
      <w:r>
        <w:rPr>
          <w:rFonts w:hint="eastAsia" w:ascii="Times New Roman" w:hAnsi="Times New Roman" w:eastAsia="宋体" w:cs="Times New Roman"/>
          <w:color w:val="000000" w:themeColor="text1"/>
          <w:sz w:val="24"/>
          <w:lang w:val="en-US" w:eastAsia="zh-CN"/>
          <w14:textFill>
            <w14:solidFill>
              <w14:schemeClr w14:val="tx1"/>
            </w14:solidFill>
          </w14:textFill>
        </w:rPr>
        <w:t>0kV</w:t>
      </w:r>
      <w:r>
        <w:rPr>
          <w:rFonts w:hint="eastAsia" w:cs="Times New Roman"/>
          <w:color w:val="000000" w:themeColor="text1"/>
          <w:sz w:val="24"/>
          <w:lang w:val="en-US" w:eastAsia="zh-CN"/>
          <w14:textFill>
            <w14:solidFill>
              <w14:schemeClr w14:val="tx1"/>
            </w14:solidFill>
          </w14:textFill>
        </w:rPr>
        <w:t>外送线路</w:t>
      </w:r>
      <w:r>
        <w:rPr>
          <w:rFonts w:hint="eastAsia" w:ascii="Times New Roman" w:hAnsi="Times New Roman" w:eastAsia="宋体" w:cs="Times New Roman"/>
          <w:color w:val="000000" w:themeColor="text1"/>
          <w:sz w:val="24"/>
          <w:lang w:val="en-US" w:eastAsia="zh-CN"/>
          <w14:textFill>
            <w14:solidFill>
              <w14:schemeClr w14:val="tx1"/>
            </w14:solidFill>
          </w14:textFill>
        </w:rPr>
        <w:t>接入</w:t>
      </w:r>
      <w:r>
        <w:rPr>
          <w:rFonts w:hint="eastAsia" w:ascii="Times New Roman" w:hAnsi="Times New Roman" w:cs="Times New Roman"/>
          <w:color w:val="000000" w:themeColor="text1"/>
          <w:sz w:val="24"/>
          <w:lang w:val="en-US" w:eastAsia="zh-CN"/>
          <w14:textFill>
            <w14:solidFill>
              <w14:schemeClr w14:val="tx1"/>
            </w14:solidFill>
          </w14:textFill>
        </w:rPr>
        <w:t>且末750</w:t>
      </w:r>
      <w:r>
        <w:rPr>
          <w:rFonts w:hint="eastAsia" w:ascii="Times New Roman" w:hAnsi="Times New Roman" w:eastAsia="宋体" w:cs="Times New Roman"/>
          <w:color w:val="000000" w:themeColor="text1"/>
          <w:sz w:val="24"/>
          <w:lang w:val="en-US" w:eastAsia="zh-CN"/>
          <w14:textFill>
            <w14:solidFill>
              <w14:schemeClr w14:val="tx1"/>
            </w14:solidFill>
          </w14:textFill>
        </w:rPr>
        <w:t>kV</w:t>
      </w:r>
      <w:r>
        <w:rPr>
          <w:rFonts w:hint="eastAsia" w:ascii="Times New Roman" w:hAnsi="Times New Roman" w:cs="Times New Roman"/>
          <w:color w:val="000000" w:themeColor="text1"/>
          <w:sz w:val="24"/>
          <w:lang w:val="en-US" w:eastAsia="zh-CN"/>
          <w14:textFill>
            <w14:solidFill>
              <w14:schemeClr w14:val="tx1"/>
            </w14:solidFill>
          </w14:textFill>
        </w:rPr>
        <w:t>变电站。</w:t>
      </w:r>
    </w:p>
    <w:p w14:paraId="1BD97490">
      <w:pPr>
        <w:spacing w:line="500" w:lineRule="exact"/>
        <w:ind w:firstLine="482" w:firstLineChars="200"/>
        <w:rPr>
          <w:b/>
          <w:bCs/>
          <w:color w:val="000000" w:themeColor="text1"/>
          <w14:textFill>
            <w14:solidFill>
              <w14:schemeClr w14:val="tx1"/>
            </w14:solidFill>
          </w14:textFill>
        </w:rPr>
      </w:pPr>
      <w:bookmarkStart w:id="65" w:name="_Toc8175"/>
      <w:r>
        <w:rPr>
          <w:b/>
          <w:bCs/>
          <w:color w:val="000000" w:themeColor="text1"/>
          <w14:textFill>
            <w14:solidFill>
              <w14:schemeClr w14:val="tx1"/>
            </w14:solidFill>
          </w14:textFill>
        </w:rPr>
        <w:t>1.2评价目的</w:t>
      </w:r>
      <w:bookmarkEnd w:id="63"/>
      <w:bookmarkEnd w:id="64"/>
      <w:bookmarkEnd w:id="65"/>
    </w:p>
    <w:p w14:paraId="58D3E230">
      <w:pPr>
        <w:adjustRightInd w:val="0"/>
        <w:snapToGrid w:val="0"/>
        <w:spacing w:line="500" w:lineRule="exact"/>
        <w:ind w:firstLine="480" w:firstLineChars="200"/>
        <w:rPr>
          <w:color w:val="000000" w:themeColor="text1"/>
          <w14:textFill>
            <w14:solidFill>
              <w14:schemeClr w14:val="tx1"/>
            </w14:solidFill>
          </w14:textFill>
        </w:rPr>
      </w:pPr>
      <w:r>
        <w:rPr>
          <w:color w:val="000000" w:themeColor="text1"/>
          <w14:textFill>
            <w14:solidFill>
              <w14:schemeClr w14:val="tx1"/>
            </w14:solidFill>
          </w14:textFill>
        </w:rPr>
        <w:t>根据</w:t>
      </w:r>
      <w:r>
        <w:rPr>
          <w:rFonts w:hint="eastAsia"/>
          <w:color w:val="000000" w:themeColor="text1"/>
          <w:lang w:eastAsia="zh-CN"/>
          <w14:textFill>
            <w14:solidFill>
              <w14:schemeClr w14:val="tx1"/>
            </w14:solidFill>
          </w14:textFill>
        </w:rPr>
        <w:t>《中华人民共和国生态环境法典》</w:t>
      </w:r>
      <w:r>
        <w:rPr>
          <w:color w:val="000000" w:themeColor="text1"/>
          <w14:textFill>
            <w14:solidFill>
              <w14:schemeClr w14:val="tx1"/>
            </w14:solidFill>
          </w14:textFill>
        </w:rPr>
        <w:t>《建设项目环境保护管理条例》《建设项目环境影响评价分类管理名录》的有关要求，为切实做好项目的环境保护工作，使输变电事业与环境保护协调发展，控制电磁环境污染、避害扬利、保障公众健康，</w:t>
      </w:r>
      <w:r>
        <w:rPr>
          <w:rFonts w:hint="eastAsia"/>
          <w:color w:val="000000" w:themeColor="text1"/>
          <w14:textFill>
            <w14:solidFill>
              <w14:schemeClr w14:val="tx1"/>
            </w14:solidFill>
          </w14:textFill>
        </w:rPr>
        <w:t>且末融玉储能有限责任公司</w:t>
      </w:r>
      <w:r>
        <w:rPr>
          <w:color w:val="000000" w:themeColor="text1"/>
          <w14:textFill>
            <w14:solidFill>
              <w14:schemeClr w14:val="tx1"/>
            </w14:solidFill>
          </w14:textFill>
        </w:rPr>
        <w:t>委托我单位承担本工程的电磁环境影响评价工作，分析说明本工程建设运行后电磁环境影响的情况。</w:t>
      </w:r>
    </w:p>
    <w:p w14:paraId="4E1F5907">
      <w:pPr>
        <w:spacing w:line="500" w:lineRule="exact"/>
        <w:ind w:firstLine="482" w:firstLineChars="200"/>
        <w:rPr>
          <w:b/>
          <w:bCs/>
          <w:color w:val="000000" w:themeColor="text1"/>
          <w14:textFill>
            <w14:solidFill>
              <w14:schemeClr w14:val="tx1"/>
            </w14:solidFill>
          </w14:textFill>
        </w:rPr>
      </w:pPr>
      <w:bookmarkStart w:id="66" w:name="_Toc30"/>
      <w:bookmarkStart w:id="67" w:name="_Toc26006"/>
      <w:bookmarkStart w:id="68" w:name="_Toc19660"/>
      <w:r>
        <w:rPr>
          <w:b/>
          <w:bCs/>
          <w:color w:val="000000" w:themeColor="text1"/>
          <w14:textFill>
            <w14:solidFill>
              <w14:schemeClr w14:val="tx1"/>
            </w14:solidFill>
          </w14:textFill>
        </w:rPr>
        <w:t>1.3评价依据</w:t>
      </w:r>
      <w:bookmarkEnd w:id="66"/>
      <w:bookmarkEnd w:id="67"/>
      <w:bookmarkEnd w:id="68"/>
    </w:p>
    <w:p w14:paraId="6B5B57F8">
      <w:pPr>
        <w:spacing w:line="500" w:lineRule="exact"/>
        <w:ind w:firstLine="482" w:firstLineChars="200"/>
        <w:rPr>
          <w:b/>
          <w:bCs/>
          <w:color w:val="000000" w:themeColor="text1"/>
          <w14:textFill>
            <w14:solidFill>
              <w14:schemeClr w14:val="tx1"/>
            </w14:solidFill>
          </w14:textFill>
        </w:rPr>
      </w:pPr>
      <w:bookmarkStart w:id="69" w:name="_Toc20254"/>
      <w:r>
        <w:rPr>
          <w:b/>
          <w:bCs/>
          <w:color w:val="000000" w:themeColor="text1"/>
          <w14:textFill>
            <w14:solidFill>
              <w14:schemeClr w14:val="tx1"/>
            </w14:solidFill>
          </w14:textFill>
        </w:rPr>
        <w:t>1.3.1国家</w:t>
      </w:r>
      <w:r>
        <w:rPr>
          <w:rFonts w:hint="eastAsia"/>
          <w:b/>
          <w:bCs/>
          <w:color w:val="000000" w:themeColor="text1"/>
          <w:lang w:eastAsia="zh-CN"/>
          <w14:textFill>
            <w14:solidFill>
              <w14:schemeClr w14:val="tx1"/>
            </w14:solidFill>
          </w14:textFill>
        </w:rPr>
        <w:t>法律法规及相关</w:t>
      </w:r>
      <w:r>
        <w:rPr>
          <w:b/>
          <w:bCs/>
          <w:color w:val="000000" w:themeColor="text1"/>
          <w14:textFill>
            <w14:solidFill>
              <w14:schemeClr w14:val="tx1"/>
            </w14:solidFill>
          </w14:textFill>
        </w:rPr>
        <w:t>规范</w:t>
      </w:r>
      <w:bookmarkEnd w:id="69"/>
    </w:p>
    <w:p w14:paraId="260FE1A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eastAsia="宋体"/>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1</w:t>
      </w:r>
      <w:r>
        <w:rPr>
          <w:rFonts w:hint="eastAsia"/>
          <w:color w:val="000000" w:themeColor="text1"/>
          <w:lang w:eastAsia="zh-CN"/>
          <w14:textFill>
            <w14:solidFill>
              <w14:schemeClr w14:val="tx1"/>
            </w14:solidFill>
          </w14:textFill>
        </w:rPr>
        <w:t>）《中华人民共和国生态环境法典》（2026年3月12日第十四届全国人民代表大会第四次会议通过，2026年8月15日起施行）；</w:t>
      </w:r>
    </w:p>
    <w:p w14:paraId="55CD49C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）《中华人民共和国电力法》（2018年12月29日修</w:t>
      </w:r>
      <w:r>
        <w:rPr>
          <w:rFonts w:hint="eastAsia"/>
          <w:color w:val="000000" w:themeColor="text1"/>
          <w:lang w:val="en-US" w:eastAsia="zh-CN"/>
          <w14:textFill>
            <w14:solidFill>
              <w14:schemeClr w14:val="tx1"/>
            </w14:solidFill>
          </w14:textFill>
        </w:rPr>
        <w:t>正</w:t>
      </w:r>
      <w:r>
        <w:rPr>
          <w:rFonts w:hint="eastAsia"/>
          <w:color w:val="000000" w:themeColor="text1"/>
          <w14:textFill>
            <w14:solidFill>
              <w14:schemeClr w14:val="tx1"/>
            </w14:solidFill>
          </w14:textFill>
        </w:rPr>
        <w:t>并实施）；</w:t>
      </w:r>
    </w:p>
    <w:p w14:paraId="5FA4B11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）《建设项目环境保护管理条例》（国务院令第682号，2017年</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16</w:t>
      </w:r>
      <w:r>
        <w:rPr>
          <w:rFonts w:hint="eastAsia"/>
          <w:color w:val="000000" w:themeColor="text1"/>
          <w14:textFill>
            <w14:solidFill>
              <w14:schemeClr w14:val="tx1"/>
            </w14:solidFill>
          </w14:textFill>
        </w:rPr>
        <w:t>日修订</w:t>
      </w:r>
      <w:r>
        <w:rPr>
          <w:rFonts w:hint="eastAsia"/>
          <w:color w:val="000000" w:themeColor="text1"/>
          <w:lang w:val="en-US" w:eastAsia="zh-CN"/>
          <w14:textFill>
            <w14:solidFill>
              <w14:schemeClr w14:val="tx1"/>
            </w14:solidFill>
          </w14:textFill>
        </w:rPr>
        <w:t>并</w:t>
      </w:r>
      <w:r>
        <w:rPr>
          <w:rFonts w:hint="eastAsia"/>
          <w:color w:val="000000" w:themeColor="text1"/>
          <w14:textFill>
            <w14:solidFill>
              <w14:schemeClr w14:val="tx1"/>
            </w14:solidFill>
          </w14:textFill>
        </w:rPr>
        <w:t>施行）；</w:t>
      </w:r>
    </w:p>
    <w:p w14:paraId="3174518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）《建设项目环境影响评价分类管理名录（2021年版）》（生态环境部令第16号，自2021年1月1日起施行）；</w:t>
      </w:r>
    </w:p>
    <w:p w14:paraId="740321A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）《电力设施保护条例实施细则（</w:t>
      </w:r>
      <w:r>
        <w:rPr>
          <w:rFonts w:hint="eastAsia"/>
          <w:color w:val="000000" w:themeColor="text1"/>
          <w:lang w:val="en-US" w:eastAsia="zh-CN"/>
          <w14:textFill>
            <w14:solidFill>
              <w14:schemeClr w14:val="tx1"/>
            </w14:solidFill>
          </w14:textFill>
        </w:rPr>
        <w:t>2024年</w:t>
      </w:r>
      <w:r>
        <w:rPr>
          <w:rFonts w:hint="eastAsia"/>
          <w:color w:val="000000" w:themeColor="text1"/>
          <w14:textFill>
            <w14:solidFill>
              <w14:schemeClr w14:val="tx1"/>
            </w14:solidFill>
          </w14:textFill>
        </w:rPr>
        <w:t>修订）》（2024年1月4日国家发展改革委令第11号第二次修订）；</w:t>
      </w:r>
    </w:p>
    <w:p w14:paraId="08ADD46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eastAsia"/>
          <w:color w:val="000000" w:themeColor="text1"/>
          <w14:textFill>
            <w14:solidFill>
              <w14:schemeClr w14:val="tx1"/>
            </w14:solidFill>
          </w14:textFill>
        </w:rPr>
        <w:t>）《关于进一步加强环境影响评价管理防范环境风险的通知》（环发〔2012〕77号，2012年7月3日起施行）；</w:t>
      </w:r>
    </w:p>
    <w:p w14:paraId="708AC1A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7</w:t>
      </w:r>
      <w:r>
        <w:rPr>
          <w:rFonts w:hint="eastAsia"/>
          <w:color w:val="000000" w:themeColor="text1"/>
          <w14:textFill>
            <w14:solidFill>
              <w14:schemeClr w14:val="tx1"/>
            </w14:solidFill>
          </w14:textFill>
        </w:rPr>
        <w:t>）《产业结构调整指导目录（2024年本）》</w:t>
      </w:r>
      <w:r>
        <w:rPr>
          <w:rFonts w:hint="eastAsia"/>
          <w:color w:val="000000" w:themeColor="text1"/>
          <w:lang w:eastAsia="zh-CN"/>
          <w14:textFill>
            <w14:solidFill>
              <w14:schemeClr w14:val="tx1"/>
            </w14:solidFill>
          </w14:textFill>
        </w:rPr>
        <w:t>（国家发展改革委令第7号公布　自2024年2月1日起施行）</w:t>
      </w:r>
      <w:r>
        <w:rPr>
          <w:rFonts w:hint="eastAsia"/>
          <w:color w:val="000000" w:themeColor="text1"/>
          <w14:textFill>
            <w14:solidFill>
              <w14:schemeClr w14:val="tx1"/>
            </w14:solidFill>
          </w14:textFill>
        </w:rPr>
        <w:t>；</w:t>
      </w:r>
    </w:p>
    <w:p w14:paraId="5F266D0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）《关于进一步加强输变电类建设项目环境保护监管工作的通知》（环办〔2012〕131号，2012年10月26日起施行）；</w:t>
      </w:r>
    </w:p>
    <w:p w14:paraId="6C16D5A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）《新疆维吾尔自治区环境保护条例》（2018年9月21日</w:t>
      </w:r>
      <w:r>
        <w:rPr>
          <w:rFonts w:hint="eastAsia"/>
          <w:color w:val="000000" w:themeColor="text1"/>
          <w:lang w:val="en-US" w:eastAsia="zh-CN"/>
          <w14:textFill>
            <w14:solidFill>
              <w14:schemeClr w14:val="tx1"/>
            </w14:solidFill>
          </w14:textFill>
        </w:rPr>
        <w:t>修正并</w:t>
      </w:r>
      <w:r>
        <w:rPr>
          <w:rFonts w:hint="eastAsia"/>
          <w:color w:val="000000" w:themeColor="text1"/>
          <w14:textFill>
            <w14:solidFill>
              <w14:schemeClr w14:val="tx1"/>
            </w14:solidFill>
          </w14:textFill>
        </w:rPr>
        <w:t>实施）；</w:t>
      </w:r>
    </w:p>
    <w:p w14:paraId="4EF08C7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）《新疆维吾尔自治区辐射污染防治办法》（</w:t>
      </w:r>
      <w:r>
        <w:rPr>
          <w:rFonts w:hint="eastAsia"/>
          <w:color w:val="000000" w:themeColor="text1"/>
          <w:lang w:val="en-US" w:eastAsia="zh-CN"/>
          <w14:textFill>
            <w14:solidFill>
              <w14:schemeClr w14:val="tx1"/>
            </w14:solidFill>
          </w14:textFill>
        </w:rPr>
        <w:t>自治区</w:t>
      </w:r>
      <w:r>
        <w:rPr>
          <w:rFonts w:hint="eastAsia"/>
          <w:color w:val="000000" w:themeColor="text1"/>
          <w14:textFill>
            <w14:solidFill>
              <w14:schemeClr w14:val="tx1"/>
            </w14:solidFill>
          </w14:textFill>
        </w:rPr>
        <w:t>人民政府令</w:t>
      </w:r>
      <w:r>
        <w:rPr>
          <w:rFonts w:hint="eastAsia"/>
          <w:color w:val="000000" w:themeColor="text1"/>
          <w:lang w:val="en-US" w:eastAsia="zh-CN"/>
          <w14:textFill>
            <w14:solidFill>
              <w14:schemeClr w14:val="tx1"/>
            </w14:solidFill>
          </w14:textFill>
        </w:rPr>
        <w:t>第</w:t>
      </w:r>
      <w:r>
        <w:rPr>
          <w:rFonts w:hint="eastAsia"/>
          <w:color w:val="000000" w:themeColor="text1"/>
          <w14:textFill>
            <w14:solidFill>
              <w14:schemeClr w14:val="tx1"/>
            </w14:solidFill>
          </w14:textFill>
        </w:rPr>
        <w:t>192号，2015年7</w:t>
      </w:r>
      <w:r>
        <w:rPr>
          <w:rFonts w:hint="eastAsia"/>
          <w:color w:val="000000" w:themeColor="text1"/>
          <w:lang w:eastAsia="zh-CN"/>
          <w14:textFill>
            <w14:solidFill>
              <w14:schemeClr w14:val="tx1"/>
            </w14:solidFill>
          </w14:textFill>
        </w:rPr>
        <w:t>月1日起</w:t>
      </w:r>
      <w:r>
        <w:rPr>
          <w:rFonts w:hint="eastAsia"/>
          <w:color w:val="000000" w:themeColor="text1"/>
          <w:lang w:val="en-US" w:eastAsia="zh-CN"/>
          <w14:textFill>
            <w14:solidFill>
              <w14:schemeClr w14:val="tx1"/>
            </w14:solidFill>
          </w14:textFill>
        </w:rPr>
        <w:t>施行</w:t>
      </w:r>
      <w:r>
        <w:rPr>
          <w:rFonts w:hint="eastAsia"/>
          <w:color w:val="000000" w:themeColor="text1"/>
          <w14:textFill>
            <w14:solidFill>
              <w14:schemeClr w14:val="tx1"/>
            </w14:solidFill>
          </w14:textFill>
        </w:rPr>
        <w:t>）。</w:t>
      </w:r>
    </w:p>
    <w:p w14:paraId="1A76E7B5">
      <w:pPr>
        <w:spacing w:line="500" w:lineRule="exact"/>
        <w:ind w:firstLine="482" w:firstLineChars="200"/>
        <w:rPr>
          <w:b/>
          <w:bCs/>
          <w:color w:val="000000" w:themeColor="text1"/>
          <w14:textFill>
            <w14:solidFill>
              <w14:schemeClr w14:val="tx1"/>
            </w14:solidFill>
          </w14:textFill>
        </w:rPr>
      </w:pPr>
      <w:bookmarkStart w:id="70" w:name="_Toc4974"/>
      <w:r>
        <w:rPr>
          <w:b/>
          <w:bCs/>
          <w:color w:val="000000" w:themeColor="text1"/>
          <w14:textFill>
            <w14:solidFill>
              <w14:schemeClr w14:val="tx1"/>
            </w14:solidFill>
          </w14:textFill>
        </w:rPr>
        <w:t>1.3.2相关技术规范、导则</w:t>
      </w:r>
      <w:bookmarkEnd w:id="70"/>
    </w:p>
    <w:p w14:paraId="666B92ED">
      <w:pPr>
        <w:pStyle w:val="6"/>
        <w:keepNext w:val="0"/>
        <w:keepLines w:val="0"/>
        <w:pageBreakBefore w:val="0"/>
        <w:widowControl/>
        <w:kinsoku/>
        <w:wordWrap/>
        <w:overflowPunct/>
        <w:topLinePunct w:val="0"/>
        <w:autoSpaceDE/>
        <w:autoSpaceDN/>
        <w:bidi w:val="0"/>
        <w:adjustRightInd w:val="0"/>
        <w:snapToGrid w:val="0"/>
        <w:spacing w:line="500" w:lineRule="exact"/>
        <w:ind w:firstLine="480"/>
        <w:textAlignment w:val="auto"/>
        <w:rPr>
          <w:rFonts w:hint="default" w:ascii="Times New Roman" w:hAnsi="Times New Roman" w:eastAsia="宋体" w:cs="Times New Roman"/>
          <w:color w:val="000000" w:themeColor="text1"/>
          <w:sz w:val="24"/>
          <w14:textFill>
            <w14:solidFill>
              <w14:schemeClr w14:val="tx1"/>
            </w14:solidFill>
          </w14:textFill>
        </w:rPr>
      </w:pPr>
      <w:bookmarkStart w:id="71" w:name="_Toc32764"/>
      <w:bookmarkStart w:id="72" w:name="_Toc19696"/>
      <w:bookmarkStart w:id="73" w:name="_Toc524"/>
      <w:r>
        <w:rPr>
          <w:rFonts w:hint="default" w:ascii="Times New Roman" w:hAnsi="Times New Roman" w:eastAsia="宋体" w:cs="Times New Roman"/>
          <w:color w:val="000000" w:themeColor="text1"/>
          <w:sz w:val="24"/>
          <w14:textFill>
            <w14:solidFill>
              <w14:schemeClr w14:val="tx1"/>
            </w14:solidFill>
          </w14:textFill>
        </w:rPr>
        <w:t>（1）《建设项目环境影响评价技术导则 总纲》</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HJ2.1-2016</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w:t>
      </w:r>
    </w:p>
    <w:p w14:paraId="2937B3D2">
      <w:pPr>
        <w:pStyle w:val="6"/>
        <w:keepNext w:val="0"/>
        <w:keepLines w:val="0"/>
        <w:pageBreakBefore w:val="0"/>
        <w:widowControl/>
        <w:kinsoku/>
        <w:wordWrap/>
        <w:overflowPunct/>
        <w:topLinePunct w:val="0"/>
        <w:autoSpaceDE/>
        <w:autoSpaceDN/>
        <w:bidi w:val="0"/>
        <w:adjustRightInd w:val="0"/>
        <w:snapToGrid w:val="0"/>
        <w:spacing w:line="500" w:lineRule="exact"/>
        <w:ind w:firstLine="482"/>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（2）《环境影响评价技术导则 输变电》</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HJ24-2020</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w:t>
      </w:r>
    </w:p>
    <w:p w14:paraId="1FF6B361">
      <w:pPr>
        <w:pStyle w:val="6"/>
        <w:keepNext w:val="0"/>
        <w:keepLines w:val="0"/>
        <w:pageBreakBefore w:val="0"/>
        <w:widowControl/>
        <w:kinsoku/>
        <w:wordWrap/>
        <w:overflowPunct/>
        <w:topLinePunct w:val="0"/>
        <w:autoSpaceDE/>
        <w:autoSpaceDN/>
        <w:bidi w:val="0"/>
        <w:adjustRightInd w:val="0"/>
        <w:snapToGrid w:val="0"/>
        <w:spacing w:line="500" w:lineRule="exact"/>
        <w:ind w:firstLine="482"/>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（3）《电磁环境控制限值》</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GB8702-2014</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w:t>
      </w:r>
    </w:p>
    <w:p w14:paraId="03832050">
      <w:pPr>
        <w:pStyle w:val="6"/>
        <w:keepNext w:val="0"/>
        <w:keepLines w:val="0"/>
        <w:pageBreakBefore w:val="0"/>
        <w:widowControl/>
        <w:kinsoku/>
        <w:wordWrap/>
        <w:overflowPunct/>
        <w:topLinePunct w:val="0"/>
        <w:autoSpaceDE/>
        <w:autoSpaceDN/>
        <w:bidi w:val="0"/>
        <w:adjustRightInd w:val="0"/>
        <w:snapToGrid w:val="0"/>
        <w:spacing w:line="500" w:lineRule="exact"/>
        <w:ind w:firstLine="482"/>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（4）《交流输变电工程电磁环境监测方法</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试行</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HJ681-2013</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w:t>
      </w:r>
    </w:p>
    <w:p w14:paraId="40A52792">
      <w:pPr>
        <w:pStyle w:val="6"/>
        <w:keepNext w:val="0"/>
        <w:keepLines w:val="0"/>
        <w:pageBreakBefore w:val="0"/>
        <w:widowControl/>
        <w:kinsoku/>
        <w:wordWrap/>
        <w:overflowPunct/>
        <w:topLinePunct w:val="0"/>
        <w:autoSpaceDE/>
        <w:autoSpaceDN/>
        <w:bidi w:val="0"/>
        <w:adjustRightInd w:val="0"/>
        <w:snapToGrid w:val="0"/>
        <w:spacing w:line="500" w:lineRule="exact"/>
        <w:ind w:firstLine="480"/>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（5）《输变电建设项目环境保护技术要求》</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HJ1113-2020</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14:textFill>
            <w14:solidFill>
              <w14:schemeClr w14:val="tx1"/>
            </w14:solidFill>
          </w14:textFill>
        </w:rPr>
        <w:t>。</w:t>
      </w:r>
    </w:p>
    <w:p w14:paraId="5F082C08">
      <w:pPr>
        <w:spacing w:line="500" w:lineRule="exact"/>
        <w:ind w:firstLine="482" w:firstLineChars="200"/>
        <w:rPr>
          <w:b/>
          <w:bCs/>
          <w:color w:val="000000" w:themeColor="text1"/>
          <w14:textFill>
            <w14:solidFill>
              <w14:schemeClr w14:val="tx1"/>
            </w14:solidFill>
          </w14:textFill>
        </w:rPr>
      </w:pPr>
      <w:r>
        <w:rPr>
          <w:b/>
          <w:bCs/>
          <w:color w:val="000000" w:themeColor="text1"/>
          <w14:textFill>
            <w14:solidFill>
              <w14:schemeClr w14:val="tx1"/>
            </w14:solidFill>
          </w14:textFill>
        </w:rPr>
        <w:t>1.4评价因子、评价等级、评价范围</w:t>
      </w:r>
      <w:bookmarkEnd w:id="71"/>
      <w:bookmarkEnd w:id="72"/>
      <w:bookmarkEnd w:id="73"/>
    </w:p>
    <w:p w14:paraId="3BB3BF3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lang w:val="zh-CN"/>
          <w14:textFill>
            <w14:solidFill>
              <w14:schemeClr w14:val="tx1"/>
            </w14:solidFill>
          </w14:textFill>
        </w:rPr>
      </w:pPr>
      <w:r>
        <w:rPr>
          <w:color w:val="000000" w:themeColor="text1"/>
          <w:lang w:val="zh-CN"/>
          <w14:textFill>
            <w14:solidFill>
              <w14:schemeClr w14:val="tx1"/>
            </w14:solidFill>
          </w14:textFill>
        </w:rPr>
        <w:t>（</w:t>
      </w:r>
      <w:r>
        <w:rPr>
          <w:color w:val="000000" w:themeColor="text1"/>
          <w14:textFill>
            <w14:solidFill>
              <w14:schemeClr w14:val="tx1"/>
            </w14:solidFill>
          </w14:textFill>
        </w:rPr>
        <w:t>1</w:t>
      </w:r>
      <w:r>
        <w:rPr>
          <w:color w:val="000000" w:themeColor="text1"/>
          <w:lang w:val="zh-CN"/>
          <w14:textFill>
            <w14:solidFill>
              <w14:schemeClr w14:val="tx1"/>
            </w14:solidFill>
          </w14:textFill>
        </w:rPr>
        <w:t>）评价因子</w:t>
      </w:r>
    </w:p>
    <w:p w14:paraId="0A96411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cs="Times New Roman"/>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本项目运行过程中会对周围电磁环境产生影响，其主要污染因子为工频电场和工频磁场，因此，选择工频电场和工频磁场作为本专题评价因子。</w:t>
      </w:r>
    </w:p>
    <w:p w14:paraId="15B25FC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lang w:val="zh-CN"/>
          <w14:textFill>
            <w14:solidFill>
              <w14:schemeClr w14:val="tx1"/>
            </w14:solidFill>
          </w14:textFill>
        </w:rPr>
      </w:pPr>
      <w:r>
        <w:rPr>
          <w:color w:val="000000" w:themeColor="text1"/>
          <w:lang w:val="zh-CN"/>
          <w14:textFill>
            <w14:solidFill>
              <w14:schemeClr w14:val="tx1"/>
            </w14:solidFill>
          </w14:textFill>
        </w:rPr>
        <w:t>（</w:t>
      </w:r>
      <w:r>
        <w:rPr>
          <w:color w:val="000000" w:themeColor="text1"/>
          <w14:textFill>
            <w14:solidFill>
              <w14:schemeClr w14:val="tx1"/>
            </w14:solidFill>
          </w14:textFill>
        </w:rPr>
        <w:t>2</w:t>
      </w:r>
      <w:r>
        <w:rPr>
          <w:color w:val="000000" w:themeColor="text1"/>
          <w:lang w:val="zh-CN"/>
          <w14:textFill>
            <w14:solidFill>
              <w14:schemeClr w14:val="tx1"/>
            </w14:solidFill>
          </w14:textFill>
        </w:rPr>
        <w:t>）评价等级</w:t>
      </w:r>
    </w:p>
    <w:p w14:paraId="6767BE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根据《环境影响评价技术导则 输变电》（HJ 24-2020），如建设项目包含多个电压等级，或交、直流，或站、线的子项目时，按最高电压等级确定评价工作等级。</w:t>
      </w:r>
    </w:p>
    <w:p w14:paraId="5F9D71E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本项目升压</w:t>
      </w:r>
      <w:r>
        <w:rPr>
          <w:rFonts w:hint="eastAsia"/>
          <w:color w:val="000000" w:themeColor="text1"/>
          <w:lang w:val="en-US" w:eastAsia="zh-CN"/>
          <w14:textFill>
            <w14:solidFill>
              <w14:schemeClr w14:val="tx1"/>
            </w14:solidFill>
          </w14:textFill>
        </w:rPr>
        <w:t>汇集</w:t>
      </w:r>
      <w:r>
        <w:rPr>
          <w:rFonts w:hint="eastAsia"/>
          <w:color w:val="000000" w:themeColor="text1"/>
          <w:lang w:val="zh-CN"/>
          <w14:textFill>
            <w14:solidFill>
              <w14:schemeClr w14:val="tx1"/>
            </w14:solidFill>
          </w14:textFill>
        </w:rPr>
        <w:t>站电压等级为</w:t>
      </w:r>
      <w:r>
        <w:rPr>
          <w:rFonts w:hint="eastAsia"/>
          <w:color w:val="000000" w:themeColor="text1"/>
          <w:lang w:val="en-US" w:eastAsia="zh-CN"/>
          <w14:textFill>
            <w14:solidFill>
              <w14:schemeClr w14:val="tx1"/>
            </w14:solidFill>
          </w14:textFill>
        </w:rPr>
        <w:t>22</w:t>
      </w:r>
      <w:r>
        <w:rPr>
          <w:rFonts w:hint="eastAsia"/>
          <w:color w:val="000000" w:themeColor="text1"/>
          <w:lang w:val="zh-CN"/>
          <w14:textFill>
            <w14:solidFill>
              <w14:schemeClr w14:val="tx1"/>
            </w14:solidFill>
          </w14:textFill>
        </w:rPr>
        <w:t>0kV，主变采用户外式，</w:t>
      </w:r>
      <w:r>
        <w:rPr>
          <w:rFonts w:hint="eastAsia"/>
          <w:color w:val="000000" w:themeColor="text1"/>
          <w:lang w:val="en-US" w:eastAsia="zh-CN"/>
          <w14:textFill>
            <w14:solidFill>
              <w14:schemeClr w14:val="tx1"/>
            </w14:solidFill>
          </w14:textFill>
        </w:rPr>
        <w:t>评价等级为二级；</w:t>
      </w:r>
      <w:r>
        <w:rPr>
          <w:rFonts w:hint="eastAsia"/>
          <w:color w:val="000000" w:themeColor="text1"/>
          <w:lang w:val="zh-CN"/>
          <w14:textFill>
            <w14:solidFill>
              <w14:schemeClr w14:val="tx1"/>
            </w14:solidFill>
          </w14:textFill>
        </w:rPr>
        <w:t>外送线路</w:t>
      </w:r>
      <w:r>
        <w:rPr>
          <w:rFonts w:hint="eastAsia"/>
          <w:color w:val="000000" w:themeColor="text1"/>
          <w:lang w:val="en-US" w:eastAsia="zh-CN"/>
          <w14:textFill>
            <w14:solidFill>
              <w14:schemeClr w14:val="tx1"/>
            </w14:solidFill>
          </w14:textFill>
        </w:rPr>
        <w:t>为架空线，且边导线地面投影外两侧各15m范围内无电磁环境敏感目标的架空线，评价等级</w:t>
      </w:r>
      <w:r>
        <w:rPr>
          <w:rFonts w:hint="eastAsia"/>
          <w:color w:val="000000" w:themeColor="text1"/>
          <w:lang w:val="zh-CN"/>
          <w14:textFill>
            <w14:solidFill>
              <w14:schemeClr w14:val="tx1"/>
            </w14:solidFill>
          </w14:textFill>
        </w:rPr>
        <w:t>为三级。因此，本项目电磁环境影响评价工作等级为二级。</w:t>
      </w:r>
    </w:p>
    <w:p w14:paraId="1C92C31B">
      <w:pPr>
        <w:pStyle w:val="100"/>
        <w:keepNext w:val="0"/>
        <w:keepLines w:val="0"/>
        <w:pageBreakBefore w:val="0"/>
        <w:widowControl w:val="0"/>
        <w:kinsoku/>
        <w:wordWrap/>
        <w:overflowPunct/>
        <w:topLinePunct w:val="0"/>
        <w:autoSpaceDE/>
        <w:autoSpaceDN/>
        <w:bidi w:val="0"/>
        <w:adjustRightInd/>
        <w:snapToGrid/>
        <w:spacing w:before="0" w:beforeLines="0" w:line="500" w:lineRule="exact"/>
        <w:textAlignment w:val="auto"/>
        <w:rPr>
          <w:rFonts w:hint="eastAsia" w:ascii="黑体" w:hAnsi="黑体" w:eastAsia="黑体" w:cs="黑体"/>
          <w:color w:val="000000" w:themeColor="text1"/>
          <w:kern w:val="0"/>
          <w:sz w:val="21"/>
          <w:szCs w:val="21"/>
          <w14:textFill>
            <w14:solidFill>
              <w14:schemeClr w14:val="tx1"/>
            </w14:solidFill>
          </w14:textFill>
        </w:rPr>
      </w:pPr>
      <w:r>
        <w:rPr>
          <w:rFonts w:hint="eastAsia" w:ascii="黑体" w:hAnsi="黑体" w:eastAsia="黑体" w:cs="黑体"/>
          <w:color w:val="000000" w:themeColor="text1"/>
          <w:kern w:val="0"/>
          <w:sz w:val="21"/>
          <w:szCs w:val="21"/>
          <w14:textFill>
            <w14:solidFill>
              <w14:schemeClr w14:val="tx1"/>
            </w14:solidFill>
          </w14:textFill>
        </w:rPr>
        <w:t>表</w:t>
      </w:r>
      <w:r>
        <w:rPr>
          <w:rFonts w:hint="eastAsia" w:ascii="黑体" w:hAnsi="黑体" w:eastAsia="黑体" w:cs="黑体"/>
          <w:color w:val="000000" w:themeColor="text1"/>
          <w:kern w:val="0"/>
          <w:sz w:val="21"/>
          <w:szCs w:val="21"/>
          <w:lang w:val="en-US" w:eastAsia="zh-CN"/>
          <w14:textFill>
            <w14:solidFill>
              <w14:schemeClr w14:val="tx1"/>
            </w14:solidFill>
          </w14:textFill>
        </w:rPr>
        <w:t xml:space="preserve">1  </w:t>
      </w:r>
      <w:r>
        <w:rPr>
          <w:rFonts w:hint="eastAsia" w:ascii="黑体" w:hAnsi="黑体" w:eastAsia="黑体" w:cs="黑体"/>
          <w:color w:val="000000" w:themeColor="text1"/>
          <w:kern w:val="0"/>
          <w:sz w:val="21"/>
          <w:szCs w:val="21"/>
          <w14:textFill>
            <w14:solidFill>
              <w14:schemeClr w14:val="tx1"/>
            </w14:solidFill>
          </w14:textFill>
        </w:rPr>
        <w:t xml:space="preserve">  电磁环境影响评价工作等级划分原则</w:t>
      </w:r>
    </w:p>
    <w:tbl>
      <w:tblPr>
        <w:tblStyle w:val="27"/>
        <w:tblW w:w="4997"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0" w:type="dxa"/>
          <w:bottom w:w="0" w:type="dxa"/>
          <w:right w:w="20" w:type="dxa"/>
        </w:tblCellMar>
      </w:tblPr>
      <w:tblGrid>
        <w:gridCol w:w="513"/>
        <w:gridCol w:w="847"/>
        <w:gridCol w:w="690"/>
        <w:gridCol w:w="2823"/>
        <w:gridCol w:w="1005"/>
        <w:gridCol w:w="1502"/>
        <w:gridCol w:w="1459"/>
      </w:tblGrid>
      <w:tr w14:paraId="03E21E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0" w:type="dxa"/>
            <w:bottom w:w="0" w:type="dxa"/>
            <w:right w:w="20" w:type="dxa"/>
          </w:tblCellMar>
        </w:tblPrEx>
        <w:trPr>
          <w:trHeight w:val="397" w:hRule="atLeast"/>
          <w:jc w:val="center"/>
        </w:trPr>
        <w:tc>
          <w:tcPr>
            <w:tcW w:w="290" w:type="pct"/>
            <w:vMerge w:val="restart"/>
            <w:tcBorders>
              <w:tl2br w:val="nil"/>
              <w:tr2bl w:val="nil"/>
            </w:tcBorders>
            <w:noWrap w:val="0"/>
            <w:vAlign w:val="center"/>
          </w:tcPr>
          <w:p w14:paraId="03B97A95">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分</w:t>
            </w:r>
          </w:p>
          <w:p w14:paraId="51F25594">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类</w:t>
            </w:r>
          </w:p>
        </w:tc>
        <w:tc>
          <w:tcPr>
            <w:tcW w:w="479" w:type="pct"/>
            <w:vMerge w:val="restart"/>
            <w:tcBorders>
              <w:tl2br w:val="nil"/>
              <w:tr2bl w:val="nil"/>
            </w:tcBorders>
            <w:noWrap w:val="0"/>
            <w:vAlign w:val="center"/>
          </w:tcPr>
          <w:p w14:paraId="7A012581">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电压</w:t>
            </w:r>
          </w:p>
          <w:p w14:paraId="13247A1E">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等级</w:t>
            </w:r>
          </w:p>
        </w:tc>
        <w:tc>
          <w:tcPr>
            <w:tcW w:w="390" w:type="pct"/>
            <w:vMerge w:val="restart"/>
            <w:tcBorders>
              <w:tl2br w:val="nil"/>
              <w:tr2bl w:val="nil"/>
            </w:tcBorders>
            <w:noWrap w:val="0"/>
            <w:vAlign w:val="center"/>
          </w:tcPr>
          <w:p w14:paraId="191B7F22">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工程</w:t>
            </w:r>
          </w:p>
        </w:tc>
        <w:tc>
          <w:tcPr>
            <w:tcW w:w="2164" w:type="pct"/>
            <w:gridSpan w:val="2"/>
            <w:tcBorders>
              <w:tl2br w:val="nil"/>
              <w:tr2bl w:val="nil"/>
            </w:tcBorders>
            <w:noWrap w:val="0"/>
            <w:vAlign w:val="center"/>
          </w:tcPr>
          <w:p w14:paraId="5449A9B1">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zh-CN" w:eastAsia="zh-CN" w:bidi="ar-SA"/>
                <w14:textFill>
                  <w14:solidFill>
                    <w14:schemeClr w14:val="tx1"/>
                  </w14:solidFill>
                </w14:textFill>
              </w:rPr>
              <w:t>HJ 24-2020</w:t>
            </w:r>
            <w:r>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要求</w:t>
            </w:r>
          </w:p>
        </w:tc>
        <w:tc>
          <w:tcPr>
            <w:tcW w:w="1674" w:type="pct"/>
            <w:gridSpan w:val="2"/>
            <w:tcBorders>
              <w:tl2br w:val="nil"/>
              <w:tr2bl w:val="nil"/>
            </w:tcBorders>
            <w:noWrap w:val="0"/>
            <w:vAlign w:val="center"/>
          </w:tcPr>
          <w:p w14:paraId="5D0857B3">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本</w:t>
            </w: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项目</w:t>
            </w:r>
          </w:p>
        </w:tc>
      </w:tr>
      <w:tr w14:paraId="486099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0" w:type="dxa"/>
            <w:bottom w:w="0" w:type="dxa"/>
            <w:right w:w="20" w:type="dxa"/>
          </w:tblCellMar>
        </w:tblPrEx>
        <w:trPr>
          <w:trHeight w:val="330" w:hRule="atLeast"/>
          <w:jc w:val="center"/>
        </w:trPr>
        <w:tc>
          <w:tcPr>
            <w:tcW w:w="290" w:type="pct"/>
            <w:vMerge w:val="continue"/>
            <w:tcBorders>
              <w:tl2br w:val="nil"/>
              <w:tr2bl w:val="nil"/>
            </w:tcBorders>
            <w:noWrap w:val="0"/>
            <w:vAlign w:val="center"/>
          </w:tcPr>
          <w:p w14:paraId="7F24182B">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p>
        </w:tc>
        <w:tc>
          <w:tcPr>
            <w:tcW w:w="479" w:type="pct"/>
            <w:vMerge w:val="continue"/>
            <w:tcBorders>
              <w:tl2br w:val="nil"/>
              <w:tr2bl w:val="nil"/>
            </w:tcBorders>
            <w:noWrap w:val="0"/>
            <w:vAlign w:val="center"/>
          </w:tcPr>
          <w:p w14:paraId="600EE2B4">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p>
        </w:tc>
        <w:tc>
          <w:tcPr>
            <w:tcW w:w="390" w:type="pct"/>
            <w:vMerge w:val="continue"/>
            <w:tcBorders>
              <w:tl2br w:val="nil"/>
              <w:tr2bl w:val="nil"/>
            </w:tcBorders>
            <w:noWrap w:val="0"/>
            <w:vAlign w:val="center"/>
          </w:tcPr>
          <w:p w14:paraId="25EF7329">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p>
        </w:tc>
        <w:tc>
          <w:tcPr>
            <w:tcW w:w="1596" w:type="pct"/>
            <w:tcBorders>
              <w:tl2br w:val="nil"/>
              <w:tr2bl w:val="nil"/>
            </w:tcBorders>
            <w:noWrap w:val="0"/>
            <w:vAlign w:val="center"/>
          </w:tcPr>
          <w:p w14:paraId="0D7A697D">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条件</w:t>
            </w:r>
          </w:p>
        </w:tc>
        <w:tc>
          <w:tcPr>
            <w:tcW w:w="567" w:type="pct"/>
            <w:tcBorders>
              <w:tl2br w:val="nil"/>
              <w:tr2bl w:val="nil"/>
            </w:tcBorders>
            <w:noWrap w:val="0"/>
            <w:vAlign w:val="center"/>
          </w:tcPr>
          <w:p w14:paraId="25411924">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工作等级</w:t>
            </w:r>
          </w:p>
        </w:tc>
        <w:tc>
          <w:tcPr>
            <w:tcW w:w="849" w:type="pct"/>
            <w:tcBorders>
              <w:tl2br w:val="nil"/>
              <w:tr2bl w:val="nil"/>
            </w:tcBorders>
            <w:noWrap w:val="0"/>
            <w:vAlign w:val="center"/>
          </w:tcPr>
          <w:p w14:paraId="4FE707F8">
            <w:pPr>
              <w:pStyle w:val="79"/>
              <w:keepNext w:val="0"/>
              <w:keepLines w:val="0"/>
              <w:pageBreakBefore w:val="0"/>
              <w:kinsoku/>
              <w:wordWrap/>
              <w:overflowPunct/>
              <w:topLinePunct w:val="0"/>
              <w:autoSpaceDE/>
              <w:autoSpaceDN/>
              <w:bidi w:val="0"/>
              <w:spacing w:before="0" w:after="0" w:line="240" w:lineRule="atLeast"/>
              <w:ind w:right="0"/>
              <w:textAlignment w:val="auto"/>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情况</w:t>
            </w:r>
          </w:p>
        </w:tc>
        <w:tc>
          <w:tcPr>
            <w:tcW w:w="825" w:type="pct"/>
            <w:tcBorders>
              <w:tl2br w:val="nil"/>
              <w:tr2bl w:val="nil"/>
            </w:tcBorders>
            <w:noWrap w:val="0"/>
            <w:vAlign w:val="center"/>
          </w:tcPr>
          <w:p w14:paraId="6CC43104">
            <w:pPr>
              <w:pStyle w:val="79"/>
              <w:keepNext w:val="0"/>
              <w:keepLines w:val="0"/>
              <w:pageBreakBefore w:val="0"/>
              <w:kinsoku/>
              <w:wordWrap/>
              <w:overflowPunct/>
              <w:topLinePunct w:val="0"/>
              <w:autoSpaceDE/>
              <w:autoSpaceDN/>
              <w:bidi w:val="0"/>
              <w:spacing w:before="0" w:after="0" w:line="240" w:lineRule="atLeast"/>
              <w:ind w:right="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工作等级</w:t>
            </w:r>
            <w:r>
              <w:rPr>
                <w:rFonts w:hint="default" w:ascii="Times New Roman" w:hAnsi="Times New Roman" w:eastAsia="宋体" w:cs="Times New Roman"/>
                <w:color w:val="000000" w:themeColor="text1"/>
                <w:lang w:val="en-US" w:eastAsia="zh-CN"/>
                <w14:textFill>
                  <w14:solidFill>
                    <w14:schemeClr w14:val="tx1"/>
                  </w14:solidFill>
                </w14:textFill>
              </w:rPr>
              <w:t>判定</w:t>
            </w:r>
          </w:p>
        </w:tc>
      </w:tr>
      <w:tr w14:paraId="2471A2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0" w:type="dxa"/>
            <w:bottom w:w="0" w:type="dxa"/>
            <w:right w:w="20" w:type="dxa"/>
          </w:tblCellMar>
        </w:tblPrEx>
        <w:trPr>
          <w:trHeight w:val="330" w:hRule="atLeast"/>
          <w:jc w:val="center"/>
        </w:trPr>
        <w:tc>
          <w:tcPr>
            <w:tcW w:w="290" w:type="pct"/>
            <w:vMerge w:val="restart"/>
            <w:tcBorders>
              <w:tl2br w:val="nil"/>
              <w:tr2bl w:val="nil"/>
            </w:tcBorders>
            <w:noWrap w:val="0"/>
            <w:vAlign w:val="center"/>
          </w:tcPr>
          <w:p w14:paraId="57D10C26">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交流</w:t>
            </w:r>
          </w:p>
        </w:tc>
        <w:tc>
          <w:tcPr>
            <w:tcW w:w="479" w:type="pct"/>
            <w:vMerge w:val="restart"/>
            <w:tcBorders>
              <w:tl2br w:val="nil"/>
              <w:tr2bl w:val="nil"/>
            </w:tcBorders>
            <w:noWrap w:val="0"/>
            <w:vAlign w:val="center"/>
          </w:tcPr>
          <w:p w14:paraId="55D3FDE9">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eastAsia" w:cs="Times New Roman"/>
                <w:color w:val="000000" w:themeColor="text1"/>
                <w:spacing w:val="-5"/>
                <w:sz w:val="21"/>
                <w:szCs w:val="22"/>
                <w:vertAlign w:val="baseline"/>
                <w:lang w:val="en-US" w:eastAsia="zh-CN" w:bidi="ar-SA"/>
                <w14:textFill>
                  <w14:solidFill>
                    <w14:schemeClr w14:val="tx1"/>
                  </w14:solidFill>
                </w14:textFill>
              </w:rPr>
              <w:t>220</w:t>
            </w: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kV</w:t>
            </w:r>
          </w:p>
        </w:tc>
        <w:tc>
          <w:tcPr>
            <w:tcW w:w="390" w:type="pct"/>
            <w:tcBorders>
              <w:tl2br w:val="nil"/>
              <w:tr2bl w:val="nil"/>
            </w:tcBorders>
            <w:noWrap w:val="0"/>
            <w:vAlign w:val="center"/>
          </w:tcPr>
          <w:p w14:paraId="39C64EFB">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变电站</w:t>
            </w:r>
          </w:p>
        </w:tc>
        <w:tc>
          <w:tcPr>
            <w:tcW w:w="1596" w:type="pct"/>
            <w:tcBorders>
              <w:tl2br w:val="nil"/>
              <w:tr2bl w:val="nil"/>
            </w:tcBorders>
            <w:noWrap w:val="0"/>
            <w:vAlign w:val="center"/>
          </w:tcPr>
          <w:p w14:paraId="6615C0E9">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户外式</w:t>
            </w:r>
          </w:p>
        </w:tc>
        <w:tc>
          <w:tcPr>
            <w:tcW w:w="567" w:type="pct"/>
            <w:tcBorders>
              <w:tl2br w:val="nil"/>
              <w:tr2bl w:val="nil"/>
            </w:tcBorders>
            <w:noWrap w:val="0"/>
            <w:vAlign w:val="center"/>
          </w:tcPr>
          <w:p w14:paraId="59C0AEC4">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eastAsia"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二级</w:t>
            </w:r>
          </w:p>
        </w:tc>
        <w:tc>
          <w:tcPr>
            <w:tcW w:w="849" w:type="pct"/>
            <w:tcBorders>
              <w:tl2br w:val="nil"/>
              <w:tr2bl w:val="nil"/>
            </w:tcBorders>
            <w:noWrap w:val="0"/>
            <w:vAlign w:val="center"/>
          </w:tcPr>
          <w:p w14:paraId="2658394E">
            <w:pPr>
              <w:pStyle w:val="79"/>
              <w:keepNext w:val="0"/>
              <w:keepLines w:val="0"/>
              <w:pageBreakBefore w:val="0"/>
              <w:kinsoku/>
              <w:wordWrap/>
              <w:overflowPunct/>
              <w:topLinePunct w:val="0"/>
              <w:autoSpaceDE/>
              <w:autoSpaceDN/>
              <w:bidi w:val="0"/>
              <w:spacing w:before="0" w:after="0" w:line="240" w:lineRule="atLeast"/>
              <w:ind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户外式</w:t>
            </w:r>
          </w:p>
        </w:tc>
        <w:tc>
          <w:tcPr>
            <w:tcW w:w="825" w:type="pct"/>
            <w:tcBorders>
              <w:tl2br w:val="nil"/>
              <w:tr2bl w:val="nil"/>
            </w:tcBorders>
            <w:noWrap w:val="0"/>
            <w:vAlign w:val="center"/>
          </w:tcPr>
          <w:p w14:paraId="15240C44">
            <w:pPr>
              <w:pStyle w:val="79"/>
              <w:keepNext w:val="0"/>
              <w:keepLines w:val="0"/>
              <w:pageBreakBefore w:val="0"/>
              <w:kinsoku/>
              <w:wordWrap/>
              <w:overflowPunct/>
              <w:topLinePunct w:val="0"/>
              <w:autoSpaceDE/>
              <w:autoSpaceDN/>
              <w:bidi w:val="0"/>
              <w:spacing w:before="0" w:after="0" w:line="240" w:lineRule="atLeast"/>
              <w:ind w:right="0"/>
              <w:textAlignment w:val="auto"/>
              <w:rPr>
                <w:rFonts w:hint="eastAsia"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二级</w:t>
            </w:r>
          </w:p>
        </w:tc>
      </w:tr>
      <w:tr w14:paraId="43CB6C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0" w:type="dxa"/>
            <w:bottom w:w="0" w:type="dxa"/>
            <w:right w:w="20" w:type="dxa"/>
          </w:tblCellMar>
        </w:tblPrEx>
        <w:trPr>
          <w:trHeight w:val="313" w:hRule="atLeast"/>
          <w:jc w:val="center"/>
        </w:trPr>
        <w:tc>
          <w:tcPr>
            <w:tcW w:w="290" w:type="pct"/>
            <w:vMerge w:val="continue"/>
            <w:tcBorders>
              <w:tl2br w:val="nil"/>
              <w:tr2bl w:val="nil"/>
            </w:tcBorders>
            <w:noWrap w:val="0"/>
            <w:vAlign w:val="center"/>
          </w:tcPr>
          <w:p w14:paraId="5C3FF27A">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p>
        </w:tc>
        <w:tc>
          <w:tcPr>
            <w:tcW w:w="479" w:type="pct"/>
            <w:vMerge w:val="continue"/>
            <w:tcBorders>
              <w:tl2br w:val="nil"/>
              <w:tr2bl w:val="nil"/>
            </w:tcBorders>
            <w:noWrap w:val="0"/>
            <w:vAlign w:val="center"/>
          </w:tcPr>
          <w:p w14:paraId="76B41C3A">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p>
        </w:tc>
        <w:tc>
          <w:tcPr>
            <w:tcW w:w="390" w:type="pct"/>
            <w:vMerge w:val="restart"/>
            <w:tcBorders>
              <w:tl2br w:val="nil"/>
              <w:tr2bl w:val="nil"/>
            </w:tcBorders>
            <w:noWrap w:val="0"/>
            <w:vAlign w:val="center"/>
          </w:tcPr>
          <w:p w14:paraId="525E05AC">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输电</w:t>
            </w:r>
          </w:p>
          <w:p w14:paraId="43099E50">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线路</w:t>
            </w:r>
          </w:p>
        </w:tc>
        <w:tc>
          <w:tcPr>
            <w:tcW w:w="1596" w:type="pct"/>
            <w:tcBorders>
              <w:tl2br w:val="nil"/>
              <w:tr2bl w:val="nil"/>
            </w:tcBorders>
            <w:noWrap w:val="0"/>
            <w:vAlign w:val="center"/>
          </w:tcPr>
          <w:p w14:paraId="09FBF88E">
            <w:pPr>
              <w:keepNext w:val="0"/>
              <w:keepLines w:val="0"/>
              <w:pageBreakBefore w:val="0"/>
              <w:numPr>
                <w:ilvl w:val="0"/>
                <w:numId w:val="0"/>
              </w:numPr>
              <w:kinsoku/>
              <w:wordWrap/>
              <w:overflowPunct/>
              <w:topLinePunct w:val="0"/>
              <w:autoSpaceDE/>
              <w:autoSpaceDN/>
              <w:bidi w:val="0"/>
              <w:adjustRightInd/>
              <w:snapToGrid/>
              <w:spacing w:line="240" w:lineRule="atLeast"/>
              <w:ind w:leftChars="0" w:right="0" w:rightChars="0"/>
              <w:jc w:val="both"/>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eastAsia" w:cs="Times New Roman"/>
                <w:color w:val="000000" w:themeColor="text1"/>
                <w:spacing w:val="-5"/>
                <w:sz w:val="21"/>
                <w:szCs w:val="22"/>
                <w:vertAlign w:val="baseline"/>
                <w:lang w:val="en-US" w:eastAsia="zh-CN" w:bidi="ar-SA"/>
                <w14:textFill>
                  <w14:solidFill>
                    <w14:schemeClr w14:val="tx1"/>
                  </w14:solidFill>
                </w14:textFill>
              </w:rPr>
              <w:t>1.</w:t>
            </w: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地下电缆</w:t>
            </w:r>
          </w:p>
          <w:p w14:paraId="4C20349D">
            <w:pPr>
              <w:keepNext w:val="0"/>
              <w:keepLines w:val="0"/>
              <w:pageBreakBefore w:val="0"/>
              <w:numPr>
                <w:ilvl w:val="0"/>
                <w:numId w:val="0"/>
              </w:numPr>
              <w:kinsoku/>
              <w:wordWrap/>
              <w:overflowPunct/>
              <w:topLinePunct w:val="0"/>
              <w:autoSpaceDE/>
              <w:autoSpaceDN/>
              <w:bidi w:val="0"/>
              <w:adjustRightInd/>
              <w:snapToGrid/>
              <w:spacing w:line="240" w:lineRule="atLeast"/>
              <w:ind w:leftChars="0" w:right="0" w:rightChars="0"/>
              <w:jc w:val="both"/>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eastAsia" w:cs="Times New Roman"/>
                <w:color w:val="000000" w:themeColor="text1"/>
                <w:spacing w:val="-5"/>
                <w:sz w:val="21"/>
                <w:szCs w:val="22"/>
                <w:vertAlign w:val="baseline"/>
                <w:lang w:val="en-US" w:eastAsia="zh-CN" w:bidi="ar-SA"/>
                <w14:textFill>
                  <w14:solidFill>
                    <w14:schemeClr w14:val="tx1"/>
                  </w14:solidFill>
                </w14:textFill>
              </w:rPr>
              <w:t>2.</w:t>
            </w: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边导线地面投影外两侧各15m范围内无电磁环境敏感目标的架空线</w:t>
            </w:r>
          </w:p>
        </w:tc>
        <w:tc>
          <w:tcPr>
            <w:tcW w:w="567" w:type="pct"/>
            <w:tcBorders>
              <w:tl2br w:val="nil"/>
              <w:tr2bl w:val="nil"/>
            </w:tcBorders>
            <w:noWrap w:val="0"/>
            <w:vAlign w:val="center"/>
          </w:tcPr>
          <w:p w14:paraId="6C91629E">
            <w:pPr>
              <w:keepNext w:val="0"/>
              <w:keepLines w:val="0"/>
              <w:pageBreakBefore w:val="0"/>
              <w:kinsoku/>
              <w:wordWrap/>
              <w:overflowPunct/>
              <w:topLinePunct w:val="0"/>
              <w:autoSpaceDE/>
              <w:autoSpaceDN/>
              <w:bidi w:val="0"/>
              <w:adjustRightInd/>
              <w:snapToGrid/>
              <w:spacing w:line="240" w:lineRule="atLeast"/>
              <w:ind w:left="0" w:leftChars="0" w:right="0" w:firstLine="0" w:firstLineChars="0"/>
              <w:jc w:val="center"/>
              <w:textAlignment w:val="auto"/>
              <w:outlineLvl w:val="9"/>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2"/>
                <w:vertAlign w:val="baseline"/>
                <w:lang w:val="en-US" w:eastAsia="zh-CN" w:bidi="ar-SA"/>
                <w14:textFill>
                  <w14:solidFill>
                    <w14:schemeClr w14:val="tx1"/>
                  </w14:solidFill>
                </w14:textFill>
              </w:rPr>
              <w:t>三级</w:t>
            </w:r>
          </w:p>
        </w:tc>
        <w:tc>
          <w:tcPr>
            <w:tcW w:w="849" w:type="pct"/>
            <w:vMerge w:val="restart"/>
            <w:tcBorders>
              <w:tl2br w:val="nil"/>
              <w:tr2bl w:val="nil"/>
            </w:tcBorders>
            <w:noWrap w:val="0"/>
            <w:vAlign w:val="center"/>
          </w:tcPr>
          <w:p w14:paraId="49E563D4">
            <w:pPr>
              <w:pStyle w:val="79"/>
              <w:keepNext w:val="0"/>
              <w:keepLines w:val="0"/>
              <w:pageBreakBefore w:val="0"/>
              <w:kinsoku/>
              <w:wordWrap/>
              <w:overflowPunct/>
              <w:topLinePunct w:val="0"/>
              <w:autoSpaceDE/>
              <w:autoSpaceDN/>
              <w:bidi w:val="0"/>
              <w:spacing w:before="0" w:after="0" w:line="240" w:lineRule="atLeast"/>
              <w:ind w:right="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color w:val="000000" w:themeColor="text1"/>
                <w14:textFill>
                  <w14:solidFill>
                    <w14:schemeClr w14:val="tx1"/>
                  </w14:solidFill>
                </w14:textFill>
              </w:rPr>
              <w:t>边导线地面投影外两侧各15m范围内</w:t>
            </w:r>
            <w:r>
              <w:rPr>
                <w:rFonts w:hint="eastAsia"/>
                <w:color w:val="000000" w:themeColor="text1"/>
                <w:lang w:val="en-US" w:eastAsia="zh-CN"/>
                <w14:textFill>
                  <w14:solidFill>
                    <w14:schemeClr w14:val="tx1"/>
                  </w14:solidFill>
                </w14:textFill>
              </w:rPr>
              <w:t>无</w:t>
            </w:r>
            <w:r>
              <w:rPr>
                <w:rFonts w:hint="default"/>
                <w:color w:val="000000" w:themeColor="text1"/>
                <w14:textFill>
                  <w14:solidFill>
                    <w14:schemeClr w14:val="tx1"/>
                  </w14:solidFill>
                </w14:textFill>
              </w:rPr>
              <w:t>电磁环境敏感目标的架空线</w:t>
            </w:r>
          </w:p>
        </w:tc>
        <w:tc>
          <w:tcPr>
            <w:tcW w:w="825" w:type="pct"/>
            <w:vMerge w:val="restart"/>
            <w:tcBorders>
              <w:tl2br w:val="nil"/>
              <w:tr2bl w:val="nil"/>
            </w:tcBorders>
            <w:noWrap w:val="0"/>
            <w:vAlign w:val="center"/>
          </w:tcPr>
          <w:p w14:paraId="23128637">
            <w:pPr>
              <w:pStyle w:val="79"/>
              <w:keepNext w:val="0"/>
              <w:keepLines w:val="0"/>
              <w:pageBreakBefore w:val="0"/>
              <w:kinsoku/>
              <w:wordWrap/>
              <w:overflowPunct/>
              <w:topLinePunct w:val="0"/>
              <w:autoSpaceDE/>
              <w:autoSpaceDN/>
              <w:bidi w:val="0"/>
              <w:spacing w:before="0" w:after="0" w:line="240" w:lineRule="atLeast"/>
              <w:ind w:right="0"/>
              <w:textAlignment w:val="auto"/>
              <w:rPr>
                <w:rFonts w:hint="eastAsia"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lang w:val="en-US" w:eastAsia="zh-CN"/>
                <w14:textFill>
                  <w14:solidFill>
                    <w14:schemeClr w14:val="tx1"/>
                  </w14:solidFill>
                </w14:textFill>
              </w:rPr>
              <w:t>三级</w:t>
            </w:r>
          </w:p>
        </w:tc>
      </w:tr>
      <w:tr w14:paraId="3FF85F0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0" w:type="dxa"/>
            <w:bottom w:w="0" w:type="dxa"/>
            <w:right w:w="20" w:type="dxa"/>
          </w:tblCellMar>
        </w:tblPrEx>
        <w:trPr>
          <w:trHeight w:val="397" w:hRule="atLeast"/>
          <w:jc w:val="center"/>
        </w:trPr>
        <w:tc>
          <w:tcPr>
            <w:tcW w:w="290" w:type="pct"/>
            <w:vMerge w:val="continue"/>
            <w:tcBorders>
              <w:tl2br w:val="nil"/>
              <w:tr2bl w:val="nil"/>
            </w:tcBorders>
            <w:noWrap w:val="0"/>
            <w:vAlign w:val="center"/>
          </w:tcPr>
          <w:p w14:paraId="1EBBDCE7">
            <w:pPr>
              <w:pStyle w:val="79"/>
              <w:keepNext w:val="0"/>
              <w:keepLines w:val="0"/>
              <w:pageBreakBefore w:val="0"/>
              <w:kinsoku/>
              <w:wordWrap/>
              <w:overflowPunct/>
              <w:topLinePunct w:val="0"/>
              <w:autoSpaceDE/>
              <w:autoSpaceDN/>
              <w:bidi w:val="0"/>
              <w:spacing w:before="0" w:after="0" w:line="240" w:lineRule="atLeast"/>
              <w:ind w:right="0"/>
              <w:textAlignment w:val="auto"/>
              <w:rPr>
                <w:rFonts w:hint="default"/>
                <w:color w:val="000000" w:themeColor="text1"/>
                <w14:textFill>
                  <w14:solidFill>
                    <w14:schemeClr w14:val="tx1"/>
                  </w14:solidFill>
                </w14:textFill>
              </w:rPr>
            </w:pPr>
          </w:p>
        </w:tc>
        <w:tc>
          <w:tcPr>
            <w:tcW w:w="479" w:type="pct"/>
            <w:vMerge w:val="continue"/>
            <w:tcBorders>
              <w:tl2br w:val="nil"/>
              <w:tr2bl w:val="nil"/>
            </w:tcBorders>
            <w:noWrap w:val="0"/>
            <w:vAlign w:val="center"/>
          </w:tcPr>
          <w:p w14:paraId="08E70711">
            <w:pPr>
              <w:pStyle w:val="79"/>
              <w:keepNext w:val="0"/>
              <w:keepLines w:val="0"/>
              <w:pageBreakBefore w:val="0"/>
              <w:kinsoku/>
              <w:wordWrap/>
              <w:overflowPunct/>
              <w:topLinePunct w:val="0"/>
              <w:autoSpaceDE/>
              <w:autoSpaceDN/>
              <w:bidi w:val="0"/>
              <w:spacing w:before="0" w:after="0" w:line="240" w:lineRule="atLeast"/>
              <w:ind w:right="0"/>
              <w:textAlignment w:val="auto"/>
              <w:rPr>
                <w:rFonts w:hint="default"/>
                <w:color w:val="000000" w:themeColor="text1"/>
                <w14:textFill>
                  <w14:solidFill>
                    <w14:schemeClr w14:val="tx1"/>
                  </w14:solidFill>
                </w14:textFill>
              </w:rPr>
            </w:pPr>
          </w:p>
        </w:tc>
        <w:tc>
          <w:tcPr>
            <w:tcW w:w="390" w:type="pct"/>
            <w:vMerge w:val="continue"/>
            <w:tcBorders>
              <w:tl2br w:val="nil"/>
              <w:tr2bl w:val="nil"/>
            </w:tcBorders>
            <w:noWrap w:val="0"/>
            <w:vAlign w:val="center"/>
          </w:tcPr>
          <w:p w14:paraId="590307B2">
            <w:pPr>
              <w:pStyle w:val="79"/>
              <w:keepNext w:val="0"/>
              <w:keepLines w:val="0"/>
              <w:pageBreakBefore w:val="0"/>
              <w:kinsoku/>
              <w:wordWrap/>
              <w:overflowPunct/>
              <w:topLinePunct w:val="0"/>
              <w:autoSpaceDE/>
              <w:autoSpaceDN/>
              <w:bidi w:val="0"/>
              <w:spacing w:before="0" w:after="0" w:line="240" w:lineRule="atLeast"/>
              <w:ind w:right="0"/>
              <w:textAlignment w:val="auto"/>
              <w:rPr>
                <w:rFonts w:hint="default"/>
                <w:color w:val="000000" w:themeColor="text1"/>
                <w14:textFill>
                  <w14:solidFill>
                    <w14:schemeClr w14:val="tx1"/>
                  </w14:solidFill>
                </w14:textFill>
              </w:rPr>
            </w:pPr>
          </w:p>
        </w:tc>
        <w:tc>
          <w:tcPr>
            <w:tcW w:w="1596" w:type="pct"/>
            <w:tcBorders>
              <w:tl2br w:val="nil"/>
              <w:tr2bl w:val="nil"/>
            </w:tcBorders>
            <w:noWrap w:val="0"/>
            <w:vAlign w:val="center"/>
          </w:tcPr>
          <w:p w14:paraId="15CB0290">
            <w:pPr>
              <w:pStyle w:val="79"/>
              <w:keepNext w:val="0"/>
              <w:keepLines w:val="0"/>
              <w:pageBreakBefore w:val="0"/>
              <w:kinsoku/>
              <w:wordWrap/>
              <w:overflowPunct/>
              <w:topLinePunct w:val="0"/>
              <w:autoSpaceDE/>
              <w:autoSpaceDN/>
              <w:bidi w:val="0"/>
              <w:spacing w:before="0" w:after="0" w:line="240" w:lineRule="atLeast"/>
              <w:ind w:right="0"/>
              <w:jc w:val="both"/>
              <w:textAlignment w:val="auto"/>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边导线地面投影外两侧各15m范围内有电磁环境敏感目标的架空线</w:t>
            </w:r>
          </w:p>
        </w:tc>
        <w:tc>
          <w:tcPr>
            <w:tcW w:w="567" w:type="pct"/>
            <w:tcBorders>
              <w:tl2br w:val="nil"/>
              <w:tr2bl w:val="nil"/>
            </w:tcBorders>
            <w:noWrap w:val="0"/>
            <w:vAlign w:val="center"/>
          </w:tcPr>
          <w:p w14:paraId="1606C365">
            <w:pPr>
              <w:pStyle w:val="79"/>
              <w:keepNext w:val="0"/>
              <w:keepLines w:val="0"/>
              <w:pageBreakBefore w:val="0"/>
              <w:kinsoku/>
              <w:wordWrap/>
              <w:overflowPunct/>
              <w:topLinePunct w:val="0"/>
              <w:autoSpaceDE/>
              <w:autoSpaceDN/>
              <w:bidi w:val="0"/>
              <w:spacing w:before="0" w:after="0" w:line="240" w:lineRule="atLeast"/>
              <w:ind w:right="0"/>
              <w:textAlignment w:val="auto"/>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二级</w:t>
            </w:r>
          </w:p>
        </w:tc>
        <w:tc>
          <w:tcPr>
            <w:tcW w:w="849" w:type="pct"/>
            <w:vMerge w:val="continue"/>
            <w:tcBorders>
              <w:tl2br w:val="nil"/>
              <w:tr2bl w:val="nil"/>
            </w:tcBorders>
            <w:noWrap w:val="0"/>
            <w:vAlign w:val="center"/>
          </w:tcPr>
          <w:p w14:paraId="3461E489">
            <w:pPr>
              <w:pStyle w:val="79"/>
              <w:keepNext w:val="0"/>
              <w:keepLines w:val="0"/>
              <w:pageBreakBefore w:val="0"/>
              <w:kinsoku/>
              <w:wordWrap/>
              <w:overflowPunct/>
              <w:topLinePunct w:val="0"/>
              <w:autoSpaceDE/>
              <w:autoSpaceDN/>
              <w:bidi w:val="0"/>
              <w:spacing w:before="0" w:after="0" w:line="240" w:lineRule="atLeast"/>
              <w:ind w:right="0"/>
              <w:textAlignment w:val="auto"/>
              <w:rPr>
                <w:rFonts w:hint="eastAsia"/>
                <w:color w:val="000000" w:themeColor="text1"/>
                <w:lang w:eastAsia="zh-CN"/>
                <w14:textFill>
                  <w14:solidFill>
                    <w14:schemeClr w14:val="tx1"/>
                  </w14:solidFill>
                </w14:textFill>
              </w:rPr>
            </w:pPr>
          </w:p>
        </w:tc>
        <w:tc>
          <w:tcPr>
            <w:tcW w:w="825" w:type="pct"/>
            <w:vMerge w:val="continue"/>
            <w:tcBorders>
              <w:tl2br w:val="nil"/>
              <w:tr2bl w:val="nil"/>
            </w:tcBorders>
            <w:noWrap w:val="0"/>
            <w:vAlign w:val="center"/>
          </w:tcPr>
          <w:p w14:paraId="62547EC8">
            <w:pPr>
              <w:pStyle w:val="79"/>
              <w:keepNext w:val="0"/>
              <w:keepLines w:val="0"/>
              <w:pageBreakBefore w:val="0"/>
              <w:kinsoku/>
              <w:wordWrap/>
              <w:overflowPunct/>
              <w:topLinePunct w:val="0"/>
              <w:autoSpaceDE/>
              <w:autoSpaceDN/>
              <w:bidi w:val="0"/>
              <w:spacing w:before="0" w:after="0" w:line="240" w:lineRule="atLeast"/>
              <w:ind w:right="0"/>
              <w:textAlignment w:val="auto"/>
              <w:rPr>
                <w:rFonts w:hint="eastAsia"/>
                <w:color w:val="000000" w:themeColor="text1"/>
                <w:lang w:eastAsia="zh-CN"/>
                <w14:textFill>
                  <w14:solidFill>
                    <w14:schemeClr w14:val="tx1"/>
                  </w14:solidFill>
                </w14:textFill>
              </w:rPr>
            </w:pPr>
          </w:p>
        </w:tc>
      </w:tr>
    </w:tbl>
    <w:p w14:paraId="3AE5739F">
      <w:pPr>
        <w:adjustRightInd w:val="0"/>
        <w:snapToGrid w:val="0"/>
        <w:spacing w:line="500" w:lineRule="exact"/>
        <w:ind w:firstLine="480" w:firstLineChars="200"/>
        <w:rPr>
          <w:color w:val="000000" w:themeColor="text1"/>
          <w:lang w:val="zh-CN"/>
          <w14:textFill>
            <w14:solidFill>
              <w14:schemeClr w14:val="tx1"/>
            </w14:solidFill>
          </w14:textFill>
        </w:rPr>
      </w:pPr>
      <w:r>
        <w:rPr>
          <w:color w:val="000000" w:themeColor="text1"/>
          <w:lang w:val="zh-CN"/>
          <w14:textFill>
            <w14:solidFill>
              <w14:schemeClr w14:val="tx1"/>
            </w14:solidFill>
          </w14:textFill>
        </w:rPr>
        <w:t>（</w:t>
      </w:r>
      <w:r>
        <w:rPr>
          <w:color w:val="000000" w:themeColor="text1"/>
          <w14:textFill>
            <w14:solidFill>
              <w14:schemeClr w14:val="tx1"/>
            </w14:solidFill>
          </w14:textFill>
        </w:rPr>
        <w:t>3</w:t>
      </w:r>
      <w:r>
        <w:rPr>
          <w:color w:val="000000" w:themeColor="text1"/>
          <w:lang w:val="zh-CN"/>
          <w14:textFill>
            <w14:solidFill>
              <w14:schemeClr w14:val="tx1"/>
            </w14:solidFill>
          </w14:textFill>
        </w:rPr>
        <w:t>）评价范围</w:t>
      </w:r>
    </w:p>
    <w:p w14:paraId="02D2CD7E">
      <w:pPr>
        <w:keepNext w:val="0"/>
        <w:keepLines w:val="0"/>
        <w:pageBreakBefore w:val="0"/>
        <w:kinsoku/>
        <w:wordWrap/>
        <w:overflowPunct/>
        <w:topLinePunct w:val="0"/>
        <w:bidi w:val="0"/>
        <w:spacing w:line="520" w:lineRule="exact"/>
        <w:ind w:firstLine="484" w:firstLineChars="200"/>
        <w:textAlignment w:val="auto"/>
        <w:rPr>
          <w:color w:val="000000" w:themeColor="text1"/>
          <w:position w:val="1"/>
          <w:sz w:val="24"/>
          <w:lang w:val="zh-CN"/>
          <w14:textFill>
            <w14:solidFill>
              <w14:schemeClr w14:val="tx1"/>
            </w14:solidFill>
          </w14:textFill>
        </w:rPr>
      </w:pPr>
      <w:r>
        <w:rPr>
          <w:color w:val="000000" w:themeColor="text1"/>
          <w:spacing w:val="1"/>
          <w:position w:val="1"/>
          <w:sz w:val="24"/>
          <w14:textFill>
            <w14:solidFill>
              <w14:schemeClr w14:val="tx1"/>
            </w14:solidFill>
          </w14:textFill>
        </w:rPr>
        <w:t>本项目</w:t>
      </w:r>
      <w:r>
        <w:rPr>
          <w:rFonts w:hint="eastAsia"/>
          <w:color w:val="000000" w:themeColor="text1"/>
          <w:spacing w:val="1"/>
          <w:position w:val="1"/>
          <w:sz w:val="24"/>
          <w:lang w:val="en-US" w:eastAsia="zh-CN"/>
          <w14:textFill>
            <w14:solidFill>
              <w14:schemeClr w14:val="tx1"/>
            </w14:solidFill>
          </w14:textFill>
        </w:rPr>
        <w:t>220</w:t>
      </w:r>
      <w:r>
        <w:rPr>
          <w:rFonts w:hint="eastAsia"/>
          <w:color w:val="000000" w:themeColor="text1"/>
          <w:spacing w:val="1"/>
          <w:position w:val="1"/>
          <w:sz w:val="24"/>
          <w:lang w:eastAsia="zh-CN"/>
          <w14:textFill>
            <w14:solidFill>
              <w14:schemeClr w14:val="tx1"/>
            </w14:solidFill>
          </w14:textFill>
        </w:rPr>
        <w:t>kV</w:t>
      </w:r>
      <w:r>
        <w:rPr>
          <w:color w:val="000000" w:themeColor="text1"/>
          <w:spacing w:val="1"/>
          <w:position w:val="1"/>
          <w:sz w:val="24"/>
          <w14:textFill>
            <w14:solidFill>
              <w14:schemeClr w14:val="tx1"/>
            </w14:solidFill>
          </w14:textFill>
        </w:rPr>
        <w:t>升压</w:t>
      </w:r>
      <w:r>
        <w:rPr>
          <w:rFonts w:hint="eastAsia"/>
          <w:color w:val="000000" w:themeColor="text1"/>
          <w:spacing w:val="1"/>
          <w:position w:val="1"/>
          <w:sz w:val="24"/>
          <w:lang w:val="en-US" w:eastAsia="zh-CN"/>
          <w14:textFill>
            <w14:solidFill>
              <w14:schemeClr w14:val="tx1"/>
            </w14:solidFill>
          </w14:textFill>
        </w:rPr>
        <w:t>汇集</w:t>
      </w:r>
      <w:r>
        <w:rPr>
          <w:color w:val="000000" w:themeColor="text1"/>
          <w:spacing w:val="1"/>
          <w:position w:val="1"/>
          <w:sz w:val="24"/>
          <w14:textFill>
            <w14:solidFill>
              <w14:schemeClr w14:val="tx1"/>
            </w14:solidFill>
          </w14:textFill>
        </w:rPr>
        <w:t>站围墙外</w:t>
      </w:r>
      <w:r>
        <w:rPr>
          <w:rFonts w:hint="eastAsia"/>
          <w:color w:val="000000" w:themeColor="text1"/>
          <w:spacing w:val="1"/>
          <w:position w:val="1"/>
          <w:sz w:val="24"/>
          <w:lang w:val="en-US" w:eastAsia="zh-CN"/>
          <w14:textFill>
            <w14:solidFill>
              <w14:schemeClr w14:val="tx1"/>
            </w14:solidFill>
          </w14:textFill>
        </w:rPr>
        <w:t>40</w:t>
      </w:r>
      <w:r>
        <w:rPr>
          <w:rFonts w:hint="eastAsia"/>
          <w:color w:val="000000" w:themeColor="text1"/>
          <w:spacing w:val="1"/>
          <w:position w:val="1"/>
          <w:sz w:val="24"/>
          <w:lang w:eastAsia="zh-CN"/>
          <w14:textFill>
            <w14:solidFill>
              <w14:schemeClr w14:val="tx1"/>
            </w14:solidFill>
          </w14:textFill>
        </w:rPr>
        <w:t>m</w:t>
      </w:r>
      <w:r>
        <w:rPr>
          <w:color w:val="000000" w:themeColor="text1"/>
          <w:position w:val="1"/>
          <w:sz w:val="24"/>
          <w14:textFill>
            <w14:solidFill>
              <w14:schemeClr w14:val="tx1"/>
            </w14:solidFill>
          </w14:textFill>
        </w:rPr>
        <w:t>。</w:t>
      </w:r>
      <w:r>
        <w:rPr>
          <w:rFonts w:hint="eastAsia"/>
          <w:color w:val="000000" w:themeColor="text1"/>
          <w:position w:val="1"/>
          <w:sz w:val="24"/>
          <w:lang w:val="en-US" w:eastAsia="zh-CN"/>
          <w14:textFill>
            <w14:solidFill>
              <w14:schemeClr w14:val="tx1"/>
            </w14:solidFill>
          </w14:textFill>
        </w:rPr>
        <w:t>220</w:t>
      </w:r>
      <w:r>
        <w:rPr>
          <w:rFonts w:hint="default"/>
          <w:color w:val="000000" w:themeColor="text1"/>
          <w:position w:val="1"/>
          <w:sz w:val="24"/>
          <w14:textFill>
            <w14:solidFill>
              <w14:schemeClr w14:val="tx1"/>
            </w14:solidFill>
          </w14:textFill>
        </w:rPr>
        <w:t>kV架空线路</w:t>
      </w:r>
      <w:r>
        <w:rPr>
          <w:rFonts w:hint="eastAsia"/>
          <w:color w:val="000000" w:themeColor="text1"/>
          <w:position w:val="1"/>
          <w:sz w:val="24"/>
          <w:lang w:val="zh-CN" w:eastAsia="zh-CN"/>
          <w14:textFill>
            <w14:solidFill>
              <w14:schemeClr w14:val="tx1"/>
            </w14:solidFill>
          </w14:textFill>
        </w:rPr>
        <w:t>电磁环境</w:t>
      </w:r>
      <w:r>
        <w:rPr>
          <w:rFonts w:hint="eastAsia"/>
          <w:color w:val="000000" w:themeColor="text1"/>
          <w:position w:val="1"/>
          <w:sz w:val="24"/>
          <w:lang w:val="en-US" w:eastAsia="zh-CN"/>
          <w14:textFill>
            <w14:solidFill>
              <w14:schemeClr w14:val="tx1"/>
            </w14:solidFill>
          </w14:textFill>
        </w:rPr>
        <w:t>影响评价范围为</w:t>
      </w:r>
      <w:r>
        <w:rPr>
          <w:rFonts w:hint="default"/>
          <w:color w:val="000000" w:themeColor="text1"/>
          <w:position w:val="1"/>
          <w:sz w:val="24"/>
          <w14:textFill>
            <w14:solidFill>
              <w14:schemeClr w14:val="tx1"/>
            </w14:solidFill>
          </w14:textFill>
        </w:rPr>
        <w:t>边导线地面投影外两侧各</w:t>
      </w:r>
      <w:r>
        <w:rPr>
          <w:rFonts w:hint="eastAsia"/>
          <w:color w:val="000000" w:themeColor="text1"/>
          <w:position w:val="1"/>
          <w:sz w:val="24"/>
          <w:lang w:val="en-US" w:eastAsia="zh-CN"/>
          <w14:textFill>
            <w14:solidFill>
              <w14:schemeClr w14:val="tx1"/>
            </w14:solidFill>
          </w14:textFill>
        </w:rPr>
        <w:t>40</w:t>
      </w:r>
      <w:r>
        <w:rPr>
          <w:rFonts w:hint="default"/>
          <w:color w:val="000000" w:themeColor="text1"/>
          <w:position w:val="1"/>
          <w:sz w:val="24"/>
          <w14:textFill>
            <w14:solidFill>
              <w14:schemeClr w14:val="tx1"/>
            </w14:solidFill>
          </w14:textFill>
        </w:rPr>
        <w:t>m</w:t>
      </w:r>
      <w:r>
        <w:rPr>
          <w:rFonts w:hint="eastAsia"/>
          <w:color w:val="000000" w:themeColor="text1"/>
          <w:position w:val="1"/>
          <w:sz w:val="24"/>
          <w:lang w:val="en-US" w:eastAsia="zh-CN"/>
          <w14:textFill>
            <w14:solidFill>
              <w14:schemeClr w14:val="tx1"/>
            </w14:solidFill>
          </w14:textFill>
        </w:rPr>
        <w:t>内的区域</w:t>
      </w:r>
      <w:r>
        <w:rPr>
          <w:color w:val="000000" w:themeColor="text1"/>
          <w:position w:val="1"/>
          <w:sz w:val="24"/>
          <w:lang w:val="zh-CN"/>
          <w14:textFill>
            <w14:solidFill>
              <w14:schemeClr w14:val="tx1"/>
            </w14:solidFill>
          </w14:textFill>
        </w:rPr>
        <w:t>。</w:t>
      </w:r>
    </w:p>
    <w:p w14:paraId="34D2AB4B">
      <w:pPr>
        <w:spacing w:line="500" w:lineRule="exact"/>
        <w:ind w:firstLine="482" w:firstLineChars="200"/>
        <w:rPr>
          <w:b/>
          <w:bCs/>
          <w:color w:val="000000" w:themeColor="text1"/>
          <w14:textFill>
            <w14:solidFill>
              <w14:schemeClr w14:val="tx1"/>
            </w14:solidFill>
          </w14:textFill>
        </w:rPr>
      </w:pPr>
      <w:bookmarkStart w:id="74" w:name="_Toc18252"/>
      <w:bookmarkStart w:id="75" w:name="_Toc16549"/>
      <w:bookmarkStart w:id="76" w:name="_Toc29311"/>
      <w:r>
        <w:rPr>
          <w:b/>
          <w:bCs/>
          <w:color w:val="000000" w:themeColor="text1"/>
          <w14:textFill>
            <w14:solidFill>
              <w14:schemeClr w14:val="tx1"/>
            </w14:solidFill>
          </w14:textFill>
        </w:rPr>
        <w:t>1.5评价标准</w:t>
      </w:r>
      <w:bookmarkEnd w:id="74"/>
      <w:bookmarkEnd w:id="75"/>
      <w:bookmarkEnd w:id="76"/>
    </w:p>
    <w:p w14:paraId="5501E20E">
      <w:pPr>
        <w:spacing w:line="500" w:lineRule="exact"/>
        <w:ind w:firstLine="480" w:firstLineChars="20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根据《电磁环境控制限值》（GB8702-2014），50Hz频率下，环境中工频电场强度的公众曝露控制限值</w:t>
      </w:r>
      <w:r>
        <w:rPr>
          <w:color w:val="000000" w:themeColor="text1"/>
          <w:sz w:val="24"/>
          <w:lang w:val="zh-CN"/>
          <w14:textFill>
            <w14:solidFill>
              <w14:schemeClr w14:val="tx1"/>
            </w14:solidFill>
          </w14:textFill>
        </w:rPr>
        <w:t>≤4</w:t>
      </w:r>
      <w:r>
        <w:rPr>
          <w:rFonts w:hint="eastAsia"/>
          <w:color w:val="000000" w:themeColor="text1"/>
          <w:sz w:val="24"/>
          <w:lang w:val="en-US" w:eastAsia="zh-CN"/>
          <w14:textFill>
            <w14:solidFill>
              <w14:schemeClr w14:val="tx1"/>
            </w14:solidFill>
          </w14:textFill>
        </w:rPr>
        <w:t>k</w:t>
      </w:r>
      <w:r>
        <w:rPr>
          <w:rFonts w:hint="eastAsia"/>
          <w:color w:val="000000" w:themeColor="text1"/>
          <w:lang w:val="zh-CN"/>
          <w14:textFill>
            <w14:solidFill>
              <w14:schemeClr w14:val="tx1"/>
            </w14:solidFill>
          </w14:textFill>
        </w:rPr>
        <w:t>V/m，工频磁感应强度的公众曝露控制限值</w:t>
      </w:r>
      <w:r>
        <w:rPr>
          <w:color w:val="000000" w:themeColor="text1"/>
          <w:sz w:val="24"/>
          <w:lang w:val="zh-CN"/>
          <w14:textFill>
            <w14:solidFill>
              <w14:schemeClr w14:val="tx1"/>
            </w14:solidFill>
          </w14:textFill>
        </w:rPr>
        <w:t>≤</w:t>
      </w:r>
      <w:r>
        <w:rPr>
          <w:rFonts w:hint="eastAsia"/>
          <w:color w:val="000000" w:themeColor="text1"/>
          <w:lang w:val="zh-CN"/>
          <w14:textFill>
            <w14:solidFill>
              <w14:schemeClr w14:val="tx1"/>
            </w14:solidFill>
          </w14:textFill>
        </w:rPr>
        <w:t>100μT。</w:t>
      </w:r>
    </w:p>
    <w:p w14:paraId="355AAD18">
      <w:pPr>
        <w:spacing w:line="500" w:lineRule="exact"/>
        <w:ind w:firstLine="482" w:firstLineChars="200"/>
        <w:rPr>
          <w:b/>
          <w:bCs/>
          <w:color w:val="000000" w:themeColor="text1"/>
          <w14:textFill>
            <w14:solidFill>
              <w14:schemeClr w14:val="tx1"/>
            </w14:solidFill>
          </w14:textFill>
        </w:rPr>
      </w:pPr>
      <w:bookmarkStart w:id="77" w:name="_Toc25952"/>
      <w:bookmarkStart w:id="78" w:name="_Toc10571"/>
      <w:bookmarkStart w:id="79" w:name="_Toc10765"/>
      <w:r>
        <w:rPr>
          <w:b/>
          <w:bCs/>
          <w:color w:val="000000" w:themeColor="text1"/>
          <w14:textFill>
            <w14:solidFill>
              <w14:schemeClr w14:val="tx1"/>
            </w14:solidFill>
          </w14:textFill>
        </w:rPr>
        <w:t>1.6环境保护目标</w:t>
      </w:r>
      <w:bookmarkEnd w:id="77"/>
      <w:bookmarkEnd w:id="78"/>
      <w:bookmarkEnd w:id="79"/>
    </w:p>
    <w:p w14:paraId="12DFA3C3">
      <w:pPr>
        <w:spacing w:line="500" w:lineRule="exact"/>
        <w:ind w:firstLine="480" w:firstLineChars="200"/>
        <w:rPr>
          <w:color w:val="000000" w:themeColor="text1"/>
          <w:lang w:val="zh-CN"/>
          <w14:textFill>
            <w14:solidFill>
              <w14:schemeClr w14:val="tx1"/>
            </w14:solidFill>
          </w14:textFill>
        </w:rPr>
      </w:pPr>
      <w:r>
        <w:rPr>
          <w:color w:val="000000" w:themeColor="text1"/>
          <w:lang w:val="zh-CN"/>
          <w14:textFill>
            <w14:solidFill>
              <w14:schemeClr w14:val="tx1"/>
            </w14:solidFill>
          </w14:textFill>
        </w:rPr>
        <w:t>根据《</w:t>
      </w:r>
      <w:r>
        <w:rPr>
          <w:color w:val="000000" w:themeColor="text1"/>
          <w14:textFill>
            <w14:solidFill>
              <w14:schemeClr w14:val="tx1"/>
            </w14:solidFill>
          </w14:textFill>
        </w:rPr>
        <w:t>环境影响评价技术导则 输变电》（HJ 24-2020），</w:t>
      </w:r>
      <w:r>
        <w:rPr>
          <w:color w:val="000000" w:themeColor="text1"/>
          <w:lang w:val="zh-CN"/>
          <w14:textFill>
            <w14:solidFill>
              <w14:schemeClr w14:val="tx1"/>
            </w14:solidFill>
          </w14:textFill>
        </w:rPr>
        <w:t>输变电类项目电磁环境敏感目标为需重点关注的对象。包括住宅、学校、医院、办公楼、工厂等有公众居住、工作或学习的建筑物。</w:t>
      </w:r>
    </w:p>
    <w:p w14:paraId="7767B446">
      <w:pPr>
        <w:spacing w:line="500" w:lineRule="exact"/>
        <w:ind w:firstLine="48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经现场勘查，本项目</w:t>
      </w:r>
      <w:r>
        <w:rPr>
          <w:rFonts w:hint="eastAsia"/>
          <w:color w:val="000000" w:themeColor="text1"/>
          <w:lang w:val="en-US" w:eastAsia="zh-CN"/>
          <w14:textFill>
            <w14:solidFill>
              <w14:schemeClr w14:val="tx1"/>
            </w14:solidFill>
          </w14:textFill>
        </w:rPr>
        <w:t>220</w:t>
      </w:r>
      <w:r>
        <w:rPr>
          <w:rFonts w:hint="eastAsia"/>
          <w:color w:val="000000" w:themeColor="text1"/>
          <w14:textFill>
            <w14:solidFill>
              <w14:schemeClr w14:val="tx1"/>
            </w14:solidFill>
          </w14:textFill>
        </w:rPr>
        <w:t>kV升压</w:t>
      </w:r>
      <w:r>
        <w:rPr>
          <w:rFonts w:hint="eastAsia"/>
          <w:color w:val="000000" w:themeColor="text1"/>
          <w:lang w:val="en-US" w:eastAsia="zh-CN"/>
          <w14:textFill>
            <w14:solidFill>
              <w14:schemeClr w14:val="tx1"/>
            </w14:solidFill>
          </w14:textFill>
        </w:rPr>
        <w:t>汇集</w:t>
      </w:r>
      <w:r>
        <w:rPr>
          <w:rFonts w:hint="eastAsia"/>
          <w:color w:val="000000" w:themeColor="text1"/>
          <w14:textFill>
            <w14:solidFill>
              <w14:schemeClr w14:val="tx1"/>
            </w14:solidFill>
          </w14:textFill>
        </w:rPr>
        <w:t>站及</w:t>
      </w:r>
      <w:r>
        <w:rPr>
          <w:rFonts w:hint="eastAsia"/>
          <w:color w:val="000000" w:themeColor="text1"/>
          <w:lang w:eastAsia="zh-CN"/>
          <w14:textFill>
            <w14:solidFill>
              <w14:schemeClr w14:val="tx1"/>
            </w14:solidFill>
          </w14:textFill>
        </w:rPr>
        <w:t>外送线路</w:t>
      </w:r>
      <w:r>
        <w:rPr>
          <w:rFonts w:hint="eastAsia"/>
          <w:color w:val="000000" w:themeColor="text1"/>
          <w14:textFill>
            <w14:solidFill>
              <w14:schemeClr w14:val="tx1"/>
            </w14:solidFill>
          </w14:textFill>
        </w:rPr>
        <w:t>工程评价范围内无电磁环境保护目标。</w:t>
      </w:r>
    </w:p>
    <w:p w14:paraId="0B4F29EE">
      <w:pPr>
        <w:spacing w:line="500" w:lineRule="exact"/>
        <w:ind w:firstLine="482" w:firstLineChars="200"/>
        <w:rPr>
          <w:b/>
          <w:bCs/>
          <w:color w:val="000000" w:themeColor="text1"/>
          <w14:textFill>
            <w14:solidFill>
              <w14:schemeClr w14:val="tx1"/>
            </w14:solidFill>
          </w14:textFill>
        </w:rPr>
      </w:pPr>
      <w:bookmarkStart w:id="80" w:name="_Toc6877"/>
      <w:bookmarkStart w:id="81" w:name="_Toc2882"/>
      <w:bookmarkStart w:id="82" w:name="_Toc20551"/>
      <w:r>
        <w:rPr>
          <w:b/>
          <w:bCs/>
          <w:color w:val="000000" w:themeColor="text1"/>
          <w14:textFill>
            <w14:solidFill>
              <w14:schemeClr w14:val="tx1"/>
            </w14:solidFill>
          </w14:textFill>
        </w:rPr>
        <w:t>2</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电磁环境现状监测与评价</w:t>
      </w:r>
      <w:bookmarkEnd w:id="80"/>
      <w:bookmarkEnd w:id="81"/>
      <w:bookmarkEnd w:id="82"/>
    </w:p>
    <w:p w14:paraId="5AF2DF91">
      <w:pPr>
        <w:spacing w:line="500" w:lineRule="exact"/>
        <w:ind w:firstLine="482" w:firstLineChars="200"/>
        <w:rPr>
          <w:b/>
          <w:bCs/>
          <w:color w:val="000000" w:themeColor="text1"/>
          <w14:textFill>
            <w14:solidFill>
              <w14:schemeClr w14:val="tx1"/>
            </w14:solidFill>
          </w14:textFill>
        </w:rPr>
      </w:pPr>
      <w:bookmarkStart w:id="83" w:name="_Toc31868"/>
      <w:r>
        <w:rPr>
          <w:b/>
          <w:bCs/>
          <w:color w:val="000000" w:themeColor="text1"/>
          <w14:textFill>
            <w14:solidFill>
              <w14:schemeClr w14:val="tx1"/>
            </w14:solidFill>
          </w14:textFill>
        </w:rPr>
        <w:t>2.1监测因子</w:t>
      </w:r>
      <w:bookmarkEnd w:id="83"/>
    </w:p>
    <w:p w14:paraId="2A040A01">
      <w:pPr>
        <w:spacing w:line="500" w:lineRule="exact"/>
        <w:ind w:firstLine="480" w:firstLineChars="200"/>
        <w:rPr>
          <w:color w:val="000000" w:themeColor="text1"/>
          <w:lang w:val="zh-CN"/>
          <w14:textFill>
            <w14:solidFill>
              <w14:schemeClr w14:val="tx1"/>
            </w14:solidFill>
          </w14:textFill>
        </w:rPr>
      </w:pPr>
      <w:r>
        <w:rPr>
          <w:color w:val="000000" w:themeColor="text1"/>
          <w:lang w:val="zh-CN"/>
          <w14:textFill>
            <w14:solidFill>
              <w14:schemeClr w14:val="tx1"/>
            </w14:solidFill>
          </w14:textFill>
        </w:rPr>
        <w:t>工频电场强度、工频磁感应强度</w:t>
      </w:r>
    </w:p>
    <w:p w14:paraId="30576EA7">
      <w:pPr>
        <w:spacing w:line="500" w:lineRule="exact"/>
        <w:ind w:firstLine="482" w:firstLineChars="200"/>
        <w:rPr>
          <w:b/>
          <w:bCs/>
          <w:color w:val="000000" w:themeColor="text1"/>
          <w14:textFill>
            <w14:solidFill>
              <w14:schemeClr w14:val="tx1"/>
            </w14:solidFill>
          </w14:textFill>
        </w:rPr>
      </w:pPr>
      <w:bookmarkStart w:id="84" w:name="_Toc9435"/>
      <w:r>
        <w:rPr>
          <w:b/>
          <w:bCs/>
          <w:color w:val="000000" w:themeColor="text1"/>
          <w14:textFill>
            <w14:solidFill>
              <w14:schemeClr w14:val="tx1"/>
            </w14:solidFill>
          </w14:textFill>
        </w:rPr>
        <w:t>2.2监测方法及布点</w:t>
      </w:r>
      <w:bookmarkEnd w:id="84"/>
    </w:p>
    <w:p w14:paraId="60C8D90B">
      <w:pPr>
        <w:spacing w:line="500" w:lineRule="exact"/>
        <w:ind w:firstLine="480" w:firstLineChars="200"/>
        <w:rPr>
          <w:b/>
          <w:bCs/>
          <w:color w:val="000000" w:themeColor="text1"/>
          <w14:textFill>
            <w14:solidFill>
              <w14:schemeClr w14:val="tx1"/>
            </w14:solidFill>
          </w14:textFill>
        </w:rPr>
      </w:pPr>
      <w:r>
        <w:rPr>
          <w:color w:val="000000" w:themeColor="text1"/>
          <w:lang w:val="zh-CN"/>
          <w14:textFill>
            <w14:solidFill>
              <w14:schemeClr w14:val="tx1"/>
            </w14:solidFill>
          </w14:textFill>
        </w:rPr>
        <w:t>监测方法：《交流输变电工程电磁环境监测</w:t>
      </w:r>
      <w:r>
        <w:rPr>
          <w:rFonts w:hint="eastAsia"/>
          <w:color w:val="000000" w:themeColor="text1"/>
          <w:lang w:val="zh-CN"/>
          <w14:textFill>
            <w14:solidFill>
              <w14:schemeClr w14:val="tx1"/>
            </w14:solidFill>
          </w14:textFill>
        </w:rPr>
        <w:t>方法</w:t>
      </w:r>
      <w:r>
        <w:rPr>
          <w:color w:val="000000" w:themeColor="text1"/>
          <w:lang w:val="zh-CN"/>
          <w14:textFill>
            <w14:solidFill>
              <w14:schemeClr w14:val="tx1"/>
            </w14:solidFill>
          </w14:textFill>
        </w:rPr>
        <w:t>（试行）》（HJ681-2013）。根据《环境影响评价技术导则 输变电》（HJ 24-2020）的要求，</w:t>
      </w:r>
      <w:r>
        <w:rPr>
          <w:rFonts w:hint="eastAsia"/>
          <w:snapToGrid w:val="0"/>
          <w:color w:val="000000" w:themeColor="text1"/>
          <w:sz w:val="24"/>
          <w:szCs w:val="24"/>
          <w14:textFill>
            <w14:solidFill>
              <w14:schemeClr w14:val="tx1"/>
            </w14:solidFill>
          </w14:textFill>
        </w:rPr>
        <w:t>220kV升压汇集站</w:t>
      </w:r>
      <w:r>
        <w:rPr>
          <w:rFonts w:hint="eastAsia"/>
          <w:color w:val="000000" w:themeColor="text1"/>
          <w14:textFill>
            <w14:solidFill>
              <w14:schemeClr w14:val="tx1"/>
            </w14:solidFill>
          </w14:textFill>
        </w:rPr>
        <w:t>场址</w:t>
      </w:r>
      <w:r>
        <w:rPr>
          <w:rFonts w:hint="eastAsia"/>
          <w:color w:val="000000" w:themeColor="text1"/>
          <w:lang w:val="en-US" w:eastAsia="zh-CN"/>
          <w14:textFill>
            <w14:solidFill>
              <w14:schemeClr w14:val="tx1"/>
            </w14:solidFill>
          </w14:textFill>
        </w:rPr>
        <w:t>四周</w:t>
      </w:r>
      <w:r>
        <w:rPr>
          <w:color w:val="000000" w:themeColor="text1"/>
          <w14:textFill>
            <w14:solidFill>
              <w14:schemeClr w14:val="tx1"/>
            </w14:solidFill>
          </w14:textFill>
        </w:rPr>
        <w:t>外</w:t>
      </w:r>
      <w:r>
        <w:rPr>
          <w:rFonts w:hint="eastAsia"/>
          <w:color w:val="000000" w:themeColor="text1"/>
          <w14:textFill>
            <w14:solidFill>
              <w14:schemeClr w14:val="tx1"/>
            </w14:solidFill>
          </w14:textFill>
        </w:rPr>
        <w:t>5m</w:t>
      </w:r>
      <w:r>
        <w:rPr>
          <w:color w:val="000000" w:themeColor="text1"/>
          <w14:textFill>
            <w14:solidFill>
              <w14:schemeClr w14:val="tx1"/>
            </w14:solidFill>
          </w14:textFill>
        </w:rPr>
        <w:t>处</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外送线路起点、终点及跨越点，</w:t>
      </w:r>
      <w:r>
        <w:rPr>
          <w:color w:val="000000" w:themeColor="text1"/>
          <w14:textFill>
            <w14:solidFill>
              <w14:schemeClr w14:val="tx1"/>
            </w14:solidFill>
          </w14:textFill>
        </w:rPr>
        <w:t>共布置</w:t>
      </w:r>
      <w:r>
        <w:rPr>
          <w:rFonts w:hint="eastAsia"/>
          <w:color w:val="000000" w:themeColor="text1"/>
          <w:lang w:val="en-US" w:eastAsia="zh-CN"/>
          <w14:textFill>
            <w14:solidFill>
              <w14:schemeClr w14:val="tx1"/>
            </w14:solidFill>
          </w14:textFill>
        </w:rPr>
        <w:t>7</w:t>
      </w:r>
      <w:r>
        <w:rPr>
          <w:color w:val="000000" w:themeColor="text1"/>
          <w14:textFill>
            <w14:solidFill>
              <w14:schemeClr w14:val="tx1"/>
            </w14:solidFill>
          </w14:textFill>
        </w:rPr>
        <w:t>个</w:t>
      </w:r>
      <w:r>
        <w:rPr>
          <w:rFonts w:hint="eastAsia"/>
          <w:color w:val="000000" w:themeColor="text1"/>
          <w14:textFill>
            <w14:solidFill>
              <w14:schemeClr w14:val="tx1"/>
            </w14:solidFill>
          </w14:textFill>
        </w:rPr>
        <w:t>现状监测点</w:t>
      </w:r>
      <w:r>
        <w:rPr>
          <w:rFonts w:hint="eastAsia"/>
          <w:b w:val="0"/>
          <w:bCs w:val="0"/>
          <w:color w:val="000000" w:themeColor="text1"/>
          <w:lang w:val="zh-CN"/>
          <w14:textFill>
            <w14:solidFill>
              <w14:schemeClr w14:val="tx1"/>
            </w14:solidFill>
          </w14:textFill>
        </w:rPr>
        <w:t>。</w:t>
      </w:r>
    </w:p>
    <w:p w14:paraId="44C340FB">
      <w:pPr>
        <w:spacing w:line="500" w:lineRule="exact"/>
        <w:ind w:firstLine="482" w:firstLineChars="200"/>
        <w:rPr>
          <w:b/>
          <w:bCs/>
          <w:color w:val="000000" w:themeColor="text1"/>
          <w14:textFill>
            <w14:solidFill>
              <w14:schemeClr w14:val="tx1"/>
            </w14:solidFill>
          </w14:textFill>
        </w:rPr>
      </w:pPr>
      <w:bookmarkStart w:id="85" w:name="_Toc2444"/>
      <w:r>
        <w:rPr>
          <w:b/>
          <w:bCs/>
          <w:color w:val="000000" w:themeColor="text1"/>
          <w14:textFill>
            <w14:solidFill>
              <w14:schemeClr w14:val="tx1"/>
            </w14:solidFill>
          </w14:textFill>
        </w:rPr>
        <w:t>2.3监测单位及监测时间</w:t>
      </w:r>
      <w:bookmarkEnd w:id="85"/>
    </w:p>
    <w:p w14:paraId="0C584512">
      <w:pPr>
        <w:spacing w:line="500" w:lineRule="exact"/>
        <w:ind w:firstLine="480" w:firstLineChars="200"/>
        <w:rPr>
          <w:rFonts w:hint="eastAsia"/>
          <w:color w:val="000000" w:themeColor="text1"/>
          <w:highlight w:val="yellow"/>
          <w:lang w:val="zh-CN"/>
          <w14:textFill>
            <w14:solidFill>
              <w14:schemeClr w14:val="tx1"/>
            </w14:solidFill>
          </w14:textFill>
        </w:rPr>
      </w:pPr>
      <w:r>
        <w:rPr>
          <w:color w:val="000000" w:themeColor="text1"/>
          <w:lang w:val="zh-CN"/>
          <w14:textFill>
            <w14:solidFill>
              <w14:schemeClr w14:val="tx1"/>
            </w14:solidFill>
          </w14:textFill>
        </w:rPr>
        <w:t>监测单位：</w:t>
      </w:r>
      <w:r>
        <w:rPr>
          <w:rFonts w:hint="eastAsia" w:ascii="Times New Roman" w:hAnsi="Times New Roman"/>
          <w:color w:val="000000" w:themeColor="text1"/>
          <w:spacing w:val="0"/>
          <w:sz w:val="24"/>
          <w:lang w:val="en-US" w:eastAsia="zh-CN"/>
          <w14:textFill>
            <w14:solidFill>
              <w14:schemeClr w14:val="tx1"/>
            </w14:solidFill>
          </w14:textFill>
        </w:rPr>
        <w:t>乌鲁木齐星辰汇峰环保科技有限公司</w:t>
      </w:r>
    </w:p>
    <w:p w14:paraId="188B49C0">
      <w:pPr>
        <w:spacing w:line="500" w:lineRule="exact"/>
        <w:ind w:firstLine="480" w:firstLineChars="200"/>
        <w:rPr>
          <w:color w:val="000000" w:themeColor="text1"/>
          <w14:textFill>
            <w14:solidFill>
              <w14:schemeClr w14:val="tx1"/>
            </w14:solidFill>
          </w14:textFill>
        </w:rPr>
      </w:pPr>
      <w:r>
        <w:rPr>
          <w:color w:val="000000" w:themeColor="text1"/>
          <w:lang w:val="zh-CN"/>
          <w14:textFill>
            <w14:solidFill>
              <w14:schemeClr w14:val="tx1"/>
            </w14:solidFill>
          </w14:textFill>
        </w:rPr>
        <w:t>监测时间：</w:t>
      </w:r>
      <w:r>
        <w:rPr>
          <w:rFonts w:hint="eastAsia"/>
          <w:color w:val="000000" w:themeColor="text1"/>
          <w:lang w:val="zh-CN"/>
          <w14:textFill>
            <w14:solidFill>
              <w14:schemeClr w14:val="tx1"/>
            </w14:solidFill>
          </w14:textFill>
        </w:rPr>
        <w:t>202</w:t>
      </w:r>
      <w:r>
        <w:rPr>
          <w:rFonts w:hint="eastAsia"/>
          <w:color w:val="000000" w:themeColor="text1"/>
          <w:lang w:val="en-US" w:eastAsia="zh-CN"/>
          <w14:textFill>
            <w14:solidFill>
              <w14:schemeClr w14:val="tx1"/>
            </w14:solidFill>
          </w14:textFill>
        </w:rPr>
        <w:t>6</w:t>
      </w:r>
      <w:r>
        <w:rPr>
          <w:rFonts w:hint="eastAsia"/>
          <w:color w:val="000000" w:themeColor="text1"/>
          <w:lang w:val="zh-CN"/>
          <w14:textFill>
            <w14:solidFill>
              <w14:schemeClr w14:val="tx1"/>
            </w14:solidFill>
          </w14:textFill>
        </w:rPr>
        <w:t>年</w:t>
      </w:r>
      <w:r>
        <w:rPr>
          <w:rFonts w:hint="eastAsia"/>
          <w:color w:val="000000" w:themeColor="text1"/>
          <w:lang w:val="en-US" w:eastAsia="zh-CN"/>
          <w14:textFill>
            <w14:solidFill>
              <w14:schemeClr w14:val="tx1"/>
            </w14:solidFill>
          </w14:textFill>
        </w:rPr>
        <w:t>8</w:t>
      </w:r>
      <w:r>
        <w:rPr>
          <w:rFonts w:hint="eastAsia"/>
          <w:color w:val="000000" w:themeColor="text1"/>
          <w:lang w:val="zh-CN"/>
          <w14:textFill>
            <w14:solidFill>
              <w14:schemeClr w14:val="tx1"/>
            </w14:solidFill>
          </w14:textFill>
        </w:rPr>
        <w:t>月</w:t>
      </w:r>
      <w:r>
        <w:rPr>
          <w:rFonts w:hint="eastAsia"/>
          <w:color w:val="000000" w:themeColor="text1"/>
          <w:lang w:val="en-US" w:eastAsia="zh-CN"/>
          <w14:textFill>
            <w14:solidFill>
              <w14:schemeClr w14:val="tx1"/>
            </w14:solidFill>
          </w14:textFill>
        </w:rPr>
        <w:t>10</w:t>
      </w:r>
      <w:r>
        <w:rPr>
          <w:rFonts w:hint="eastAsia"/>
          <w:color w:val="000000" w:themeColor="text1"/>
          <w:lang w:val="zh-CN"/>
          <w14:textFill>
            <w14:solidFill>
              <w14:schemeClr w14:val="tx1"/>
            </w14:solidFill>
          </w14:textFill>
        </w:rPr>
        <w:t>日</w:t>
      </w:r>
    </w:p>
    <w:p w14:paraId="45E31789">
      <w:pPr>
        <w:spacing w:line="500" w:lineRule="exact"/>
        <w:ind w:firstLine="482" w:firstLineChars="200"/>
        <w:rPr>
          <w:b/>
          <w:bCs/>
          <w:color w:val="000000" w:themeColor="text1"/>
          <w14:textFill>
            <w14:solidFill>
              <w14:schemeClr w14:val="tx1"/>
            </w14:solidFill>
          </w14:textFill>
        </w:rPr>
      </w:pPr>
      <w:bookmarkStart w:id="86" w:name="_Toc3138"/>
      <w:r>
        <w:rPr>
          <w:b/>
          <w:bCs/>
          <w:color w:val="000000" w:themeColor="text1"/>
          <w14:textFill>
            <w14:solidFill>
              <w14:schemeClr w14:val="tx1"/>
            </w14:solidFill>
          </w14:textFill>
        </w:rPr>
        <w:t>2.4监测仪器、监测条件</w:t>
      </w:r>
      <w:bookmarkEnd w:id="86"/>
    </w:p>
    <w:p w14:paraId="068D0B77">
      <w:pPr>
        <w:spacing w:line="500" w:lineRule="exact"/>
        <w:ind w:firstLine="480" w:firstLineChars="200"/>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监测方法：根据《交流输变电工程电磁环境监测方法（试行）》（HJ</w:t>
      </w:r>
      <w:r>
        <w:rPr>
          <w:rFonts w:hint="eastAsia"/>
          <w:color w:val="000000" w:themeColor="text1"/>
          <w:lang w:val="en-US" w:eastAsia="zh-CN"/>
          <w14:textFill>
            <w14:solidFill>
              <w14:schemeClr w14:val="tx1"/>
            </w14:solidFill>
          </w14:textFill>
        </w:rPr>
        <w:t xml:space="preserve"> </w:t>
      </w:r>
      <w:r>
        <w:rPr>
          <w:rFonts w:hint="eastAsia"/>
          <w:color w:val="000000" w:themeColor="text1"/>
          <w:lang w:val="zh-CN"/>
          <w14:textFill>
            <w14:solidFill>
              <w14:schemeClr w14:val="tx1"/>
            </w14:solidFill>
          </w14:textFill>
        </w:rPr>
        <w:t>681-2013），监测仪器探头距离地面高度为1.5m；监测人员与监测仪器探头距离大于2.5m，监测仪器探头与固定物体距离应不小于1m。监测仪器参数见表2。</w:t>
      </w:r>
    </w:p>
    <w:p w14:paraId="22718EF2">
      <w:pPr>
        <w:keepNext w:val="0"/>
        <w:keepLines w:val="0"/>
        <w:pageBreakBefore w:val="0"/>
        <w:widowControl w:val="0"/>
        <w:tabs>
          <w:tab w:val="left" w:pos="3296"/>
        </w:tabs>
        <w:kinsoku w:val="0"/>
        <w:wordWrap/>
        <w:overflowPunct w:val="0"/>
        <w:topLinePunct w:val="0"/>
        <w:autoSpaceDE w:val="0"/>
        <w:autoSpaceDN w:val="0"/>
        <w:bidi w:val="0"/>
        <w:adjustRightInd w:val="0"/>
        <w:snapToGrid w:val="0"/>
        <w:spacing w:line="500" w:lineRule="exact"/>
        <w:jc w:val="center"/>
        <w:textAlignment w:val="auto"/>
        <w:rPr>
          <w:rFonts w:hint="eastAsia" w:ascii="黑体" w:hAnsi="黑体" w:eastAsia="黑体" w:cs="黑体"/>
          <w:color w:val="000000" w:themeColor="text1"/>
          <w:kern w:val="0"/>
          <w:sz w:val="21"/>
          <w:szCs w:val="21"/>
          <w14:textFill>
            <w14:solidFill>
              <w14:schemeClr w14:val="tx1"/>
            </w14:solidFill>
          </w14:textFill>
        </w:rPr>
      </w:pPr>
      <w:r>
        <w:rPr>
          <w:rFonts w:hint="eastAsia" w:ascii="黑体" w:hAnsi="黑体" w:eastAsia="黑体" w:cs="黑体"/>
          <w:color w:val="000000" w:themeColor="text1"/>
          <w:kern w:val="0"/>
          <w:sz w:val="21"/>
          <w:szCs w:val="21"/>
          <w14:textFill>
            <w14:solidFill>
              <w14:schemeClr w14:val="tx1"/>
            </w14:solidFill>
          </w14:textFill>
        </w:rPr>
        <w:t>表</w:t>
      </w:r>
      <w:r>
        <w:rPr>
          <w:rFonts w:hint="eastAsia" w:ascii="黑体" w:hAnsi="黑体" w:eastAsia="黑体" w:cs="黑体"/>
          <w:color w:val="000000" w:themeColor="text1"/>
          <w:kern w:val="0"/>
          <w:sz w:val="21"/>
          <w:szCs w:val="21"/>
          <w:lang w:val="en-US" w:eastAsia="zh-CN"/>
          <w14:textFill>
            <w14:solidFill>
              <w14:schemeClr w14:val="tx1"/>
            </w14:solidFill>
          </w14:textFill>
        </w:rPr>
        <w:t xml:space="preserve">2    </w:t>
      </w:r>
      <w:r>
        <w:rPr>
          <w:rFonts w:hint="eastAsia" w:ascii="黑体" w:hAnsi="黑体" w:eastAsia="黑体" w:cs="黑体"/>
          <w:color w:val="000000" w:themeColor="text1"/>
          <w:kern w:val="0"/>
          <w:sz w:val="21"/>
          <w:szCs w:val="21"/>
          <w14:textFill>
            <w14:solidFill>
              <w14:schemeClr w14:val="tx1"/>
            </w14:solidFill>
          </w14:textFill>
        </w:rPr>
        <w:t xml:space="preserve"> 监测仪器参数表</w:t>
      </w:r>
    </w:p>
    <w:tbl>
      <w:tblPr>
        <w:tblStyle w:val="27"/>
        <w:tblW w:w="0" w:type="auto"/>
        <w:jc w:val="center"/>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fixed"/>
        <w:tblCellMar>
          <w:top w:w="0" w:type="dxa"/>
          <w:left w:w="108" w:type="dxa"/>
          <w:bottom w:w="0" w:type="dxa"/>
          <w:right w:w="108" w:type="dxa"/>
        </w:tblCellMar>
      </w:tblPr>
      <w:tblGrid>
        <w:gridCol w:w="425"/>
        <w:gridCol w:w="626"/>
        <w:gridCol w:w="1117"/>
        <w:gridCol w:w="969"/>
        <w:gridCol w:w="2823"/>
        <w:gridCol w:w="1647"/>
        <w:gridCol w:w="1110"/>
      </w:tblGrid>
      <w:tr w14:paraId="6EFCE21E">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710" w:hRule="atLeast"/>
          <w:jc w:val="center"/>
        </w:trPr>
        <w:tc>
          <w:tcPr>
            <w:tcW w:w="425" w:type="dxa"/>
            <w:tcBorders>
              <w:tl2br w:val="nil"/>
              <w:tr2bl w:val="nil"/>
            </w:tcBorders>
            <w:noWrap w:val="0"/>
            <w:vAlign w:val="center"/>
          </w:tcPr>
          <w:p w14:paraId="394D0A63">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序</w:t>
            </w:r>
          </w:p>
          <w:p w14:paraId="5EB09FAE">
            <w:pPr>
              <w:keepNext w:val="0"/>
              <w:keepLines w:val="0"/>
              <w:pageBreakBefore w:val="0"/>
              <w:widowControl/>
              <w:suppressLineNumbers w:val="0"/>
              <w:kinsoku/>
              <w:wordWrap/>
              <w:overflowPunct/>
              <w:topLinePunct w:val="0"/>
              <w:autoSpaceDE/>
              <w:autoSpaceDN/>
              <w:bidi w:val="0"/>
              <w:adjustRightInd/>
              <w:snapToGrid w:val="0"/>
              <w:spacing w:line="240" w:lineRule="auto"/>
              <w:jc w:val="left"/>
              <w:textAlignment w:val="center"/>
              <w:rPr>
                <w:rFonts w:hint="default" w:ascii="Times New Roman" w:hAnsi="Times New Roman" w:eastAsia="宋体" w:cs="Times New Roman"/>
                <w:i w:val="0"/>
                <w:iCs w:val="0"/>
                <w:color w:val="000000" w:themeColor="text1"/>
                <w:sz w:val="21"/>
                <w:szCs w:val="21"/>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号</w:t>
            </w:r>
          </w:p>
        </w:tc>
        <w:tc>
          <w:tcPr>
            <w:tcW w:w="626" w:type="dxa"/>
            <w:tcBorders>
              <w:tl2br w:val="nil"/>
              <w:tr2bl w:val="nil"/>
            </w:tcBorders>
            <w:noWrap w:val="0"/>
            <w:vAlign w:val="center"/>
          </w:tcPr>
          <w:p w14:paraId="54143925">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仪器名称</w:t>
            </w:r>
          </w:p>
        </w:tc>
        <w:tc>
          <w:tcPr>
            <w:tcW w:w="1117" w:type="dxa"/>
            <w:tcBorders>
              <w:tl2br w:val="nil"/>
              <w:tr2bl w:val="nil"/>
            </w:tcBorders>
            <w:noWrap w:val="0"/>
            <w:vAlign w:val="center"/>
          </w:tcPr>
          <w:p w14:paraId="0D0F1A1E">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仪器型</w:t>
            </w:r>
          </w:p>
          <w:p w14:paraId="6113CE7C">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号</w:t>
            </w:r>
          </w:p>
        </w:tc>
        <w:tc>
          <w:tcPr>
            <w:tcW w:w="969" w:type="dxa"/>
            <w:tcBorders>
              <w:tl2br w:val="nil"/>
              <w:tr2bl w:val="nil"/>
            </w:tcBorders>
            <w:noWrap w:val="0"/>
            <w:vAlign w:val="center"/>
          </w:tcPr>
          <w:p w14:paraId="066B5AD3">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仪器编号</w:t>
            </w:r>
          </w:p>
        </w:tc>
        <w:tc>
          <w:tcPr>
            <w:tcW w:w="2823" w:type="dxa"/>
            <w:tcBorders>
              <w:tl2br w:val="nil"/>
              <w:tr2bl w:val="nil"/>
            </w:tcBorders>
            <w:noWrap w:val="0"/>
            <w:vAlign w:val="center"/>
          </w:tcPr>
          <w:p w14:paraId="25F08A46">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仪器参数</w:t>
            </w:r>
          </w:p>
        </w:tc>
        <w:tc>
          <w:tcPr>
            <w:tcW w:w="1647" w:type="dxa"/>
            <w:tcBorders>
              <w:tl2br w:val="nil"/>
              <w:tr2bl w:val="nil"/>
            </w:tcBorders>
            <w:noWrap w:val="0"/>
            <w:vAlign w:val="center"/>
          </w:tcPr>
          <w:p w14:paraId="43185554">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计量单位/证书编号</w:t>
            </w:r>
          </w:p>
        </w:tc>
        <w:tc>
          <w:tcPr>
            <w:tcW w:w="1110" w:type="dxa"/>
            <w:tcBorders>
              <w:tl2br w:val="nil"/>
              <w:tr2bl w:val="nil"/>
            </w:tcBorders>
            <w:noWrap w:val="0"/>
            <w:vAlign w:val="center"/>
          </w:tcPr>
          <w:p w14:paraId="2FB4A5A0">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有效日期</w:t>
            </w:r>
          </w:p>
        </w:tc>
      </w:tr>
      <w:tr w14:paraId="5F36C627">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084" w:hRule="atLeast"/>
          <w:jc w:val="center"/>
        </w:trPr>
        <w:tc>
          <w:tcPr>
            <w:tcW w:w="425" w:type="dxa"/>
            <w:tcBorders>
              <w:tl2br w:val="nil"/>
              <w:tr2bl w:val="nil"/>
            </w:tcBorders>
            <w:noWrap w:val="0"/>
            <w:vAlign w:val="center"/>
          </w:tcPr>
          <w:p w14:paraId="49FF8889">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1</w:t>
            </w:r>
          </w:p>
        </w:tc>
        <w:tc>
          <w:tcPr>
            <w:tcW w:w="626" w:type="dxa"/>
            <w:tcBorders>
              <w:tl2br w:val="nil"/>
              <w:tr2bl w:val="nil"/>
            </w:tcBorders>
            <w:noWrap w:val="0"/>
            <w:vAlign w:val="center"/>
          </w:tcPr>
          <w:p w14:paraId="7EF66F57">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电磁辐射分析仪</w:t>
            </w:r>
          </w:p>
        </w:tc>
        <w:tc>
          <w:tcPr>
            <w:tcW w:w="1117" w:type="dxa"/>
            <w:tcBorders>
              <w:tl2br w:val="nil"/>
              <w:tr2bl w:val="nil"/>
            </w:tcBorders>
            <w:noWrap w:val="0"/>
            <w:vAlign w:val="center"/>
          </w:tcPr>
          <w:p w14:paraId="71DEE769">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NBM550&amp;EHP50F</w:t>
            </w:r>
          </w:p>
        </w:tc>
        <w:tc>
          <w:tcPr>
            <w:tcW w:w="969" w:type="dxa"/>
            <w:tcBorders>
              <w:tl2br w:val="nil"/>
              <w:tr2bl w:val="nil"/>
            </w:tcBorders>
            <w:noWrap w:val="0"/>
            <w:vAlign w:val="center"/>
          </w:tcPr>
          <w:p w14:paraId="037B2AA7">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XCJC-YQ-5</w:t>
            </w:r>
          </w:p>
        </w:tc>
        <w:tc>
          <w:tcPr>
            <w:tcW w:w="2823" w:type="dxa"/>
            <w:tcBorders>
              <w:tl2br w:val="nil"/>
              <w:tr2bl w:val="nil"/>
            </w:tcBorders>
            <w:noWrap w:val="0"/>
            <w:vAlign w:val="center"/>
          </w:tcPr>
          <w:p w14:paraId="56732F5F">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低频电场探头频率范围：1Hz~400kHz量程：0.01V/m~</w:t>
            </w:r>
            <w:r>
              <w:rPr>
                <w:rFonts w:hint="eastAsia"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100</w:t>
            </w: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V/m，分辨率：1mV/m；低频磁场探头频率范围：1Hz~400kHz量程：1nT~10mT，分辨率：0.1nT</w:t>
            </w:r>
          </w:p>
        </w:tc>
        <w:tc>
          <w:tcPr>
            <w:tcW w:w="1647" w:type="dxa"/>
            <w:tcBorders>
              <w:tl2br w:val="nil"/>
              <w:tr2bl w:val="nil"/>
            </w:tcBorders>
            <w:noWrap w:val="0"/>
            <w:vAlign w:val="center"/>
          </w:tcPr>
          <w:p w14:paraId="5B67F0A9">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深圳市计量质量检测研究院</w:t>
            </w:r>
          </w:p>
          <w:p w14:paraId="75F2FF20">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ZH2686415851</w:t>
            </w:r>
          </w:p>
        </w:tc>
        <w:tc>
          <w:tcPr>
            <w:tcW w:w="1110" w:type="dxa"/>
            <w:tcBorders>
              <w:tl2br w:val="nil"/>
              <w:tr2bl w:val="nil"/>
            </w:tcBorders>
            <w:noWrap w:val="0"/>
            <w:vAlign w:val="center"/>
          </w:tcPr>
          <w:p w14:paraId="1C596B74">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2026.04.10</w:t>
            </w:r>
          </w:p>
          <w:p w14:paraId="3F5C9C0F">
            <w:pPr>
              <w:keepNext w:val="0"/>
              <w:keepLines w:val="0"/>
              <w:pageBreakBefore w:val="0"/>
              <w:kinsoku/>
              <w:wordWrap/>
              <w:overflowPunct/>
              <w:topLinePunct w:val="0"/>
              <w:autoSpaceDE/>
              <w:autoSpaceDN/>
              <w:bidi w:val="0"/>
              <w:adjustRightInd/>
              <w:snapToGrid w:val="0"/>
              <w:spacing w:line="240" w:lineRule="auto"/>
              <w:ind w:left="0" w:leftChars="0" w:firstLine="0" w:firstLineChars="0"/>
              <w:jc w:val="center"/>
              <w:outlineLvl w:val="9"/>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color w:val="000000" w:themeColor="text1"/>
                <w:spacing w:val="-5"/>
                <w:sz w:val="21"/>
                <w:szCs w:val="21"/>
                <w:vertAlign w:val="baseline"/>
                <w:lang w:val="en-US" w:eastAsia="zh-CN" w:bidi="ar-SA"/>
                <w14:textFill>
                  <w14:solidFill>
                    <w14:schemeClr w14:val="tx1"/>
                  </w14:solidFill>
                </w14:textFill>
              </w:rPr>
              <w:t>～2027.04.09</w:t>
            </w:r>
          </w:p>
        </w:tc>
      </w:tr>
    </w:tbl>
    <w:p w14:paraId="0591130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eastAsia="宋体"/>
          <w:color w:val="000000" w:themeColor="text1"/>
          <w:lang w:val="en-US" w:eastAsia="zh-CN"/>
          <w14:textFill>
            <w14:solidFill>
              <w14:schemeClr w14:val="tx1"/>
            </w14:solidFill>
          </w14:textFill>
        </w:rPr>
      </w:pPr>
      <w:r>
        <w:rPr>
          <w:color w:val="000000" w:themeColor="text1"/>
          <w:lang w:val="zh-CN"/>
          <w14:textFill>
            <w14:solidFill>
              <w14:schemeClr w14:val="tx1"/>
            </w14:solidFill>
          </w14:textFill>
        </w:rPr>
        <w:t>监测条件：晴，</w:t>
      </w:r>
      <w:r>
        <w:rPr>
          <w:rFonts w:hint="eastAsia"/>
          <w:color w:val="000000" w:themeColor="text1"/>
          <w:lang w:val="en-US" w:eastAsia="zh-CN"/>
          <w14:textFill>
            <w14:solidFill>
              <w14:schemeClr w14:val="tx1"/>
            </w14:solidFill>
          </w14:textFill>
        </w:rPr>
        <w:t>气温30.3</w:t>
      </w:r>
      <w:r>
        <w:rPr>
          <w:color w:val="000000" w:themeColor="text1"/>
          <w:lang w:val="zh-CN"/>
          <w14:textFill>
            <w14:solidFill>
              <w14:schemeClr w14:val="tx1"/>
            </w14:solidFill>
          </w14:textFill>
        </w:rPr>
        <w:t>℃，相对湿度</w:t>
      </w:r>
      <w:r>
        <w:rPr>
          <w:rFonts w:hint="eastAsia"/>
          <w:color w:val="000000" w:themeColor="text1"/>
          <w:lang w:val="en-US" w:eastAsia="zh-CN"/>
          <w14:textFill>
            <w14:solidFill>
              <w14:schemeClr w14:val="tx1"/>
            </w14:solidFill>
          </w14:textFill>
        </w:rPr>
        <w:t>24.0</w:t>
      </w:r>
      <w:r>
        <w:rPr>
          <w:color w:val="000000" w:themeColor="text1"/>
          <w:lang w:val="zh-CN"/>
          <w14:textFill>
            <w14:solidFill>
              <w14:schemeClr w14:val="tx1"/>
            </w14:solidFill>
          </w14:textFill>
        </w:rPr>
        <w:t>%</w:t>
      </w:r>
      <w:r>
        <w:rPr>
          <w:rFonts w:hint="eastAsia"/>
          <w:color w:val="000000" w:themeColor="text1"/>
          <w:lang w:val="zh-CN"/>
          <w14:textFill>
            <w14:solidFill>
              <w14:schemeClr w14:val="tx1"/>
            </w14:solidFill>
          </w14:textFill>
        </w:rPr>
        <w:t>，</w:t>
      </w:r>
      <w:r>
        <w:rPr>
          <w:rFonts w:hint="eastAsia"/>
          <w:color w:val="000000" w:themeColor="text1"/>
          <w:lang w:val="en-US" w:eastAsia="zh-CN"/>
          <w14:textFill>
            <w14:solidFill>
              <w14:schemeClr w14:val="tx1"/>
            </w14:solidFill>
          </w14:textFill>
        </w:rPr>
        <w:t>风速2.2m/s。</w:t>
      </w:r>
    </w:p>
    <w:p w14:paraId="5A5581D4">
      <w:pPr>
        <w:keepNext w:val="0"/>
        <w:keepLines w:val="0"/>
        <w:pageBreakBefore w:val="0"/>
        <w:widowControl w:val="0"/>
        <w:kinsoku/>
        <w:wordWrap/>
        <w:overflowPunct/>
        <w:topLinePunct w:val="0"/>
        <w:autoSpaceDE/>
        <w:autoSpaceDN/>
        <w:bidi w:val="0"/>
        <w:adjustRightInd/>
        <w:snapToGrid/>
        <w:spacing w:line="500" w:lineRule="exact"/>
        <w:ind w:firstLine="498" w:firstLineChars="200"/>
        <w:textAlignment w:val="auto"/>
        <w:outlineLvl w:val="1"/>
        <w:rPr>
          <w:rFonts w:hint="default" w:ascii="Times New Roman" w:hAnsi="Times New Roman" w:eastAsia="宋体" w:cs="Times New Roman"/>
          <w:b/>
          <w:bCs/>
          <w:color w:val="000000" w:themeColor="text1"/>
          <w:spacing w:val="4"/>
          <w:sz w:val="24"/>
          <w:lang w:val="en-US" w:eastAsia="zh-CN"/>
          <w14:textFill>
            <w14:solidFill>
              <w14:schemeClr w14:val="tx1"/>
            </w14:solidFill>
          </w14:textFill>
        </w:rPr>
      </w:pPr>
      <w:r>
        <w:rPr>
          <w:rFonts w:hint="eastAsia" w:ascii="Times New Roman" w:hAnsi="Times New Roman" w:eastAsia="宋体" w:cs="Times New Roman"/>
          <w:b/>
          <w:bCs/>
          <w:color w:val="000000" w:themeColor="text1"/>
          <w:spacing w:val="4"/>
          <w:sz w:val="24"/>
          <w:lang w:val="en-US" w:eastAsia="zh-CN"/>
          <w14:textFill>
            <w14:solidFill>
              <w14:schemeClr w14:val="tx1"/>
            </w14:solidFill>
          </w14:textFill>
        </w:rPr>
        <w:t>2</w:t>
      </w:r>
      <w:r>
        <w:rPr>
          <w:rFonts w:hint="default" w:ascii="Times New Roman" w:hAnsi="Times New Roman" w:eastAsia="宋体" w:cs="Times New Roman"/>
          <w:b/>
          <w:bCs/>
          <w:color w:val="000000" w:themeColor="text1"/>
          <w:spacing w:val="4"/>
          <w:sz w:val="24"/>
          <w:lang w:val="en-US" w:eastAsia="zh-CN"/>
          <w14:textFill>
            <w14:solidFill>
              <w14:schemeClr w14:val="tx1"/>
            </w14:solidFill>
          </w14:textFill>
        </w:rPr>
        <w:t>.5监测结果</w:t>
      </w:r>
    </w:p>
    <w:p w14:paraId="24C0F7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本项目</w:t>
      </w:r>
      <w:r>
        <w:rPr>
          <w:color w:val="000000" w:themeColor="text1"/>
          <w:lang w:val="zh-CN"/>
          <w14:textFill>
            <w14:solidFill>
              <w14:schemeClr w14:val="tx1"/>
            </w14:solidFill>
          </w14:textFill>
        </w:rPr>
        <w:t>监测结果见表</w:t>
      </w:r>
      <w:r>
        <w:rPr>
          <w:rFonts w:hint="eastAsia"/>
          <w:color w:val="000000" w:themeColor="text1"/>
          <w:lang w:val="en-US" w:eastAsia="zh-CN"/>
          <w14:textFill>
            <w14:solidFill>
              <w14:schemeClr w14:val="tx1"/>
            </w14:solidFill>
          </w14:textFill>
        </w:rPr>
        <w:t>3</w:t>
      </w:r>
      <w:r>
        <w:rPr>
          <w:color w:val="000000" w:themeColor="text1"/>
          <w:lang w:val="zh-CN"/>
          <w14:textFill>
            <w14:solidFill>
              <w14:schemeClr w14:val="tx1"/>
            </w14:solidFill>
          </w14:textFill>
        </w:rPr>
        <w:t>。</w:t>
      </w:r>
    </w:p>
    <w:p w14:paraId="5AFACF6F">
      <w:pPr>
        <w:keepNext w:val="0"/>
        <w:keepLines w:val="0"/>
        <w:pageBreakBefore w:val="0"/>
        <w:widowControl w:val="0"/>
        <w:tabs>
          <w:tab w:val="left" w:pos="4586"/>
          <w:tab w:val="left" w:pos="5786"/>
        </w:tabs>
        <w:kinsoku/>
        <w:wordWrap/>
        <w:overflowPunct/>
        <w:topLinePunct w:val="0"/>
        <w:autoSpaceDE w:val="0"/>
        <w:autoSpaceDN w:val="0"/>
        <w:bidi w:val="0"/>
        <w:adjustRightInd w:val="0"/>
        <w:snapToGrid w:val="0"/>
        <w:spacing w:line="500" w:lineRule="exact"/>
        <w:jc w:val="center"/>
        <w:textAlignment w:val="auto"/>
        <w:rPr>
          <w:rFonts w:hint="eastAsia" w:ascii="黑体" w:hAnsi="黑体" w:eastAsia="黑体" w:cs="黑体"/>
          <w:color w:val="000000" w:themeColor="text1"/>
          <w:sz w:val="21"/>
          <w:szCs w:val="21"/>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表</w:t>
      </w:r>
      <w:r>
        <w:rPr>
          <w:rFonts w:hint="eastAsia" w:ascii="黑体" w:hAnsi="黑体" w:eastAsia="黑体" w:cs="黑体"/>
          <w:color w:val="000000" w:themeColor="text1"/>
          <w:sz w:val="21"/>
          <w:szCs w:val="21"/>
          <w:lang w:val="en-US" w:eastAsia="zh-CN"/>
          <w14:textFill>
            <w14:solidFill>
              <w14:schemeClr w14:val="tx1"/>
            </w14:solidFill>
          </w14:textFill>
        </w:rPr>
        <w:t>3</w:t>
      </w:r>
      <w:r>
        <w:rPr>
          <w:rFonts w:hint="eastAsia" w:ascii="黑体" w:hAnsi="黑体" w:eastAsia="黑体" w:cs="黑体"/>
          <w:color w:val="000000" w:themeColor="text1"/>
          <w:sz w:val="21"/>
          <w:szCs w:val="21"/>
          <w14:textFill>
            <w14:solidFill>
              <w14:schemeClr w14:val="tx1"/>
            </w14:solidFill>
          </w14:textFill>
        </w:rPr>
        <w:t xml:space="preserve">   电磁现状监测结果</w:t>
      </w:r>
    </w:p>
    <w:tbl>
      <w:tblPr>
        <w:tblStyle w:val="27"/>
        <w:tblW w:w="503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784"/>
        <w:gridCol w:w="2029"/>
        <w:gridCol w:w="2267"/>
      </w:tblGrid>
      <w:tr w14:paraId="4C2B87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459" w:type="pct"/>
            <w:tcBorders>
              <w:tl2br w:val="nil"/>
              <w:tr2bl w:val="nil"/>
            </w:tcBorders>
            <w:vAlign w:val="center"/>
          </w:tcPr>
          <w:p w14:paraId="5C6D1F3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序号</w:t>
            </w:r>
          </w:p>
        </w:tc>
        <w:tc>
          <w:tcPr>
            <w:tcW w:w="2126" w:type="pct"/>
            <w:tcBorders>
              <w:tl2br w:val="nil"/>
              <w:tr2bl w:val="nil"/>
            </w:tcBorders>
            <w:vAlign w:val="center"/>
          </w:tcPr>
          <w:p w14:paraId="670F68C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测点位置</w:t>
            </w:r>
          </w:p>
        </w:tc>
        <w:tc>
          <w:tcPr>
            <w:tcW w:w="1140" w:type="pct"/>
            <w:tcBorders>
              <w:tl2br w:val="nil"/>
              <w:tr2bl w:val="nil"/>
            </w:tcBorders>
            <w:vAlign w:val="center"/>
          </w:tcPr>
          <w:p w14:paraId="22049C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工频磁感应强度（μT）</w:t>
            </w:r>
          </w:p>
        </w:tc>
        <w:tc>
          <w:tcPr>
            <w:tcW w:w="1274" w:type="pct"/>
            <w:tcBorders>
              <w:tl2br w:val="nil"/>
              <w:tr2bl w:val="nil"/>
            </w:tcBorders>
            <w:vAlign w:val="center"/>
          </w:tcPr>
          <w:p w14:paraId="416F6CE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工频电场强度（V/m）</w:t>
            </w:r>
          </w:p>
        </w:tc>
      </w:tr>
      <w:tr w14:paraId="6C8DB0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6" w:hRule="atLeast"/>
          <w:jc w:val="center"/>
        </w:trPr>
        <w:tc>
          <w:tcPr>
            <w:tcW w:w="459" w:type="pct"/>
            <w:tcBorders>
              <w:tl2br w:val="nil"/>
              <w:tr2bl w:val="nil"/>
            </w:tcBorders>
            <w:vAlign w:val="center"/>
          </w:tcPr>
          <w:p w14:paraId="500E9C4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2126" w:type="pct"/>
            <w:tcBorders>
              <w:tl2br w:val="nil"/>
              <w:tr2bl w:val="nil"/>
            </w:tcBorders>
            <w:vAlign w:val="center"/>
          </w:tcPr>
          <w:p w14:paraId="57E0030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宋体"/>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拟建升压汇集站东侧</w:t>
            </w:r>
            <w:r>
              <w:rPr>
                <w:rFonts w:hint="eastAsia"/>
                <w:color w:val="000000" w:themeColor="text1"/>
                <w:sz w:val="21"/>
                <w:szCs w:val="21"/>
                <w:lang w:eastAsia="zh-CN"/>
                <w14:textFill>
                  <w14:solidFill>
                    <w14:schemeClr w14:val="tx1"/>
                  </w14:solidFill>
                </w14:textFill>
              </w:rPr>
              <w:t>（</w:t>
            </w:r>
            <w:r>
              <w:rPr>
                <w:rFonts w:hint="eastAsia"/>
                <w:color w:val="000000" w:themeColor="text1"/>
                <w:sz w:val="21"/>
                <w:szCs w:val="21"/>
                <w:lang w:val="en-US" w:eastAsia="zh-CN"/>
                <w14:textFill>
                  <w14:solidFill>
                    <w14:schemeClr w14:val="tx1"/>
                  </w14:solidFill>
                </w14:textFill>
              </w:rPr>
              <w:t>线路起点</w:t>
            </w:r>
            <w:r>
              <w:rPr>
                <w:rFonts w:hint="eastAsia"/>
                <w:color w:val="000000" w:themeColor="text1"/>
                <w:sz w:val="21"/>
                <w:szCs w:val="21"/>
                <w:lang w:eastAsia="zh-CN"/>
                <w14:textFill>
                  <w14:solidFill>
                    <w14:schemeClr w14:val="tx1"/>
                  </w14:solidFill>
                </w14:textFill>
              </w:rPr>
              <w:t>）</w:t>
            </w:r>
          </w:p>
        </w:tc>
        <w:tc>
          <w:tcPr>
            <w:tcW w:w="1140" w:type="pct"/>
            <w:tcBorders>
              <w:tl2br w:val="nil"/>
              <w:tr2bl w:val="nil"/>
            </w:tcBorders>
            <w:shd w:val="clear" w:color="auto" w:fill="auto"/>
            <w:vAlign w:val="center"/>
          </w:tcPr>
          <w:p w14:paraId="29A5104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0.0339</w:t>
            </w:r>
          </w:p>
        </w:tc>
        <w:tc>
          <w:tcPr>
            <w:tcW w:w="1274" w:type="pct"/>
            <w:tcBorders>
              <w:tl2br w:val="nil"/>
              <w:tr2bl w:val="nil"/>
            </w:tcBorders>
            <w:shd w:val="clear" w:color="auto" w:fill="auto"/>
            <w:vAlign w:val="center"/>
          </w:tcPr>
          <w:p w14:paraId="1801DB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r>
              <w:rPr>
                <w:rFonts w:hint="default"/>
                <w:color w:val="000000" w:themeColor="text1"/>
                <w:sz w:val="21"/>
                <w:szCs w:val="21"/>
                <w14:textFill>
                  <w14:solidFill>
                    <w14:schemeClr w14:val="tx1"/>
                  </w14:solidFill>
                </w14:textFill>
              </w:rPr>
              <w:t>.81</w:t>
            </w:r>
          </w:p>
        </w:tc>
      </w:tr>
      <w:tr w14:paraId="0AF9B8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6" w:hRule="atLeast"/>
          <w:jc w:val="center"/>
        </w:trPr>
        <w:tc>
          <w:tcPr>
            <w:tcW w:w="459" w:type="pct"/>
            <w:tcBorders>
              <w:tl2br w:val="nil"/>
              <w:tr2bl w:val="nil"/>
            </w:tcBorders>
            <w:vAlign w:val="center"/>
          </w:tcPr>
          <w:p w14:paraId="7958359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2</w:t>
            </w:r>
          </w:p>
        </w:tc>
        <w:tc>
          <w:tcPr>
            <w:tcW w:w="2126" w:type="pct"/>
            <w:tcBorders>
              <w:tl2br w:val="nil"/>
              <w:tr2bl w:val="nil"/>
            </w:tcBorders>
            <w:vAlign w:val="center"/>
          </w:tcPr>
          <w:p w14:paraId="1B209FF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拟建升压汇集站北</w:t>
            </w:r>
            <w:r>
              <w:rPr>
                <w:rFonts w:hint="default"/>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侧</w:t>
            </w:r>
          </w:p>
        </w:tc>
        <w:tc>
          <w:tcPr>
            <w:tcW w:w="1140" w:type="pct"/>
            <w:tcBorders>
              <w:tl2br w:val="nil"/>
              <w:tr2bl w:val="nil"/>
            </w:tcBorders>
            <w:shd w:val="clear" w:color="auto" w:fill="auto"/>
            <w:vAlign w:val="center"/>
          </w:tcPr>
          <w:p w14:paraId="13B57BB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0.0365</w:t>
            </w:r>
          </w:p>
        </w:tc>
        <w:tc>
          <w:tcPr>
            <w:tcW w:w="1274" w:type="pct"/>
            <w:tcBorders>
              <w:tl2br w:val="nil"/>
              <w:tr2bl w:val="nil"/>
            </w:tcBorders>
            <w:shd w:val="clear" w:color="auto" w:fill="auto"/>
            <w:vAlign w:val="center"/>
          </w:tcPr>
          <w:p w14:paraId="69893C9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9</w:t>
            </w:r>
            <w:r>
              <w:rPr>
                <w:rFonts w:hint="default"/>
                <w:color w:val="000000" w:themeColor="text1"/>
                <w:sz w:val="21"/>
                <w:szCs w:val="21"/>
                <w14:textFill>
                  <w14:solidFill>
                    <w14:schemeClr w14:val="tx1"/>
                  </w14:solidFill>
                </w14:textFill>
              </w:rPr>
              <w:t>.67</w:t>
            </w:r>
          </w:p>
        </w:tc>
      </w:tr>
      <w:tr w14:paraId="6AC909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6" w:hRule="atLeast"/>
          <w:jc w:val="center"/>
        </w:trPr>
        <w:tc>
          <w:tcPr>
            <w:tcW w:w="459" w:type="pct"/>
            <w:tcBorders>
              <w:tl2br w:val="nil"/>
              <w:tr2bl w:val="nil"/>
            </w:tcBorders>
            <w:vAlign w:val="center"/>
          </w:tcPr>
          <w:p w14:paraId="462B534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3</w:t>
            </w:r>
          </w:p>
        </w:tc>
        <w:tc>
          <w:tcPr>
            <w:tcW w:w="2126" w:type="pct"/>
            <w:tcBorders>
              <w:tl2br w:val="nil"/>
              <w:tr2bl w:val="nil"/>
            </w:tcBorders>
            <w:vAlign w:val="center"/>
          </w:tcPr>
          <w:p w14:paraId="2243EA6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拟建升压汇集站北</w:t>
            </w:r>
            <w:r>
              <w:rPr>
                <w:rFonts w:hint="default"/>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侧</w:t>
            </w:r>
          </w:p>
        </w:tc>
        <w:tc>
          <w:tcPr>
            <w:tcW w:w="1140" w:type="pct"/>
            <w:tcBorders>
              <w:tl2br w:val="nil"/>
              <w:tr2bl w:val="nil"/>
            </w:tcBorders>
            <w:shd w:val="clear" w:color="auto" w:fill="auto"/>
            <w:vAlign w:val="center"/>
          </w:tcPr>
          <w:p w14:paraId="06EDDED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0.0327</w:t>
            </w:r>
          </w:p>
        </w:tc>
        <w:tc>
          <w:tcPr>
            <w:tcW w:w="1274" w:type="pct"/>
            <w:tcBorders>
              <w:tl2br w:val="nil"/>
              <w:tr2bl w:val="nil"/>
            </w:tcBorders>
            <w:shd w:val="clear" w:color="auto" w:fill="auto"/>
            <w:vAlign w:val="center"/>
          </w:tcPr>
          <w:p w14:paraId="5F960F2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9.38</w:t>
            </w:r>
          </w:p>
        </w:tc>
      </w:tr>
      <w:tr w14:paraId="479CCC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6" w:hRule="atLeast"/>
          <w:jc w:val="center"/>
        </w:trPr>
        <w:tc>
          <w:tcPr>
            <w:tcW w:w="459" w:type="pct"/>
            <w:tcBorders>
              <w:tl2br w:val="nil"/>
              <w:tr2bl w:val="nil"/>
            </w:tcBorders>
            <w:vAlign w:val="center"/>
          </w:tcPr>
          <w:p w14:paraId="7524066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4</w:t>
            </w:r>
          </w:p>
        </w:tc>
        <w:tc>
          <w:tcPr>
            <w:tcW w:w="2126" w:type="pct"/>
            <w:tcBorders>
              <w:tl2br w:val="nil"/>
              <w:tr2bl w:val="nil"/>
            </w:tcBorders>
            <w:vAlign w:val="center"/>
          </w:tcPr>
          <w:p w14:paraId="76E0AE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eastAsia="zh-CN"/>
                <w14:textFill>
                  <w14:solidFill>
                    <w14:schemeClr w14:val="tx1"/>
                  </w14:solidFill>
                </w14:textFill>
              </w:rPr>
            </w:pPr>
            <w:r>
              <w:rPr>
                <w:rFonts w:hint="eastAsia"/>
                <w:color w:val="000000" w:themeColor="text1"/>
                <w:sz w:val="21"/>
                <w:szCs w:val="21"/>
                <w14:textFill>
                  <w14:solidFill>
                    <w14:schemeClr w14:val="tx1"/>
                  </w14:solidFill>
                </w14:textFill>
              </w:rPr>
              <w:t>拟建升压汇集站南侧</w:t>
            </w:r>
          </w:p>
        </w:tc>
        <w:tc>
          <w:tcPr>
            <w:tcW w:w="1140" w:type="pct"/>
            <w:tcBorders>
              <w:tl2br w:val="nil"/>
              <w:tr2bl w:val="nil"/>
            </w:tcBorders>
            <w:shd w:val="clear" w:color="auto" w:fill="auto"/>
            <w:vAlign w:val="center"/>
          </w:tcPr>
          <w:p w14:paraId="2938139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0.0375</w:t>
            </w:r>
          </w:p>
        </w:tc>
        <w:tc>
          <w:tcPr>
            <w:tcW w:w="1274" w:type="pct"/>
            <w:tcBorders>
              <w:tl2br w:val="nil"/>
              <w:tr2bl w:val="nil"/>
            </w:tcBorders>
            <w:shd w:val="clear" w:color="auto" w:fill="auto"/>
            <w:vAlign w:val="center"/>
          </w:tcPr>
          <w:p w14:paraId="01A79B6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9.18</w:t>
            </w:r>
          </w:p>
        </w:tc>
      </w:tr>
      <w:tr w14:paraId="462158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6" w:hRule="atLeast"/>
          <w:jc w:val="center"/>
        </w:trPr>
        <w:tc>
          <w:tcPr>
            <w:tcW w:w="459" w:type="pct"/>
            <w:tcBorders>
              <w:tl2br w:val="nil"/>
              <w:tr2bl w:val="nil"/>
            </w:tcBorders>
            <w:vAlign w:val="center"/>
          </w:tcPr>
          <w:p w14:paraId="2E43F90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w:t>
            </w:r>
          </w:p>
        </w:tc>
        <w:tc>
          <w:tcPr>
            <w:tcW w:w="2126" w:type="pct"/>
            <w:tcBorders>
              <w:tl2br w:val="nil"/>
              <w:tr2bl w:val="nil"/>
            </w:tcBorders>
            <w:vAlign w:val="center"/>
          </w:tcPr>
          <w:p w14:paraId="4793FF2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拟建升压汇集站西侧</w:t>
            </w:r>
          </w:p>
        </w:tc>
        <w:tc>
          <w:tcPr>
            <w:tcW w:w="1140" w:type="pct"/>
            <w:tcBorders>
              <w:tl2br w:val="nil"/>
              <w:tr2bl w:val="nil"/>
            </w:tcBorders>
            <w:shd w:val="clear" w:color="auto" w:fill="auto"/>
            <w:vAlign w:val="center"/>
          </w:tcPr>
          <w:p w14:paraId="46663A4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0.0291</w:t>
            </w:r>
          </w:p>
        </w:tc>
        <w:tc>
          <w:tcPr>
            <w:tcW w:w="1274" w:type="pct"/>
            <w:tcBorders>
              <w:tl2br w:val="nil"/>
              <w:tr2bl w:val="nil"/>
            </w:tcBorders>
            <w:shd w:val="clear" w:color="auto" w:fill="auto"/>
            <w:vAlign w:val="center"/>
          </w:tcPr>
          <w:p w14:paraId="3ACA35D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8.92</w:t>
            </w:r>
          </w:p>
        </w:tc>
      </w:tr>
      <w:tr w14:paraId="7BCD70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59" w:type="pct"/>
            <w:tcBorders>
              <w:tl2br w:val="nil"/>
              <w:tr2bl w:val="nil"/>
            </w:tcBorders>
            <w:vAlign w:val="center"/>
          </w:tcPr>
          <w:p w14:paraId="2D77449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6</w:t>
            </w:r>
          </w:p>
        </w:tc>
        <w:tc>
          <w:tcPr>
            <w:tcW w:w="2126" w:type="pct"/>
            <w:tcBorders>
              <w:tl2br w:val="nil"/>
              <w:tr2bl w:val="nil"/>
            </w:tcBorders>
            <w:vAlign w:val="center"/>
          </w:tcPr>
          <w:p w14:paraId="759C10E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14:textFill>
                  <w14:solidFill>
                    <w14:schemeClr w14:val="tx1"/>
                  </w14:solidFill>
                </w14:textFill>
              </w:rPr>
            </w:pPr>
            <w:r>
              <w:rPr>
                <w:rFonts w:hint="default"/>
                <w:color w:val="000000" w:themeColor="text1"/>
                <w:sz w:val="21"/>
                <w:szCs w:val="21"/>
                <w14:textFill>
                  <w14:solidFill>
                    <w14:schemeClr w14:val="tx1"/>
                  </w14:solidFill>
                </w14:textFill>
              </w:rPr>
              <w:t>750</w:t>
            </w:r>
            <w:r>
              <w:rPr>
                <w:rFonts w:hint="eastAsia"/>
                <w:color w:val="000000" w:themeColor="text1"/>
                <w:sz w:val="21"/>
                <w:szCs w:val="21"/>
                <w14:textFill>
                  <w14:solidFill>
                    <w14:schemeClr w14:val="tx1"/>
                  </w14:solidFill>
                </w14:textFill>
              </w:rPr>
              <w:t>千伏且末站南侧</w:t>
            </w:r>
            <w:r>
              <w:rPr>
                <w:rFonts w:hint="default"/>
                <w:color w:val="000000" w:themeColor="text1"/>
                <w:sz w:val="21"/>
                <w:szCs w:val="21"/>
                <w14:textFill>
                  <w14:solidFill>
                    <w14:schemeClr w14:val="tx1"/>
                  </w14:solidFill>
                </w14:textFill>
              </w:rPr>
              <w:t>5</w:t>
            </w:r>
            <w:r>
              <w:rPr>
                <w:rFonts w:hint="eastAsia"/>
                <w:color w:val="000000" w:themeColor="text1"/>
                <w:sz w:val="21"/>
                <w:szCs w:val="21"/>
                <w14:textFill>
                  <w14:solidFill>
                    <w14:schemeClr w14:val="tx1"/>
                  </w14:solidFill>
                </w14:textFill>
              </w:rPr>
              <w:t>米</w:t>
            </w:r>
          </w:p>
          <w:p w14:paraId="34E0200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（线路终点）</w:t>
            </w:r>
          </w:p>
        </w:tc>
        <w:tc>
          <w:tcPr>
            <w:tcW w:w="1140" w:type="pct"/>
            <w:tcBorders>
              <w:tl2br w:val="nil"/>
              <w:tr2bl w:val="nil"/>
            </w:tcBorders>
            <w:shd w:val="clear" w:color="auto" w:fill="auto"/>
            <w:vAlign w:val="center"/>
          </w:tcPr>
          <w:p w14:paraId="0C51452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0.1527</w:t>
            </w:r>
          </w:p>
        </w:tc>
        <w:tc>
          <w:tcPr>
            <w:tcW w:w="1274" w:type="pct"/>
            <w:tcBorders>
              <w:tl2br w:val="nil"/>
              <w:tr2bl w:val="nil"/>
            </w:tcBorders>
            <w:shd w:val="clear" w:color="auto" w:fill="auto"/>
            <w:vAlign w:val="center"/>
          </w:tcPr>
          <w:p w14:paraId="000DDD6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416.94</w:t>
            </w:r>
          </w:p>
        </w:tc>
      </w:tr>
      <w:tr w14:paraId="6170F1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83" w:hRule="atLeast"/>
          <w:jc w:val="center"/>
        </w:trPr>
        <w:tc>
          <w:tcPr>
            <w:tcW w:w="459" w:type="pct"/>
            <w:tcBorders>
              <w:tl2br w:val="nil"/>
              <w:tr2bl w:val="nil"/>
            </w:tcBorders>
            <w:vAlign w:val="center"/>
          </w:tcPr>
          <w:p w14:paraId="395F0F5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7</w:t>
            </w:r>
          </w:p>
        </w:tc>
        <w:tc>
          <w:tcPr>
            <w:tcW w:w="2126" w:type="pct"/>
            <w:tcBorders>
              <w:tl2br w:val="nil"/>
              <w:tr2bl w:val="nil"/>
            </w:tcBorders>
            <w:vAlign w:val="center"/>
          </w:tcPr>
          <w:p w14:paraId="109087F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14:textFill>
                  <w14:solidFill>
                    <w14:schemeClr w14:val="tx1"/>
                  </w14:solidFill>
                </w14:textFill>
              </w:rPr>
              <w:t>拟建线路跨越线路下方</w:t>
            </w:r>
          </w:p>
        </w:tc>
        <w:tc>
          <w:tcPr>
            <w:tcW w:w="1140" w:type="pct"/>
            <w:tcBorders>
              <w:tl2br w:val="nil"/>
              <w:tr2bl w:val="nil"/>
            </w:tcBorders>
            <w:shd w:val="clear" w:color="auto" w:fill="auto"/>
            <w:vAlign w:val="center"/>
          </w:tcPr>
          <w:p w14:paraId="45E7863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0.1330</w:t>
            </w:r>
          </w:p>
        </w:tc>
        <w:tc>
          <w:tcPr>
            <w:tcW w:w="1274" w:type="pct"/>
            <w:tcBorders>
              <w:tl2br w:val="nil"/>
              <w:tr2bl w:val="nil"/>
            </w:tcBorders>
            <w:shd w:val="clear" w:color="auto" w:fill="auto"/>
            <w:vAlign w:val="center"/>
          </w:tcPr>
          <w:p w14:paraId="64EEC7E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color w:val="000000" w:themeColor="text1"/>
                <w:sz w:val="21"/>
                <w:szCs w:val="21"/>
                <w:lang w:val="en-US" w:eastAsia="zh-CN"/>
                <w14:textFill>
                  <w14:solidFill>
                    <w14:schemeClr w14:val="tx1"/>
                  </w14:solidFill>
                </w14:textFill>
              </w:rPr>
            </w:pPr>
            <w:r>
              <w:rPr>
                <w:rFonts w:hint="default"/>
                <w:color w:val="000000" w:themeColor="text1"/>
                <w:sz w:val="21"/>
                <w:szCs w:val="21"/>
                <w14:textFill>
                  <w14:solidFill>
                    <w14:schemeClr w14:val="tx1"/>
                  </w14:solidFill>
                </w14:textFill>
              </w:rPr>
              <w:t>338.96</w:t>
            </w:r>
          </w:p>
        </w:tc>
      </w:tr>
    </w:tbl>
    <w:p w14:paraId="63D6982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z w:val="24"/>
          <w:lang w:val="zh-CN"/>
          <w14:textFill>
            <w14:solidFill>
              <w14:schemeClr w14:val="tx1"/>
            </w14:solidFill>
          </w14:textFill>
        </w:rPr>
      </w:pPr>
      <w:r>
        <w:rPr>
          <w:color w:val="000000" w:themeColor="text1"/>
          <w:sz w:val="24"/>
          <w:lang w:val="zh-CN"/>
          <w14:textFill>
            <w14:solidFill>
              <w14:schemeClr w14:val="tx1"/>
            </w14:solidFill>
          </w14:textFill>
        </w:rPr>
        <w:t>由表</w:t>
      </w:r>
      <w:r>
        <w:rPr>
          <w:rFonts w:hint="eastAsia"/>
          <w:color w:val="000000" w:themeColor="text1"/>
          <w:sz w:val="24"/>
          <w:lang w:val="en-US" w:eastAsia="zh-CN"/>
          <w14:textFill>
            <w14:solidFill>
              <w14:schemeClr w14:val="tx1"/>
            </w14:solidFill>
          </w14:textFill>
        </w:rPr>
        <w:t>3</w:t>
      </w:r>
      <w:r>
        <w:rPr>
          <w:color w:val="000000" w:themeColor="text1"/>
          <w:sz w:val="24"/>
          <w:lang w:val="zh-CN"/>
          <w14:textFill>
            <w14:solidFill>
              <w14:schemeClr w14:val="tx1"/>
            </w14:solidFill>
          </w14:textFill>
        </w:rPr>
        <w:t>分析可知，现状监测工频电场强度、工频磁感应强度监测结果均满足《电磁环境控制限值》（GB 8702-2014）中的（工频电场强度≤4</w:t>
      </w:r>
      <w:r>
        <w:rPr>
          <w:rFonts w:hint="eastAsia"/>
          <w:color w:val="000000" w:themeColor="text1"/>
          <w:sz w:val="24"/>
          <w:lang w:val="en-US" w:eastAsia="zh-CN"/>
          <w14:textFill>
            <w14:solidFill>
              <w14:schemeClr w14:val="tx1"/>
            </w14:solidFill>
          </w14:textFill>
        </w:rPr>
        <w:t>k</w:t>
      </w:r>
      <w:r>
        <w:rPr>
          <w:color w:val="000000" w:themeColor="text1"/>
          <w:sz w:val="24"/>
          <w:lang w:val="zh-CN"/>
          <w14:textFill>
            <w14:solidFill>
              <w14:schemeClr w14:val="tx1"/>
            </w14:solidFill>
          </w14:textFill>
        </w:rPr>
        <w:t>V/m；工频磁感应强度≤100μT）公众曝露控制限值；区域电磁环境质量现状良好</w:t>
      </w:r>
      <w:r>
        <w:rPr>
          <w:rFonts w:hint="eastAsia"/>
          <w:color w:val="000000" w:themeColor="text1"/>
          <w:sz w:val="24"/>
          <w:lang w:val="zh-CN"/>
          <w14:textFill>
            <w14:solidFill>
              <w14:schemeClr w14:val="tx1"/>
            </w14:solidFill>
          </w14:textFill>
        </w:rPr>
        <w:t>。</w:t>
      </w:r>
    </w:p>
    <w:p w14:paraId="4A9E46AD">
      <w:pPr>
        <w:spacing w:line="500" w:lineRule="exact"/>
        <w:ind w:firstLine="482" w:firstLineChars="200"/>
        <w:rPr>
          <w:b/>
          <w:bCs/>
          <w:color w:val="000000" w:themeColor="text1"/>
          <w14:textFill>
            <w14:solidFill>
              <w14:schemeClr w14:val="tx1"/>
            </w14:solidFill>
          </w14:textFill>
        </w:rPr>
      </w:pPr>
      <w:bookmarkStart w:id="87" w:name="_Toc29658"/>
      <w:bookmarkStart w:id="88" w:name="_Toc21298"/>
      <w:bookmarkStart w:id="89" w:name="_Toc29632"/>
      <w:r>
        <w:rPr>
          <w:b/>
          <w:bCs/>
          <w:color w:val="000000" w:themeColor="text1"/>
          <w14:textFill>
            <w14:solidFill>
              <w14:schemeClr w14:val="tx1"/>
            </w14:solidFill>
          </w14:textFill>
        </w:rPr>
        <w:t>3</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电磁环境影响预测分析</w:t>
      </w:r>
      <w:bookmarkEnd w:id="87"/>
      <w:bookmarkEnd w:id="88"/>
      <w:bookmarkEnd w:id="89"/>
    </w:p>
    <w:p w14:paraId="363EFA6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eastAsia="宋体"/>
          <w:b/>
          <w:bCs/>
          <w:color w:val="000000" w:themeColor="text1"/>
          <w:lang w:val="en-US" w:eastAsia="zh-CN"/>
          <w14:textFill>
            <w14:solidFill>
              <w14:schemeClr w14:val="tx1"/>
            </w14:solidFill>
          </w14:textFill>
        </w:rPr>
      </w:pPr>
      <w:r>
        <w:rPr>
          <w:rFonts w:hint="eastAsia"/>
          <w:b/>
          <w:bCs/>
          <w:color w:val="000000" w:themeColor="text1"/>
          <w:lang w:val="en-US" w:eastAsia="zh-CN"/>
          <w14:textFill>
            <w14:solidFill>
              <w14:schemeClr w14:val="tx1"/>
            </w14:solidFill>
          </w14:textFill>
        </w:rPr>
        <w:t>3.1升压汇集站</w:t>
      </w:r>
    </w:p>
    <w:p w14:paraId="5C71E3C1">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b/>
          <w:bCs/>
          <w:color w:val="000000" w:themeColor="text1"/>
          <w:lang w:val="zh-CN"/>
          <w14:textFill>
            <w14:solidFill>
              <w14:schemeClr w14:val="tx1"/>
            </w14:solidFill>
          </w14:textFill>
        </w:rPr>
      </w:pPr>
      <w:r>
        <w:rPr>
          <w:rFonts w:hint="eastAsia"/>
          <w:b/>
          <w:bCs/>
          <w:color w:val="000000" w:themeColor="text1"/>
          <w:lang w:val="zh-CN"/>
          <w14:textFill>
            <w14:solidFill>
              <w14:schemeClr w14:val="tx1"/>
            </w14:solidFill>
          </w14:textFill>
        </w:rPr>
        <w:t>3.1.1预测方法选择</w:t>
      </w:r>
    </w:p>
    <w:p w14:paraId="080ADC16">
      <w:pPr>
        <w:keepNext w:val="0"/>
        <w:keepLines w:val="0"/>
        <w:pageBreakBefore w:val="0"/>
        <w:widowControl w:val="0"/>
        <w:tabs>
          <w:tab w:val="left" w:pos="148"/>
        </w:tabs>
        <w:kinsoku/>
        <w:wordWrap/>
        <w:overflowPunct/>
        <w:topLinePunct w:val="0"/>
        <w:autoSpaceDE/>
        <w:autoSpaceDN/>
        <w:bidi w:val="0"/>
        <w:adjustRightInd/>
        <w:snapToGrid/>
        <w:spacing w:line="500" w:lineRule="exact"/>
        <w:ind w:firstLine="483"/>
        <w:textAlignment w:val="auto"/>
        <w:rPr>
          <w:rFonts w:hint="default"/>
          <w:color w:val="000000" w:themeColor="text1"/>
          <w:spacing w:val="0"/>
          <w:sz w:val="24"/>
          <w:lang w:val="en-US" w:eastAsia="zh-CN"/>
          <w14:textFill>
            <w14:solidFill>
              <w14:schemeClr w14:val="tx1"/>
            </w14:solidFill>
          </w14:textFill>
        </w:rPr>
      </w:pPr>
      <w:r>
        <w:rPr>
          <w:rFonts w:hint="eastAsia"/>
          <w:color w:val="000000" w:themeColor="text1"/>
          <w:spacing w:val="0"/>
          <w:sz w:val="24"/>
          <w:lang w:val="en-US" w:eastAsia="zh-CN"/>
          <w14:textFill>
            <w14:solidFill>
              <w14:schemeClr w14:val="tx1"/>
            </w14:solidFill>
          </w14:textFill>
        </w:rPr>
        <w:t>本项目升压汇集站电磁环境评价等级为二级，根据《环境影响评价技术导则 输变电》（HJ24-2020）要求，升压汇集站电磁环境影响预测应采用类比监测的方式。</w:t>
      </w:r>
    </w:p>
    <w:p w14:paraId="3597E248">
      <w:pPr>
        <w:keepNext w:val="0"/>
        <w:keepLines w:val="0"/>
        <w:pageBreakBefore w:val="0"/>
        <w:widowControl w:val="0"/>
        <w:tabs>
          <w:tab w:val="left" w:pos="148"/>
        </w:tabs>
        <w:kinsoku/>
        <w:wordWrap/>
        <w:overflowPunct/>
        <w:topLinePunct w:val="0"/>
        <w:autoSpaceDE/>
        <w:autoSpaceDN/>
        <w:bidi w:val="0"/>
        <w:adjustRightInd/>
        <w:snapToGrid/>
        <w:spacing w:line="500" w:lineRule="exact"/>
        <w:ind w:firstLine="483"/>
        <w:textAlignment w:val="auto"/>
        <w:rPr>
          <w:color w:val="000000" w:themeColor="text1"/>
          <w:spacing w:val="0"/>
          <w:sz w:val="24"/>
          <w14:textFill>
            <w14:solidFill>
              <w14:schemeClr w14:val="tx1"/>
            </w14:solidFill>
          </w14:textFill>
        </w:rPr>
      </w:pPr>
      <w:r>
        <w:rPr>
          <w:color w:val="000000" w:themeColor="text1"/>
          <w:spacing w:val="0"/>
          <w:sz w:val="24"/>
          <w14:textFill>
            <w14:solidFill>
              <w14:schemeClr w14:val="tx1"/>
            </w14:solidFill>
          </w14:textFill>
        </w:rPr>
        <w:t>工频电场强度主要取决于电压等级及敏感点与源的距离，并与环境湿度、植被及地理地形因子等屏蔽条件相关；工频磁感应强度主要取决于电流及敏感点与源的距离。变电站电磁环境类比测量，从严格意义讲，具有相同的变电站型式、完全相同的设备型号</w:t>
      </w:r>
      <w:r>
        <w:rPr>
          <w:rFonts w:hint="eastAsia"/>
          <w:color w:val="000000" w:themeColor="text1"/>
          <w:spacing w:val="0"/>
          <w:sz w:val="24"/>
          <w:lang w:eastAsia="zh-CN"/>
          <w14:textFill>
            <w14:solidFill>
              <w14:schemeClr w14:val="tx1"/>
            </w14:solidFill>
          </w14:textFill>
        </w:rPr>
        <w:t>（</w:t>
      </w:r>
      <w:r>
        <w:rPr>
          <w:color w:val="000000" w:themeColor="text1"/>
          <w:spacing w:val="0"/>
          <w:sz w:val="24"/>
          <w14:textFill>
            <w14:solidFill>
              <w14:schemeClr w14:val="tx1"/>
            </w14:solidFill>
          </w14:textFill>
        </w:rPr>
        <w:t>决定了电压等级及额定功率、额定电流等</w:t>
      </w:r>
      <w:r>
        <w:rPr>
          <w:rFonts w:hint="eastAsia"/>
          <w:color w:val="000000" w:themeColor="text1"/>
          <w:spacing w:val="0"/>
          <w:sz w:val="24"/>
          <w:lang w:eastAsia="zh-CN"/>
          <w14:textFill>
            <w14:solidFill>
              <w14:schemeClr w14:val="tx1"/>
            </w14:solidFill>
          </w14:textFill>
        </w:rPr>
        <w:t>）</w:t>
      </w:r>
      <w:r>
        <w:rPr>
          <w:color w:val="000000" w:themeColor="text1"/>
          <w:spacing w:val="0"/>
          <w:sz w:val="24"/>
          <w14:textFill>
            <w14:solidFill>
              <w14:schemeClr w14:val="tx1"/>
            </w14:solidFill>
          </w14:textFill>
        </w:rPr>
        <w:t>、布置情况</w:t>
      </w:r>
      <w:r>
        <w:rPr>
          <w:rFonts w:hint="eastAsia"/>
          <w:color w:val="000000" w:themeColor="text1"/>
          <w:spacing w:val="0"/>
          <w:sz w:val="24"/>
          <w:lang w:eastAsia="zh-CN"/>
          <w14:textFill>
            <w14:solidFill>
              <w14:schemeClr w14:val="tx1"/>
            </w14:solidFill>
          </w14:textFill>
        </w:rPr>
        <w:t>（</w:t>
      </w:r>
      <w:r>
        <w:rPr>
          <w:color w:val="000000" w:themeColor="text1"/>
          <w:spacing w:val="0"/>
          <w:sz w:val="24"/>
          <w14:textFill>
            <w14:solidFill>
              <w14:schemeClr w14:val="tx1"/>
            </w14:solidFill>
          </w14:textFill>
        </w:rPr>
        <w:t>决定了距离因子</w:t>
      </w:r>
      <w:r>
        <w:rPr>
          <w:rFonts w:hint="eastAsia"/>
          <w:color w:val="000000" w:themeColor="text1"/>
          <w:spacing w:val="0"/>
          <w:sz w:val="24"/>
          <w:lang w:eastAsia="zh-CN"/>
          <w14:textFill>
            <w14:solidFill>
              <w14:schemeClr w14:val="tx1"/>
            </w14:solidFill>
          </w14:textFill>
        </w:rPr>
        <w:t>）</w:t>
      </w:r>
      <w:r>
        <w:rPr>
          <w:color w:val="000000" w:themeColor="text1"/>
          <w:spacing w:val="0"/>
          <w:sz w:val="24"/>
          <w14:textFill>
            <w14:solidFill>
              <w14:schemeClr w14:val="tx1"/>
            </w14:solidFill>
          </w14:textFill>
        </w:rPr>
        <w:t>和环境条件是最理想的，即：不仅有相</w:t>
      </w:r>
      <w:r>
        <w:rPr>
          <w:rFonts w:hint="eastAsia"/>
          <w:color w:val="000000" w:themeColor="text1"/>
          <w:spacing w:val="0"/>
          <w:sz w:val="24"/>
          <w:lang w:eastAsia="zh-CN"/>
          <w14:textFill>
            <w14:solidFill>
              <w14:schemeClr w14:val="tx1"/>
            </w14:solidFill>
          </w14:textFill>
        </w:rPr>
        <w:t>同的</w:t>
      </w:r>
      <w:r>
        <w:rPr>
          <w:color w:val="000000" w:themeColor="text1"/>
          <w:spacing w:val="0"/>
          <w:sz w:val="24"/>
          <w14:textFill>
            <w14:solidFill>
              <w14:schemeClr w14:val="tx1"/>
            </w14:solidFill>
          </w14:textFill>
        </w:rPr>
        <w:t>变电站型式、主变压器数量和容量，而且一次主接线也相同，布置情况及环境条件也相同。但是要满足这样的条件是很困难的，要解决这一实际困难，可以在关键部分相同，而达到进行类比的条件。所谓关键部分，就是主要的工频电场、工频磁感应强度产生源。</w:t>
      </w:r>
    </w:p>
    <w:p w14:paraId="310DCC0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color w:val="000000" w:themeColor="text1"/>
          <w:spacing w:val="0"/>
          <w:sz w:val="24"/>
          <w14:textFill>
            <w14:solidFill>
              <w14:schemeClr w14:val="tx1"/>
            </w14:solidFill>
          </w14:textFill>
        </w:rPr>
      </w:pPr>
      <w:r>
        <w:rPr>
          <w:color w:val="000000" w:themeColor="text1"/>
          <w:spacing w:val="0"/>
          <w:sz w:val="24"/>
          <w14:textFill>
            <w14:solidFill>
              <w14:schemeClr w14:val="tx1"/>
            </w14:solidFill>
          </w14:textFill>
        </w:rPr>
        <w:t>对于变电站围墙外的工频电场，要求最近的高压带电构架布置一致、电压相同，此时就可以认为具有可比性；同样对于变电站围墙外的工频磁感应强度，也要求最近的通流导体的布置和电流相同才具有可比性。实际情况是，工频电场的类比条件相对容易实现，因为变电站主设备和母线电压是基本稳定的，不会随时间和负荷的变化而产生大的变化。但是产生工频磁感应强度的电流却随负荷变化而有较大的变化。</w:t>
      </w:r>
    </w:p>
    <w:p w14:paraId="6AE80376">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ascii="Times New Roman" w:hAnsi="Times New Roman" w:eastAsia="宋体" w:cs="Times New Roman"/>
          <w:b/>
          <w:bCs/>
          <w:color w:val="000000" w:themeColor="text1"/>
          <w:spacing w:val="0"/>
          <w:sz w:val="24"/>
          <w14:textFill>
            <w14:solidFill>
              <w14:schemeClr w14:val="tx1"/>
            </w14:solidFill>
          </w14:textFill>
        </w:rPr>
      </w:pPr>
      <w:r>
        <w:rPr>
          <w:rFonts w:ascii="Times New Roman" w:hAnsi="Times New Roman" w:eastAsia="宋体" w:cs="Times New Roman"/>
          <w:b/>
          <w:bCs/>
          <w:color w:val="000000" w:themeColor="text1"/>
          <w:spacing w:val="0"/>
          <w:sz w:val="24"/>
          <w14:textFill>
            <w14:solidFill>
              <w14:schemeClr w14:val="tx1"/>
            </w14:solidFill>
          </w14:textFill>
        </w:rPr>
        <w:t>3.1.2类比对象选择</w:t>
      </w:r>
    </w:p>
    <w:p w14:paraId="26F8BABA">
      <w:pPr>
        <w:keepNext w:val="0"/>
        <w:keepLines w:val="0"/>
        <w:pageBreakBefore w:val="0"/>
        <w:widowControl w:val="0"/>
        <w:kinsoku/>
        <w:wordWrap/>
        <w:overflowPunct/>
        <w:topLinePunct w:val="0"/>
        <w:autoSpaceDE/>
        <w:autoSpaceDN/>
        <w:bidi w:val="0"/>
        <w:adjustRightInd/>
        <w:snapToGrid/>
        <w:spacing w:line="500" w:lineRule="exact"/>
        <w:ind w:firstLine="481"/>
        <w:textAlignment w:val="auto"/>
        <w:rPr>
          <w:rFonts w:hint="default"/>
          <w:color w:val="000000" w:themeColor="text1"/>
          <w:spacing w:val="0"/>
          <w:sz w:val="24"/>
          <w14:textFill>
            <w14:solidFill>
              <w14:schemeClr w14:val="tx1"/>
            </w14:solidFill>
          </w14:textFill>
        </w:rPr>
      </w:pPr>
      <w:r>
        <w:rPr>
          <w:rFonts w:hint="default"/>
          <w:color w:val="000000" w:themeColor="text1"/>
          <w:spacing w:val="0"/>
          <w:sz w:val="24"/>
          <w14:textFill>
            <w14:solidFill>
              <w14:schemeClr w14:val="tx1"/>
            </w14:solidFill>
          </w14:textFill>
        </w:rPr>
        <w:t>（1）</w:t>
      </w:r>
      <w:r>
        <w:rPr>
          <w:rFonts w:hint="default"/>
          <w:color w:val="000000" w:themeColor="text1"/>
          <w:spacing w:val="0"/>
          <w:sz w:val="24"/>
          <w:lang w:val="en-US" w:eastAsia="zh-CN"/>
          <w14:textFill>
            <w14:solidFill>
              <w14:schemeClr w14:val="tx1"/>
            </w14:solidFill>
          </w14:textFill>
        </w:rPr>
        <w:t>类比的可比</w:t>
      </w:r>
      <w:r>
        <w:rPr>
          <w:rFonts w:hint="default"/>
          <w:color w:val="000000" w:themeColor="text1"/>
          <w:spacing w:val="0"/>
          <w:sz w:val="24"/>
          <w14:textFill>
            <w14:solidFill>
              <w14:schemeClr w14:val="tx1"/>
            </w14:solidFill>
          </w14:textFill>
        </w:rPr>
        <w:t>性</w:t>
      </w:r>
    </w:p>
    <w:p w14:paraId="71270152">
      <w:pPr>
        <w:keepNext w:val="0"/>
        <w:keepLines w:val="0"/>
        <w:pageBreakBefore w:val="0"/>
        <w:widowControl w:val="0"/>
        <w:kinsoku/>
        <w:wordWrap/>
        <w:overflowPunct/>
        <w:topLinePunct w:val="0"/>
        <w:autoSpaceDE/>
        <w:autoSpaceDN/>
        <w:bidi w:val="0"/>
        <w:adjustRightInd/>
        <w:snapToGrid/>
        <w:spacing w:line="500" w:lineRule="exact"/>
        <w:ind w:firstLine="481"/>
        <w:textAlignment w:val="auto"/>
        <w:rPr>
          <w:color w:val="000000" w:themeColor="text1"/>
          <w:spacing w:val="0"/>
          <w:sz w:val="24"/>
          <w14:textFill>
            <w14:solidFill>
              <w14:schemeClr w14:val="tx1"/>
            </w14:solidFill>
          </w14:textFill>
        </w:rPr>
      </w:pPr>
      <w:r>
        <w:rPr>
          <w:color w:val="000000" w:themeColor="text1"/>
          <w:spacing w:val="0"/>
          <w:sz w:val="24"/>
          <w14:textFill>
            <w14:solidFill>
              <w14:schemeClr w14:val="tx1"/>
            </w14:solidFill>
          </w14:textFill>
        </w:rPr>
        <w:t>升压</w:t>
      </w:r>
      <w:r>
        <w:rPr>
          <w:rFonts w:hint="eastAsia"/>
          <w:color w:val="000000" w:themeColor="text1"/>
          <w:spacing w:val="0"/>
          <w:sz w:val="24"/>
          <w:lang w:val="en-US" w:eastAsia="zh-CN"/>
          <w14:textFill>
            <w14:solidFill>
              <w14:schemeClr w14:val="tx1"/>
            </w14:solidFill>
          </w14:textFill>
        </w:rPr>
        <w:t>汇集</w:t>
      </w:r>
      <w:r>
        <w:rPr>
          <w:color w:val="000000" w:themeColor="text1"/>
          <w:spacing w:val="0"/>
          <w:sz w:val="24"/>
          <w14:textFill>
            <w14:solidFill>
              <w14:schemeClr w14:val="tx1"/>
            </w14:solidFill>
          </w14:textFill>
        </w:rPr>
        <w:t>站的工频电场、工频磁感应强度电磁环境影响预测可采用类比分析的方法，即利用类似本项目建设规模、电压等级、容量、架线型式及使用条件的其他已运行</w:t>
      </w:r>
      <w:r>
        <w:rPr>
          <w:rFonts w:hint="eastAsia"/>
          <w:color w:val="000000" w:themeColor="text1"/>
          <w:spacing w:val="0"/>
          <w:sz w:val="24"/>
          <w:lang w:val="en-US" w:eastAsia="zh-CN"/>
          <w14:textFill>
            <w14:solidFill>
              <w14:schemeClr w14:val="tx1"/>
            </w14:solidFill>
          </w14:textFill>
        </w:rPr>
        <w:t>升压汇集站</w:t>
      </w:r>
      <w:r>
        <w:rPr>
          <w:color w:val="000000" w:themeColor="text1"/>
          <w:spacing w:val="0"/>
          <w:sz w:val="24"/>
          <w14:textFill>
            <w14:solidFill>
              <w14:schemeClr w14:val="tx1"/>
            </w14:solidFill>
          </w14:textFill>
        </w:rPr>
        <w:t>进行电磁辐射强度和分布的实际测量，用于对本项目建成后电磁环境影响的预测。</w:t>
      </w:r>
    </w:p>
    <w:p w14:paraId="7B573DAC">
      <w:pPr>
        <w:keepNext w:val="0"/>
        <w:keepLines w:val="0"/>
        <w:pageBreakBefore w:val="0"/>
        <w:widowControl w:val="0"/>
        <w:kinsoku/>
        <w:wordWrap/>
        <w:overflowPunct/>
        <w:topLinePunct w:val="0"/>
        <w:autoSpaceDE/>
        <w:autoSpaceDN/>
        <w:bidi w:val="0"/>
        <w:adjustRightInd/>
        <w:snapToGrid/>
        <w:spacing w:line="500" w:lineRule="exact"/>
        <w:ind w:firstLine="474"/>
        <w:textAlignment w:val="auto"/>
        <w:rPr>
          <w:rFonts w:hint="default" w:ascii="Times New Roman" w:hAnsi="Times New Roman" w:eastAsia="宋体" w:cs="Times New Roman"/>
          <w:color w:val="000000" w:themeColor="text1"/>
          <w:spacing w:val="0"/>
          <w:sz w:val="24"/>
          <w:u w:val="none"/>
          <w:lang w:val="en-US"/>
          <w14:textFill>
            <w14:solidFill>
              <w14:schemeClr w14:val="tx1"/>
            </w14:solidFill>
          </w14:textFill>
        </w:rPr>
      </w:pPr>
      <w:r>
        <w:rPr>
          <w:rFonts w:hint="default" w:ascii="Times New Roman" w:hAnsi="Times New Roman" w:eastAsia="宋体" w:cs="Times New Roman"/>
          <w:color w:val="000000" w:themeColor="text1"/>
          <w:spacing w:val="0"/>
          <w:sz w:val="24"/>
          <w:u w:val="none"/>
          <w:lang w:val="en-US" w:eastAsia="zh-CN"/>
          <w14:textFill>
            <w14:solidFill>
              <w14:schemeClr w14:val="tx1"/>
            </w14:solidFill>
          </w14:textFill>
        </w:rPr>
        <w:t>按照《环境影响评价技术导则 输变电》（HJ</w:t>
      </w:r>
      <w:r>
        <w:rPr>
          <w:rFonts w:hint="eastAsia" w:ascii="Times New Roman" w:hAnsi="Times New Roman" w:eastAsia="宋体" w:cs="Times New Roman"/>
          <w:color w:val="000000" w:themeColor="text1"/>
          <w:spacing w:val="0"/>
          <w:sz w:val="24"/>
          <w:u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pacing w:val="0"/>
          <w:sz w:val="24"/>
          <w:u w:val="none"/>
          <w:lang w:val="en-US" w:eastAsia="zh-CN"/>
          <w14:textFill>
            <w14:solidFill>
              <w14:schemeClr w14:val="tx1"/>
            </w14:solidFill>
          </w14:textFill>
        </w:rPr>
        <w:t>24-2020）中8.1.1.1要求</w:t>
      </w:r>
      <w:r>
        <w:rPr>
          <w:rFonts w:hint="eastAsia" w:ascii="Times New Roman" w:hAnsi="Times New Roman" w:eastAsia="宋体" w:cs="Times New Roman"/>
          <w:color w:val="000000" w:themeColor="text1"/>
          <w:spacing w:val="0"/>
          <w:sz w:val="24"/>
          <w:u w:val="none"/>
          <w:lang w:val="en-US" w:eastAsia="zh-CN"/>
          <w14:textFill>
            <w14:solidFill>
              <w14:schemeClr w14:val="tx1"/>
            </w14:solidFill>
          </w14:textFill>
        </w:rPr>
        <w:t>：“类比对象的建设规模、电压等级、容量、总平面布置、占地面积、架线型式、架线高度、电气形式、母线形式、环境条件及运行工况应与本建设项目相类似，并列表论述其可比性。”</w:t>
      </w:r>
      <w:r>
        <w:rPr>
          <w:rFonts w:hint="eastAsia"/>
          <w:color w:val="000000" w:themeColor="text1"/>
          <w:lang w:val="zh-CN"/>
          <w14:textFill>
            <w14:solidFill>
              <w14:schemeClr w14:val="tx1"/>
            </w14:solidFill>
          </w14:textFill>
        </w:rPr>
        <w:t>现以已运行的中绿电乌鲁木齐市米东区350万千瓦光伏北沙窝西（南、北、东）220千伏升压汇集站项目作为类比对象，</w:t>
      </w:r>
      <w:r>
        <w:rPr>
          <w:rFonts w:hint="eastAsia" w:ascii="Times New Roman" w:hAnsi="Times New Roman" w:eastAsia="宋体" w:cs="Times New Roman"/>
          <w:color w:val="000000" w:themeColor="text1"/>
          <w:spacing w:val="0"/>
          <w:sz w:val="24"/>
          <w:u w:val="none"/>
          <w:lang w:val="en-US" w:eastAsia="zh-CN"/>
          <w14:textFill>
            <w14:solidFill>
              <w14:schemeClr w14:val="tx1"/>
            </w14:solidFill>
          </w14:textFill>
        </w:rPr>
        <w:t>本项目220k</w:t>
      </w:r>
      <w:r>
        <w:rPr>
          <w:rFonts w:hint="eastAsia" w:ascii="Times New Roman" w:hAnsi="Times New Roman" w:cs="Times New Roman"/>
          <w:color w:val="000000" w:themeColor="text1"/>
          <w:spacing w:val="0"/>
          <w:sz w:val="24"/>
          <w:u w:val="none"/>
          <w:lang w:val="en-US" w:eastAsia="zh-CN"/>
          <w14:textFill>
            <w14:solidFill>
              <w14:schemeClr w14:val="tx1"/>
            </w14:solidFill>
          </w14:textFill>
        </w:rPr>
        <w:t>V</w:t>
      </w:r>
      <w:r>
        <w:rPr>
          <w:rFonts w:hint="eastAsia" w:ascii="Times New Roman" w:hAnsi="Times New Roman" w:eastAsia="宋体" w:cs="Times New Roman"/>
          <w:color w:val="000000" w:themeColor="text1"/>
          <w:spacing w:val="0"/>
          <w:sz w:val="24"/>
          <w:u w:val="none"/>
          <w:lang w:val="en-US" w:eastAsia="zh-CN"/>
          <w14:textFill>
            <w14:solidFill>
              <w14:schemeClr w14:val="tx1"/>
            </w14:solidFill>
          </w14:textFill>
        </w:rPr>
        <w:t>升压</w:t>
      </w:r>
      <w:r>
        <w:rPr>
          <w:rFonts w:hint="eastAsia" w:cs="Times New Roman"/>
          <w:color w:val="000000" w:themeColor="text1"/>
          <w:spacing w:val="0"/>
          <w:sz w:val="24"/>
          <w:u w:val="none"/>
          <w:lang w:val="en-US" w:eastAsia="zh-CN"/>
          <w14:textFill>
            <w14:solidFill>
              <w14:schemeClr w14:val="tx1"/>
            </w14:solidFill>
          </w14:textFill>
        </w:rPr>
        <w:t>汇集</w:t>
      </w:r>
      <w:r>
        <w:rPr>
          <w:rFonts w:hint="eastAsia" w:ascii="Times New Roman" w:hAnsi="Times New Roman" w:eastAsia="宋体" w:cs="Times New Roman"/>
          <w:color w:val="000000" w:themeColor="text1"/>
          <w:spacing w:val="0"/>
          <w:sz w:val="24"/>
          <w:u w:val="none"/>
          <w:lang w:val="en-US" w:eastAsia="zh-CN"/>
          <w14:textFill>
            <w14:solidFill>
              <w14:schemeClr w14:val="tx1"/>
            </w14:solidFill>
          </w14:textFill>
        </w:rPr>
        <w:t>站与中绿电220kV升压</w:t>
      </w:r>
      <w:r>
        <w:rPr>
          <w:rFonts w:hint="eastAsia" w:cs="Times New Roman"/>
          <w:color w:val="000000" w:themeColor="text1"/>
          <w:spacing w:val="0"/>
          <w:sz w:val="24"/>
          <w:u w:val="none"/>
          <w:lang w:val="en-US" w:eastAsia="zh-CN"/>
          <w14:textFill>
            <w14:solidFill>
              <w14:schemeClr w14:val="tx1"/>
            </w14:solidFill>
          </w14:textFill>
        </w:rPr>
        <w:t>汇集</w:t>
      </w:r>
      <w:r>
        <w:rPr>
          <w:rFonts w:hint="eastAsia" w:ascii="Times New Roman" w:hAnsi="Times New Roman" w:eastAsia="宋体" w:cs="Times New Roman"/>
          <w:color w:val="000000" w:themeColor="text1"/>
          <w:spacing w:val="0"/>
          <w:sz w:val="24"/>
          <w:u w:val="none"/>
          <w:lang w:val="en-US" w:eastAsia="zh-CN"/>
          <w14:textFill>
            <w14:solidFill>
              <w14:schemeClr w14:val="tx1"/>
            </w14:solidFill>
          </w14:textFill>
        </w:rPr>
        <w:t>站对比情况见表</w:t>
      </w:r>
      <w:r>
        <w:rPr>
          <w:rFonts w:hint="eastAsia" w:ascii="Times New Roman" w:hAnsi="Times New Roman" w:cs="Times New Roman"/>
          <w:color w:val="000000" w:themeColor="text1"/>
          <w:spacing w:val="0"/>
          <w:sz w:val="24"/>
          <w:u w:val="none"/>
          <w:lang w:val="en-US" w:eastAsia="zh-CN"/>
          <w14:textFill>
            <w14:solidFill>
              <w14:schemeClr w14:val="tx1"/>
            </w14:solidFill>
          </w14:textFill>
        </w:rPr>
        <w:t>4</w:t>
      </w:r>
      <w:r>
        <w:rPr>
          <w:rFonts w:hint="eastAsia" w:ascii="Times New Roman" w:hAnsi="Times New Roman" w:eastAsia="宋体" w:cs="Times New Roman"/>
          <w:color w:val="000000" w:themeColor="text1"/>
          <w:spacing w:val="0"/>
          <w:sz w:val="24"/>
          <w:u w:val="none"/>
          <w:lang w:val="en-US" w:eastAsia="zh-CN"/>
          <w14:textFill>
            <w14:solidFill>
              <w14:schemeClr w14:val="tx1"/>
            </w14:solidFill>
          </w14:textFill>
        </w:rPr>
        <w:t>。</w:t>
      </w:r>
    </w:p>
    <w:p w14:paraId="6861BA03">
      <w:pPr>
        <w:keepNext w:val="0"/>
        <w:keepLines w:val="0"/>
        <w:pageBreakBefore w:val="0"/>
        <w:widowControl w:val="0"/>
        <w:kinsoku/>
        <w:wordWrap/>
        <w:overflowPunct/>
        <w:topLinePunct w:val="0"/>
        <w:autoSpaceDE/>
        <w:autoSpaceDN/>
        <w:bidi w:val="0"/>
        <w:adjustRightInd/>
        <w:snapToGrid/>
        <w:spacing w:before="169" w:beforeLines="50" w:line="240" w:lineRule="auto"/>
        <w:jc w:val="center"/>
        <w:textAlignment w:val="auto"/>
        <w:rPr>
          <w:rFonts w:hint="eastAsia" w:ascii="黑体" w:hAnsi="黑体" w:eastAsia="黑体" w:cs="黑体"/>
          <w:color w:val="000000" w:themeColor="text1"/>
          <w:spacing w:val="0"/>
          <w:position w:val="0"/>
          <w:sz w:val="21"/>
          <w:szCs w:val="21"/>
          <w14:textFill>
            <w14:solidFill>
              <w14:schemeClr w14:val="tx1"/>
            </w14:solidFill>
          </w14:textFill>
        </w:rPr>
      </w:pPr>
      <w:r>
        <w:rPr>
          <w:rFonts w:hint="eastAsia" w:ascii="黑体" w:hAnsi="黑体" w:eastAsia="黑体" w:cs="黑体"/>
          <w:color w:val="000000" w:themeColor="text1"/>
          <w:spacing w:val="0"/>
          <w:position w:val="0"/>
          <w:sz w:val="21"/>
          <w:szCs w:val="21"/>
          <w14:textFill>
            <w14:solidFill>
              <w14:schemeClr w14:val="tx1"/>
            </w14:solidFill>
          </w14:textFill>
        </w:rPr>
        <w:t>表</w:t>
      </w:r>
      <w:r>
        <w:rPr>
          <w:rFonts w:hint="eastAsia" w:ascii="黑体" w:hAnsi="黑体" w:eastAsia="黑体" w:cs="黑体"/>
          <w:color w:val="000000" w:themeColor="text1"/>
          <w:spacing w:val="0"/>
          <w:position w:val="0"/>
          <w:sz w:val="21"/>
          <w:szCs w:val="21"/>
          <w:lang w:val="en-US" w:eastAsia="zh-CN"/>
          <w14:textFill>
            <w14:solidFill>
              <w14:schemeClr w14:val="tx1"/>
            </w14:solidFill>
          </w14:textFill>
        </w:rPr>
        <w:t>4</w:t>
      </w:r>
      <w:r>
        <w:rPr>
          <w:rFonts w:hint="eastAsia" w:ascii="黑体" w:hAnsi="黑体" w:eastAsia="黑体" w:cs="黑体"/>
          <w:color w:val="000000" w:themeColor="text1"/>
          <w:spacing w:val="0"/>
          <w:position w:val="0"/>
          <w:sz w:val="21"/>
          <w:szCs w:val="21"/>
          <w14:textFill>
            <w14:solidFill>
              <w14:schemeClr w14:val="tx1"/>
            </w14:solidFill>
          </w14:textFill>
        </w:rPr>
        <w:t xml:space="preserve"> </w:t>
      </w:r>
      <w:r>
        <w:rPr>
          <w:rFonts w:hint="eastAsia" w:ascii="黑体" w:hAnsi="黑体" w:eastAsia="黑体" w:cs="黑体"/>
          <w:color w:val="000000" w:themeColor="text1"/>
          <w:spacing w:val="0"/>
          <w:position w:val="0"/>
          <w:sz w:val="21"/>
          <w:szCs w:val="21"/>
          <w:lang w:val="en-US" w:eastAsia="zh-CN"/>
          <w14:textFill>
            <w14:solidFill>
              <w14:schemeClr w14:val="tx1"/>
            </w14:solidFill>
          </w14:textFill>
        </w:rPr>
        <w:t xml:space="preserve">   </w:t>
      </w:r>
      <w:r>
        <w:rPr>
          <w:rFonts w:hint="eastAsia" w:ascii="黑体" w:hAnsi="黑体" w:eastAsia="黑体" w:cs="黑体"/>
          <w:color w:val="000000" w:themeColor="text1"/>
          <w:spacing w:val="0"/>
          <w:position w:val="0"/>
          <w:sz w:val="21"/>
          <w:szCs w:val="21"/>
          <w14:textFill>
            <w14:solidFill>
              <w14:schemeClr w14:val="tx1"/>
            </w14:solidFill>
          </w14:textFill>
        </w:rPr>
        <w:t>本项目220kV升压</w:t>
      </w:r>
      <w:r>
        <w:rPr>
          <w:rFonts w:hint="eastAsia" w:ascii="黑体" w:hAnsi="黑体" w:eastAsia="黑体" w:cs="黑体"/>
          <w:color w:val="000000" w:themeColor="text1"/>
          <w:spacing w:val="0"/>
          <w:position w:val="0"/>
          <w:sz w:val="21"/>
          <w:szCs w:val="21"/>
          <w:lang w:val="en-US" w:eastAsia="zh-CN"/>
          <w14:textFill>
            <w14:solidFill>
              <w14:schemeClr w14:val="tx1"/>
            </w14:solidFill>
          </w14:textFill>
        </w:rPr>
        <w:t>汇集</w:t>
      </w:r>
      <w:r>
        <w:rPr>
          <w:rFonts w:hint="eastAsia" w:ascii="黑体" w:hAnsi="黑体" w:eastAsia="黑体" w:cs="黑体"/>
          <w:color w:val="000000" w:themeColor="text1"/>
          <w:spacing w:val="0"/>
          <w:position w:val="0"/>
          <w:sz w:val="21"/>
          <w:szCs w:val="21"/>
          <w14:textFill>
            <w14:solidFill>
              <w14:schemeClr w14:val="tx1"/>
            </w14:solidFill>
          </w14:textFill>
        </w:rPr>
        <w:t>站与类比</w:t>
      </w:r>
      <w:r>
        <w:rPr>
          <w:rFonts w:hint="eastAsia" w:ascii="黑体" w:hAnsi="黑体" w:eastAsia="黑体" w:cs="黑体"/>
          <w:color w:val="000000" w:themeColor="text1"/>
          <w:spacing w:val="0"/>
          <w:position w:val="0"/>
          <w:sz w:val="21"/>
          <w:szCs w:val="21"/>
          <w:lang w:val="en-US" w:eastAsia="zh-CN"/>
          <w14:textFill>
            <w14:solidFill>
              <w14:schemeClr w14:val="tx1"/>
            </w14:solidFill>
          </w14:textFill>
        </w:rPr>
        <w:t>升压汇集站</w:t>
      </w:r>
      <w:r>
        <w:rPr>
          <w:rFonts w:hint="eastAsia" w:ascii="黑体" w:hAnsi="黑体" w:eastAsia="黑体" w:cs="黑体"/>
          <w:color w:val="000000" w:themeColor="text1"/>
          <w:spacing w:val="0"/>
          <w:position w:val="0"/>
          <w:sz w:val="21"/>
          <w:szCs w:val="21"/>
          <w14:textFill>
            <w14:solidFill>
              <w14:schemeClr w14:val="tx1"/>
            </w14:solidFill>
          </w14:textFill>
        </w:rPr>
        <w:t>情况对比</w:t>
      </w:r>
    </w:p>
    <w:tbl>
      <w:tblPr>
        <w:tblStyle w:val="2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3129"/>
        <w:gridCol w:w="2114"/>
        <w:gridCol w:w="1912"/>
      </w:tblGrid>
      <w:tr w14:paraId="543B06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953" w:type="pct"/>
            <w:tcBorders>
              <w:tl2br w:val="nil"/>
              <w:tr2bl w:val="nil"/>
            </w:tcBorders>
            <w:noWrap w:val="0"/>
            <w:vAlign w:val="center"/>
          </w:tcPr>
          <w:p w14:paraId="78500B2E">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项目名称</w:t>
            </w:r>
          </w:p>
        </w:tc>
        <w:tc>
          <w:tcPr>
            <w:tcW w:w="1769" w:type="pct"/>
            <w:tcBorders>
              <w:tl2br w:val="nil"/>
              <w:tr2bl w:val="nil"/>
            </w:tcBorders>
            <w:noWrap w:val="0"/>
            <w:vAlign w:val="center"/>
          </w:tcPr>
          <w:p w14:paraId="6BBC452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中绿电乌鲁木齐市米东区350万千瓦光伏北沙窝西（南、北、东）220千伏升压汇集站项目</w:t>
            </w:r>
          </w:p>
        </w:tc>
        <w:tc>
          <w:tcPr>
            <w:tcW w:w="1195" w:type="pct"/>
            <w:tcBorders>
              <w:tl2br w:val="nil"/>
              <w:tr2bl w:val="nil"/>
            </w:tcBorders>
            <w:noWrap w:val="0"/>
            <w:vAlign w:val="center"/>
          </w:tcPr>
          <w:p w14:paraId="2315865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right="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eastAsia" w:cs="Times New Roman"/>
                <w:b w:val="0"/>
                <w:bCs w:val="0"/>
                <w:color w:val="000000" w:themeColor="text1"/>
                <w:sz w:val="21"/>
                <w:szCs w:val="21"/>
                <w:highlight w:val="none"/>
                <w:lang w:eastAsia="zh-CN"/>
                <w14:textFill>
                  <w14:solidFill>
                    <w14:schemeClr w14:val="tx1"/>
                  </w14:solidFill>
                </w14:textFill>
              </w:rPr>
              <w:t>本项目</w:t>
            </w:r>
          </w:p>
        </w:tc>
        <w:tc>
          <w:tcPr>
            <w:tcW w:w="1081" w:type="pct"/>
            <w:tcBorders>
              <w:tl2br w:val="nil"/>
              <w:tr2bl w:val="nil"/>
            </w:tcBorders>
            <w:noWrap w:val="0"/>
            <w:vAlign w:val="center"/>
          </w:tcPr>
          <w:p w14:paraId="53EC486B">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right="0"/>
              <w:jc w:val="center"/>
              <w:textAlignment w:val="auto"/>
              <w:rPr>
                <w:rFonts w:hint="eastAsia" w:cs="Times New Roman"/>
                <w:b w:val="0"/>
                <w:bCs w:val="0"/>
                <w:color w:val="000000" w:themeColor="text1"/>
                <w:sz w:val="21"/>
                <w:szCs w:val="21"/>
                <w:highlight w:val="none"/>
                <w:lang w:eastAsia="zh-CN"/>
                <w14:textFill>
                  <w14:solidFill>
                    <w14:schemeClr w14:val="tx1"/>
                  </w14:solidFill>
                </w14:textFill>
              </w:rPr>
            </w:pPr>
            <w:r>
              <w:rPr>
                <w:rFonts w:hint="eastAsia" w:ascii="Times New Roman" w:hAnsi="Times New Roman" w:cs="Times New Roman"/>
                <w:b w:val="0"/>
                <w:bCs w:val="0"/>
                <w:color w:val="000000" w:themeColor="text1"/>
                <w:spacing w:val="5"/>
                <w:sz w:val="21"/>
                <w:szCs w:val="21"/>
                <w:lang w:val="en-US" w:eastAsia="zh-CN"/>
                <w14:textFill>
                  <w14:solidFill>
                    <w14:schemeClr w14:val="tx1"/>
                  </w14:solidFill>
                </w14:textFill>
              </w:rPr>
              <w:t>本项目与类比项目</w:t>
            </w:r>
            <w:r>
              <w:rPr>
                <w:rFonts w:hint="default" w:ascii="Times New Roman" w:hAnsi="Times New Roman" w:cs="Times New Roman"/>
                <w:b w:val="0"/>
                <w:bCs w:val="0"/>
                <w:color w:val="000000" w:themeColor="text1"/>
                <w:spacing w:val="5"/>
                <w:sz w:val="21"/>
                <w:szCs w:val="21"/>
                <w14:textFill>
                  <w14:solidFill>
                    <w14:schemeClr w14:val="tx1"/>
                  </w14:solidFill>
                </w14:textFill>
              </w:rPr>
              <w:t>差</w:t>
            </w:r>
            <w:r>
              <w:rPr>
                <w:rFonts w:hint="default" w:ascii="Times New Roman" w:hAnsi="Times New Roman" w:cs="Times New Roman"/>
                <w:b w:val="0"/>
                <w:bCs w:val="0"/>
                <w:color w:val="000000" w:themeColor="text1"/>
                <w:spacing w:val="4"/>
                <w:sz w:val="21"/>
                <w:szCs w:val="21"/>
                <w14:textFill>
                  <w14:solidFill>
                    <w14:schemeClr w14:val="tx1"/>
                  </w14:solidFill>
                </w14:textFill>
              </w:rPr>
              <w:t>异</w:t>
            </w:r>
          </w:p>
        </w:tc>
      </w:tr>
      <w:tr w14:paraId="29D298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953" w:type="pct"/>
            <w:tcBorders>
              <w:tl2br w:val="nil"/>
              <w:tr2bl w:val="nil"/>
            </w:tcBorders>
            <w:noWrap w:val="0"/>
            <w:vAlign w:val="center"/>
          </w:tcPr>
          <w:p w14:paraId="27C0FE39">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eastAsia"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lang w:eastAsia="zh-CN"/>
                <w14:textFill>
                  <w14:solidFill>
                    <w14:schemeClr w14:val="tx1"/>
                  </w14:solidFill>
                </w14:textFill>
              </w:rPr>
              <w:t>规模</w:t>
            </w:r>
          </w:p>
        </w:tc>
        <w:tc>
          <w:tcPr>
            <w:tcW w:w="1769" w:type="pct"/>
            <w:tcBorders>
              <w:tl2br w:val="nil"/>
              <w:tr2bl w:val="nil"/>
            </w:tcBorders>
            <w:noWrap w:val="0"/>
            <w:vAlign w:val="center"/>
          </w:tcPr>
          <w:p w14:paraId="7AF8065E">
            <w:pPr>
              <w:pStyle w:val="89"/>
              <w:keepNext w:val="0"/>
              <w:keepLines w:val="0"/>
              <w:pageBreakBefore w:val="0"/>
              <w:kinsoku/>
              <w:overflowPunct/>
              <w:autoSpaceDE/>
              <w:autoSpaceDN/>
              <w:bidi w:val="0"/>
              <w:adjustRightInd/>
              <w:snapToGrid/>
              <w:spacing w:line="240" w:lineRule="exact"/>
              <w:ind w:left="0"/>
              <w:textAlignment w:val="auto"/>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pPr>
            <w:r>
              <w:rPr>
                <w:rFonts w:ascii="Times New Roman" w:hAnsi="Times New Roman" w:eastAsia="Times New Roman" w:cs="Times New Roman"/>
                <w:color w:val="000000" w:themeColor="text1"/>
                <w:spacing w:val="9"/>
                <w:sz w:val="21"/>
                <w:szCs w:val="21"/>
                <w14:textFill>
                  <w14:solidFill>
                    <w14:schemeClr w14:val="tx1"/>
                  </w14:solidFill>
                </w14:textFill>
              </w:rPr>
              <w:t>2#</w:t>
            </w:r>
            <w:r>
              <w:rPr>
                <w:color w:val="000000" w:themeColor="text1"/>
                <w:spacing w:val="9"/>
                <w:sz w:val="21"/>
                <w:szCs w:val="21"/>
                <w14:textFill>
                  <w14:solidFill>
                    <w14:schemeClr w14:val="tx1"/>
                  </w14:solidFill>
                </w14:textFill>
              </w:rPr>
              <w:t>汇集站</w:t>
            </w:r>
            <w:r>
              <w:rPr>
                <w:rFonts w:hint="eastAsia"/>
                <w:color w:val="000000" w:themeColor="text1"/>
                <w:spacing w:val="9"/>
                <w:sz w:val="21"/>
                <w:szCs w:val="21"/>
                <w:lang w:val="en-US" w:eastAsia="zh-CN"/>
                <w14:textFill>
                  <w14:solidFill>
                    <w14:schemeClr w14:val="tx1"/>
                  </w14:solidFill>
                </w14:textFill>
              </w:rPr>
              <w:t>主变容量</w:t>
            </w:r>
            <w:r>
              <w:rPr>
                <w:rFonts w:ascii="Times New Roman" w:hAnsi="Times New Roman" w:eastAsia="Times New Roman" w:cs="Times New Roman"/>
                <w:color w:val="000000" w:themeColor="text1"/>
                <w:spacing w:val="9"/>
                <w:sz w:val="21"/>
                <w:szCs w:val="21"/>
                <w14:textFill>
                  <w14:solidFill>
                    <w14:schemeClr w14:val="tx1"/>
                  </w14:solidFill>
                </w14:textFill>
              </w:rPr>
              <w:t>4</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ascii="Times New Roman" w:hAnsi="Times New Roman" w:eastAsia="Times New Roman" w:cs="Times New Roman"/>
                <w:color w:val="000000" w:themeColor="text1"/>
                <w:spacing w:val="9"/>
                <w:sz w:val="21"/>
                <w:szCs w:val="21"/>
                <w14:textFill>
                  <w14:solidFill>
                    <w14:schemeClr w14:val="tx1"/>
                  </w14:solidFill>
                </w14:textFill>
              </w:rPr>
              <w:t>250</w:t>
            </w:r>
            <w:r>
              <w:rPr>
                <w:rFonts w:ascii="Times New Roman" w:hAnsi="Times New Roman" w:eastAsia="Times New Roman" w:cs="Times New Roman"/>
                <w:color w:val="000000" w:themeColor="text1"/>
                <w:sz w:val="21"/>
                <w:szCs w:val="21"/>
                <w14:textFill>
                  <w14:solidFill>
                    <w14:schemeClr w14:val="tx1"/>
                  </w14:solidFill>
                </w14:textFill>
              </w:rPr>
              <w:t>MVA</w:t>
            </w:r>
          </w:p>
        </w:tc>
        <w:tc>
          <w:tcPr>
            <w:tcW w:w="1195" w:type="pct"/>
            <w:tcBorders>
              <w:tl2br w:val="nil"/>
              <w:tr2bl w:val="nil"/>
            </w:tcBorders>
            <w:noWrap w:val="0"/>
            <w:vAlign w:val="center"/>
          </w:tcPr>
          <w:p w14:paraId="6BF74C9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1座</w:t>
            </w:r>
            <w:r>
              <w:rPr>
                <w:rFonts w:hint="eastAsia" w:cs="Times New Roman"/>
                <w:color w:val="000000" w:themeColor="text1"/>
                <w:sz w:val="21"/>
                <w:szCs w:val="21"/>
                <w:highlight w:val="none"/>
                <w:lang w:val="en-US" w:eastAsia="zh-CN"/>
                <w14:textFill>
                  <w14:solidFill>
                    <w14:schemeClr w14:val="tx1"/>
                  </w14:solidFill>
                </w14:textFill>
              </w:rPr>
              <w:t>220千伏升压汇集站</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本期建设</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主变容量</w:t>
            </w:r>
            <w:r>
              <w:rPr>
                <w:rFonts w:hint="eastAsia"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0MVA</w:t>
            </w:r>
          </w:p>
        </w:tc>
        <w:tc>
          <w:tcPr>
            <w:tcW w:w="1081" w:type="pct"/>
            <w:tcBorders>
              <w:tl2br w:val="nil"/>
              <w:tr2bl w:val="nil"/>
            </w:tcBorders>
            <w:noWrap w:val="0"/>
            <w:vAlign w:val="center"/>
          </w:tcPr>
          <w:p w14:paraId="1254D5CB">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小于</w:t>
            </w:r>
            <w:r>
              <w:rPr>
                <w:rFonts w:hint="default" w:ascii="Times New Roman" w:hAnsi="Times New Roman" w:cs="Times New Roman"/>
                <w:color w:val="000000" w:themeColor="text1"/>
                <w:spacing w:val="5"/>
                <w:sz w:val="21"/>
                <w:szCs w:val="21"/>
                <w:lang w:val="en-US" w:eastAsia="zh-CN"/>
                <w14:textFill>
                  <w14:solidFill>
                    <w14:schemeClr w14:val="tx1"/>
                  </w14:solidFill>
                </w14:textFill>
              </w:rPr>
              <w:t>类比项目</w:t>
            </w:r>
          </w:p>
        </w:tc>
      </w:tr>
      <w:tr w14:paraId="0AEB25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53" w:type="pct"/>
            <w:tcBorders>
              <w:tl2br w:val="nil"/>
              <w:tr2bl w:val="nil"/>
            </w:tcBorders>
            <w:noWrap w:val="0"/>
            <w:vAlign w:val="center"/>
          </w:tcPr>
          <w:p w14:paraId="639B53FE">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电压等级（kV）</w:t>
            </w:r>
          </w:p>
        </w:tc>
        <w:tc>
          <w:tcPr>
            <w:tcW w:w="1769" w:type="pct"/>
            <w:tcBorders>
              <w:tl2br w:val="nil"/>
              <w:tr2bl w:val="nil"/>
            </w:tcBorders>
            <w:noWrap w:val="0"/>
            <w:vAlign w:val="center"/>
          </w:tcPr>
          <w:p w14:paraId="217FA452">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220</w:t>
            </w:r>
          </w:p>
        </w:tc>
        <w:tc>
          <w:tcPr>
            <w:tcW w:w="1195" w:type="pct"/>
            <w:tcBorders>
              <w:tl2br w:val="nil"/>
              <w:tr2bl w:val="nil"/>
            </w:tcBorders>
            <w:noWrap w:val="0"/>
            <w:vAlign w:val="center"/>
          </w:tcPr>
          <w:p w14:paraId="51F42DEC">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220</w:t>
            </w:r>
          </w:p>
        </w:tc>
        <w:tc>
          <w:tcPr>
            <w:tcW w:w="1081" w:type="pct"/>
            <w:tcBorders>
              <w:tl2br w:val="nil"/>
              <w:tr2bl w:val="nil"/>
            </w:tcBorders>
            <w:noWrap w:val="0"/>
            <w:vAlign w:val="center"/>
          </w:tcPr>
          <w:p w14:paraId="43428872">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5"/>
                <w:sz w:val="21"/>
                <w:szCs w:val="21"/>
                <w14:textFill>
                  <w14:solidFill>
                    <w14:schemeClr w14:val="tx1"/>
                  </w14:solidFill>
                </w14:textFill>
              </w:rPr>
              <w:t>相</w:t>
            </w:r>
            <w:r>
              <w:rPr>
                <w:rFonts w:hint="default" w:ascii="Times New Roman" w:hAnsi="Times New Roman" w:cs="Times New Roman"/>
                <w:color w:val="000000" w:themeColor="text1"/>
                <w:spacing w:val="4"/>
                <w:sz w:val="21"/>
                <w:szCs w:val="21"/>
                <w14:textFill>
                  <w14:solidFill>
                    <w14:schemeClr w14:val="tx1"/>
                  </w14:solidFill>
                </w14:textFill>
              </w:rPr>
              <w:t>同</w:t>
            </w:r>
          </w:p>
        </w:tc>
      </w:tr>
      <w:tr w14:paraId="7DDA34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53" w:type="pct"/>
            <w:tcBorders>
              <w:tl2br w:val="nil"/>
              <w:tr2bl w:val="nil"/>
            </w:tcBorders>
            <w:noWrap w:val="0"/>
            <w:vAlign w:val="center"/>
          </w:tcPr>
          <w:p w14:paraId="08B5874A">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14:textFill>
                  <w14:solidFill>
                    <w14:schemeClr w14:val="tx1"/>
                  </w14:solidFill>
                </w14:textFill>
              </w:rPr>
              <w:t>主变容量（MVA）</w:t>
            </w:r>
          </w:p>
        </w:tc>
        <w:tc>
          <w:tcPr>
            <w:tcW w:w="1769" w:type="pct"/>
            <w:tcBorders>
              <w:tl2br w:val="nil"/>
              <w:tr2bl w:val="nil"/>
            </w:tcBorders>
            <w:noWrap w:val="0"/>
            <w:vAlign w:val="center"/>
          </w:tcPr>
          <w:p w14:paraId="2994225F">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1195" w:type="pct"/>
            <w:tcBorders>
              <w:tl2br w:val="nil"/>
              <w:tr2bl w:val="nil"/>
            </w:tcBorders>
            <w:noWrap w:val="0"/>
            <w:vAlign w:val="center"/>
          </w:tcPr>
          <w:p w14:paraId="71FA705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highlight w:val="none"/>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2</w:t>
            </w:r>
            <w:r>
              <w:rPr>
                <w:rFonts w:hint="eastAsia" w:cs="Times New Roman"/>
                <w:color w:val="000000" w:themeColor="text1"/>
                <w:sz w:val="21"/>
                <w:szCs w:val="21"/>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w:t>
            </w:r>
          </w:p>
        </w:tc>
        <w:tc>
          <w:tcPr>
            <w:tcW w:w="1081" w:type="pct"/>
            <w:tcBorders>
              <w:tl2br w:val="nil"/>
              <w:tr2bl w:val="nil"/>
            </w:tcBorders>
            <w:noWrap w:val="0"/>
            <w:vAlign w:val="center"/>
          </w:tcPr>
          <w:p w14:paraId="08DE694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eastAsia"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小于</w:t>
            </w:r>
            <w:r>
              <w:rPr>
                <w:rFonts w:hint="default" w:ascii="Times New Roman" w:hAnsi="Times New Roman" w:cs="Times New Roman"/>
                <w:color w:val="000000" w:themeColor="text1"/>
                <w:spacing w:val="5"/>
                <w:sz w:val="21"/>
                <w:szCs w:val="21"/>
                <w:lang w:val="en-US" w:eastAsia="zh-CN"/>
                <w14:textFill>
                  <w14:solidFill>
                    <w14:schemeClr w14:val="tx1"/>
                  </w14:solidFill>
                </w14:textFill>
              </w:rPr>
              <w:t>类比项目</w:t>
            </w:r>
          </w:p>
        </w:tc>
      </w:tr>
      <w:tr w14:paraId="255C57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53" w:type="pct"/>
            <w:tcBorders>
              <w:tl2br w:val="nil"/>
              <w:tr2bl w:val="nil"/>
            </w:tcBorders>
            <w:noWrap w:val="0"/>
            <w:vAlign w:val="center"/>
          </w:tcPr>
          <w:p w14:paraId="1023D819">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布置形式</w:t>
            </w:r>
          </w:p>
        </w:tc>
        <w:tc>
          <w:tcPr>
            <w:tcW w:w="1769" w:type="pct"/>
            <w:tcBorders>
              <w:tl2br w:val="nil"/>
              <w:tr2bl w:val="nil"/>
            </w:tcBorders>
            <w:noWrap w:val="0"/>
            <w:vAlign w:val="center"/>
          </w:tcPr>
          <w:p w14:paraId="0F0312E7">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color w:val="000000" w:themeColor="text1"/>
                <w:spacing w:val="8"/>
                <w:sz w:val="21"/>
                <w:szCs w:val="21"/>
                <w14:textFill>
                  <w14:solidFill>
                    <w14:schemeClr w14:val="tx1"/>
                  </w14:solidFill>
                </w14:textFill>
              </w:rPr>
              <w:t>户外式变电站</w:t>
            </w:r>
          </w:p>
        </w:tc>
        <w:tc>
          <w:tcPr>
            <w:tcW w:w="1195" w:type="pct"/>
            <w:tcBorders>
              <w:tl2br w:val="nil"/>
              <w:tr2bl w:val="nil"/>
            </w:tcBorders>
            <w:noWrap w:val="0"/>
            <w:vAlign w:val="center"/>
          </w:tcPr>
          <w:p w14:paraId="54798761">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pacing w:val="8"/>
                <w:sz w:val="21"/>
                <w:szCs w:val="21"/>
                <w14:textFill>
                  <w14:solidFill>
                    <w14:schemeClr w14:val="tx1"/>
                  </w14:solidFill>
                </w14:textFill>
              </w:rPr>
              <w:t>户外式变电站</w:t>
            </w:r>
          </w:p>
        </w:tc>
        <w:tc>
          <w:tcPr>
            <w:tcW w:w="1081" w:type="pct"/>
            <w:tcBorders>
              <w:tl2br w:val="nil"/>
              <w:tr2bl w:val="nil"/>
            </w:tcBorders>
            <w:noWrap w:val="0"/>
            <w:vAlign w:val="center"/>
          </w:tcPr>
          <w:p w14:paraId="5376E6F3">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eastAsia" w:ascii="Times New Roman" w:hAnsi="Times New Roman" w:eastAsia="宋体" w:cs="Times New Roman"/>
                <w:color w:val="000000" w:themeColor="text1"/>
                <w:kern w:val="0"/>
                <w:sz w:val="21"/>
                <w:szCs w:val="21"/>
                <w:highlight w:val="none"/>
                <w:lang w:eastAsia="zh-CN"/>
                <w14:textFill>
                  <w14:solidFill>
                    <w14:schemeClr w14:val="tx1"/>
                  </w14:solidFill>
                </w14:textFill>
              </w:rPr>
            </w:pPr>
            <w:r>
              <w:rPr>
                <w:rFonts w:hint="default" w:ascii="Times New Roman" w:hAnsi="Times New Roman" w:cs="Times New Roman"/>
                <w:color w:val="000000" w:themeColor="text1"/>
                <w:spacing w:val="5"/>
                <w:sz w:val="21"/>
                <w:szCs w:val="21"/>
                <w14:textFill>
                  <w14:solidFill>
                    <w14:schemeClr w14:val="tx1"/>
                  </w14:solidFill>
                </w14:textFill>
              </w:rPr>
              <w:t>相</w:t>
            </w:r>
            <w:r>
              <w:rPr>
                <w:rFonts w:hint="default" w:ascii="Times New Roman" w:hAnsi="Times New Roman" w:cs="Times New Roman"/>
                <w:color w:val="000000" w:themeColor="text1"/>
                <w:spacing w:val="4"/>
                <w:sz w:val="21"/>
                <w:szCs w:val="21"/>
                <w14:textFill>
                  <w14:solidFill>
                    <w14:schemeClr w14:val="tx1"/>
                  </w14:solidFill>
                </w14:textFill>
              </w:rPr>
              <w:t>同</w:t>
            </w:r>
          </w:p>
        </w:tc>
      </w:tr>
      <w:tr w14:paraId="0C7940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953" w:type="pct"/>
            <w:tcBorders>
              <w:tl2br w:val="nil"/>
              <w:tr2bl w:val="nil"/>
            </w:tcBorders>
            <w:noWrap w:val="0"/>
            <w:vAlign w:val="center"/>
          </w:tcPr>
          <w:p w14:paraId="5C915721">
            <w:pPr>
              <w:keepNext w:val="0"/>
              <w:keepLines w:val="0"/>
              <w:pageBreakBefore w:val="0"/>
              <w:widowControl w:val="0"/>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占地面积</w:t>
            </w:r>
          </w:p>
        </w:tc>
        <w:tc>
          <w:tcPr>
            <w:tcW w:w="1769" w:type="pct"/>
            <w:tcBorders>
              <w:tl2br w:val="nil"/>
              <w:tr2bl w:val="nil"/>
            </w:tcBorders>
            <w:noWrap w:val="0"/>
            <w:vAlign w:val="center"/>
          </w:tcPr>
          <w:p w14:paraId="5C81026E">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22000m</w:t>
            </w:r>
            <w:r>
              <w:rPr>
                <w:rFonts w:hint="default" w:ascii="Times New Roman" w:hAnsi="Times New Roman" w:eastAsia="宋体" w:cs="Times New Roman"/>
                <w:color w:val="000000" w:themeColor="text1"/>
                <w:kern w:val="0"/>
                <w:sz w:val="21"/>
                <w:szCs w:val="21"/>
                <w:highlight w:val="none"/>
                <w:vertAlign w:val="superscript"/>
                <w:lang w:val="en-US" w:eastAsia="zh-CN" w:bidi="ar-SA"/>
                <w14:textFill>
                  <w14:solidFill>
                    <w14:schemeClr w14:val="tx1"/>
                  </w14:solidFill>
                </w14:textFill>
              </w:rPr>
              <w:t>2</w:t>
            </w:r>
          </w:p>
        </w:tc>
        <w:tc>
          <w:tcPr>
            <w:tcW w:w="1195" w:type="pct"/>
            <w:tcBorders>
              <w:tl2br w:val="nil"/>
              <w:tr2bl w:val="nil"/>
            </w:tcBorders>
            <w:noWrap w:val="0"/>
            <w:vAlign w:val="center"/>
          </w:tcPr>
          <w:p w14:paraId="6A626E10">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11"/>
                <w:sz w:val="21"/>
                <w:szCs w:val="21"/>
                <w:lang w:val="en-US" w:eastAsia="zh-CN"/>
                <w14:textFill>
                  <w14:solidFill>
                    <w14:schemeClr w14:val="tx1"/>
                  </w14:solidFill>
                </w14:textFill>
              </w:rPr>
              <w:t>18900</w:t>
            </w: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m</w:t>
            </w:r>
            <w:r>
              <w:rPr>
                <w:rFonts w:hint="default" w:ascii="Times New Roman" w:hAnsi="Times New Roman" w:eastAsia="宋体" w:cs="Times New Roman"/>
                <w:color w:val="000000" w:themeColor="text1"/>
                <w:kern w:val="2"/>
                <w:sz w:val="21"/>
                <w:szCs w:val="21"/>
                <w:highlight w:val="none"/>
                <w:vertAlign w:val="superscript"/>
                <w:lang w:val="en-US" w:eastAsia="zh-CN" w:bidi="ar-SA"/>
                <w14:textFill>
                  <w14:solidFill>
                    <w14:schemeClr w14:val="tx1"/>
                  </w14:solidFill>
                </w14:textFill>
              </w:rPr>
              <w:t>2</w:t>
            </w:r>
          </w:p>
        </w:tc>
        <w:tc>
          <w:tcPr>
            <w:tcW w:w="1081" w:type="pct"/>
            <w:tcBorders>
              <w:tl2br w:val="nil"/>
              <w:tr2bl w:val="nil"/>
            </w:tcBorders>
            <w:noWrap w:val="0"/>
            <w:vAlign w:val="center"/>
          </w:tcPr>
          <w:p w14:paraId="6D902898">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cs="Times New Roman"/>
                <w:color w:val="000000" w:themeColor="text1"/>
                <w:spacing w:val="11"/>
                <w:sz w:val="21"/>
                <w:szCs w:val="21"/>
                <w:lang w:val="en-US" w:eastAsia="zh-CN"/>
                <w14:textFill>
                  <w14:solidFill>
                    <w14:schemeClr w14:val="tx1"/>
                  </w14:solidFill>
                </w14:textFill>
              </w:rPr>
            </w:pPr>
            <w:r>
              <w:rPr>
                <w:rFonts w:hint="eastAsia" w:ascii="Times New Roman" w:hAnsi="Times New Roman" w:cs="Times New Roman"/>
                <w:color w:val="000000" w:themeColor="text1"/>
                <w:spacing w:val="11"/>
                <w:sz w:val="21"/>
                <w:szCs w:val="21"/>
                <w:lang w:val="en-US" w:eastAsia="zh-CN"/>
                <w14:textFill>
                  <w14:solidFill>
                    <w14:schemeClr w14:val="tx1"/>
                  </w14:solidFill>
                </w14:textFill>
              </w:rPr>
              <w:t>小于类比项目</w:t>
            </w:r>
          </w:p>
        </w:tc>
      </w:tr>
      <w:tr w14:paraId="331586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53" w:type="pct"/>
            <w:tcBorders>
              <w:tl2br w:val="nil"/>
              <w:tr2bl w:val="nil"/>
            </w:tcBorders>
            <w:noWrap w:val="0"/>
            <w:vAlign w:val="center"/>
          </w:tcPr>
          <w:p w14:paraId="7E1ACFC1">
            <w:pPr>
              <w:keepNext w:val="0"/>
              <w:keepLines w:val="0"/>
              <w:pageBreakBefore w:val="0"/>
              <w:widowControl w:val="0"/>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电气形式</w:t>
            </w:r>
          </w:p>
        </w:tc>
        <w:tc>
          <w:tcPr>
            <w:tcW w:w="1769" w:type="pct"/>
            <w:tcBorders>
              <w:tl2br w:val="nil"/>
              <w:tr2bl w:val="nil"/>
            </w:tcBorders>
            <w:noWrap w:val="0"/>
            <w:vAlign w:val="center"/>
          </w:tcPr>
          <w:p w14:paraId="31A6DCEB">
            <w:pPr>
              <w:keepNext w:val="0"/>
              <w:keepLines w:val="0"/>
              <w:pageBreakBefore w:val="0"/>
              <w:widowControl w:val="0"/>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eastAsia"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户外布置GIS</w:t>
            </w:r>
          </w:p>
        </w:tc>
        <w:tc>
          <w:tcPr>
            <w:tcW w:w="1195" w:type="pct"/>
            <w:tcBorders>
              <w:tl2br w:val="nil"/>
              <w:tr2bl w:val="nil"/>
            </w:tcBorders>
            <w:noWrap w:val="0"/>
            <w:vAlign w:val="center"/>
          </w:tcPr>
          <w:p w14:paraId="5F7A35AB">
            <w:pPr>
              <w:keepNext w:val="0"/>
              <w:keepLines w:val="0"/>
              <w:pageBreakBefore w:val="0"/>
              <w:widowControl w:val="0"/>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户外布置</w:t>
            </w: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H</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GIS</w:t>
            </w:r>
          </w:p>
        </w:tc>
        <w:tc>
          <w:tcPr>
            <w:tcW w:w="1081" w:type="pct"/>
            <w:tcBorders>
              <w:tl2br w:val="nil"/>
              <w:tr2bl w:val="nil"/>
            </w:tcBorders>
            <w:noWrap w:val="0"/>
            <w:vAlign w:val="center"/>
          </w:tcPr>
          <w:p w14:paraId="2EC84B77">
            <w:pPr>
              <w:keepNext w:val="0"/>
              <w:keepLines w:val="0"/>
              <w:pageBreakBefore w:val="0"/>
              <w:widowControl w:val="0"/>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5"/>
                <w:sz w:val="21"/>
                <w:szCs w:val="21"/>
                <w14:textFill>
                  <w14:solidFill>
                    <w14:schemeClr w14:val="tx1"/>
                  </w14:solidFill>
                </w14:textFill>
              </w:rPr>
              <w:t>相</w:t>
            </w:r>
            <w:r>
              <w:rPr>
                <w:rFonts w:hint="default" w:ascii="Times New Roman" w:hAnsi="Times New Roman" w:cs="Times New Roman"/>
                <w:color w:val="000000" w:themeColor="text1"/>
                <w:spacing w:val="4"/>
                <w:sz w:val="21"/>
                <w:szCs w:val="21"/>
                <w14:textFill>
                  <w14:solidFill>
                    <w14:schemeClr w14:val="tx1"/>
                  </w14:solidFill>
                </w14:textFill>
              </w:rPr>
              <w:t>同</w:t>
            </w:r>
          </w:p>
        </w:tc>
      </w:tr>
      <w:tr w14:paraId="7C8B03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53" w:type="pct"/>
            <w:tcBorders>
              <w:tl2br w:val="nil"/>
              <w:tr2bl w:val="nil"/>
            </w:tcBorders>
            <w:noWrap w:val="0"/>
            <w:vAlign w:val="center"/>
          </w:tcPr>
          <w:p w14:paraId="5ABB045E">
            <w:pPr>
              <w:keepNext w:val="0"/>
              <w:keepLines w:val="0"/>
              <w:pageBreakBefore w:val="0"/>
              <w:widowControl w:val="0"/>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22</w:t>
            </w:r>
            <w:r>
              <w:rPr>
                <w:rFonts w:hint="default" w:ascii="Times New Roman" w:hAnsi="Times New Roman" w:eastAsia="宋体" w:cs="Times New Roman"/>
                <w:color w:val="000000" w:themeColor="text1"/>
                <w:kern w:val="0"/>
                <w:sz w:val="21"/>
                <w:szCs w:val="21"/>
                <w:highlight w:val="none"/>
                <w14:textFill>
                  <w14:solidFill>
                    <w14:schemeClr w14:val="tx1"/>
                  </w14:solidFill>
                </w14:textFill>
              </w:rPr>
              <w:t>0kV出线</w:t>
            </w:r>
          </w:p>
        </w:tc>
        <w:tc>
          <w:tcPr>
            <w:tcW w:w="1769" w:type="pct"/>
            <w:tcBorders>
              <w:tl2br w:val="nil"/>
              <w:tr2bl w:val="nil"/>
            </w:tcBorders>
            <w:noWrap w:val="0"/>
            <w:vAlign w:val="center"/>
          </w:tcPr>
          <w:p w14:paraId="70BDAD1C">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cs="Times New Roman"/>
                <w:snapToGrid w:val="0"/>
                <w:color w:val="000000" w:themeColor="text1"/>
                <w:sz w:val="21"/>
                <w:szCs w:val="21"/>
                <w:highlight w:val="none"/>
                <w:lang w:val="en-US" w:eastAsia="zh-CN"/>
                <w14:textFill>
                  <w14:solidFill>
                    <w14:schemeClr w14:val="tx1"/>
                  </w14:solidFill>
                </w14:textFill>
              </w:rPr>
              <w:t>12</w:t>
            </w: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回</w:t>
            </w:r>
          </w:p>
        </w:tc>
        <w:tc>
          <w:tcPr>
            <w:tcW w:w="1195" w:type="pct"/>
            <w:tcBorders>
              <w:tl2br w:val="nil"/>
              <w:tr2bl w:val="nil"/>
            </w:tcBorders>
            <w:noWrap w:val="0"/>
            <w:vAlign w:val="center"/>
          </w:tcPr>
          <w:p w14:paraId="5F7CEDD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1回</w:t>
            </w:r>
          </w:p>
        </w:tc>
        <w:tc>
          <w:tcPr>
            <w:tcW w:w="1081" w:type="pct"/>
            <w:tcBorders>
              <w:tl2br w:val="nil"/>
              <w:tr2bl w:val="nil"/>
            </w:tcBorders>
            <w:noWrap w:val="0"/>
            <w:vAlign w:val="center"/>
          </w:tcPr>
          <w:p w14:paraId="76498159">
            <w:pPr>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ar-SA"/>
                <w14:textFill>
                  <w14:solidFill>
                    <w14:schemeClr w14:val="tx1"/>
                  </w14:solidFill>
                </w14:textFill>
              </w:rPr>
              <w:t>出现回数大于本项目，不是主要影响因素</w:t>
            </w:r>
          </w:p>
        </w:tc>
      </w:tr>
      <w:tr w14:paraId="0662FB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953" w:type="pct"/>
            <w:tcBorders>
              <w:tl2br w:val="nil"/>
              <w:tr2bl w:val="nil"/>
            </w:tcBorders>
            <w:noWrap w:val="0"/>
            <w:vAlign w:val="center"/>
          </w:tcPr>
          <w:p w14:paraId="68E96F7C">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母线形式</w:t>
            </w:r>
          </w:p>
        </w:tc>
        <w:tc>
          <w:tcPr>
            <w:tcW w:w="1769" w:type="pct"/>
            <w:tcBorders>
              <w:tl2br w:val="nil"/>
              <w:tr2bl w:val="nil"/>
            </w:tcBorders>
            <w:noWrap w:val="0"/>
            <w:vAlign w:val="center"/>
          </w:tcPr>
          <w:p w14:paraId="681D6E13">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单母线分段</w:t>
            </w:r>
          </w:p>
        </w:tc>
        <w:tc>
          <w:tcPr>
            <w:tcW w:w="1195" w:type="pct"/>
            <w:tcBorders>
              <w:tl2br w:val="nil"/>
              <w:tr2bl w:val="nil"/>
            </w:tcBorders>
            <w:noWrap w:val="0"/>
            <w:vAlign w:val="center"/>
          </w:tcPr>
          <w:p w14:paraId="3C5575FE">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t>单母线分段</w:t>
            </w:r>
          </w:p>
        </w:tc>
        <w:tc>
          <w:tcPr>
            <w:tcW w:w="1081" w:type="pct"/>
            <w:tcBorders>
              <w:tl2br w:val="nil"/>
              <w:tr2bl w:val="nil"/>
            </w:tcBorders>
            <w:noWrap w:val="0"/>
            <w:vAlign w:val="center"/>
          </w:tcPr>
          <w:p w14:paraId="56F0DCAE">
            <w:pPr>
              <w:keepNext w:val="0"/>
              <w:keepLines w:val="0"/>
              <w:pageBreakBefore w:val="0"/>
              <w:widowControl/>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snapToGrid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pacing w:val="5"/>
                <w:sz w:val="21"/>
                <w:szCs w:val="21"/>
                <w14:textFill>
                  <w14:solidFill>
                    <w14:schemeClr w14:val="tx1"/>
                  </w14:solidFill>
                </w14:textFill>
              </w:rPr>
              <w:t>相</w:t>
            </w:r>
            <w:r>
              <w:rPr>
                <w:rFonts w:hint="default" w:ascii="Times New Roman" w:hAnsi="Times New Roman" w:cs="Times New Roman"/>
                <w:color w:val="000000" w:themeColor="text1"/>
                <w:spacing w:val="4"/>
                <w:sz w:val="21"/>
                <w:szCs w:val="21"/>
                <w14:textFill>
                  <w14:solidFill>
                    <w14:schemeClr w14:val="tx1"/>
                  </w14:solidFill>
                </w14:textFill>
              </w:rPr>
              <w:t>同</w:t>
            </w:r>
          </w:p>
        </w:tc>
      </w:tr>
      <w:tr w14:paraId="215E2A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33" w:hRule="atLeast"/>
          <w:jc w:val="center"/>
        </w:trPr>
        <w:tc>
          <w:tcPr>
            <w:tcW w:w="953" w:type="pct"/>
            <w:tcBorders>
              <w:tl2br w:val="nil"/>
              <w:tr2bl w:val="nil"/>
            </w:tcBorders>
            <w:noWrap w:val="0"/>
            <w:vAlign w:val="center"/>
          </w:tcPr>
          <w:p w14:paraId="3226B839">
            <w:pPr>
              <w:keepNext w:val="0"/>
              <w:keepLines w:val="0"/>
              <w:pageBreakBefore w:val="0"/>
              <w:widowControl w:val="0"/>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t>工况</w:t>
            </w:r>
          </w:p>
        </w:tc>
        <w:tc>
          <w:tcPr>
            <w:tcW w:w="1769" w:type="pct"/>
            <w:tcBorders>
              <w:tl2br w:val="nil"/>
              <w:tr2bl w:val="nil"/>
            </w:tcBorders>
            <w:noWrap w:val="0"/>
            <w:vAlign w:val="center"/>
          </w:tcPr>
          <w:p w14:paraId="43F07391">
            <w:pPr>
              <w:pStyle w:val="89"/>
              <w:keepNext w:val="0"/>
              <w:keepLines w:val="0"/>
              <w:pageBreakBefore w:val="0"/>
              <w:kinsoku/>
              <w:wordWrap w:val="0"/>
              <w:overflowPunct/>
              <w:topLinePunct/>
              <w:autoSpaceDE/>
              <w:autoSpaceDN/>
              <w:bidi w:val="0"/>
              <w:adjustRightInd/>
              <w:snapToGrid/>
              <w:spacing w:line="240" w:lineRule="exact"/>
              <w:ind w:left="0"/>
              <w:jc w:val="left"/>
              <w:textAlignment w:val="auto"/>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spacing w:val="0"/>
                <w:sz w:val="21"/>
                <w:szCs w:val="21"/>
                <w14:textFill>
                  <w14:solidFill>
                    <w14:schemeClr w14:val="tx1"/>
                  </w14:solidFill>
                </w14:textFill>
              </w:rPr>
              <w:t>中绿电乌鲁木齐市米东区</w:t>
            </w:r>
            <w:r>
              <w:rPr>
                <w:rFonts w:ascii="Times New Roman" w:hAnsi="Times New Roman" w:eastAsia="Times New Roman" w:cs="Times New Roman"/>
                <w:color w:val="000000" w:themeColor="text1"/>
                <w:spacing w:val="0"/>
                <w:sz w:val="21"/>
                <w:szCs w:val="21"/>
                <w14:textFill>
                  <w14:solidFill>
                    <w14:schemeClr w14:val="tx1"/>
                  </w14:solidFill>
                </w14:textFill>
              </w:rPr>
              <w:t>350</w:t>
            </w:r>
            <w:r>
              <w:rPr>
                <w:color w:val="000000" w:themeColor="text1"/>
                <w:spacing w:val="0"/>
                <w:sz w:val="21"/>
                <w:szCs w:val="21"/>
                <w14:textFill>
                  <w14:solidFill>
                    <w14:schemeClr w14:val="tx1"/>
                  </w14:solidFill>
                </w14:textFill>
              </w:rPr>
              <w:t>万千瓦光伏北沙窝西</w:t>
            </w:r>
            <w:r>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t>（</w:t>
            </w:r>
            <w:r>
              <w:rPr>
                <w:color w:val="000000" w:themeColor="text1"/>
                <w:spacing w:val="0"/>
                <w:sz w:val="21"/>
                <w:szCs w:val="21"/>
                <w14:textFill>
                  <w14:solidFill>
                    <w14:schemeClr w14:val="tx1"/>
                  </w14:solidFill>
                </w14:textFill>
              </w:rPr>
              <w:t>南、北、东</w:t>
            </w:r>
            <w:r>
              <w:rPr>
                <w:rFonts w:hint="eastAsia" w:ascii="Times New Roman" w:hAnsi="Times New Roman" w:eastAsia="宋体" w:cs="Times New Roman"/>
                <w:color w:val="000000" w:themeColor="text1"/>
                <w:spacing w:val="0"/>
                <w:sz w:val="21"/>
                <w:szCs w:val="21"/>
                <w:lang w:eastAsia="zh-CN"/>
                <w14:textFill>
                  <w14:solidFill>
                    <w14:schemeClr w14:val="tx1"/>
                  </w14:solidFill>
                </w14:textFill>
              </w:rPr>
              <w:t>）</w:t>
            </w:r>
            <w:r>
              <w:rPr>
                <w:rFonts w:ascii="Times New Roman" w:hAnsi="Times New Roman" w:eastAsia="Times New Roman" w:cs="Times New Roman"/>
                <w:color w:val="000000" w:themeColor="text1"/>
                <w:spacing w:val="0"/>
                <w:sz w:val="21"/>
                <w:szCs w:val="21"/>
                <w14:textFill>
                  <w14:solidFill>
                    <w14:schemeClr w14:val="tx1"/>
                  </w14:solidFill>
                </w14:textFill>
              </w:rPr>
              <w:t>220</w:t>
            </w:r>
            <w:r>
              <w:rPr>
                <w:color w:val="000000" w:themeColor="text1"/>
                <w:spacing w:val="0"/>
                <w:sz w:val="21"/>
                <w:szCs w:val="21"/>
                <w14:textFill>
                  <w14:solidFill>
                    <w14:schemeClr w14:val="tx1"/>
                  </w14:solidFill>
                </w14:textFill>
              </w:rPr>
              <w:t>千伏升压汇集站项目验收监测工况，</w:t>
            </w:r>
            <w:r>
              <w:rPr>
                <w:rFonts w:ascii="Times New Roman" w:hAnsi="Times New Roman" w:eastAsia="Times New Roman" w:cs="Times New Roman"/>
                <w:color w:val="000000" w:themeColor="text1"/>
                <w:spacing w:val="0"/>
                <w:sz w:val="21"/>
                <w:szCs w:val="21"/>
                <w14:textFill>
                  <w14:solidFill>
                    <w14:schemeClr w14:val="tx1"/>
                  </w14:solidFill>
                </w14:textFill>
              </w:rPr>
              <w:t>2#</w:t>
            </w:r>
            <w:r>
              <w:rPr>
                <w:color w:val="000000" w:themeColor="text1"/>
                <w:spacing w:val="0"/>
                <w:sz w:val="21"/>
                <w:szCs w:val="21"/>
                <w14:textFill>
                  <w14:solidFill>
                    <w14:schemeClr w14:val="tx1"/>
                  </w14:solidFill>
                </w14:textFill>
              </w:rPr>
              <w:t>汇集站</w:t>
            </w:r>
            <w:r>
              <w:rPr>
                <w:rFonts w:ascii="Times New Roman" w:hAnsi="Times New Roman" w:eastAsia="Times New Roman" w:cs="Times New Roman"/>
                <w:color w:val="000000" w:themeColor="text1"/>
                <w:spacing w:val="0"/>
                <w:sz w:val="21"/>
                <w:szCs w:val="21"/>
                <w14:textFill>
                  <w14:solidFill>
                    <w14:schemeClr w14:val="tx1"/>
                  </w14:solidFill>
                </w14:textFill>
              </w:rPr>
              <w:t>1</w:t>
            </w:r>
            <w:r>
              <w:rPr>
                <w:color w:val="000000" w:themeColor="text1"/>
                <w:spacing w:val="0"/>
                <w:sz w:val="21"/>
                <w:szCs w:val="21"/>
                <w14:textFill>
                  <w14:solidFill>
                    <w14:schemeClr w14:val="tx1"/>
                  </w14:solidFill>
                </w14:textFill>
              </w:rPr>
              <w:t>号主变，运行电压：</w:t>
            </w:r>
            <w:r>
              <w:rPr>
                <w:rFonts w:ascii="Times New Roman" w:hAnsi="Times New Roman" w:eastAsia="Times New Roman" w:cs="Times New Roman"/>
                <w:color w:val="000000" w:themeColor="text1"/>
                <w:spacing w:val="0"/>
                <w:sz w:val="21"/>
                <w:szCs w:val="21"/>
                <w14:textFill>
                  <w14:solidFill>
                    <w14:schemeClr w14:val="tx1"/>
                  </w14:solidFill>
                </w14:textFill>
              </w:rPr>
              <w:t>221.36</w:t>
            </w:r>
            <w:r>
              <w:rPr>
                <w:color w:val="000000" w:themeColor="text1"/>
                <w:spacing w:val="0"/>
                <w:sz w:val="21"/>
                <w:szCs w:val="21"/>
                <w14:textFill>
                  <w14:solidFill>
                    <w14:schemeClr w14:val="tx1"/>
                  </w14:solidFill>
                </w14:textFill>
              </w:rPr>
              <w:t>千伏，运行电流：</w:t>
            </w:r>
            <w:r>
              <w:rPr>
                <w:rFonts w:ascii="Times New Roman" w:hAnsi="Times New Roman" w:eastAsia="Times New Roman" w:cs="Times New Roman"/>
                <w:color w:val="000000" w:themeColor="text1"/>
                <w:spacing w:val="0"/>
                <w:sz w:val="21"/>
                <w:szCs w:val="21"/>
                <w14:textFill>
                  <w14:solidFill>
                    <w14:schemeClr w14:val="tx1"/>
                  </w14:solidFill>
                </w14:textFill>
              </w:rPr>
              <w:t>132.60A</w:t>
            </w:r>
            <w:r>
              <w:rPr>
                <w:color w:val="000000" w:themeColor="text1"/>
                <w:spacing w:val="0"/>
                <w:sz w:val="21"/>
                <w:szCs w:val="21"/>
                <w14:textFill>
                  <w14:solidFill>
                    <w14:schemeClr w14:val="tx1"/>
                  </w14:solidFill>
                </w14:textFill>
              </w:rPr>
              <w:t>；</w:t>
            </w:r>
            <w:r>
              <w:rPr>
                <w:rFonts w:ascii="Times New Roman" w:hAnsi="Times New Roman" w:eastAsia="Times New Roman" w:cs="Times New Roman"/>
                <w:color w:val="000000" w:themeColor="text1"/>
                <w:spacing w:val="0"/>
                <w:sz w:val="21"/>
                <w:szCs w:val="21"/>
                <w14:textFill>
                  <w14:solidFill>
                    <w14:schemeClr w14:val="tx1"/>
                  </w14:solidFill>
                </w14:textFill>
              </w:rPr>
              <w:t>2#</w:t>
            </w:r>
            <w:r>
              <w:rPr>
                <w:color w:val="000000" w:themeColor="text1"/>
                <w:spacing w:val="0"/>
                <w:sz w:val="21"/>
                <w:szCs w:val="21"/>
                <w14:textFill>
                  <w14:solidFill>
                    <w14:schemeClr w14:val="tx1"/>
                  </w14:solidFill>
                </w14:textFill>
              </w:rPr>
              <w:t>主变，运行电压：</w:t>
            </w:r>
            <w:r>
              <w:rPr>
                <w:rFonts w:ascii="Times New Roman" w:hAnsi="Times New Roman" w:eastAsia="Times New Roman" w:cs="Times New Roman"/>
                <w:color w:val="000000" w:themeColor="text1"/>
                <w:spacing w:val="0"/>
                <w:sz w:val="21"/>
                <w:szCs w:val="21"/>
                <w14:textFill>
                  <w14:solidFill>
                    <w14:schemeClr w14:val="tx1"/>
                  </w14:solidFill>
                </w14:textFill>
              </w:rPr>
              <w:t>220.70</w:t>
            </w:r>
            <w:r>
              <w:rPr>
                <w:color w:val="000000" w:themeColor="text1"/>
                <w:spacing w:val="0"/>
                <w:sz w:val="21"/>
                <w:szCs w:val="21"/>
                <w14:textFill>
                  <w14:solidFill>
                    <w14:schemeClr w14:val="tx1"/>
                  </w14:solidFill>
                </w14:textFill>
              </w:rPr>
              <w:t>千伏，运行电流：</w:t>
            </w:r>
            <w:r>
              <w:rPr>
                <w:rFonts w:ascii="Times New Roman" w:hAnsi="Times New Roman" w:eastAsia="Times New Roman" w:cs="Times New Roman"/>
                <w:color w:val="000000" w:themeColor="text1"/>
                <w:spacing w:val="0"/>
                <w:sz w:val="21"/>
                <w:szCs w:val="21"/>
                <w14:textFill>
                  <w14:solidFill>
                    <w14:schemeClr w14:val="tx1"/>
                  </w14:solidFill>
                </w14:textFill>
              </w:rPr>
              <w:t>130.44A</w:t>
            </w:r>
            <w:r>
              <w:rPr>
                <w:color w:val="000000" w:themeColor="text1"/>
                <w:spacing w:val="0"/>
                <w:sz w:val="21"/>
                <w:szCs w:val="21"/>
                <w14:textFill>
                  <w14:solidFill>
                    <w14:schemeClr w14:val="tx1"/>
                  </w14:solidFill>
                </w14:textFill>
              </w:rPr>
              <w:t>；</w:t>
            </w:r>
            <w:r>
              <w:rPr>
                <w:rFonts w:ascii="Times New Roman" w:hAnsi="Times New Roman" w:eastAsia="Times New Roman" w:cs="Times New Roman"/>
                <w:color w:val="000000" w:themeColor="text1"/>
                <w:spacing w:val="0"/>
                <w:sz w:val="21"/>
                <w:szCs w:val="21"/>
                <w14:textFill>
                  <w14:solidFill>
                    <w14:schemeClr w14:val="tx1"/>
                  </w14:solidFill>
                </w14:textFill>
              </w:rPr>
              <w:t>3#</w:t>
            </w:r>
            <w:r>
              <w:rPr>
                <w:color w:val="000000" w:themeColor="text1"/>
                <w:spacing w:val="0"/>
                <w:sz w:val="21"/>
                <w:szCs w:val="21"/>
                <w14:textFill>
                  <w14:solidFill>
                    <w14:schemeClr w14:val="tx1"/>
                  </w14:solidFill>
                </w14:textFill>
              </w:rPr>
              <w:t>主变，运行电压：</w:t>
            </w:r>
            <w:r>
              <w:rPr>
                <w:rFonts w:ascii="Times New Roman" w:hAnsi="Times New Roman" w:eastAsia="Times New Roman" w:cs="Times New Roman"/>
                <w:color w:val="000000" w:themeColor="text1"/>
                <w:spacing w:val="0"/>
                <w:sz w:val="21"/>
                <w:szCs w:val="21"/>
                <w14:textFill>
                  <w14:solidFill>
                    <w14:schemeClr w14:val="tx1"/>
                  </w14:solidFill>
                </w14:textFill>
              </w:rPr>
              <w:t>225.19</w:t>
            </w:r>
            <w:r>
              <w:rPr>
                <w:color w:val="000000" w:themeColor="text1"/>
                <w:spacing w:val="0"/>
                <w:sz w:val="21"/>
                <w:szCs w:val="21"/>
                <w14:textFill>
                  <w14:solidFill>
                    <w14:schemeClr w14:val="tx1"/>
                  </w14:solidFill>
                </w14:textFill>
              </w:rPr>
              <w:t>千伏，运行电流：</w:t>
            </w:r>
            <w:r>
              <w:rPr>
                <w:rFonts w:ascii="Times New Roman" w:hAnsi="Times New Roman" w:eastAsia="Times New Roman" w:cs="Times New Roman"/>
                <w:color w:val="000000" w:themeColor="text1"/>
                <w:spacing w:val="0"/>
                <w:sz w:val="21"/>
                <w:szCs w:val="21"/>
                <w14:textFill>
                  <w14:solidFill>
                    <w14:schemeClr w14:val="tx1"/>
                  </w14:solidFill>
                </w14:textFill>
              </w:rPr>
              <w:t>129.53A</w:t>
            </w:r>
          </w:p>
        </w:tc>
        <w:tc>
          <w:tcPr>
            <w:tcW w:w="1195" w:type="pct"/>
            <w:tcBorders>
              <w:tl2br w:val="nil"/>
              <w:tr2bl w:val="nil"/>
            </w:tcBorders>
            <w:noWrap w:val="0"/>
            <w:vAlign w:val="center"/>
          </w:tcPr>
          <w:p w14:paraId="77108C53">
            <w:pPr>
              <w:keepNext w:val="0"/>
              <w:keepLines w:val="0"/>
              <w:pageBreakBefore w:val="0"/>
              <w:widowControl w:val="0"/>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未建成</w:t>
            </w:r>
          </w:p>
        </w:tc>
        <w:tc>
          <w:tcPr>
            <w:tcW w:w="1081" w:type="pct"/>
            <w:tcBorders>
              <w:tl2br w:val="nil"/>
              <w:tr2bl w:val="nil"/>
            </w:tcBorders>
            <w:noWrap w:val="0"/>
            <w:vAlign w:val="center"/>
          </w:tcPr>
          <w:p w14:paraId="7331F0B2">
            <w:pPr>
              <w:keepNext w:val="0"/>
              <w:keepLines w:val="0"/>
              <w:pageBreakBefore w:val="0"/>
              <w:widowControl w:val="0"/>
              <w:suppressLineNumbers w:val="0"/>
              <w:kinsoku/>
              <w:overflowPunct/>
              <w:autoSpaceDE/>
              <w:autoSpaceDN/>
              <w:bidi w:val="0"/>
              <w:adjustRightInd/>
              <w:snapToGrid/>
              <w:spacing w:beforeAutospacing="0" w:after="0" w:afterAutospacing="0" w:line="240" w:lineRule="exact"/>
              <w:ind w:left="0" w:leftChars="0" w:right="0" w:rightChars="0"/>
              <w:jc w:val="center"/>
              <w:textAlignment w:val="auto"/>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bCs/>
                <w:color w:val="000000" w:themeColor="text1"/>
                <w:sz w:val="21"/>
                <w:szCs w:val="21"/>
                <w:highlight w:val="none"/>
                <w:lang w:val="en-US" w:eastAsia="zh-CN"/>
                <w14:textFill>
                  <w14:solidFill>
                    <w14:schemeClr w14:val="tx1"/>
                  </w14:solidFill>
                </w14:textFill>
              </w:rPr>
              <w:t>/</w:t>
            </w:r>
          </w:p>
        </w:tc>
      </w:tr>
      <w:tr w14:paraId="6FFB98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953" w:type="pct"/>
            <w:tcBorders>
              <w:tl2br w:val="nil"/>
              <w:tr2bl w:val="nil"/>
            </w:tcBorders>
            <w:noWrap w:val="0"/>
            <w:vAlign w:val="center"/>
          </w:tcPr>
          <w:p w14:paraId="67C6D84B">
            <w:pPr>
              <w:keepNext w:val="0"/>
              <w:keepLines w:val="0"/>
              <w:pageBreakBefore w:val="0"/>
              <w:widowControl w:val="0"/>
              <w:suppressLineNumbers w:val="0"/>
              <w:kinsoku/>
              <w:overflowPunct/>
              <w:autoSpaceDE/>
              <w:autoSpaceDN/>
              <w:bidi w:val="0"/>
              <w:adjustRightInd/>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0"/>
                <w:sz w:val="21"/>
                <w:szCs w:val="21"/>
                <w:highlight w:val="none"/>
                <w:lang w:val="en-US" w:eastAsia="zh-CN" w:bidi="ar-SA"/>
                <w14:textFill>
                  <w14:solidFill>
                    <w14:schemeClr w14:val="tx1"/>
                  </w14:solidFill>
                </w14:textFill>
              </w:rPr>
              <w:t>环境条件</w:t>
            </w:r>
          </w:p>
        </w:tc>
        <w:tc>
          <w:tcPr>
            <w:tcW w:w="1769" w:type="pct"/>
            <w:tcBorders>
              <w:tl2br w:val="nil"/>
              <w:tr2bl w:val="nil"/>
            </w:tcBorders>
            <w:noWrap w:val="0"/>
            <w:vAlign w:val="center"/>
          </w:tcPr>
          <w:p w14:paraId="14A44E81">
            <w:pPr>
              <w:pStyle w:val="89"/>
              <w:keepNext w:val="0"/>
              <w:keepLines w:val="0"/>
              <w:pageBreakBefore w:val="0"/>
              <w:widowControl w:val="0"/>
              <w:kinsoku/>
              <w:wordWrap w:val="0"/>
              <w:overflowPunct/>
              <w:topLinePunct/>
              <w:autoSpaceDE/>
              <w:autoSpaceDN/>
              <w:bidi w:val="0"/>
              <w:adjustRightInd/>
              <w:snapToGrid w:val="0"/>
              <w:spacing w:line="240" w:lineRule="auto"/>
              <w:ind w:left="0"/>
              <w:jc w:val="center"/>
              <w:textAlignment w:val="auto"/>
              <w:rPr>
                <w:color w:val="000000" w:themeColor="text1"/>
                <w:spacing w:val="0"/>
                <w:sz w:val="21"/>
                <w:szCs w:val="21"/>
                <w14:textFill>
                  <w14:solidFill>
                    <w14:schemeClr w14:val="tx1"/>
                  </w14:solidFill>
                </w14:textFill>
              </w:rPr>
            </w:pPr>
            <w:r>
              <w:rPr>
                <w:color w:val="000000" w:themeColor="text1"/>
                <w:spacing w:val="9"/>
                <w:sz w:val="21"/>
                <w:szCs w:val="21"/>
                <w14:textFill>
                  <w14:solidFill>
                    <w14:schemeClr w14:val="tx1"/>
                  </w14:solidFill>
                </w14:textFill>
              </w:rPr>
              <w:t>气候干旱少雨，戈壁荒漠</w:t>
            </w:r>
          </w:p>
        </w:tc>
        <w:tc>
          <w:tcPr>
            <w:tcW w:w="1195" w:type="pct"/>
            <w:tcBorders>
              <w:tl2br w:val="nil"/>
              <w:tr2bl w:val="nil"/>
            </w:tcBorders>
            <w:noWrap w:val="0"/>
            <w:vAlign w:val="center"/>
          </w:tcPr>
          <w:p w14:paraId="3E51D18F">
            <w:pPr>
              <w:keepNext w:val="0"/>
              <w:keepLines w:val="0"/>
              <w:pageBreakBefore w:val="0"/>
              <w:widowControl w:val="0"/>
              <w:suppressLineNumbers w:val="0"/>
              <w:kinsoku/>
              <w:overflowPunct/>
              <w:autoSpaceDE/>
              <w:autoSpaceDN/>
              <w:bidi w:val="0"/>
              <w:adjustRightInd/>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color w:val="000000" w:themeColor="text1"/>
                <w:spacing w:val="9"/>
                <w:sz w:val="21"/>
                <w:szCs w:val="21"/>
                <w14:textFill>
                  <w14:solidFill>
                    <w14:schemeClr w14:val="tx1"/>
                  </w14:solidFill>
                </w14:textFill>
              </w:rPr>
              <w:t>气候干旱少雨，戈壁荒漠</w:t>
            </w:r>
          </w:p>
        </w:tc>
        <w:tc>
          <w:tcPr>
            <w:tcW w:w="1081" w:type="pct"/>
            <w:tcBorders>
              <w:tl2br w:val="nil"/>
              <w:tr2bl w:val="nil"/>
            </w:tcBorders>
            <w:noWrap w:val="0"/>
            <w:vAlign w:val="center"/>
          </w:tcPr>
          <w:p w14:paraId="6E5FFB20">
            <w:pPr>
              <w:keepNext w:val="0"/>
              <w:keepLines w:val="0"/>
              <w:pageBreakBefore w:val="0"/>
              <w:widowControl w:val="0"/>
              <w:suppressLineNumbers w:val="0"/>
              <w:kinsoku/>
              <w:overflowPunct/>
              <w:autoSpaceDE/>
              <w:autoSpaceDN/>
              <w:bidi w:val="0"/>
              <w:adjustRightInd/>
              <w:snapToGrid w:val="0"/>
              <w:spacing w:beforeAutospacing="0" w:after="0" w:afterAutospacing="0" w:line="240" w:lineRule="auto"/>
              <w:ind w:left="0" w:leftChars="0" w:right="0" w:rightChars="0"/>
              <w:jc w:val="center"/>
              <w:textAlignment w:val="auto"/>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bCs/>
                <w:color w:val="000000" w:themeColor="text1"/>
                <w:sz w:val="21"/>
                <w:szCs w:val="21"/>
                <w:highlight w:val="none"/>
                <w:lang w:val="en-US" w:eastAsia="zh-CN"/>
                <w14:textFill>
                  <w14:solidFill>
                    <w14:schemeClr w14:val="tx1"/>
                  </w14:solidFill>
                </w14:textFill>
              </w:rPr>
              <w:t>环境条件一致</w:t>
            </w:r>
          </w:p>
        </w:tc>
      </w:tr>
    </w:tbl>
    <w:p w14:paraId="39AF71CB">
      <w:pPr>
        <w:keepNext w:val="0"/>
        <w:keepLines w:val="0"/>
        <w:pageBreakBefore w:val="0"/>
        <w:widowControl w:val="0"/>
        <w:kinsoku/>
        <w:wordWrap/>
        <w:overflowPunct/>
        <w:topLinePunct w:val="0"/>
        <w:autoSpaceDE/>
        <w:autoSpaceDN/>
        <w:bidi w:val="0"/>
        <w:adjustRightInd w:val="0"/>
        <w:snapToGrid/>
        <w:spacing w:line="500" w:lineRule="exact"/>
        <w:ind w:firstLine="480" w:firstLineChars="200"/>
        <w:textAlignment w:val="auto"/>
        <w:rPr>
          <w:rFonts w:hint="default" w:ascii="Times New Roman" w:hAnsi="Times New Roman" w:eastAsia="宋体" w:cs="Times New Roman"/>
          <w:color w:val="000000" w:themeColor="text1"/>
          <w:spacing w:val="0"/>
          <w:kern w:val="0"/>
          <w:sz w:val="24"/>
          <w14:textFill>
            <w14:solidFill>
              <w14:schemeClr w14:val="tx1"/>
            </w14:solidFill>
          </w14:textFill>
        </w:rPr>
      </w:pPr>
      <w:r>
        <w:rPr>
          <w:rFonts w:hint="default" w:ascii="Times New Roman" w:hAnsi="Times New Roman" w:eastAsia="宋体" w:cs="Times New Roman"/>
          <w:color w:val="000000" w:themeColor="text1"/>
          <w:spacing w:val="0"/>
          <w:kern w:val="0"/>
          <w:sz w:val="24"/>
          <w14:textFill>
            <w14:solidFill>
              <w14:schemeClr w14:val="tx1"/>
            </w14:solidFill>
          </w14:textFill>
        </w:rPr>
        <w:t>（</w:t>
      </w:r>
      <w:r>
        <w:rPr>
          <w:rFonts w:hint="eastAsia" w:ascii="Times New Roman" w:hAnsi="Times New Roman" w:eastAsia="宋体" w:cs="Times New Roman"/>
          <w:color w:val="000000" w:themeColor="text1"/>
          <w:spacing w:val="0"/>
          <w:kern w:val="0"/>
          <w:sz w:val="24"/>
          <w:lang w:val="en-US" w:eastAsia="zh-CN"/>
          <w14:textFill>
            <w14:solidFill>
              <w14:schemeClr w14:val="tx1"/>
            </w14:solidFill>
          </w14:textFill>
        </w:rPr>
        <w:t>2</w:t>
      </w:r>
      <w:r>
        <w:rPr>
          <w:rFonts w:hint="default" w:ascii="Times New Roman" w:hAnsi="Times New Roman" w:eastAsia="宋体" w:cs="Times New Roman"/>
          <w:color w:val="000000" w:themeColor="text1"/>
          <w:spacing w:val="0"/>
          <w:kern w:val="0"/>
          <w:sz w:val="24"/>
          <w14:textFill>
            <w14:solidFill>
              <w14:schemeClr w14:val="tx1"/>
            </w14:solidFill>
          </w14:textFill>
        </w:rPr>
        <w:t>）类比</w:t>
      </w:r>
      <w:r>
        <w:rPr>
          <w:rFonts w:hint="default" w:ascii="Times New Roman" w:hAnsi="Times New Roman" w:eastAsia="宋体" w:cs="Times New Roman"/>
          <w:color w:val="000000" w:themeColor="text1"/>
          <w:spacing w:val="0"/>
          <w:kern w:val="0"/>
          <w:sz w:val="24"/>
          <w:szCs w:val="24"/>
          <w14:textFill>
            <w14:solidFill>
              <w14:schemeClr w14:val="tx1"/>
            </w14:solidFill>
          </w14:textFill>
        </w:rPr>
        <w:t>升压</w:t>
      </w:r>
      <w:r>
        <w:rPr>
          <w:rFonts w:hint="eastAsia" w:cs="Times New Roman"/>
          <w:color w:val="000000" w:themeColor="text1"/>
          <w:spacing w:val="0"/>
          <w:kern w:val="0"/>
          <w:sz w:val="24"/>
          <w:szCs w:val="24"/>
          <w:lang w:val="en-US" w:eastAsia="zh-CN"/>
          <w14:textFill>
            <w14:solidFill>
              <w14:schemeClr w14:val="tx1"/>
            </w14:solidFill>
          </w14:textFill>
        </w:rPr>
        <w:t>汇集</w:t>
      </w:r>
      <w:r>
        <w:rPr>
          <w:rFonts w:hint="default" w:ascii="Times New Roman" w:hAnsi="Times New Roman" w:eastAsia="宋体" w:cs="Times New Roman"/>
          <w:color w:val="000000" w:themeColor="text1"/>
          <w:spacing w:val="0"/>
          <w:kern w:val="0"/>
          <w:sz w:val="24"/>
          <w:szCs w:val="24"/>
          <w14:textFill>
            <w14:solidFill>
              <w14:schemeClr w14:val="tx1"/>
            </w14:solidFill>
          </w14:textFill>
        </w:rPr>
        <w:t>站</w:t>
      </w:r>
      <w:r>
        <w:rPr>
          <w:rFonts w:hint="default" w:ascii="Times New Roman" w:hAnsi="Times New Roman" w:eastAsia="宋体" w:cs="Times New Roman"/>
          <w:color w:val="000000" w:themeColor="text1"/>
          <w:spacing w:val="0"/>
          <w:kern w:val="0"/>
          <w:sz w:val="24"/>
          <w14:textFill>
            <w14:solidFill>
              <w14:schemeClr w14:val="tx1"/>
            </w14:solidFill>
          </w14:textFill>
        </w:rPr>
        <w:t>合理性分析</w:t>
      </w:r>
    </w:p>
    <w:p w14:paraId="743C86F9">
      <w:pPr>
        <w:keepNext w:val="0"/>
        <w:keepLines w:val="0"/>
        <w:pageBreakBefore w:val="0"/>
        <w:widowControl w:val="0"/>
        <w:kinsoku/>
        <w:wordWrap/>
        <w:overflowPunct/>
        <w:topLinePunct w:val="0"/>
        <w:autoSpaceDE/>
        <w:autoSpaceDN/>
        <w:bidi w:val="0"/>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1）主变规模、容量</w:t>
      </w:r>
    </w:p>
    <w:p w14:paraId="56FFCEBE">
      <w:pPr>
        <w:keepNext w:val="0"/>
        <w:keepLines w:val="0"/>
        <w:pageBreakBefore w:val="0"/>
        <w:widowControl w:val="0"/>
        <w:kinsoku/>
        <w:wordWrap/>
        <w:overflowPunct/>
        <w:topLinePunct w:val="0"/>
        <w:autoSpaceDE/>
        <w:autoSpaceDN/>
        <w:bidi w:val="0"/>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本</w:t>
      </w:r>
      <w:r>
        <w:rPr>
          <w:rFonts w:hint="eastAsia"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项目</w:t>
      </w:r>
      <w:r>
        <w:rPr>
          <w:rFonts w:hint="default"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建设主变容量</w:t>
      </w:r>
      <w:r>
        <w:rPr>
          <w:rFonts w:hint="eastAsia" w:ascii="Times New Roman" w:hAnsi="Times New Roman" w:cs="Times New Roman"/>
          <w:b w:val="0"/>
          <w:bCs w:val="0"/>
          <w:color w:val="000000" w:themeColor="text1"/>
          <w:spacing w:val="0"/>
          <w:sz w:val="24"/>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250MVA</w:t>
      </w:r>
      <w:r>
        <w:rPr>
          <w:rFonts w:hint="eastAsia" w:cs="Times New Roman"/>
          <w:b w:val="0"/>
          <w:bCs w:val="0"/>
          <w:color w:val="000000" w:themeColor="text1"/>
          <w:spacing w:val="0"/>
          <w:sz w:val="24"/>
          <w:highlight w:val="none"/>
          <w:lang w:eastAsia="zh-CN"/>
          <w14:textFill>
            <w14:solidFill>
              <w14:schemeClr w14:val="tx1"/>
            </w14:solidFill>
          </w14:textFill>
        </w:rPr>
        <w:t>，</w:t>
      </w:r>
      <w:r>
        <w:rPr>
          <w:rFonts w:hint="eastAsia"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电压等级为220kV，中绿电220kV升压</w:t>
      </w:r>
      <w:r>
        <w:rPr>
          <w:rFonts w:hint="eastAsia" w:cs="Times New Roman"/>
          <w:b w:val="0"/>
          <w:bCs w:val="0"/>
          <w:color w:val="000000" w:themeColor="text1"/>
          <w:spacing w:val="0"/>
          <w:sz w:val="24"/>
          <w:highlight w:val="none"/>
          <w:lang w:val="en-US" w:eastAsia="zh-CN"/>
          <w14:textFill>
            <w14:solidFill>
              <w14:schemeClr w14:val="tx1"/>
            </w14:solidFill>
          </w14:textFill>
        </w:rPr>
        <w:t>汇集</w:t>
      </w:r>
      <w:r>
        <w:rPr>
          <w:rFonts w:hint="eastAsia"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站主变容量4×250MVA，因此，</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选取中绿电乌鲁木齐市米东区350万千瓦光伏北沙窝西220千伏升压汇集站项目作为类比对象可行。</w:t>
      </w:r>
    </w:p>
    <w:p w14:paraId="2AE55D57">
      <w:pPr>
        <w:keepNext w:val="0"/>
        <w:keepLines w:val="0"/>
        <w:pageBreakBefore w:val="0"/>
        <w:widowControl w:val="0"/>
        <w:kinsoku/>
        <w:wordWrap/>
        <w:overflowPunct/>
        <w:topLinePunct w:val="0"/>
        <w:autoSpaceDE/>
        <w:autoSpaceDN/>
        <w:bidi w:val="0"/>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2）电压等级、主变布置形式、配电装置布置形式</w:t>
      </w:r>
    </w:p>
    <w:p w14:paraId="2C46BFC1">
      <w:pPr>
        <w:keepNext w:val="0"/>
        <w:keepLines w:val="0"/>
        <w:pageBreakBefore w:val="0"/>
        <w:widowControl w:val="0"/>
        <w:kinsoku/>
        <w:wordWrap/>
        <w:overflowPunct/>
        <w:topLinePunct w:val="0"/>
        <w:autoSpaceDE/>
        <w:autoSpaceDN/>
        <w:bidi w:val="0"/>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中绿电乌鲁木齐市米东区350万千瓦光伏北沙窝西220千伏升压汇集站与本项目220千伏汇集站电压等级一致，</w:t>
      </w:r>
      <w:r>
        <w:rPr>
          <w:rFonts w:hint="default" w:ascii="Times New Roman" w:hAnsi="Times New Roman" w:eastAsia="宋体" w:cs="Times New Roman"/>
          <w:color w:val="000000" w:themeColor="text1"/>
          <w:sz w:val="24"/>
          <w:highlight w:val="none"/>
          <w14:textFill>
            <w14:solidFill>
              <w14:schemeClr w14:val="tx1"/>
            </w14:solidFill>
          </w14:textFill>
        </w:rPr>
        <w:t>均采用户外GIS布置</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w:t>
      </w:r>
    </w:p>
    <w:p w14:paraId="25DE05A4">
      <w:pPr>
        <w:keepNext w:val="0"/>
        <w:keepLines w:val="0"/>
        <w:pageBreakBefore w:val="0"/>
        <w:widowControl w:val="0"/>
        <w:kinsoku/>
        <w:wordWrap/>
        <w:overflowPunct/>
        <w:topLinePunct w:val="0"/>
        <w:autoSpaceDE/>
        <w:autoSpaceDN/>
        <w:bidi w:val="0"/>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3）升压</w:t>
      </w:r>
      <w:r>
        <w:rPr>
          <w:rFonts w:hint="eastAsia" w:cs="Times New Roman"/>
          <w:b w:val="0"/>
          <w:bCs w:val="0"/>
          <w:color w:val="000000" w:themeColor="text1"/>
          <w:spacing w:val="0"/>
          <w:sz w:val="24"/>
          <w:highlight w:val="none"/>
          <w:lang w:val="en-US" w:eastAsia="zh-CN"/>
          <w14:textFill>
            <w14:solidFill>
              <w14:schemeClr w14:val="tx1"/>
            </w14:solidFill>
          </w14:textFill>
        </w:rPr>
        <w:t>汇集</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站总平布置、占地面积</w:t>
      </w:r>
    </w:p>
    <w:p w14:paraId="2C670D0A">
      <w:pPr>
        <w:keepNext w:val="0"/>
        <w:keepLines w:val="0"/>
        <w:pageBreakBefore w:val="0"/>
        <w:widowControl w:val="0"/>
        <w:kinsoku/>
        <w:wordWrap/>
        <w:overflowPunct/>
        <w:topLinePunct w:val="0"/>
        <w:autoSpaceDE/>
        <w:autoSpaceDN/>
        <w:bidi w:val="0"/>
        <w:snapToGrid/>
        <w:spacing w:line="500" w:lineRule="exact"/>
        <w:ind w:firstLine="480" w:firstLineChars="200"/>
        <w:textAlignment w:val="auto"/>
        <w:rPr>
          <w:rFonts w:hint="eastAsia"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从占地面积分析，类比</w:t>
      </w:r>
      <w:r>
        <w:rPr>
          <w:rFonts w:hint="eastAsia" w:cs="Times New Roman"/>
          <w:b w:val="0"/>
          <w:bCs w:val="0"/>
          <w:color w:val="000000" w:themeColor="text1"/>
          <w:spacing w:val="0"/>
          <w:sz w:val="24"/>
          <w:highlight w:val="none"/>
          <w:lang w:val="en-US" w:eastAsia="zh-CN"/>
          <w14:textFill>
            <w14:solidFill>
              <w14:schemeClr w14:val="tx1"/>
            </w14:solidFill>
          </w14:textFill>
        </w:rPr>
        <w:t>升压汇集站</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比本工程升压</w:t>
      </w:r>
      <w:r>
        <w:rPr>
          <w:rFonts w:hint="eastAsia" w:ascii="Times New Roman" w:hAnsi="Times New Roman" w:cs="Times New Roman"/>
          <w:b w:val="0"/>
          <w:bCs w:val="0"/>
          <w:color w:val="000000" w:themeColor="text1"/>
          <w:spacing w:val="0"/>
          <w:sz w:val="24"/>
          <w:highlight w:val="none"/>
          <w:lang w:val="en-US" w:eastAsia="zh-CN"/>
          <w14:textFill>
            <w14:solidFill>
              <w14:schemeClr w14:val="tx1"/>
            </w14:solidFill>
          </w14:textFill>
        </w:rPr>
        <w:t>汇集</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站的占地面积要大。因</w:t>
      </w:r>
      <w:r>
        <w:rPr>
          <w:rFonts w:hint="eastAsia" w:cs="Times New Roman"/>
          <w:b w:val="0"/>
          <w:bCs w:val="0"/>
          <w:color w:val="000000" w:themeColor="text1"/>
          <w:spacing w:val="0"/>
          <w:sz w:val="24"/>
          <w:highlight w:val="none"/>
          <w:lang w:val="en-US" w:eastAsia="zh-CN"/>
          <w14:textFill>
            <w14:solidFill>
              <w14:schemeClr w14:val="tx1"/>
            </w14:solidFill>
          </w14:textFill>
        </w:rPr>
        <w:t>升压汇集站</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外围墙处电磁环境影响主要来自</w:t>
      </w:r>
      <w:r>
        <w:rPr>
          <w:rFonts w:hint="eastAsia" w:cs="Times New Roman"/>
          <w:b w:val="0"/>
          <w:bCs w:val="0"/>
          <w:color w:val="000000" w:themeColor="text1"/>
          <w:spacing w:val="0"/>
          <w:sz w:val="24"/>
          <w:highlight w:val="none"/>
          <w:lang w:val="en-US" w:eastAsia="zh-CN"/>
          <w14:textFill>
            <w14:solidFill>
              <w14:schemeClr w14:val="tx1"/>
            </w14:solidFill>
          </w14:textFill>
        </w:rPr>
        <w:t>升压汇集站</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内距围墙较近的带电构架及高压进出线，而非占地面积大小，类比</w:t>
      </w:r>
      <w:r>
        <w:rPr>
          <w:rFonts w:hint="eastAsia" w:cs="Times New Roman"/>
          <w:b w:val="0"/>
          <w:bCs w:val="0"/>
          <w:color w:val="000000" w:themeColor="text1"/>
          <w:spacing w:val="0"/>
          <w:sz w:val="24"/>
          <w:highlight w:val="none"/>
          <w:lang w:val="en-US" w:eastAsia="zh-CN"/>
          <w14:textFill>
            <w14:solidFill>
              <w14:schemeClr w14:val="tx1"/>
            </w14:solidFill>
          </w14:textFill>
        </w:rPr>
        <w:t>升压汇集站</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与本项目带电构架及进出线电压基本一致，故以中绿电乌鲁木齐市米东区350万千瓦光伏北沙窝西220千伏升压汇集站项目作为本工程类比</w:t>
      </w:r>
      <w:r>
        <w:rPr>
          <w:rFonts w:hint="eastAsia" w:cs="Times New Roman"/>
          <w:b w:val="0"/>
          <w:bCs w:val="0"/>
          <w:color w:val="000000" w:themeColor="text1"/>
          <w:spacing w:val="0"/>
          <w:sz w:val="24"/>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是合适的</w:t>
      </w:r>
      <w:r>
        <w:rPr>
          <w:rFonts w:hint="eastAsia" w:ascii="Times New Roman" w:hAnsi="Times New Roman" w:cs="Times New Roman"/>
          <w:b w:val="0"/>
          <w:bCs w:val="0"/>
          <w:color w:val="000000" w:themeColor="text1"/>
          <w:spacing w:val="0"/>
          <w:sz w:val="24"/>
          <w:highlight w:val="none"/>
          <w:lang w:eastAsia="zh-CN"/>
          <w14:textFill>
            <w14:solidFill>
              <w14:schemeClr w14:val="tx1"/>
            </w14:solidFill>
          </w14:textFill>
        </w:rPr>
        <w:t>。</w:t>
      </w:r>
    </w:p>
    <w:p w14:paraId="222E54A3">
      <w:pPr>
        <w:keepNext w:val="0"/>
        <w:keepLines w:val="0"/>
        <w:pageBreakBefore w:val="0"/>
        <w:widowControl w:val="0"/>
        <w:kinsoku/>
        <w:wordWrap/>
        <w:overflowPunct/>
        <w:topLinePunct w:val="0"/>
        <w:autoSpaceDE/>
        <w:autoSpaceDN/>
        <w:bidi w:val="0"/>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4）220千伏主接线形式、线路进出回数，母线形式</w:t>
      </w:r>
    </w:p>
    <w:p w14:paraId="5E20972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outlineLvl w:val="9"/>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eastAsia="zh-CN"/>
          <w14:textFill>
            <w14:solidFill>
              <w14:schemeClr w14:val="tx1"/>
            </w14:solidFill>
          </w14:textFill>
        </w:rPr>
        <w:t>类比</w:t>
      </w:r>
      <w:r>
        <w:rPr>
          <w:rFonts w:hint="eastAsia" w:cs="Times New Roman"/>
          <w:color w:val="000000" w:themeColor="text1"/>
          <w:sz w:val="24"/>
          <w:highlight w:val="none"/>
          <w:lang w:eastAsia="zh-CN"/>
          <w14:textFill>
            <w14:solidFill>
              <w14:schemeClr w14:val="tx1"/>
            </w14:solidFill>
          </w14:textFill>
        </w:rPr>
        <w:t>升压</w:t>
      </w:r>
      <w:r>
        <w:rPr>
          <w:rFonts w:hint="eastAsia" w:cs="Times New Roman"/>
          <w:color w:val="000000" w:themeColor="text1"/>
          <w:sz w:val="24"/>
          <w:highlight w:val="none"/>
          <w:lang w:val="en-US" w:eastAsia="zh-CN"/>
          <w14:textFill>
            <w14:solidFill>
              <w14:schemeClr w14:val="tx1"/>
            </w14:solidFill>
          </w14:textFill>
        </w:rPr>
        <w:t>汇集</w:t>
      </w:r>
      <w:r>
        <w:rPr>
          <w:rFonts w:hint="eastAsia" w:cs="Times New Roman"/>
          <w:color w:val="000000" w:themeColor="text1"/>
          <w:sz w:val="24"/>
          <w:highlight w:val="none"/>
          <w:lang w:eastAsia="zh-CN"/>
          <w14:textFill>
            <w14:solidFill>
              <w14:schemeClr w14:val="tx1"/>
            </w14:solidFill>
          </w14:textFill>
        </w:rPr>
        <w:t>站</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出线回数为</w:t>
      </w:r>
      <w:r>
        <w:rPr>
          <w:rFonts w:hint="eastAsia" w:cs="Times New Roman"/>
          <w:color w:val="000000" w:themeColor="text1"/>
          <w:sz w:val="24"/>
          <w:highlight w:val="none"/>
          <w:lang w:val="en-US" w:eastAsia="zh-CN"/>
          <w14:textFill>
            <w14:solidFill>
              <w14:schemeClr w14:val="tx1"/>
            </w14:solidFill>
          </w14:textFill>
        </w:rPr>
        <w:t>12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回，本项目</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出线回数为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1回，类比</w:t>
      </w:r>
      <w:r>
        <w:rPr>
          <w:rFonts w:hint="eastAsia" w:cs="Times New Roman"/>
          <w:color w:val="000000" w:themeColor="text1"/>
          <w:sz w:val="24"/>
          <w:highlight w:val="none"/>
          <w:lang w:eastAsia="zh-CN"/>
          <w14:textFill>
            <w14:solidFill>
              <w14:schemeClr w14:val="tx1"/>
            </w14:solidFill>
          </w14:textFill>
        </w:rPr>
        <w:t>升压</w:t>
      </w:r>
      <w:r>
        <w:rPr>
          <w:rFonts w:hint="eastAsia" w:cs="Times New Roman"/>
          <w:color w:val="000000" w:themeColor="text1"/>
          <w:sz w:val="24"/>
          <w:highlight w:val="none"/>
          <w:lang w:val="en-US" w:eastAsia="zh-CN"/>
          <w14:textFill>
            <w14:solidFill>
              <w14:schemeClr w14:val="tx1"/>
            </w14:solidFill>
          </w14:textFill>
        </w:rPr>
        <w:t>汇集</w:t>
      </w:r>
      <w:r>
        <w:rPr>
          <w:rFonts w:hint="eastAsia" w:cs="Times New Roman"/>
          <w:color w:val="000000" w:themeColor="text1"/>
          <w:sz w:val="24"/>
          <w:highlight w:val="none"/>
          <w:lang w:eastAsia="zh-CN"/>
          <w14:textFill>
            <w14:solidFill>
              <w14:schemeClr w14:val="tx1"/>
            </w14:solidFill>
          </w14:textFill>
        </w:rPr>
        <w:t>站</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出线规模比本</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多</w:t>
      </w:r>
      <w:r>
        <w:rPr>
          <w:rFonts w:hint="eastAsia" w:cs="Times New Roman"/>
          <w:color w:val="000000" w:themeColor="text1"/>
          <w:sz w:val="24"/>
          <w:highlight w:val="none"/>
          <w:lang w:val="en-US" w:eastAsia="zh-CN"/>
          <w14:textFill>
            <w14:solidFill>
              <w14:schemeClr w14:val="tx1"/>
            </w14:solidFill>
          </w14:textFill>
        </w:rPr>
        <w:t>11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回，电磁环境影响应大于本项目。</w:t>
      </w:r>
    </w:p>
    <w:p w14:paraId="2AF2D9D0">
      <w:pPr>
        <w:keepNext w:val="0"/>
        <w:keepLines w:val="0"/>
        <w:pageBreakBefore w:val="0"/>
        <w:widowControl w:val="0"/>
        <w:kinsoku/>
        <w:wordWrap/>
        <w:overflowPunct/>
        <w:topLinePunct w:val="0"/>
        <w:autoSpaceDE/>
        <w:autoSpaceDN/>
        <w:bidi w:val="0"/>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5）环境条件、运行工况</w:t>
      </w:r>
    </w:p>
    <w:p w14:paraId="630C703C">
      <w:pPr>
        <w:keepNext w:val="0"/>
        <w:keepLines w:val="0"/>
        <w:pageBreakBefore w:val="0"/>
        <w:widowControl w:val="0"/>
        <w:kinsoku/>
        <w:wordWrap/>
        <w:overflowPunct/>
        <w:topLinePunct w:val="0"/>
        <w:autoSpaceDE/>
        <w:autoSpaceDN/>
        <w:bidi w:val="0"/>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中绿电乌鲁木齐市米东区350万千瓦光伏北沙窝西220千伏升压汇集站项目位于新疆乌鲁木齐市米东区北沙窝东海道子东侧</w:t>
      </w:r>
      <w:r>
        <w:rPr>
          <w:rFonts w:hint="eastAsia" w:ascii="Times New Roman" w:hAnsi="Times New Roman"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本项目220千伏升压</w:t>
      </w:r>
      <w:r>
        <w:rPr>
          <w:rFonts w:hint="eastAsia" w:ascii="Times New Roman" w:hAnsi="Times New Roman" w:cs="Times New Roman"/>
          <w:b w:val="0"/>
          <w:bCs w:val="0"/>
          <w:color w:val="000000" w:themeColor="text1"/>
          <w:spacing w:val="0"/>
          <w:sz w:val="24"/>
          <w:highlight w:val="none"/>
          <w:lang w:val="en-US" w:eastAsia="zh-CN"/>
          <w14:textFill>
            <w14:solidFill>
              <w14:schemeClr w14:val="tx1"/>
            </w14:solidFill>
          </w14:textFill>
        </w:rPr>
        <w:t>汇集站位于</w:t>
      </w:r>
      <w:r>
        <w:rPr>
          <w:rFonts w:hint="eastAsia"/>
          <w:b w:val="0"/>
          <w:bCs w:val="0"/>
          <w:color w:val="000000" w:themeColor="text1"/>
          <w:lang w:val="en-US" w:eastAsia="zh-CN"/>
          <w14:textFill>
            <w14:solidFill>
              <w14:schemeClr w14:val="tx1"/>
            </w14:solidFill>
          </w14:textFill>
        </w:rPr>
        <w:t>巴音郭楞蒙古自治州且末县昆仑工业园区西侧，</w:t>
      </w:r>
      <w:r>
        <w:rPr>
          <w:rFonts w:hint="eastAsia" w:cs="Times New Roman"/>
          <w:color w:val="000000" w:themeColor="text1"/>
          <w:sz w:val="24"/>
          <w:highlight w:val="none"/>
          <w:lang w:eastAsia="zh-CN"/>
          <w14:textFill>
            <w14:solidFill>
              <w14:schemeClr w14:val="tx1"/>
            </w14:solidFill>
          </w14:textFill>
        </w:rPr>
        <w:t>类比升压</w:t>
      </w:r>
      <w:r>
        <w:rPr>
          <w:rFonts w:hint="eastAsia" w:cs="Times New Roman"/>
          <w:color w:val="000000" w:themeColor="text1"/>
          <w:sz w:val="24"/>
          <w:highlight w:val="none"/>
          <w:lang w:val="en-US" w:eastAsia="zh-CN"/>
          <w14:textFill>
            <w14:solidFill>
              <w14:schemeClr w14:val="tx1"/>
            </w14:solidFill>
          </w14:textFill>
        </w:rPr>
        <w:t>汇集</w:t>
      </w:r>
      <w:r>
        <w:rPr>
          <w:rFonts w:hint="eastAsia" w:cs="Times New Roman"/>
          <w:color w:val="000000" w:themeColor="text1"/>
          <w:sz w:val="24"/>
          <w:highlight w:val="none"/>
          <w:lang w:eastAsia="zh-CN"/>
          <w14:textFill>
            <w14:solidFill>
              <w14:schemeClr w14:val="tx1"/>
            </w14:solidFill>
          </w14:textFill>
        </w:rPr>
        <w:t>站</w:t>
      </w:r>
      <w:r>
        <w:rPr>
          <w:rFonts w:hint="eastAsia" w:eastAsia="宋体" w:cs="Times New Roman"/>
          <w:color w:val="000000" w:themeColor="text1"/>
          <w:sz w:val="24"/>
          <w:highlight w:val="none"/>
          <w:lang w:eastAsia="zh-CN"/>
          <w14:textFill>
            <w14:solidFill>
              <w14:schemeClr w14:val="tx1"/>
            </w14:solidFill>
          </w14:textFill>
        </w:rPr>
        <w:t>与本项目环境条件基本一致。</w:t>
      </w:r>
    </w:p>
    <w:p w14:paraId="3914B57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综上所述，选择中绿电乌鲁木齐市米东区350万千瓦光伏北沙窝西220千伏升压汇集站项目做类比监测站具有一定的可类比性。以中绿电乌鲁木齐市米东区350万千瓦光伏北沙窝西220千伏升压汇集站项目</w:t>
      </w:r>
      <w:r>
        <w:rPr>
          <w:rFonts w:hint="eastAsia" w:cs="Times New Roman"/>
          <w:b w:val="0"/>
          <w:bCs w:val="0"/>
          <w:color w:val="000000" w:themeColor="text1"/>
          <w:spacing w:val="0"/>
          <w:sz w:val="24"/>
          <w:highlight w:val="none"/>
          <w:lang w:eastAsia="zh-CN"/>
          <w14:textFill>
            <w14:solidFill>
              <w14:schemeClr w14:val="tx1"/>
            </w14:solidFill>
          </w14:textFill>
        </w:rPr>
        <w:t>做</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类比进行本项目升压</w:t>
      </w:r>
      <w:r>
        <w:rPr>
          <w:rFonts w:hint="eastAsia" w:cs="Times New Roman"/>
          <w:b w:val="0"/>
          <w:bCs w:val="0"/>
          <w:color w:val="000000" w:themeColor="text1"/>
          <w:spacing w:val="0"/>
          <w:sz w:val="24"/>
          <w:highlight w:val="none"/>
          <w:lang w:val="en-US" w:eastAsia="zh-CN"/>
          <w14:textFill>
            <w14:solidFill>
              <w14:schemeClr w14:val="tx1"/>
            </w14:solidFill>
          </w14:textFill>
        </w:rPr>
        <w:t>汇集</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站的电磁环境影响分析与评价是可行的。</w:t>
      </w:r>
    </w:p>
    <w:p w14:paraId="4125F9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宋体"/>
          <w:b/>
          <w:bCs/>
          <w:color w:val="000000" w:themeColor="text1"/>
          <w:spacing w:val="0"/>
          <w:sz w:val="24"/>
          <w:lang w:val="en-US" w:eastAsia="zh-CN"/>
          <w14:textFill>
            <w14:solidFill>
              <w14:schemeClr w14:val="tx1"/>
            </w14:solidFill>
          </w14:textFill>
        </w:rPr>
      </w:pPr>
      <w:r>
        <w:rPr>
          <w:rFonts w:eastAsia="Times New Roman"/>
          <w:b/>
          <w:bCs/>
          <w:color w:val="000000" w:themeColor="text1"/>
          <w:spacing w:val="0"/>
          <w:sz w:val="24"/>
          <w14:textFill>
            <w14:solidFill>
              <w14:schemeClr w14:val="tx1"/>
            </w14:solidFill>
          </w14:textFill>
        </w:rPr>
        <w:t>3.</w:t>
      </w:r>
      <w:r>
        <w:rPr>
          <w:rFonts w:hint="eastAsia" w:eastAsia="宋体"/>
          <w:b/>
          <w:bCs/>
          <w:color w:val="000000" w:themeColor="text1"/>
          <w:spacing w:val="0"/>
          <w:sz w:val="24"/>
          <w:lang w:val="en-US" w:eastAsia="zh-CN"/>
          <w14:textFill>
            <w14:solidFill>
              <w14:schemeClr w14:val="tx1"/>
            </w14:solidFill>
          </w14:textFill>
        </w:rPr>
        <w:t>1.3</w:t>
      </w:r>
      <w:r>
        <w:rPr>
          <w:rFonts w:hint="eastAsia" w:ascii="Times New Roman" w:hAnsi="Times New Roman" w:eastAsia="宋体" w:cs="Times New Roman"/>
          <w:b/>
          <w:bCs/>
          <w:color w:val="000000" w:themeColor="text1"/>
          <w:spacing w:val="0"/>
          <w:sz w:val="24"/>
          <w:lang w:val="en-US" w:eastAsia="zh-CN"/>
          <w14:textFill>
            <w14:solidFill>
              <w14:schemeClr w14:val="tx1"/>
            </w14:solidFill>
          </w14:textFill>
        </w:rPr>
        <w:t>类比</w:t>
      </w:r>
      <w:r>
        <w:rPr>
          <w:rFonts w:ascii="宋体" w:hAnsi="宋体" w:cs="宋体"/>
          <w:b/>
          <w:bCs/>
          <w:color w:val="000000" w:themeColor="text1"/>
          <w:spacing w:val="0"/>
          <w:sz w:val="24"/>
          <w14:textFill>
            <w14:solidFill>
              <w14:schemeClr w14:val="tx1"/>
            </w14:solidFill>
          </w14:textFill>
        </w:rPr>
        <w:t>监测</w:t>
      </w:r>
      <w:r>
        <w:rPr>
          <w:rFonts w:hint="eastAsia" w:ascii="宋体" w:hAnsi="宋体" w:cs="宋体"/>
          <w:b/>
          <w:bCs/>
          <w:color w:val="000000" w:themeColor="text1"/>
          <w:spacing w:val="0"/>
          <w:sz w:val="24"/>
          <w:lang w:val="en-US" w:eastAsia="zh-CN"/>
          <w14:textFill>
            <w14:solidFill>
              <w14:schemeClr w14:val="tx1"/>
            </w14:solidFill>
          </w14:textFill>
        </w:rPr>
        <w:t>及影响评价</w:t>
      </w:r>
    </w:p>
    <w:p w14:paraId="10596DE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监测因子</w:t>
      </w:r>
    </w:p>
    <w:p w14:paraId="625EE99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工频电场、工频磁场</w:t>
      </w:r>
    </w:p>
    <w:p w14:paraId="3F14114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监测方法、监测布点</w:t>
      </w:r>
    </w:p>
    <w:p w14:paraId="20F54B3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监测方法：《交流输变电工程电磁环境监测方法</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试行</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HJ681-2013</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w:t>
      </w:r>
    </w:p>
    <w:p w14:paraId="45AFD33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监测布点：</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升压汇集站</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四周围墙外5m处布点，</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升压汇集站</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西侧衰减断面布点。</w:t>
      </w:r>
    </w:p>
    <w:p w14:paraId="1DF66AA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监测单位及监测时间</w:t>
      </w:r>
    </w:p>
    <w:p w14:paraId="79FDE3F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监测单位：新疆新环监测检测研究院（有限公司）</w:t>
      </w:r>
    </w:p>
    <w:p w14:paraId="102BA1F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监测时间：2024年9月26日。</w:t>
      </w:r>
    </w:p>
    <w:p w14:paraId="2CFCD8E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14:textFill>
            <w14:solidFill>
              <w14:schemeClr w14:val="tx1"/>
            </w14:solidFill>
          </w14:textFill>
        </w:rPr>
        <w:t>监测仪器、监测条件</w:t>
      </w:r>
    </w:p>
    <w:p w14:paraId="01C5DF2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themeColor="text1"/>
          <w:spacing w:val="0"/>
          <w:sz w:val="24"/>
          <w:szCs w:val="24"/>
          <w:lang w:val="en-US"/>
          <w14:textFill>
            <w14:solidFill>
              <w14:schemeClr w14:val="tx1"/>
            </w14:solidFill>
          </w14:textFill>
        </w:rPr>
      </w:pP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监测仪器采用SEM-600电磁辐射分析仪。根据《中绿电乌鲁木齐市米东区350万千瓦光伏北沙窝西</w:t>
      </w:r>
      <w:r>
        <w:rPr>
          <w:rFonts w:hint="eastAsia" w:ascii="Times New Roman" w:hAnsi="Times New Roman"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南、北、东</w:t>
      </w:r>
      <w:r>
        <w:rPr>
          <w:rFonts w:hint="eastAsia" w:ascii="Times New Roman" w:hAnsi="Times New Roman" w:cs="Times New Roman"/>
          <w:b w:val="0"/>
          <w:bCs w:val="0"/>
          <w:color w:val="000000" w:themeColor="text1"/>
          <w:spacing w:val="0"/>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pacing w:val="0"/>
          <w:sz w:val="24"/>
          <w:highlight w:val="none"/>
          <w:lang w:eastAsia="zh-CN"/>
          <w14:textFill>
            <w14:solidFill>
              <w14:schemeClr w14:val="tx1"/>
            </w14:solidFill>
          </w14:textFill>
        </w:rPr>
        <w:t>220千伏升压汇集站项目监测报告》（J-2017-16），监测结果</w:t>
      </w:r>
      <w:r>
        <w:rPr>
          <w:rFonts w:hint="eastAsia"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见表</w:t>
      </w:r>
      <w:r>
        <w:rPr>
          <w:rFonts w:hint="eastAsia" w:ascii="Times New Roman" w:hAnsi="Times New Roman" w:cs="Times New Roman"/>
          <w:b w:val="0"/>
          <w:bCs w:val="0"/>
          <w:color w:val="000000" w:themeColor="text1"/>
          <w:spacing w:val="0"/>
          <w:sz w:val="24"/>
          <w:highlight w:val="none"/>
          <w:lang w:val="en-US" w:eastAsia="zh-CN"/>
          <w14:textFill>
            <w14:solidFill>
              <w14:schemeClr w14:val="tx1"/>
            </w14:solidFill>
          </w14:textFill>
        </w:rPr>
        <w:t>5</w:t>
      </w:r>
      <w:r>
        <w:rPr>
          <w:rFonts w:hint="eastAsia" w:ascii="Times New Roman" w:hAnsi="Times New Roman" w:eastAsia="宋体" w:cs="Times New Roman"/>
          <w:b w:val="0"/>
          <w:bCs w:val="0"/>
          <w:color w:val="000000" w:themeColor="text1"/>
          <w:spacing w:val="0"/>
          <w:sz w:val="24"/>
          <w:highlight w:val="none"/>
          <w:lang w:val="en-US" w:eastAsia="zh-CN"/>
          <w14:textFill>
            <w14:solidFill>
              <w14:schemeClr w14:val="tx1"/>
            </w14:solidFill>
          </w14:textFill>
        </w:rPr>
        <w:t>。</w:t>
      </w:r>
    </w:p>
    <w:p w14:paraId="346247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黑体" w:cs="Times New Roman"/>
          <w:color w:val="000000" w:themeColor="text1"/>
          <w:spacing w:val="0"/>
          <w:position w:val="0"/>
          <w:sz w:val="21"/>
          <w:szCs w:val="21"/>
          <w:lang w:val="en-US" w:eastAsia="zh-CN"/>
          <w14:textFill>
            <w14:solidFill>
              <w14:schemeClr w14:val="tx1"/>
            </w14:solidFill>
          </w14:textFill>
        </w:rPr>
      </w:pPr>
      <w:r>
        <w:rPr>
          <w:rFonts w:hint="default" w:ascii="Times New Roman" w:hAnsi="Times New Roman" w:eastAsia="黑体" w:cs="Times New Roman"/>
          <w:color w:val="000000" w:themeColor="text1"/>
          <w:spacing w:val="0"/>
          <w:position w:val="0"/>
          <w:sz w:val="21"/>
          <w:szCs w:val="21"/>
          <w14:textFill>
            <w14:solidFill>
              <w14:schemeClr w14:val="tx1"/>
            </w14:solidFill>
          </w14:textFill>
        </w:rPr>
        <w:t>表</w:t>
      </w:r>
      <w:r>
        <w:rPr>
          <w:rFonts w:hint="eastAsia" w:ascii="Times New Roman" w:hAnsi="Times New Roman" w:eastAsia="黑体" w:cs="Times New Roman"/>
          <w:color w:val="000000" w:themeColor="text1"/>
          <w:spacing w:val="0"/>
          <w:position w:val="0"/>
          <w:sz w:val="21"/>
          <w:szCs w:val="21"/>
          <w:lang w:val="en-US" w:eastAsia="zh-CN"/>
          <w14:textFill>
            <w14:solidFill>
              <w14:schemeClr w14:val="tx1"/>
            </w14:solidFill>
          </w14:textFill>
        </w:rPr>
        <w:t>5</w:t>
      </w:r>
      <w:r>
        <w:rPr>
          <w:rFonts w:hint="default" w:ascii="Times New Roman" w:hAnsi="Times New Roman" w:eastAsia="黑体" w:cs="Times New Roman"/>
          <w:color w:val="000000" w:themeColor="text1"/>
          <w:spacing w:val="0"/>
          <w:position w:val="0"/>
          <w:sz w:val="21"/>
          <w:szCs w:val="21"/>
          <w14:textFill>
            <w14:solidFill>
              <w14:schemeClr w14:val="tx1"/>
            </w14:solidFill>
          </w14:textFill>
        </w:rPr>
        <w:t xml:space="preserve"> </w:t>
      </w:r>
      <w:r>
        <w:rPr>
          <w:rFonts w:hint="eastAsia" w:ascii="Times New Roman" w:hAnsi="Times New Roman" w:eastAsia="黑体" w:cs="Times New Roman"/>
          <w:color w:val="000000" w:themeColor="text1"/>
          <w:spacing w:val="0"/>
          <w:position w:val="0"/>
          <w:sz w:val="21"/>
          <w:szCs w:val="21"/>
          <w:lang w:val="en-US" w:eastAsia="zh-CN"/>
          <w14:textFill>
            <w14:solidFill>
              <w14:schemeClr w14:val="tx1"/>
            </w14:solidFill>
          </w14:textFill>
        </w:rPr>
        <w:t xml:space="preserve">   类比项目监测数据</w:t>
      </w:r>
    </w:p>
    <w:tbl>
      <w:tblPr>
        <w:tblStyle w:val="72"/>
        <w:tblW w:w="4996"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783"/>
        <w:gridCol w:w="1537"/>
        <w:gridCol w:w="405"/>
        <w:gridCol w:w="1176"/>
        <w:gridCol w:w="799"/>
        <w:gridCol w:w="854"/>
        <w:gridCol w:w="870"/>
        <w:gridCol w:w="840"/>
        <w:gridCol w:w="799"/>
        <w:gridCol w:w="774"/>
      </w:tblGrid>
      <w:tr w14:paraId="3551837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34" w:hRule="atLeast"/>
          <w:jc w:val="center"/>
        </w:trPr>
        <w:tc>
          <w:tcPr>
            <w:tcW w:w="443" w:type="pct"/>
            <w:vMerge w:val="restart"/>
            <w:tcBorders>
              <w:tl2br w:val="nil"/>
              <w:tr2bl w:val="nil"/>
            </w:tcBorders>
            <w:noWrap w:val="0"/>
            <w:vAlign w:val="center"/>
          </w:tcPr>
          <w:p w14:paraId="5D4A1D99">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color w:val="000000" w:themeColor="text1"/>
                <w:spacing w:val="0"/>
                <w:sz w:val="18"/>
                <w:szCs w:val="18"/>
                <w14:textFill>
                  <w14:solidFill>
                    <w14:schemeClr w14:val="tx1"/>
                  </w14:solidFill>
                </w14:textFill>
              </w:rPr>
              <w:t>序号</w:t>
            </w:r>
          </w:p>
        </w:tc>
        <w:tc>
          <w:tcPr>
            <w:tcW w:w="869" w:type="pct"/>
            <w:vMerge w:val="restart"/>
            <w:tcBorders>
              <w:tl2br w:val="nil"/>
              <w:tr2bl w:val="nil"/>
            </w:tcBorders>
            <w:noWrap w:val="0"/>
            <w:vAlign w:val="center"/>
          </w:tcPr>
          <w:p w14:paraId="0D7FFA23">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color w:val="000000" w:themeColor="text1"/>
                <w:spacing w:val="0"/>
                <w:sz w:val="18"/>
                <w:szCs w:val="18"/>
                <w14:textFill>
                  <w14:solidFill>
                    <w14:schemeClr w14:val="tx1"/>
                  </w14:solidFill>
                </w14:textFill>
              </w:rPr>
              <w:t>测点位置</w:t>
            </w:r>
          </w:p>
        </w:tc>
        <w:tc>
          <w:tcPr>
            <w:tcW w:w="3686" w:type="pct"/>
            <w:gridSpan w:val="8"/>
            <w:tcBorders>
              <w:tl2br w:val="nil"/>
              <w:tr2bl w:val="nil"/>
            </w:tcBorders>
            <w:noWrap w:val="0"/>
            <w:vAlign w:val="center"/>
          </w:tcPr>
          <w:p w14:paraId="3AFA253D">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color w:val="000000" w:themeColor="text1"/>
                <w:spacing w:val="0"/>
                <w:sz w:val="18"/>
                <w:szCs w:val="18"/>
                <w14:textFill>
                  <w14:solidFill>
                    <w14:schemeClr w14:val="tx1"/>
                  </w14:solidFill>
                </w14:textFill>
              </w:rPr>
              <w:t>检测结果</w:t>
            </w:r>
          </w:p>
        </w:tc>
      </w:tr>
      <w:tr w14:paraId="653B0D8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27" w:hRule="atLeast"/>
          <w:jc w:val="center"/>
        </w:trPr>
        <w:tc>
          <w:tcPr>
            <w:tcW w:w="443" w:type="pct"/>
            <w:vMerge w:val="continue"/>
            <w:tcBorders>
              <w:tl2br w:val="nil"/>
              <w:tr2bl w:val="nil"/>
            </w:tcBorders>
            <w:noWrap w:val="0"/>
            <w:vAlign w:val="center"/>
          </w:tcPr>
          <w:p w14:paraId="1056248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36827BD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p>
        </w:tc>
        <w:tc>
          <w:tcPr>
            <w:tcW w:w="229" w:type="pct"/>
            <w:tcBorders>
              <w:tl2br w:val="nil"/>
              <w:tr2bl w:val="nil"/>
            </w:tcBorders>
            <w:noWrap w:val="0"/>
            <w:vAlign w:val="center"/>
          </w:tcPr>
          <w:p w14:paraId="3435C348">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firstLineChars="0"/>
              <w:jc w:val="center"/>
              <w:textAlignment w:val="auto"/>
              <w:rPr>
                <w:rFonts w:hint="eastAsia" w:eastAsia="宋体"/>
                <w:color w:val="000000" w:themeColor="text1"/>
                <w:spacing w:val="0"/>
                <w:sz w:val="18"/>
                <w:szCs w:val="18"/>
                <w:lang w:val="en-US" w:eastAsia="zh-CN"/>
                <w14:textFill>
                  <w14:solidFill>
                    <w14:schemeClr w14:val="tx1"/>
                  </w14:solidFill>
                </w14:textFill>
              </w:rPr>
            </w:pPr>
            <w:r>
              <w:rPr>
                <w:rFonts w:hint="eastAsia"/>
                <w:color w:val="000000" w:themeColor="text1"/>
                <w:spacing w:val="0"/>
                <w:sz w:val="18"/>
                <w:szCs w:val="18"/>
                <w:lang w:val="en-US" w:eastAsia="zh-CN"/>
                <w14:textFill>
                  <w14:solidFill>
                    <w14:schemeClr w14:val="tx1"/>
                  </w14:solidFill>
                </w14:textFill>
              </w:rPr>
              <w:t>高度</w:t>
            </w:r>
          </w:p>
        </w:tc>
        <w:tc>
          <w:tcPr>
            <w:tcW w:w="665" w:type="pct"/>
            <w:tcBorders>
              <w:tl2br w:val="nil"/>
              <w:tr2bl w:val="nil"/>
            </w:tcBorders>
            <w:noWrap w:val="0"/>
            <w:vAlign w:val="center"/>
          </w:tcPr>
          <w:p w14:paraId="79D61538">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color w:val="000000" w:themeColor="text1"/>
                <w:spacing w:val="0"/>
                <w:sz w:val="18"/>
                <w:szCs w:val="18"/>
                <w14:textFill>
                  <w14:solidFill>
                    <w14:schemeClr w14:val="tx1"/>
                  </w14:solidFill>
                </w14:textFill>
              </w:rPr>
              <w:t>检测项目</w:t>
            </w:r>
          </w:p>
        </w:tc>
        <w:tc>
          <w:tcPr>
            <w:tcW w:w="452" w:type="pct"/>
            <w:tcBorders>
              <w:tl2br w:val="nil"/>
              <w:tr2bl w:val="nil"/>
            </w:tcBorders>
            <w:noWrap w:val="0"/>
            <w:vAlign w:val="center"/>
          </w:tcPr>
          <w:p w14:paraId="43586DDB">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w:t>
            </w:r>
          </w:p>
        </w:tc>
        <w:tc>
          <w:tcPr>
            <w:tcW w:w="483" w:type="pct"/>
            <w:tcBorders>
              <w:tl2br w:val="nil"/>
              <w:tr2bl w:val="nil"/>
            </w:tcBorders>
            <w:noWrap w:val="0"/>
            <w:vAlign w:val="center"/>
          </w:tcPr>
          <w:p w14:paraId="01A0F1AC">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p>
        </w:tc>
        <w:tc>
          <w:tcPr>
            <w:tcW w:w="492" w:type="pct"/>
            <w:tcBorders>
              <w:tl2br w:val="nil"/>
              <w:tr2bl w:val="nil"/>
            </w:tcBorders>
            <w:noWrap w:val="0"/>
            <w:vAlign w:val="center"/>
          </w:tcPr>
          <w:p w14:paraId="1DEF0C6C">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w:t>
            </w:r>
          </w:p>
        </w:tc>
        <w:tc>
          <w:tcPr>
            <w:tcW w:w="475" w:type="pct"/>
            <w:tcBorders>
              <w:tl2br w:val="nil"/>
              <w:tr2bl w:val="nil"/>
            </w:tcBorders>
            <w:noWrap w:val="0"/>
            <w:vAlign w:val="center"/>
          </w:tcPr>
          <w:p w14:paraId="1D1E424F">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4</w:t>
            </w:r>
          </w:p>
        </w:tc>
        <w:tc>
          <w:tcPr>
            <w:tcW w:w="452" w:type="pct"/>
            <w:tcBorders>
              <w:tl2br w:val="nil"/>
              <w:tr2bl w:val="nil"/>
            </w:tcBorders>
            <w:noWrap w:val="0"/>
            <w:vAlign w:val="center"/>
          </w:tcPr>
          <w:p w14:paraId="2B0A6A0D">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5</w:t>
            </w:r>
          </w:p>
        </w:tc>
        <w:tc>
          <w:tcPr>
            <w:tcW w:w="437" w:type="pct"/>
            <w:tcBorders>
              <w:tl2br w:val="nil"/>
              <w:tr2bl w:val="nil"/>
            </w:tcBorders>
            <w:noWrap w:val="0"/>
            <w:vAlign w:val="center"/>
          </w:tcPr>
          <w:p w14:paraId="41A409CF">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color w:val="000000" w:themeColor="text1"/>
                <w:spacing w:val="0"/>
                <w:sz w:val="18"/>
                <w:szCs w:val="18"/>
                <w14:textFill>
                  <w14:solidFill>
                    <w14:schemeClr w14:val="tx1"/>
                  </w14:solidFill>
                </w14:textFill>
              </w:rPr>
              <w:t>平均值</w:t>
            </w:r>
          </w:p>
        </w:tc>
      </w:tr>
      <w:tr w14:paraId="5A07BFC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197" w:hRule="atLeast"/>
          <w:jc w:val="center"/>
        </w:trPr>
        <w:tc>
          <w:tcPr>
            <w:tcW w:w="443" w:type="pct"/>
            <w:vMerge w:val="restart"/>
            <w:tcBorders>
              <w:tl2br w:val="nil"/>
              <w:tr2bl w:val="nil"/>
            </w:tcBorders>
            <w:noWrap w:val="0"/>
            <w:vAlign w:val="center"/>
          </w:tcPr>
          <w:p w14:paraId="21EE21A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C14-1-1</w:t>
            </w:r>
          </w:p>
        </w:tc>
        <w:tc>
          <w:tcPr>
            <w:tcW w:w="869" w:type="pct"/>
            <w:vMerge w:val="restart"/>
            <w:tcBorders>
              <w:tl2br w:val="nil"/>
              <w:tr2bl w:val="nil"/>
            </w:tcBorders>
            <w:noWrap w:val="0"/>
            <w:vAlign w:val="center"/>
          </w:tcPr>
          <w:p w14:paraId="315B2939">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升压站北侧</w:t>
            </w:r>
            <w:r>
              <w:rPr>
                <w:rFonts w:ascii="Times New Roman" w:hAnsi="Times New Roman" w:eastAsia="Times New Roman" w:cs="Times New Roman"/>
                <w:color w:val="000000" w:themeColor="text1"/>
                <w:spacing w:val="0"/>
                <w:sz w:val="18"/>
                <w:szCs w:val="18"/>
                <w14:textFill>
                  <w14:solidFill>
                    <w14:schemeClr w14:val="tx1"/>
                  </w14:solidFill>
                </w14:textFill>
              </w:rPr>
              <w:t>5</w:t>
            </w:r>
            <w:r>
              <w:rPr>
                <w:color w:val="000000" w:themeColor="text1"/>
                <w:spacing w:val="0"/>
                <w:sz w:val="18"/>
                <w:szCs w:val="18"/>
                <w14:textFill>
                  <w14:solidFill>
                    <w14:schemeClr w14:val="tx1"/>
                  </w14:solidFill>
                </w14:textFill>
              </w:rPr>
              <w:t>米</w:t>
            </w:r>
          </w:p>
        </w:tc>
        <w:tc>
          <w:tcPr>
            <w:tcW w:w="229" w:type="pct"/>
            <w:vMerge w:val="restart"/>
            <w:tcBorders>
              <w:tl2br w:val="nil"/>
              <w:tr2bl w:val="nil"/>
            </w:tcBorders>
            <w:noWrap w:val="0"/>
            <w:vAlign w:val="center"/>
          </w:tcPr>
          <w:p w14:paraId="628E3B1F">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1.5m</w:t>
            </w:r>
          </w:p>
        </w:tc>
        <w:tc>
          <w:tcPr>
            <w:tcW w:w="665" w:type="pct"/>
            <w:tcBorders>
              <w:tl2br w:val="nil"/>
              <w:tr2bl w:val="nil"/>
            </w:tcBorders>
            <w:noWrap w:val="0"/>
            <w:vAlign w:val="center"/>
          </w:tcPr>
          <w:p w14:paraId="3E7379B8">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4167A2B9">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934.16</w:t>
            </w:r>
          </w:p>
        </w:tc>
        <w:tc>
          <w:tcPr>
            <w:tcW w:w="483" w:type="pct"/>
            <w:tcBorders>
              <w:tl2br w:val="nil"/>
              <w:tr2bl w:val="nil"/>
            </w:tcBorders>
            <w:noWrap w:val="0"/>
            <w:vAlign w:val="center"/>
          </w:tcPr>
          <w:p w14:paraId="79163F10">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931.04</w:t>
            </w:r>
          </w:p>
        </w:tc>
        <w:tc>
          <w:tcPr>
            <w:tcW w:w="492" w:type="pct"/>
            <w:tcBorders>
              <w:tl2br w:val="nil"/>
              <w:tr2bl w:val="nil"/>
            </w:tcBorders>
            <w:noWrap w:val="0"/>
            <w:vAlign w:val="center"/>
          </w:tcPr>
          <w:p w14:paraId="5B9ACF7D">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929.35</w:t>
            </w:r>
          </w:p>
        </w:tc>
        <w:tc>
          <w:tcPr>
            <w:tcW w:w="475" w:type="pct"/>
            <w:tcBorders>
              <w:tl2br w:val="nil"/>
              <w:tr2bl w:val="nil"/>
            </w:tcBorders>
            <w:noWrap w:val="0"/>
            <w:vAlign w:val="center"/>
          </w:tcPr>
          <w:p w14:paraId="3A47C8B7">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925.17</w:t>
            </w:r>
          </w:p>
        </w:tc>
        <w:tc>
          <w:tcPr>
            <w:tcW w:w="452" w:type="pct"/>
            <w:tcBorders>
              <w:tl2br w:val="nil"/>
              <w:tr2bl w:val="nil"/>
            </w:tcBorders>
            <w:noWrap w:val="0"/>
            <w:vAlign w:val="center"/>
          </w:tcPr>
          <w:p w14:paraId="1D3BF3FB">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920.34</w:t>
            </w:r>
          </w:p>
        </w:tc>
        <w:tc>
          <w:tcPr>
            <w:tcW w:w="437" w:type="pct"/>
            <w:tcBorders>
              <w:tl2br w:val="nil"/>
              <w:tr2bl w:val="nil"/>
            </w:tcBorders>
            <w:noWrap w:val="0"/>
            <w:vAlign w:val="center"/>
          </w:tcPr>
          <w:p w14:paraId="5CB89E79">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928.01</w:t>
            </w:r>
          </w:p>
        </w:tc>
      </w:tr>
      <w:tr w14:paraId="1F34ED7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05" w:hRule="atLeast"/>
          <w:jc w:val="center"/>
        </w:trPr>
        <w:tc>
          <w:tcPr>
            <w:tcW w:w="443" w:type="pct"/>
            <w:vMerge w:val="continue"/>
            <w:tcBorders>
              <w:tl2br w:val="nil"/>
              <w:tr2bl w:val="nil"/>
            </w:tcBorders>
            <w:noWrap w:val="0"/>
            <w:vAlign w:val="center"/>
          </w:tcPr>
          <w:p w14:paraId="7297917F">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1406FDB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4B8DE01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2A598C05">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368EF139">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0.0624</w:t>
            </w:r>
          </w:p>
        </w:tc>
        <w:tc>
          <w:tcPr>
            <w:tcW w:w="483" w:type="pct"/>
            <w:tcBorders>
              <w:tl2br w:val="nil"/>
              <w:tr2bl w:val="nil"/>
            </w:tcBorders>
            <w:noWrap w:val="0"/>
            <w:vAlign w:val="center"/>
          </w:tcPr>
          <w:p w14:paraId="15455247">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0.0621</w:t>
            </w:r>
          </w:p>
        </w:tc>
        <w:tc>
          <w:tcPr>
            <w:tcW w:w="492" w:type="pct"/>
            <w:tcBorders>
              <w:tl2br w:val="nil"/>
              <w:tr2bl w:val="nil"/>
            </w:tcBorders>
            <w:noWrap w:val="0"/>
            <w:vAlign w:val="center"/>
          </w:tcPr>
          <w:p w14:paraId="1DA6199F">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0.0620</w:t>
            </w:r>
          </w:p>
        </w:tc>
        <w:tc>
          <w:tcPr>
            <w:tcW w:w="475" w:type="pct"/>
            <w:tcBorders>
              <w:tl2br w:val="nil"/>
              <w:tr2bl w:val="nil"/>
            </w:tcBorders>
            <w:noWrap w:val="0"/>
            <w:vAlign w:val="center"/>
          </w:tcPr>
          <w:p w14:paraId="37776246">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0.0619</w:t>
            </w:r>
          </w:p>
        </w:tc>
        <w:tc>
          <w:tcPr>
            <w:tcW w:w="452" w:type="pct"/>
            <w:tcBorders>
              <w:tl2br w:val="nil"/>
              <w:tr2bl w:val="nil"/>
            </w:tcBorders>
            <w:noWrap w:val="0"/>
            <w:vAlign w:val="center"/>
          </w:tcPr>
          <w:p w14:paraId="419776DE">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0.0615</w:t>
            </w:r>
          </w:p>
        </w:tc>
        <w:tc>
          <w:tcPr>
            <w:tcW w:w="437" w:type="pct"/>
            <w:tcBorders>
              <w:tl2br w:val="nil"/>
              <w:tr2bl w:val="nil"/>
            </w:tcBorders>
            <w:noWrap w:val="0"/>
            <w:vAlign w:val="center"/>
          </w:tcPr>
          <w:p w14:paraId="57EA27EC">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0.0620</w:t>
            </w:r>
          </w:p>
        </w:tc>
      </w:tr>
      <w:tr w14:paraId="33DCD65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restart"/>
            <w:tcBorders>
              <w:tl2br w:val="nil"/>
              <w:tr2bl w:val="nil"/>
            </w:tcBorders>
            <w:noWrap w:val="0"/>
            <w:vAlign w:val="center"/>
          </w:tcPr>
          <w:p w14:paraId="21EBBED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C15-1-1</w:t>
            </w:r>
          </w:p>
        </w:tc>
        <w:tc>
          <w:tcPr>
            <w:tcW w:w="869" w:type="pct"/>
            <w:vMerge w:val="restart"/>
            <w:tcBorders>
              <w:tl2br w:val="nil"/>
              <w:tr2bl w:val="nil"/>
            </w:tcBorders>
            <w:noWrap w:val="0"/>
            <w:vAlign w:val="center"/>
          </w:tcPr>
          <w:p w14:paraId="4B5EA56F">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升压站西侧</w:t>
            </w:r>
            <w:r>
              <w:rPr>
                <w:rFonts w:ascii="Times New Roman" w:hAnsi="Times New Roman" w:eastAsia="Times New Roman" w:cs="Times New Roman"/>
                <w:color w:val="000000" w:themeColor="text1"/>
                <w:spacing w:val="0"/>
                <w:sz w:val="18"/>
                <w:szCs w:val="18"/>
                <w14:textFill>
                  <w14:solidFill>
                    <w14:schemeClr w14:val="tx1"/>
                  </w14:solidFill>
                </w14:textFill>
              </w:rPr>
              <w:t>5</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5C52AAB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2563CCCA">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04DF34A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841.45</w:t>
            </w:r>
          </w:p>
        </w:tc>
        <w:tc>
          <w:tcPr>
            <w:tcW w:w="483" w:type="pct"/>
            <w:tcBorders>
              <w:tl2br w:val="nil"/>
              <w:tr2bl w:val="nil"/>
            </w:tcBorders>
            <w:noWrap w:val="0"/>
            <w:vAlign w:val="center"/>
          </w:tcPr>
          <w:p w14:paraId="6C3C969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841.36</w:t>
            </w:r>
          </w:p>
        </w:tc>
        <w:tc>
          <w:tcPr>
            <w:tcW w:w="492" w:type="pct"/>
            <w:tcBorders>
              <w:tl2br w:val="nil"/>
              <w:tr2bl w:val="nil"/>
            </w:tcBorders>
            <w:noWrap w:val="0"/>
            <w:vAlign w:val="center"/>
          </w:tcPr>
          <w:p w14:paraId="6B3494F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839.15</w:t>
            </w:r>
          </w:p>
        </w:tc>
        <w:tc>
          <w:tcPr>
            <w:tcW w:w="475" w:type="pct"/>
            <w:tcBorders>
              <w:tl2br w:val="nil"/>
              <w:tr2bl w:val="nil"/>
            </w:tcBorders>
            <w:noWrap w:val="0"/>
            <w:vAlign w:val="center"/>
          </w:tcPr>
          <w:p w14:paraId="4D144F7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837.25</w:t>
            </w:r>
          </w:p>
        </w:tc>
        <w:tc>
          <w:tcPr>
            <w:tcW w:w="452" w:type="pct"/>
            <w:tcBorders>
              <w:tl2br w:val="nil"/>
              <w:tr2bl w:val="nil"/>
            </w:tcBorders>
            <w:noWrap w:val="0"/>
            <w:vAlign w:val="center"/>
          </w:tcPr>
          <w:p w14:paraId="2435703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830.51</w:t>
            </w:r>
          </w:p>
        </w:tc>
        <w:tc>
          <w:tcPr>
            <w:tcW w:w="437" w:type="pct"/>
            <w:tcBorders>
              <w:tl2br w:val="nil"/>
              <w:tr2bl w:val="nil"/>
            </w:tcBorders>
            <w:noWrap w:val="0"/>
            <w:vAlign w:val="center"/>
          </w:tcPr>
          <w:p w14:paraId="48BA56F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837.88</w:t>
            </w:r>
          </w:p>
        </w:tc>
      </w:tr>
      <w:tr w14:paraId="422A5E5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continue"/>
            <w:tcBorders>
              <w:tl2br w:val="nil"/>
              <w:tr2bl w:val="nil"/>
            </w:tcBorders>
            <w:noWrap w:val="0"/>
            <w:vAlign w:val="center"/>
          </w:tcPr>
          <w:p w14:paraId="4830DD9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21E3A35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3B0A5A0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24514D3B">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496343E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0.0534</w:t>
            </w:r>
          </w:p>
        </w:tc>
        <w:tc>
          <w:tcPr>
            <w:tcW w:w="483" w:type="pct"/>
            <w:tcBorders>
              <w:tl2br w:val="nil"/>
              <w:tr2bl w:val="nil"/>
            </w:tcBorders>
            <w:noWrap w:val="0"/>
            <w:vAlign w:val="center"/>
          </w:tcPr>
          <w:p w14:paraId="2E6CC00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0.0531</w:t>
            </w:r>
          </w:p>
        </w:tc>
        <w:tc>
          <w:tcPr>
            <w:tcW w:w="492" w:type="pct"/>
            <w:tcBorders>
              <w:tl2br w:val="nil"/>
              <w:tr2bl w:val="nil"/>
            </w:tcBorders>
            <w:noWrap w:val="0"/>
            <w:vAlign w:val="center"/>
          </w:tcPr>
          <w:p w14:paraId="304E8AA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0.0527</w:t>
            </w:r>
          </w:p>
        </w:tc>
        <w:tc>
          <w:tcPr>
            <w:tcW w:w="475" w:type="pct"/>
            <w:tcBorders>
              <w:tl2br w:val="nil"/>
              <w:tr2bl w:val="nil"/>
            </w:tcBorders>
            <w:noWrap w:val="0"/>
            <w:vAlign w:val="center"/>
          </w:tcPr>
          <w:p w14:paraId="571F1B6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0.0525</w:t>
            </w:r>
          </w:p>
        </w:tc>
        <w:tc>
          <w:tcPr>
            <w:tcW w:w="452" w:type="pct"/>
            <w:tcBorders>
              <w:tl2br w:val="nil"/>
              <w:tr2bl w:val="nil"/>
            </w:tcBorders>
            <w:noWrap w:val="0"/>
            <w:vAlign w:val="center"/>
          </w:tcPr>
          <w:p w14:paraId="4A2EF5F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0.0521</w:t>
            </w:r>
          </w:p>
        </w:tc>
        <w:tc>
          <w:tcPr>
            <w:tcW w:w="437" w:type="pct"/>
            <w:tcBorders>
              <w:tl2br w:val="nil"/>
              <w:tr2bl w:val="nil"/>
            </w:tcBorders>
            <w:noWrap w:val="0"/>
            <w:vAlign w:val="center"/>
          </w:tcPr>
          <w:p w14:paraId="5AB5A5E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0.0528</w:t>
            </w:r>
          </w:p>
        </w:tc>
      </w:tr>
      <w:tr w14:paraId="1059C8C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43" w:type="pct"/>
            <w:vMerge w:val="restart"/>
            <w:tcBorders>
              <w:tl2br w:val="nil"/>
              <w:tr2bl w:val="nil"/>
            </w:tcBorders>
            <w:noWrap w:val="0"/>
            <w:vAlign w:val="center"/>
          </w:tcPr>
          <w:p w14:paraId="14FE109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C16-1-1</w:t>
            </w:r>
          </w:p>
        </w:tc>
        <w:tc>
          <w:tcPr>
            <w:tcW w:w="869" w:type="pct"/>
            <w:vMerge w:val="restart"/>
            <w:tcBorders>
              <w:tl2br w:val="nil"/>
              <w:tr2bl w:val="nil"/>
            </w:tcBorders>
            <w:noWrap w:val="0"/>
            <w:vAlign w:val="center"/>
          </w:tcPr>
          <w:p w14:paraId="465BBEE8">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color w:val="000000" w:themeColor="text1"/>
                <w:spacing w:val="0"/>
                <w:sz w:val="18"/>
                <w:szCs w:val="18"/>
                <w14:textFill>
                  <w14:solidFill>
                    <w14:schemeClr w14:val="tx1"/>
                  </w14:solidFill>
                </w14:textFill>
              </w:rPr>
              <w:t>办公区处</w:t>
            </w:r>
            <w:r>
              <w:rPr>
                <w:rFonts w:ascii="Times New Roman" w:hAnsi="Times New Roman" w:eastAsia="Times New Roman" w:cs="Times New Roman"/>
                <w:color w:val="000000" w:themeColor="text1"/>
                <w:spacing w:val="0"/>
                <w:sz w:val="18"/>
                <w:szCs w:val="18"/>
                <w14:textFill>
                  <w14:solidFill>
                    <w14:schemeClr w14:val="tx1"/>
                  </w14:solidFill>
                </w14:textFill>
              </w:rPr>
              <w:t>1</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50DCC99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0E0D40D0">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51669BE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971.34</w:t>
            </w:r>
          </w:p>
        </w:tc>
        <w:tc>
          <w:tcPr>
            <w:tcW w:w="483" w:type="pct"/>
            <w:tcBorders>
              <w:tl2br w:val="nil"/>
              <w:tr2bl w:val="nil"/>
            </w:tcBorders>
            <w:noWrap w:val="0"/>
            <w:vAlign w:val="center"/>
          </w:tcPr>
          <w:p w14:paraId="5850B86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971.26</w:t>
            </w:r>
          </w:p>
        </w:tc>
        <w:tc>
          <w:tcPr>
            <w:tcW w:w="492" w:type="pct"/>
            <w:tcBorders>
              <w:tl2br w:val="nil"/>
              <w:tr2bl w:val="nil"/>
            </w:tcBorders>
            <w:noWrap w:val="0"/>
            <w:vAlign w:val="center"/>
          </w:tcPr>
          <w:p w14:paraId="548719D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969.34</w:t>
            </w:r>
          </w:p>
        </w:tc>
        <w:tc>
          <w:tcPr>
            <w:tcW w:w="475" w:type="pct"/>
            <w:tcBorders>
              <w:tl2br w:val="nil"/>
              <w:tr2bl w:val="nil"/>
            </w:tcBorders>
            <w:noWrap w:val="0"/>
            <w:vAlign w:val="center"/>
          </w:tcPr>
          <w:p w14:paraId="7EB7650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964.22</w:t>
            </w:r>
          </w:p>
        </w:tc>
        <w:tc>
          <w:tcPr>
            <w:tcW w:w="452" w:type="pct"/>
            <w:tcBorders>
              <w:tl2br w:val="nil"/>
              <w:tr2bl w:val="nil"/>
            </w:tcBorders>
            <w:noWrap w:val="0"/>
            <w:vAlign w:val="center"/>
          </w:tcPr>
          <w:p w14:paraId="2B2E65A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960.20</w:t>
            </w:r>
          </w:p>
        </w:tc>
        <w:tc>
          <w:tcPr>
            <w:tcW w:w="437" w:type="pct"/>
            <w:tcBorders>
              <w:tl2br w:val="nil"/>
              <w:tr2bl w:val="nil"/>
            </w:tcBorders>
            <w:noWrap w:val="0"/>
            <w:vAlign w:val="center"/>
          </w:tcPr>
          <w:p w14:paraId="54D7575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967.27</w:t>
            </w:r>
          </w:p>
        </w:tc>
      </w:tr>
      <w:tr w14:paraId="3DFE7C3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continue"/>
            <w:tcBorders>
              <w:tl2br w:val="nil"/>
              <w:tr2bl w:val="nil"/>
            </w:tcBorders>
            <w:noWrap w:val="0"/>
            <w:vAlign w:val="center"/>
          </w:tcPr>
          <w:p w14:paraId="512AA3C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6964157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6C04283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04643DD1">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7A6B617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0.0617</w:t>
            </w:r>
          </w:p>
        </w:tc>
        <w:tc>
          <w:tcPr>
            <w:tcW w:w="483" w:type="pct"/>
            <w:tcBorders>
              <w:tl2br w:val="nil"/>
              <w:tr2bl w:val="nil"/>
            </w:tcBorders>
            <w:noWrap w:val="0"/>
            <w:vAlign w:val="center"/>
          </w:tcPr>
          <w:p w14:paraId="4B4BDB0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0.0614</w:t>
            </w:r>
          </w:p>
        </w:tc>
        <w:tc>
          <w:tcPr>
            <w:tcW w:w="492" w:type="pct"/>
            <w:tcBorders>
              <w:tl2br w:val="nil"/>
              <w:tr2bl w:val="nil"/>
            </w:tcBorders>
            <w:noWrap w:val="0"/>
            <w:vAlign w:val="center"/>
          </w:tcPr>
          <w:p w14:paraId="315A9F8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0.0610</w:t>
            </w:r>
          </w:p>
        </w:tc>
        <w:tc>
          <w:tcPr>
            <w:tcW w:w="475" w:type="pct"/>
            <w:tcBorders>
              <w:tl2br w:val="nil"/>
              <w:tr2bl w:val="nil"/>
            </w:tcBorders>
            <w:noWrap w:val="0"/>
            <w:vAlign w:val="center"/>
          </w:tcPr>
          <w:p w14:paraId="226947F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0.0602</w:t>
            </w:r>
          </w:p>
        </w:tc>
        <w:tc>
          <w:tcPr>
            <w:tcW w:w="452" w:type="pct"/>
            <w:tcBorders>
              <w:tl2br w:val="nil"/>
              <w:tr2bl w:val="nil"/>
            </w:tcBorders>
            <w:noWrap w:val="0"/>
            <w:vAlign w:val="center"/>
          </w:tcPr>
          <w:p w14:paraId="3F82E47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0.0600</w:t>
            </w:r>
          </w:p>
        </w:tc>
        <w:tc>
          <w:tcPr>
            <w:tcW w:w="437" w:type="pct"/>
            <w:tcBorders>
              <w:tl2br w:val="nil"/>
              <w:tr2bl w:val="nil"/>
            </w:tcBorders>
            <w:noWrap w:val="0"/>
            <w:vAlign w:val="center"/>
          </w:tcPr>
          <w:p w14:paraId="41C6EBB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0.0609</w:t>
            </w:r>
          </w:p>
        </w:tc>
      </w:tr>
      <w:tr w14:paraId="3F7717E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restart"/>
            <w:tcBorders>
              <w:tl2br w:val="nil"/>
              <w:tr2bl w:val="nil"/>
            </w:tcBorders>
            <w:noWrap w:val="0"/>
            <w:vAlign w:val="center"/>
          </w:tcPr>
          <w:p w14:paraId="74A3748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C17-1-1</w:t>
            </w:r>
          </w:p>
        </w:tc>
        <w:tc>
          <w:tcPr>
            <w:tcW w:w="869" w:type="pct"/>
            <w:vMerge w:val="restart"/>
            <w:tcBorders>
              <w:tl2br w:val="nil"/>
              <w:tr2bl w:val="nil"/>
            </w:tcBorders>
            <w:noWrap w:val="0"/>
            <w:vAlign w:val="center"/>
          </w:tcPr>
          <w:p w14:paraId="03F6F6AC">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升压站南</w:t>
            </w:r>
            <w:r>
              <w:rPr>
                <w:rFonts w:ascii="Times New Roman" w:hAnsi="Times New Roman" w:eastAsia="Times New Roman" w:cs="Times New Roman"/>
                <w:color w:val="000000" w:themeColor="text1"/>
                <w:spacing w:val="0"/>
                <w:sz w:val="18"/>
                <w:szCs w:val="18"/>
                <w14:textFill>
                  <w14:solidFill>
                    <w14:schemeClr w14:val="tx1"/>
                  </w14:solidFill>
                </w14:textFill>
              </w:rPr>
              <w:t>5</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2C1F0BF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317E948E">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4501F92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2176.5</w:t>
            </w:r>
          </w:p>
        </w:tc>
        <w:tc>
          <w:tcPr>
            <w:tcW w:w="483" w:type="pct"/>
            <w:tcBorders>
              <w:tl2br w:val="nil"/>
              <w:tr2bl w:val="nil"/>
            </w:tcBorders>
            <w:noWrap w:val="0"/>
            <w:vAlign w:val="center"/>
          </w:tcPr>
          <w:p w14:paraId="192304A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2176.1</w:t>
            </w:r>
          </w:p>
        </w:tc>
        <w:tc>
          <w:tcPr>
            <w:tcW w:w="492" w:type="pct"/>
            <w:tcBorders>
              <w:tl2br w:val="nil"/>
              <w:tr2bl w:val="nil"/>
            </w:tcBorders>
            <w:noWrap w:val="0"/>
            <w:vAlign w:val="center"/>
          </w:tcPr>
          <w:p w14:paraId="7623CC91">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2175.8</w:t>
            </w:r>
          </w:p>
        </w:tc>
        <w:tc>
          <w:tcPr>
            <w:tcW w:w="475" w:type="pct"/>
            <w:tcBorders>
              <w:tl2br w:val="nil"/>
              <w:tr2bl w:val="nil"/>
            </w:tcBorders>
            <w:noWrap w:val="0"/>
            <w:vAlign w:val="center"/>
          </w:tcPr>
          <w:p w14:paraId="0716BF7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2175.4</w:t>
            </w:r>
          </w:p>
        </w:tc>
        <w:tc>
          <w:tcPr>
            <w:tcW w:w="452" w:type="pct"/>
            <w:tcBorders>
              <w:tl2br w:val="nil"/>
              <w:tr2bl w:val="nil"/>
            </w:tcBorders>
            <w:noWrap w:val="0"/>
            <w:vAlign w:val="center"/>
          </w:tcPr>
          <w:p w14:paraId="2AA564E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2174.9</w:t>
            </w:r>
          </w:p>
        </w:tc>
        <w:tc>
          <w:tcPr>
            <w:tcW w:w="437" w:type="pct"/>
            <w:tcBorders>
              <w:tl2br w:val="nil"/>
              <w:tr2bl w:val="nil"/>
            </w:tcBorders>
            <w:noWrap w:val="0"/>
            <w:vAlign w:val="center"/>
          </w:tcPr>
          <w:p w14:paraId="7100178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2175.7</w:t>
            </w:r>
          </w:p>
        </w:tc>
      </w:tr>
      <w:tr w14:paraId="199E975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continue"/>
            <w:tcBorders>
              <w:tl2br w:val="nil"/>
              <w:tr2bl w:val="nil"/>
            </w:tcBorders>
            <w:noWrap w:val="0"/>
            <w:vAlign w:val="center"/>
          </w:tcPr>
          <w:p w14:paraId="51D6661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7F9A016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1124639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5864700F">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3932A6E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0.0724</w:t>
            </w:r>
          </w:p>
        </w:tc>
        <w:tc>
          <w:tcPr>
            <w:tcW w:w="483" w:type="pct"/>
            <w:tcBorders>
              <w:tl2br w:val="nil"/>
              <w:tr2bl w:val="nil"/>
            </w:tcBorders>
            <w:noWrap w:val="0"/>
            <w:vAlign w:val="center"/>
          </w:tcPr>
          <w:p w14:paraId="505A0F1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0.0719</w:t>
            </w:r>
          </w:p>
        </w:tc>
        <w:tc>
          <w:tcPr>
            <w:tcW w:w="492" w:type="pct"/>
            <w:tcBorders>
              <w:tl2br w:val="nil"/>
              <w:tr2bl w:val="nil"/>
            </w:tcBorders>
            <w:noWrap w:val="0"/>
            <w:vAlign w:val="center"/>
          </w:tcPr>
          <w:p w14:paraId="7B719B3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0.0714</w:t>
            </w:r>
          </w:p>
        </w:tc>
        <w:tc>
          <w:tcPr>
            <w:tcW w:w="475" w:type="pct"/>
            <w:tcBorders>
              <w:tl2br w:val="nil"/>
              <w:tr2bl w:val="nil"/>
            </w:tcBorders>
            <w:noWrap w:val="0"/>
            <w:vAlign w:val="center"/>
          </w:tcPr>
          <w:p w14:paraId="2977D42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0.0710</w:t>
            </w:r>
          </w:p>
        </w:tc>
        <w:tc>
          <w:tcPr>
            <w:tcW w:w="452" w:type="pct"/>
            <w:tcBorders>
              <w:tl2br w:val="nil"/>
              <w:tr2bl w:val="nil"/>
            </w:tcBorders>
            <w:noWrap w:val="0"/>
            <w:vAlign w:val="center"/>
          </w:tcPr>
          <w:p w14:paraId="5EBA44C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0.0704</w:t>
            </w:r>
          </w:p>
        </w:tc>
        <w:tc>
          <w:tcPr>
            <w:tcW w:w="437" w:type="pct"/>
            <w:tcBorders>
              <w:tl2br w:val="nil"/>
              <w:tr2bl w:val="nil"/>
            </w:tcBorders>
            <w:noWrap w:val="0"/>
            <w:vAlign w:val="center"/>
          </w:tcPr>
          <w:p w14:paraId="7B07013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0.0714</w:t>
            </w:r>
          </w:p>
        </w:tc>
      </w:tr>
      <w:tr w14:paraId="246692B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43" w:type="pct"/>
            <w:vMerge w:val="restart"/>
            <w:tcBorders>
              <w:tl2br w:val="nil"/>
              <w:tr2bl w:val="nil"/>
            </w:tcBorders>
            <w:noWrap w:val="0"/>
            <w:vAlign w:val="center"/>
          </w:tcPr>
          <w:p w14:paraId="2A22DD6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C18-1-1</w:t>
            </w:r>
          </w:p>
        </w:tc>
        <w:tc>
          <w:tcPr>
            <w:tcW w:w="869" w:type="pct"/>
            <w:vMerge w:val="restart"/>
            <w:tcBorders>
              <w:tl2br w:val="nil"/>
              <w:tr2bl w:val="nil"/>
            </w:tcBorders>
            <w:noWrap w:val="0"/>
            <w:vAlign w:val="center"/>
          </w:tcPr>
          <w:p w14:paraId="233E1484">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w:t>
            </w:r>
            <w:r>
              <w:rPr>
                <w:rFonts w:ascii="Times New Roman" w:hAnsi="Times New Roman" w:eastAsia="Times New Roman" w:cs="Times New Roman"/>
                <w:color w:val="000000" w:themeColor="text1"/>
                <w:spacing w:val="0"/>
                <w:sz w:val="18"/>
                <w:szCs w:val="18"/>
                <w14:textFill>
                  <w14:solidFill>
                    <w14:schemeClr w14:val="tx1"/>
                  </w14:solidFill>
                </w14:textFill>
              </w:rPr>
              <w:t>5</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56321D2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547A15CA">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2B8E4E5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984.25</w:t>
            </w:r>
          </w:p>
        </w:tc>
        <w:tc>
          <w:tcPr>
            <w:tcW w:w="483" w:type="pct"/>
            <w:tcBorders>
              <w:tl2br w:val="nil"/>
              <w:tr2bl w:val="nil"/>
            </w:tcBorders>
            <w:noWrap w:val="0"/>
            <w:vAlign w:val="center"/>
          </w:tcPr>
          <w:p w14:paraId="2A7BAA3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984.21</w:t>
            </w:r>
          </w:p>
        </w:tc>
        <w:tc>
          <w:tcPr>
            <w:tcW w:w="492" w:type="pct"/>
            <w:tcBorders>
              <w:tl2br w:val="nil"/>
              <w:tr2bl w:val="nil"/>
            </w:tcBorders>
            <w:noWrap w:val="0"/>
            <w:vAlign w:val="center"/>
          </w:tcPr>
          <w:p w14:paraId="4E6CB89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982.16</w:t>
            </w:r>
          </w:p>
        </w:tc>
        <w:tc>
          <w:tcPr>
            <w:tcW w:w="475" w:type="pct"/>
            <w:tcBorders>
              <w:tl2br w:val="nil"/>
              <w:tr2bl w:val="nil"/>
            </w:tcBorders>
            <w:noWrap w:val="0"/>
            <w:vAlign w:val="center"/>
          </w:tcPr>
          <w:p w14:paraId="031DD97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980.33</w:t>
            </w:r>
          </w:p>
        </w:tc>
        <w:tc>
          <w:tcPr>
            <w:tcW w:w="452" w:type="pct"/>
            <w:tcBorders>
              <w:tl2br w:val="nil"/>
              <w:tr2bl w:val="nil"/>
            </w:tcBorders>
            <w:noWrap w:val="0"/>
            <w:vAlign w:val="center"/>
          </w:tcPr>
          <w:p w14:paraId="4826FAC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977.16</w:t>
            </w:r>
          </w:p>
        </w:tc>
        <w:tc>
          <w:tcPr>
            <w:tcW w:w="437" w:type="pct"/>
            <w:tcBorders>
              <w:tl2br w:val="nil"/>
              <w:tr2bl w:val="nil"/>
            </w:tcBorders>
            <w:noWrap w:val="0"/>
            <w:vAlign w:val="center"/>
          </w:tcPr>
          <w:p w14:paraId="3418C5E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981.82</w:t>
            </w:r>
          </w:p>
        </w:tc>
      </w:tr>
      <w:tr w14:paraId="7160472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continue"/>
            <w:tcBorders>
              <w:tl2br w:val="nil"/>
              <w:tr2bl w:val="nil"/>
            </w:tcBorders>
            <w:noWrap w:val="0"/>
            <w:vAlign w:val="center"/>
          </w:tcPr>
          <w:p w14:paraId="77BD222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5543A0E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6DE7734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7531AF38">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453B8E3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0.0423</w:t>
            </w:r>
          </w:p>
        </w:tc>
        <w:tc>
          <w:tcPr>
            <w:tcW w:w="483" w:type="pct"/>
            <w:tcBorders>
              <w:tl2br w:val="nil"/>
              <w:tr2bl w:val="nil"/>
            </w:tcBorders>
            <w:noWrap w:val="0"/>
            <w:vAlign w:val="center"/>
          </w:tcPr>
          <w:p w14:paraId="1D06CD7F">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0.0416</w:t>
            </w:r>
          </w:p>
        </w:tc>
        <w:tc>
          <w:tcPr>
            <w:tcW w:w="492" w:type="pct"/>
            <w:tcBorders>
              <w:tl2br w:val="nil"/>
              <w:tr2bl w:val="nil"/>
            </w:tcBorders>
            <w:noWrap w:val="0"/>
            <w:vAlign w:val="center"/>
          </w:tcPr>
          <w:p w14:paraId="33E0B4C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0.0414</w:t>
            </w:r>
          </w:p>
        </w:tc>
        <w:tc>
          <w:tcPr>
            <w:tcW w:w="475" w:type="pct"/>
            <w:tcBorders>
              <w:tl2br w:val="nil"/>
              <w:tr2bl w:val="nil"/>
            </w:tcBorders>
            <w:noWrap w:val="0"/>
            <w:vAlign w:val="center"/>
          </w:tcPr>
          <w:p w14:paraId="42B10BD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0.0406</w:t>
            </w:r>
          </w:p>
        </w:tc>
        <w:tc>
          <w:tcPr>
            <w:tcW w:w="452" w:type="pct"/>
            <w:tcBorders>
              <w:tl2br w:val="nil"/>
              <w:tr2bl w:val="nil"/>
            </w:tcBorders>
            <w:noWrap w:val="0"/>
            <w:vAlign w:val="center"/>
          </w:tcPr>
          <w:p w14:paraId="2A646E6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0.0402</w:t>
            </w:r>
          </w:p>
        </w:tc>
        <w:tc>
          <w:tcPr>
            <w:tcW w:w="437" w:type="pct"/>
            <w:tcBorders>
              <w:tl2br w:val="nil"/>
              <w:tr2bl w:val="nil"/>
            </w:tcBorders>
            <w:noWrap w:val="0"/>
            <w:vAlign w:val="center"/>
          </w:tcPr>
          <w:p w14:paraId="21B1939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0.0412</w:t>
            </w:r>
          </w:p>
        </w:tc>
      </w:tr>
      <w:tr w14:paraId="6D89DEF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restart"/>
            <w:tcBorders>
              <w:tl2br w:val="nil"/>
              <w:tr2bl w:val="nil"/>
            </w:tcBorders>
            <w:noWrap w:val="0"/>
            <w:vAlign w:val="center"/>
          </w:tcPr>
          <w:p w14:paraId="3C63A24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C19-1-1</w:t>
            </w:r>
          </w:p>
        </w:tc>
        <w:tc>
          <w:tcPr>
            <w:tcW w:w="869" w:type="pct"/>
            <w:vMerge w:val="restart"/>
            <w:tcBorders>
              <w:tl2br w:val="nil"/>
              <w:tr2bl w:val="nil"/>
            </w:tcBorders>
            <w:noWrap w:val="0"/>
            <w:vAlign w:val="center"/>
          </w:tcPr>
          <w:p w14:paraId="48D03A03">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升压站东侧围外</w:t>
            </w:r>
            <w:r>
              <w:rPr>
                <w:rFonts w:ascii="Times New Roman" w:hAnsi="Times New Roman" w:eastAsia="Times New Roman" w:cs="Times New Roman"/>
                <w:color w:val="000000" w:themeColor="text1"/>
                <w:spacing w:val="0"/>
                <w:sz w:val="18"/>
                <w:szCs w:val="18"/>
                <w14:textFill>
                  <w14:solidFill>
                    <w14:schemeClr w14:val="tx1"/>
                  </w14:solidFill>
                </w14:textFill>
              </w:rPr>
              <w:t>5</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57AA9C2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2B4F8E5C">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4E0667F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762.17</w:t>
            </w:r>
          </w:p>
        </w:tc>
        <w:tc>
          <w:tcPr>
            <w:tcW w:w="483" w:type="pct"/>
            <w:tcBorders>
              <w:tl2br w:val="nil"/>
              <w:tr2bl w:val="nil"/>
            </w:tcBorders>
            <w:noWrap w:val="0"/>
            <w:vAlign w:val="center"/>
          </w:tcPr>
          <w:p w14:paraId="1B11740F">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760.44</w:t>
            </w:r>
          </w:p>
        </w:tc>
        <w:tc>
          <w:tcPr>
            <w:tcW w:w="492" w:type="pct"/>
            <w:tcBorders>
              <w:tl2br w:val="nil"/>
              <w:tr2bl w:val="nil"/>
            </w:tcBorders>
            <w:noWrap w:val="0"/>
            <w:vAlign w:val="center"/>
          </w:tcPr>
          <w:p w14:paraId="00C4643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759.15</w:t>
            </w:r>
          </w:p>
        </w:tc>
        <w:tc>
          <w:tcPr>
            <w:tcW w:w="475" w:type="pct"/>
            <w:tcBorders>
              <w:tl2br w:val="nil"/>
              <w:tr2bl w:val="nil"/>
            </w:tcBorders>
            <w:noWrap w:val="0"/>
            <w:vAlign w:val="center"/>
          </w:tcPr>
          <w:p w14:paraId="2F7BF23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757.25</w:t>
            </w:r>
          </w:p>
        </w:tc>
        <w:tc>
          <w:tcPr>
            <w:tcW w:w="452" w:type="pct"/>
            <w:tcBorders>
              <w:tl2br w:val="nil"/>
              <w:tr2bl w:val="nil"/>
            </w:tcBorders>
            <w:noWrap w:val="0"/>
            <w:vAlign w:val="center"/>
          </w:tcPr>
          <w:p w14:paraId="002FA37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755.36</w:t>
            </w:r>
          </w:p>
        </w:tc>
        <w:tc>
          <w:tcPr>
            <w:tcW w:w="437" w:type="pct"/>
            <w:tcBorders>
              <w:tl2br w:val="nil"/>
              <w:tr2bl w:val="nil"/>
            </w:tcBorders>
            <w:noWrap w:val="0"/>
            <w:vAlign w:val="center"/>
          </w:tcPr>
          <w:p w14:paraId="79D547B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758.87</w:t>
            </w:r>
          </w:p>
        </w:tc>
      </w:tr>
      <w:tr w14:paraId="40D56FA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43" w:type="pct"/>
            <w:vMerge w:val="continue"/>
            <w:tcBorders>
              <w:tl2br w:val="nil"/>
              <w:tr2bl w:val="nil"/>
            </w:tcBorders>
            <w:noWrap w:val="0"/>
            <w:vAlign w:val="center"/>
          </w:tcPr>
          <w:p w14:paraId="7EEB831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0D61695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27DAD14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35205E2F">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3DF0DDD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0.0336</w:t>
            </w:r>
          </w:p>
        </w:tc>
        <w:tc>
          <w:tcPr>
            <w:tcW w:w="483" w:type="pct"/>
            <w:tcBorders>
              <w:tl2br w:val="nil"/>
              <w:tr2bl w:val="nil"/>
            </w:tcBorders>
            <w:noWrap w:val="0"/>
            <w:vAlign w:val="center"/>
          </w:tcPr>
          <w:p w14:paraId="2DEF092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0.0334</w:t>
            </w:r>
          </w:p>
        </w:tc>
        <w:tc>
          <w:tcPr>
            <w:tcW w:w="492" w:type="pct"/>
            <w:tcBorders>
              <w:tl2br w:val="nil"/>
              <w:tr2bl w:val="nil"/>
            </w:tcBorders>
            <w:noWrap w:val="0"/>
            <w:vAlign w:val="center"/>
          </w:tcPr>
          <w:p w14:paraId="593B3D7F">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0.0329</w:t>
            </w:r>
          </w:p>
        </w:tc>
        <w:tc>
          <w:tcPr>
            <w:tcW w:w="475" w:type="pct"/>
            <w:tcBorders>
              <w:tl2br w:val="nil"/>
              <w:tr2bl w:val="nil"/>
            </w:tcBorders>
            <w:noWrap w:val="0"/>
            <w:vAlign w:val="center"/>
          </w:tcPr>
          <w:p w14:paraId="177867D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0.0325</w:t>
            </w:r>
          </w:p>
        </w:tc>
        <w:tc>
          <w:tcPr>
            <w:tcW w:w="452" w:type="pct"/>
            <w:tcBorders>
              <w:tl2br w:val="nil"/>
              <w:tr2bl w:val="nil"/>
            </w:tcBorders>
            <w:noWrap w:val="0"/>
            <w:vAlign w:val="center"/>
          </w:tcPr>
          <w:p w14:paraId="13F19E8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0.0319</w:t>
            </w:r>
          </w:p>
        </w:tc>
        <w:tc>
          <w:tcPr>
            <w:tcW w:w="437" w:type="pct"/>
            <w:tcBorders>
              <w:tl2br w:val="nil"/>
              <w:tr2bl w:val="nil"/>
            </w:tcBorders>
            <w:noWrap w:val="0"/>
            <w:vAlign w:val="center"/>
          </w:tcPr>
          <w:p w14:paraId="0ACBF35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0.0329</w:t>
            </w:r>
          </w:p>
        </w:tc>
      </w:tr>
      <w:tr w14:paraId="7A97499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restart"/>
            <w:tcBorders>
              <w:tl2br w:val="nil"/>
              <w:tr2bl w:val="nil"/>
            </w:tcBorders>
            <w:noWrap w:val="0"/>
            <w:vAlign w:val="center"/>
          </w:tcPr>
          <w:p w14:paraId="7788736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C20-1-1</w:t>
            </w:r>
          </w:p>
        </w:tc>
        <w:tc>
          <w:tcPr>
            <w:tcW w:w="869" w:type="pct"/>
            <w:vMerge w:val="restart"/>
            <w:tcBorders>
              <w:tl2br w:val="nil"/>
              <w:tr2bl w:val="nil"/>
            </w:tcBorders>
            <w:noWrap w:val="0"/>
            <w:vAlign w:val="center"/>
          </w:tcPr>
          <w:p w14:paraId="7A5A821F">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升压站东侧围墙外</w:t>
            </w:r>
            <w:r>
              <w:rPr>
                <w:rFonts w:ascii="Times New Roman" w:hAnsi="Times New Roman" w:eastAsia="Times New Roman" w:cs="Times New Roman"/>
                <w:color w:val="000000" w:themeColor="text1"/>
                <w:spacing w:val="0"/>
                <w:sz w:val="18"/>
                <w:szCs w:val="18"/>
                <w14:textFill>
                  <w14:solidFill>
                    <w14:schemeClr w14:val="tx1"/>
                  </w14:solidFill>
                </w14:textFill>
              </w:rPr>
              <w:t>15</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27DC16C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25318EAC">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684CDFE1">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621.34</w:t>
            </w:r>
          </w:p>
        </w:tc>
        <w:tc>
          <w:tcPr>
            <w:tcW w:w="483" w:type="pct"/>
            <w:tcBorders>
              <w:tl2br w:val="nil"/>
              <w:tr2bl w:val="nil"/>
            </w:tcBorders>
            <w:noWrap w:val="0"/>
            <w:vAlign w:val="center"/>
          </w:tcPr>
          <w:p w14:paraId="327C86C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620.14</w:t>
            </w:r>
          </w:p>
        </w:tc>
        <w:tc>
          <w:tcPr>
            <w:tcW w:w="492" w:type="pct"/>
            <w:tcBorders>
              <w:tl2br w:val="nil"/>
              <w:tr2bl w:val="nil"/>
            </w:tcBorders>
            <w:noWrap w:val="0"/>
            <w:vAlign w:val="center"/>
          </w:tcPr>
          <w:p w14:paraId="605ACB5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618.36</w:t>
            </w:r>
          </w:p>
        </w:tc>
        <w:tc>
          <w:tcPr>
            <w:tcW w:w="475" w:type="pct"/>
            <w:tcBorders>
              <w:tl2br w:val="nil"/>
              <w:tr2bl w:val="nil"/>
            </w:tcBorders>
            <w:noWrap w:val="0"/>
            <w:vAlign w:val="center"/>
          </w:tcPr>
          <w:p w14:paraId="08EBD0B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615.25</w:t>
            </w:r>
          </w:p>
        </w:tc>
        <w:tc>
          <w:tcPr>
            <w:tcW w:w="452" w:type="pct"/>
            <w:tcBorders>
              <w:tl2br w:val="nil"/>
              <w:tr2bl w:val="nil"/>
            </w:tcBorders>
            <w:noWrap w:val="0"/>
            <w:vAlign w:val="center"/>
          </w:tcPr>
          <w:p w14:paraId="4450EAF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610.14</w:t>
            </w:r>
          </w:p>
        </w:tc>
        <w:tc>
          <w:tcPr>
            <w:tcW w:w="437" w:type="pct"/>
            <w:tcBorders>
              <w:tl2br w:val="nil"/>
              <w:tr2bl w:val="nil"/>
            </w:tcBorders>
            <w:noWrap w:val="0"/>
            <w:vAlign w:val="center"/>
          </w:tcPr>
          <w:p w14:paraId="38A1DDF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617.05</w:t>
            </w:r>
          </w:p>
        </w:tc>
      </w:tr>
      <w:tr w14:paraId="6E25894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continue"/>
            <w:tcBorders>
              <w:tl2br w:val="nil"/>
              <w:tr2bl w:val="nil"/>
            </w:tcBorders>
            <w:noWrap w:val="0"/>
            <w:vAlign w:val="center"/>
          </w:tcPr>
          <w:p w14:paraId="458721C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11517F2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4B26CAA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0E82BBC4">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018B156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0.0254</w:t>
            </w:r>
          </w:p>
        </w:tc>
        <w:tc>
          <w:tcPr>
            <w:tcW w:w="483" w:type="pct"/>
            <w:tcBorders>
              <w:tl2br w:val="nil"/>
              <w:tr2bl w:val="nil"/>
            </w:tcBorders>
            <w:noWrap w:val="0"/>
            <w:vAlign w:val="center"/>
          </w:tcPr>
          <w:p w14:paraId="2550419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0.0251</w:t>
            </w:r>
          </w:p>
        </w:tc>
        <w:tc>
          <w:tcPr>
            <w:tcW w:w="492" w:type="pct"/>
            <w:tcBorders>
              <w:tl2br w:val="nil"/>
              <w:tr2bl w:val="nil"/>
            </w:tcBorders>
            <w:noWrap w:val="0"/>
            <w:vAlign w:val="center"/>
          </w:tcPr>
          <w:p w14:paraId="091DE9F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0.0249</w:t>
            </w:r>
          </w:p>
        </w:tc>
        <w:tc>
          <w:tcPr>
            <w:tcW w:w="475" w:type="pct"/>
            <w:tcBorders>
              <w:tl2br w:val="nil"/>
              <w:tr2bl w:val="nil"/>
            </w:tcBorders>
            <w:noWrap w:val="0"/>
            <w:vAlign w:val="center"/>
          </w:tcPr>
          <w:p w14:paraId="7F07919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0.0247</w:t>
            </w:r>
          </w:p>
        </w:tc>
        <w:tc>
          <w:tcPr>
            <w:tcW w:w="452" w:type="pct"/>
            <w:tcBorders>
              <w:tl2br w:val="nil"/>
              <w:tr2bl w:val="nil"/>
            </w:tcBorders>
            <w:noWrap w:val="0"/>
            <w:vAlign w:val="center"/>
          </w:tcPr>
          <w:p w14:paraId="5831018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0.0250</w:t>
            </w:r>
          </w:p>
        </w:tc>
        <w:tc>
          <w:tcPr>
            <w:tcW w:w="437" w:type="pct"/>
            <w:tcBorders>
              <w:tl2br w:val="nil"/>
              <w:tr2bl w:val="nil"/>
            </w:tcBorders>
            <w:noWrap w:val="0"/>
            <w:vAlign w:val="center"/>
          </w:tcPr>
          <w:p w14:paraId="19FED46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0.0250</w:t>
            </w:r>
          </w:p>
        </w:tc>
      </w:tr>
      <w:tr w14:paraId="48A753D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43" w:type="pct"/>
            <w:vMerge w:val="restart"/>
            <w:tcBorders>
              <w:tl2br w:val="nil"/>
              <w:tr2bl w:val="nil"/>
            </w:tcBorders>
            <w:noWrap w:val="0"/>
            <w:vAlign w:val="center"/>
          </w:tcPr>
          <w:p w14:paraId="6A97819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C21-1-1</w:t>
            </w:r>
          </w:p>
        </w:tc>
        <w:tc>
          <w:tcPr>
            <w:tcW w:w="869" w:type="pct"/>
            <w:vMerge w:val="restart"/>
            <w:tcBorders>
              <w:tl2br w:val="nil"/>
              <w:tr2bl w:val="nil"/>
            </w:tcBorders>
            <w:noWrap w:val="0"/>
            <w:vAlign w:val="center"/>
          </w:tcPr>
          <w:p w14:paraId="34CCF082">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升压站东侧围墙外</w:t>
            </w:r>
            <w:r>
              <w:rPr>
                <w:rFonts w:ascii="Times New Roman" w:hAnsi="Times New Roman" w:eastAsia="Times New Roman" w:cs="Times New Roman"/>
                <w:color w:val="000000" w:themeColor="text1"/>
                <w:spacing w:val="0"/>
                <w:sz w:val="18"/>
                <w:szCs w:val="18"/>
                <w14:textFill>
                  <w14:solidFill>
                    <w14:schemeClr w14:val="tx1"/>
                  </w14:solidFill>
                </w14:textFill>
              </w:rPr>
              <w:t>20</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0F9B72C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38DE01C8">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3AC4540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547.25</w:t>
            </w:r>
          </w:p>
        </w:tc>
        <w:tc>
          <w:tcPr>
            <w:tcW w:w="483" w:type="pct"/>
            <w:tcBorders>
              <w:tl2br w:val="nil"/>
              <w:tr2bl w:val="nil"/>
            </w:tcBorders>
            <w:noWrap w:val="0"/>
            <w:vAlign w:val="center"/>
          </w:tcPr>
          <w:p w14:paraId="2ECF2721">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572.14</w:t>
            </w:r>
          </w:p>
        </w:tc>
        <w:tc>
          <w:tcPr>
            <w:tcW w:w="492" w:type="pct"/>
            <w:tcBorders>
              <w:tl2br w:val="nil"/>
              <w:tr2bl w:val="nil"/>
            </w:tcBorders>
            <w:noWrap w:val="0"/>
            <w:vAlign w:val="center"/>
          </w:tcPr>
          <w:p w14:paraId="4F3E642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570.25</w:t>
            </w:r>
          </w:p>
        </w:tc>
        <w:tc>
          <w:tcPr>
            <w:tcW w:w="475" w:type="pct"/>
            <w:tcBorders>
              <w:tl2br w:val="nil"/>
              <w:tr2bl w:val="nil"/>
            </w:tcBorders>
            <w:noWrap w:val="0"/>
            <w:vAlign w:val="center"/>
          </w:tcPr>
          <w:p w14:paraId="046BA06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568.16</w:t>
            </w:r>
          </w:p>
        </w:tc>
        <w:tc>
          <w:tcPr>
            <w:tcW w:w="452" w:type="pct"/>
            <w:tcBorders>
              <w:tl2br w:val="nil"/>
              <w:tr2bl w:val="nil"/>
            </w:tcBorders>
            <w:noWrap w:val="0"/>
            <w:vAlign w:val="center"/>
          </w:tcPr>
          <w:p w14:paraId="1B9B0D9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656.27</w:t>
            </w:r>
          </w:p>
        </w:tc>
        <w:tc>
          <w:tcPr>
            <w:tcW w:w="437" w:type="pct"/>
            <w:tcBorders>
              <w:tl2br w:val="nil"/>
              <w:tr2bl w:val="nil"/>
            </w:tcBorders>
            <w:noWrap w:val="0"/>
            <w:vAlign w:val="center"/>
          </w:tcPr>
          <w:p w14:paraId="4663167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570.01</w:t>
            </w:r>
          </w:p>
        </w:tc>
      </w:tr>
      <w:tr w14:paraId="6553C10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continue"/>
            <w:tcBorders>
              <w:tl2br w:val="nil"/>
              <w:tr2bl w:val="nil"/>
            </w:tcBorders>
            <w:noWrap w:val="0"/>
            <w:vAlign w:val="center"/>
          </w:tcPr>
          <w:p w14:paraId="3130958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2CA9006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5FB5FCE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71AA58D5">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53DDDDC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0.0213</w:t>
            </w:r>
          </w:p>
        </w:tc>
        <w:tc>
          <w:tcPr>
            <w:tcW w:w="483" w:type="pct"/>
            <w:tcBorders>
              <w:tl2br w:val="nil"/>
              <w:tr2bl w:val="nil"/>
            </w:tcBorders>
            <w:noWrap w:val="0"/>
            <w:vAlign w:val="center"/>
          </w:tcPr>
          <w:p w14:paraId="4761956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0.0211</w:t>
            </w:r>
          </w:p>
        </w:tc>
        <w:tc>
          <w:tcPr>
            <w:tcW w:w="492" w:type="pct"/>
            <w:tcBorders>
              <w:tl2br w:val="nil"/>
              <w:tr2bl w:val="nil"/>
            </w:tcBorders>
            <w:noWrap w:val="0"/>
            <w:vAlign w:val="center"/>
          </w:tcPr>
          <w:p w14:paraId="6BB8FB1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0.0209</w:t>
            </w:r>
          </w:p>
        </w:tc>
        <w:tc>
          <w:tcPr>
            <w:tcW w:w="475" w:type="pct"/>
            <w:tcBorders>
              <w:tl2br w:val="nil"/>
              <w:tr2bl w:val="nil"/>
            </w:tcBorders>
            <w:noWrap w:val="0"/>
            <w:vAlign w:val="center"/>
          </w:tcPr>
          <w:p w14:paraId="2798928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0.0206</w:t>
            </w:r>
          </w:p>
        </w:tc>
        <w:tc>
          <w:tcPr>
            <w:tcW w:w="452" w:type="pct"/>
            <w:tcBorders>
              <w:tl2br w:val="nil"/>
              <w:tr2bl w:val="nil"/>
            </w:tcBorders>
            <w:noWrap w:val="0"/>
            <w:vAlign w:val="center"/>
          </w:tcPr>
          <w:p w14:paraId="2D89400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0.0204</w:t>
            </w:r>
          </w:p>
        </w:tc>
        <w:tc>
          <w:tcPr>
            <w:tcW w:w="437" w:type="pct"/>
            <w:tcBorders>
              <w:tl2br w:val="nil"/>
              <w:tr2bl w:val="nil"/>
            </w:tcBorders>
            <w:noWrap w:val="0"/>
            <w:vAlign w:val="center"/>
          </w:tcPr>
          <w:p w14:paraId="4F13ED5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0.0209</w:t>
            </w:r>
          </w:p>
        </w:tc>
      </w:tr>
      <w:tr w14:paraId="039635E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restart"/>
            <w:tcBorders>
              <w:tl2br w:val="nil"/>
              <w:tr2bl w:val="nil"/>
            </w:tcBorders>
            <w:noWrap w:val="0"/>
            <w:vAlign w:val="center"/>
          </w:tcPr>
          <w:p w14:paraId="099DE41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C22-1-1</w:t>
            </w:r>
          </w:p>
        </w:tc>
        <w:tc>
          <w:tcPr>
            <w:tcW w:w="869" w:type="pct"/>
            <w:vMerge w:val="restart"/>
            <w:tcBorders>
              <w:tl2br w:val="nil"/>
              <w:tr2bl w:val="nil"/>
            </w:tcBorders>
            <w:noWrap w:val="0"/>
            <w:vAlign w:val="center"/>
          </w:tcPr>
          <w:p w14:paraId="27280FA9">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升压站东侧围墙外</w:t>
            </w:r>
            <w:r>
              <w:rPr>
                <w:rFonts w:ascii="Times New Roman" w:hAnsi="Times New Roman" w:eastAsia="Times New Roman" w:cs="Times New Roman"/>
                <w:color w:val="000000" w:themeColor="text1"/>
                <w:spacing w:val="0"/>
                <w:sz w:val="18"/>
                <w:szCs w:val="18"/>
                <w14:textFill>
                  <w14:solidFill>
                    <w14:schemeClr w14:val="tx1"/>
                  </w14:solidFill>
                </w14:textFill>
              </w:rPr>
              <w:t>25</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2D4D423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7DF68075">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43EEC15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425.32</w:t>
            </w:r>
          </w:p>
        </w:tc>
        <w:tc>
          <w:tcPr>
            <w:tcW w:w="483" w:type="pct"/>
            <w:tcBorders>
              <w:tl2br w:val="nil"/>
              <w:tr2bl w:val="nil"/>
            </w:tcBorders>
            <w:noWrap w:val="0"/>
            <w:vAlign w:val="center"/>
          </w:tcPr>
          <w:p w14:paraId="7700C7F1">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424.16</w:t>
            </w:r>
          </w:p>
        </w:tc>
        <w:tc>
          <w:tcPr>
            <w:tcW w:w="492" w:type="pct"/>
            <w:tcBorders>
              <w:tl2br w:val="nil"/>
              <w:tr2bl w:val="nil"/>
            </w:tcBorders>
            <w:noWrap w:val="0"/>
            <w:vAlign w:val="center"/>
          </w:tcPr>
          <w:p w14:paraId="498AC74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422.05</w:t>
            </w:r>
          </w:p>
        </w:tc>
        <w:tc>
          <w:tcPr>
            <w:tcW w:w="475" w:type="pct"/>
            <w:tcBorders>
              <w:tl2br w:val="nil"/>
              <w:tr2bl w:val="nil"/>
            </w:tcBorders>
            <w:noWrap w:val="0"/>
            <w:vAlign w:val="center"/>
          </w:tcPr>
          <w:p w14:paraId="408AE7C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420.35</w:t>
            </w:r>
          </w:p>
        </w:tc>
        <w:tc>
          <w:tcPr>
            <w:tcW w:w="452" w:type="pct"/>
            <w:tcBorders>
              <w:tl2br w:val="nil"/>
              <w:tr2bl w:val="nil"/>
            </w:tcBorders>
            <w:noWrap w:val="0"/>
            <w:vAlign w:val="center"/>
          </w:tcPr>
          <w:p w14:paraId="41573AF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418.45</w:t>
            </w:r>
          </w:p>
        </w:tc>
        <w:tc>
          <w:tcPr>
            <w:tcW w:w="437" w:type="pct"/>
            <w:tcBorders>
              <w:tl2br w:val="nil"/>
              <w:tr2bl w:val="nil"/>
            </w:tcBorders>
            <w:noWrap w:val="0"/>
            <w:vAlign w:val="center"/>
          </w:tcPr>
          <w:p w14:paraId="1F19AA3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422.07</w:t>
            </w:r>
          </w:p>
        </w:tc>
      </w:tr>
      <w:tr w14:paraId="686CE7F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1" w:hRule="atLeast"/>
          <w:jc w:val="center"/>
        </w:trPr>
        <w:tc>
          <w:tcPr>
            <w:tcW w:w="443" w:type="pct"/>
            <w:vMerge w:val="continue"/>
            <w:tcBorders>
              <w:tl2br w:val="nil"/>
              <w:tr2bl w:val="nil"/>
            </w:tcBorders>
            <w:noWrap w:val="0"/>
            <w:vAlign w:val="center"/>
          </w:tcPr>
          <w:p w14:paraId="41A4EC0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672529D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663992F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57D3B844">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257F04E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0.0195</w:t>
            </w:r>
          </w:p>
        </w:tc>
        <w:tc>
          <w:tcPr>
            <w:tcW w:w="483" w:type="pct"/>
            <w:tcBorders>
              <w:tl2br w:val="nil"/>
              <w:tr2bl w:val="nil"/>
            </w:tcBorders>
            <w:noWrap w:val="0"/>
            <w:vAlign w:val="center"/>
          </w:tcPr>
          <w:p w14:paraId="3F475AC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0.0192</w:t>
            </w:r>
          </w:p>
        </w:tc>
        <w:tc>
          <w:tcPr>
            <w:tcW w:w="492" w:type="pct"/>
            <w:tcBorders>
              <w:tl2br w:val="nil"/>
              <w:tr2bl w:val="nil"/>
            </w:tcBorders>
            <w:noWrap w:val="0"/>
            <w:vAlign w:val="center"/>
          </w:tcPr>
          <w:p w14:paraId="2FF8631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0.0190</w:t>
            </w:r>
          </w:p>
        </w:tc>
        <w:tc>
          <w:tcPr>
            <w:tcW w:w="475" w:type="pct"/>
            <w:tcBorders>
              <w:tl2br w:val="nil"/>
              <w:tr2bl w:val="nil"/>
            </w:tcBorders>
            <w:noWrap w:val="0"/>
            <w:vAlign w:val="center"/>
          </w:tcPr>
          <w:p w14:paraId="342384B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0.0187</w:t>
            </w:r>
          </w:p>
        </w:tc>
        <w:tc>
          <w:tcPr>
            <w:tcW w:w="452" w:type="pct"/>
            <w:tcBorders>
              <w:tl2br w:val="nil"/>
              <w:tr2bl w:val="nil"/>
            </w:tcBorders>
            <w:noWrap w:val="0"/>
            <w:vAlign w:val="center"/>
          </w:tcPr>
          <w:p w14:paraId="01620D8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0.0185</w:t>
            </w:r>
          </w:p>
        </w:tc>
        <w:tc>
          <w:tcPr>
            <w:tcW w:w="437" w:type="pct"/>
            <w:tcBorders>
              <w:tl2br w:val="nil"/>
              <w:tr2bl w:val="nil"/>
            </w:tcBorders>
            <w:noWrap w:val="0"/>
            <w:vAlign w:val="center"/>
          </w:tcPr>
          <w:p w14:paraId="510BF78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0.0190</w:t>
            </w:r>
          </w:p>
        </w:tc>
      </w:tr>
      <w:tr w14:paraId="65D40D0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restart"/>
            <w:tcBorders>
              <w:tl2br w:val="nil"/>
              <w:tr2bl w:val="nil"/>
            </w:tcBorders>
            <w:noWrap w:val="0"/>
            <w:vAlign w:val="center"/>
          </w:tcPr>
          <w:p w14:paraId="6200381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C23-1-1</w:t>
            </w:r>
          </w:p>
        </w:tc>
        <w:tc>
          <w:tcPr>
            <w:tcW w:w="869" w:type="pct"/>
            <w:vMerge w:val="restart"/>
            <w:tcBorders>
              <w:tl2br w:val="nil"/>
              <w:tr2bl w:val="nil"/>
            </w:tcBorders>
            <w:noWrap w:val="0"/>
            <w:vAlign w:val="center"/>
          </w:tcPr>
          <w:p w14:paraId="13076213">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升压站东侧围墙外</w:t>
            </w:r>
            <w:r>
              <w:rPr>
                <w:rFonts w:ascii="Times New Roman" w:hAnsi="Times New Roman" w:eastAsia="Times New Roman" w:cs="Times New Roman"/>
                <w:color w:val="000000" w:themeColor="text1"/>
                <w:spacing w:val="0"/>
                <w:sz w:val="18"/>
                <w:szCs w:val="18"/>
                <w14:textFill>
                  <w14:solidFill>
                    <w14:schemeClr w14:val="tx1"/>
                  </w14:solidFill>
                </w14:textFill>
              </w:rPr>
              <w:t>30</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118C07A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182953A8">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66EE394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395.19</w:t>
            </w:r>
          </w:p>
        </w:tc>
        <w:tc>
          <w:tcPr>
            <w:tcW w:w="483" w:type="pct"/>
            <w:tcBorders>
              <w:tl2br w:val="nil"/>
              <w:tr2bl w:val="nil"/>
            </w:tcBorders>
            <w:noWrap w:val="0"/>
            <w:vAlign w:val="center"/>
          </w:tcPr>
          <w:p w14:paraId="1C77B02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392.45</w:t>
            </w:r>
          </w:p>
        </w:tc>
        <w:tc>
          <w:tcPr>
            <w:tcW w:w="492" w:type="pct"/>
            <w:tcBorders>
              <w:tl2br w:val="nil"/>
              <w:tr2bl w:val="nil"/>
            </w:tcBorders>
            <w:noWrap w:val="0"/>
            <w:vAlign w:val="center"/>
          </w:tcPr>
          <w:p w14:paraId="2EFB1D0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390.25</w:t>
            </w:r>
          </w:p>
        </w:tc>
        <w:tc>
          <w:tcPr>
            <w:tcW w:w="475" w:type="pct"/>
            <w:tcBorders>
              <w:tl2br w:val="nil"/>
              <w:tr2bl w:val="nil"/>
            </w:tcBorders>
            <w:noWrap w:val="0"/>
            <w:vAlign w:val="center"/>
          </w:tcPr>
          <w:p w14:paraId="323A672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386.35</w:t>
            </w:r>
          </w:p>
        </w:tc>
        <w:tc>
          <w:tcPr>
            <w:tcW w:w="452" w:type="pct"/>
            <w:tcBorders>
              <w:tl2br w:val="nil"/>
              <w:tr2bl w:val="nil"/>
            </w:tcBorders>
            <w:noWrap w:val="0"/>
            <w:vAlign w:val="center"/>
          </w:tcPr>
          <w:p w14:paraId="0C6B32A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385.11</w:t>
            </w:r>
          </w:p>
        </w:tc>
        <w:tc>
          <w:tcPr>
            <w:tcW w:w="437" w:type="pct"/>
            <w:tcBorders>
              <w:tl2br w:val="nil"/>
              <w:tr2bl w:val="nil"/>
            </w:tcBorders>
            <w:noWrap w:val="0"/>
            <w:vAlign w:val="center"/>
          </w:tcPr>
          <w:p w14:paraId="1BA2E81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389.87</w:t>
            </w:r>
          </w:p>
        </w:tc>
      </w:tr>
      <w:tr w14:paraId="7EE007F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continue"/>
            <w:tcBorders>
              <w:tl2br w:val="nil"/>
              <w:tr2bl w:val="nil"/>
            </w:tcBorders>
            <w:noWrap w:val="0"/>
            <w:vAlign w:val="center"/>
          </w:tcPr>
          <w:p w14:paraId="3C6A3DD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4131926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012D385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7D13388F">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6136D5B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0.0174</w:t>
            </w:r>
          </w:p>
        </w:tc>
        <w:tc>
          <w:tcPr>
            <w:tcW w:w="483" w:type="pct"/>
            <w:tcBorders>
              <w:tl2br w:val="nil"/>
              <w:tr2bl w:val="nil"/>
            </w:tcBorders>
            <w:noWrap w:val="0"/>
            <w:vAlign w:val="center"/>
          </w:tcPr>
          <w:p w14:paraId="361E01A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0.0171</w:t>
            </w:r>
          </w:p>
        </w:tc>
        <w:tc>
          <w:tcPr>
            <w:tcW w:w="492" w:type="pct"/>
            <w:tcBorders>
              <w:tl2br w:val="nil"/>
              <w:tr2bl w:val="nil"/>
            </w:tcBorders>
            <w:noWrap w:val="0"/>
            <w:vAlign w:val="center"/>
          </w:tcPr>
          <w:p w14:paraId="3BCBF9E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0.0168</w:t>
            </w:r>
          </w:p>
        </w:tc>
        <w:tc>
          <w:tcPr>
            <w:tcW w:w="475" w:type="pct"/>
            <w:tcBorders>
              <w:tl2br w:val="nil"/>
              <w:tr2bl w:val="nil"/>
            </w:tcBorders>
            <w:noWrap w:val="0"/>
            <w:vAlign w:val="center"/>
          </w:tcPr>
          <w:p w14:paraId="1ABB8EEF">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0.0164</w:t>
            </w:r>
          </w:p>
        </w:tc>
        <w:tc>
          <w:tcPr>
            <w:tcW w:w="452" w:type="pct"/>
            <w:tcBorders>
              <w:tl2br w:val="nil"/>
              <w:tr2bl w:val="nil"/>
            </w:tcBorders>
            <w:noWrap w:val="0"/>
            <w:vAlign w:val="center"/>
          </w:tcPr>
          <w:p w14:paraId="5FC1E0D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0.0160</w:t>
            </w:r>
          </w:p>
        </w:tc>
        <w:tc>
          <w:tcPr>
            <w:tcW w:w="437" w:type="pct"/>
            <w:tcBorders>
              <w:tl2br w:val="nil"/>
              <w:tr2bl w:val="nil"/>
            </w:tcBorders>
            <w:noWrap w:val="0"/>
            <w:vAlign w:val="center"/>
          </w:tcPr>
          <w:p w14:paraId="3C3A7E4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0.0167</w:t>
            </w:r>
          </w:p>
        </w:tc>
      </w:tr>
      <w:tr w14:paraId="5F10812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8" w:hRule="atLeast"/>
          <w:jc w:val="center"/>
        </w:trPr>
        <w:tc>
          <w:tcPr>
            <w:tcW w:w="443" w:type="pct"/>
            <w:vMerge w:val="restart"/>
            <w:tcBorders>
              <w:tl2br w:val="nil"/>
              <w:tr2bl w:val="nil"/>
            </w:tcBorders>
            <w:noWrap w:val="0"/>
            <w:vAlign w:val="center"/>
          </w:tcPr>
          <w:p w14:paraId="1359B7B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C24-1-1</w:t>
            </w:r>
          </w:p>
        </w:tc>
        <w:tc>
          <w:tcPr>
            <w:tcW w:w="869" w:type="pct"/>
            <w:vMerge w:val="restart"/>
            <w:tcBorders>
              <w:tl2br w:val="nil"/>
              <w:tr2bl w:val="nil"/>
            </w:tcBorders>
            <w:noWrap w:val="0"/>
            <w:vAlign w:val="center"/>
          </w:tcPr>
          <w:p w14:paraId="5F5A7D05">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升压站东侧围墙外</w:t>
            </w:r>
            <w:r>
              <w:rPr>
                <w:rFonts w:ascii="Times New Roman" w:hAnsi="Times New Roman" w:eastAsia="Times New Roman" w:cs="Times New Roman"/>
                <w:color w:val="000000" w:themeColor="text1"/>
                <w:spacing w:val="0"/>
                <w:sz w:val="18"/>
                <w:szCs w:val="18"/>
                <w14:textFill>
                  <w14:solidFill>
                    <w14:schemeClr w14:val="tx1"/>
                  </w14:solidFill>
                </w14:textFill>
              </w:rPr>
              <w:t>35</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400F10A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0A327857">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355BC6C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326.25</w:t>
            </w:r>
          </w:p>
        </w:tc>
        <w:tc>
          <w:tcPr>
            <w:tcW w:w="483" w:type="pct"/>
            <w:tcBorders>
              <w:tl2br w:val="nil"/>
              <w:tr2bl w:val="nil"/>
            </w:tcBorders>
            <w:noWrap w:val="0"/>
            <w:vAlign w:val="center"/>
          </w:tcPr>
          <w:p w14:paraId="27D02D5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321.45</w:t>
            </w:r>
          </w:p>
        </w:tc>
        <w:tc>
          <w:tcPr>
            <w:tcW w:w="492" w:type="pct"/>
            <w:tcBorders>
              <w:tl2br w:val="nil"/>
              <w:tr2bl w:val="nil"/>
            </w:tcBorders>
            <w:noWrap w:val="0"/>
            <w:vAlign w:val="center"/>
          </w:tcPr>
          <w:p w14:paraId="58DB6E21">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320.19</w:t>
            </w:r>
          </w:p>
        </w:tc>
        <w:tc>
          <w:tcPr>
            <w:tcW w:w="475" w:type="pct"/>
            <w:tcBorders>
              <w:tl2br w:val="nil"/>
              <w:tr2bl w:val="nil"/>
            </w:tcBorders>
            <w:noWrap w:val="0"/>
            <w:vAlign w:val="center"/>
          </w:tcPr>
          <w:p w14:paraId="217E1B61">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319.29</w:t>
            </w:r>
          </w:p>
        </w:tc>
        <w:tc>
          <w:tcPr>
            <w:tcW w:w="452" w:type="pct"/>
            <w:tcBorders>
              <w:tl2br w:val="nil"/>
              <w:tr2bl w:val="nil"/>
            </w:tcBorders>
            <w:noWrap w:val="0"/>
            <w:vAlign w:val="center"/>
          </w:tcPr>
          <w:p w14:paraId="26EC492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316.42</w:t>
            </w:r>
          </w:p>
        </w:tc>
        <w:tc>
          <w:tcPr>
            <w:tcW w:w="437" w:type="pct"/>
            <w:tcBorders>
              <w:tl2br w:val="nil"/>
              <w:tr2bl w:val="nil"/>
            </w:tcBorders>
            <w:noWrap w:val="0"/>
            <w:vAlign w:val="center"/>
          </w:tcPr>
          <w:p w14:paraId="56A88ED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320.72</w:t>
            </w:r>
          </w:p>
        </w:tc>
      </w:tr>
      <w:tr w14:paraId="2B3E197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continue"/>
            <w:tcBorders>
              <w:tl2br w:val="nil"/>
              <w:tr2bl w:val="nil"/>
            </w:tcBorders>
            <w:noWrap w:val="0"/>
            <w:vAlign w:val="center"/>
          </w:tcPr>
          <w:p w14:paraId="580DD07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6893738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48D8E80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6E851A4D">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5C902AC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0.0126</w:t>
            </w:r>
          </w:p>
        </w:tc>
        <w:tc>
          <w:tcPr>
            <w:tcW w:w="483" w:type="pct"/>
            <w:tcBorders>
              <w:tl2br w:val="nil"/>
              <w:tr2bl w:val="nil"/>
            </w:tcBorders>
            <w:noWrap w:val="0"/>
            <w:vAlign w:val="center"/>
          </w:tcPr>
          <w:p w14:paraId="401E9E91">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0.0124</w:t>
            </w:r>
          </w:p>
        </w:tc>
        <w:tc>
          <w:tcPr>
            <w:tcW w:w="492" w:type="pct"/>
            <w:tcBorders>
              <w:tl2br w:val="nil"/>
              <w:tr2bl w:val="nil"/>
            </w:tcBorders>
            <w:noWrap w:val="0"/>
            <w:vAlign w:val="center"/>
          </w:tcPr>
          <w:p w14:paraId="635A9AC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0.0121</w:t>
            </w:r>
          </w:p>
        </w:tc>
        <w:tc>
          <w:tcPr>
            <w:tcW w:w="475" w:type="pct"/>
            <w:tcBorders>
              <w:tl2br w:val="nil"/>
              <w:tr2bl w:val="nil"/>
            </w:tcBorders>
            <w:noWrap w:val="0"/>
            <w:vAlign w:val="center"/>
          </w:tcPr>
          <w:p w14:paraId="0BBA08C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0.0120</w:t>
            </w:r>
          </w:p>
        </w:tc>
        <w:tc>
          <w:tcPr>
            <w:tcW w:w="452" w:type="pct"/>
            <w:tcBorders>
              <w:tl2br w:val="nil"/>
              <w:tr2bl w:val="nil"/>
            </w:tcBorders>
            <w:noWrap w:val="0"/>
            <w:vAlign w:val="center"/>
          </w:tcPr>
          <w:p w14:paraId="3D4BE07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0.0195</w:t>
            </w:r>
          </w:p>
        </w:tc>
        <w:tc>
          <w:tcPr>
            <w:tcW w:w="437" w:type="pct"/>
            <w:tcBorders>
              <w:tl2br w:val="nil"/>
              <w:tr2bl w:val="nil"/>
            </w:tcBorders>
            <w:noWrap w:val="0"/>
            <w:vAlign w:val="center"/>
          </w:tcPr>
          <w:p w14:paraId="0A51344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0.0137</w:t>
            </w:r>
          </w:p>
        </w:tc>
      </w:tr>
      <w:tr w14:paraId="6141C67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restart"/>
            <w:tcBorders>
              <w:tl2br w:val="nil"/>
              <w:tr2bl w:val="nil"/>
            </w:tcBorders>
            <w:noWrap w:val="0"/>
            <w:vAlign w:val="center"/>
          </w:tcPr>
          <w:p w14:paraId="017E4F0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C25-1-1</w:t>
            </w:r>
          </w:p>
        </w:tc>
        <w:tc>
          <w:tcPr>
            <w:tcW w:w="869" w:type="pct"/>
            <w:vMerge w:val="restart"/>
            <w:tcBorders>
              <w:tl2br w:val="nil"/>
              <w:tr2bl w:val="nil"/>
            </w:tcBorders>
            <w:noWrap w:val="0"/>
            <w:vAlign w:val="center"/>
          </w:tcPr>
          <w:p w14:paraId="52C120EB">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升压站东侧围墙外</w:t>
            </w:r>
            <w:r>
              <w:rPr>
                <w:rFonts w:ascii="Times New Roman" w:hAnsi="Times New Roman" w:eastAsia="Times New Roman" w:cs="Times New Roman"/>
                <w:color w:val="000000" w:themeColor="text1"/>
                <w:spacing w:val="0"/>
                <w:sz w:val="18"/>
                <w:szCs w:val="18"/>
                <w14:textFill>
                  <w14:solidFill>
                    <w14:schemeClr w14:val="tx1"/>
                  </w14:solidFill>
                </w14:textFill>
              </w:rPr>
              <w:t>40</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3EACA39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488965C8">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0159C4E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286.34</w:t>
            </w:r>
          </w:p>
        </w:tc>
        <w:tc>
          <w:tcPr>
            <w:tcW w:w="483" w:type="pct"/>
            <w:tcBorders>
              <w:tl2br w:val="nil"/>
              <w:tr2bl w:val="nil"/>
            </w:tcBorders>
            <w:noWrap w:val="0"/>
            <w:vAlign w:val="center"/>
          </w:tcPr>
          <w:p w14:paraId="5A1634F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284.12</w:t>
            </w:r>
          </w:p>
        </w:tc>
        <w:tc>
          <w:tcPr>
            <w:tcW w:w="492" w:type="pct"/>
            <w:tcBorders>
              <w:tl2br w:val="nil"/>
              <w:tr2bl w:val="nil"/>
            </w:tcBorders>
            <w:noWrap w:val="0"/>
            <w:vAlign w:val="center"/>
          </w:tcPr>
          <w:p w14:paraId="3B3AE5B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282.33</w:t>
            </w:r>
          </w:p>
        </w:tc>
        <w:tc>
          <w:tcPr>
            <w:tcW w:w="475" w:type="pct"/>
            <w:tcBorders>
              <w:tl2br w:val="nil"/>
              <w:tr2bl w:val="nil"/>
            </w:tcBorders>
            <w:noWrap w:val="0"/>
            <w:vAlign w:val="center"/>
          </w:tcPr>
          <w:p w14:paraId="60625AB9">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280.52</w:t>
            </w:r>
          </w:p>
        </w:tc>
        <w:tc>
          <w:tcPr>
            <w:tcW w:w="452" w:type="pct"/>
            <w:tcBorders>
              <w:tl2br w:val="nil"/>
              <w:tr2bl w:val="nil"/>
            </w:tcBorders>
            <w:noWrap w:val="0"/>
            <w:vAlign w:val="center"/>
          </w:tcPr>
          <w:p w14:paraId="3216928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279.62</w:t>
            </w:r>
          </w:p>
        </w:tc>
        <w:tc>
          <w:tcPr>
            <w:tcW w:w="437" w:type="pct"/>
            <w:tcBorders>
              <w:tl2br w:val="nil"/>
              <w:tr2bl w:val="nil"/>
            </w:tcBorders>
            <w:noWrap w:val="0"/>
            <w:vAlign w:val="center"/>
          </w:tcPr>
          <w:p w14:paraId="4B4BF76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282.59</w:t>
            </w:r>
          </w:p>
        </w:tc>
      </w:tr>
      <w:tr w14:paraId="30457E5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42" w:hRule="atLeast"/>
          <w:jc w:val="center"/>
        </w:trPr>
        <w:tc>
          <w:tcPr>
            <w:tcW w:w="443" w:type="pct"/>
            <w:vMerge w:val="continue"/>
            <w:tcBorders>
              <w:tl2br w:val="nil"/>
              <w:tr2bl w:val="nil"/>
            </w:tcBorders>
            <w:noWrap w:val="0"/>
            <w:vAlign w:val="center"/>
          </w:tcPr>
          <w:p w14:paraId="7B28762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563E888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0B5576D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5BE35C54">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eastAsia="宋体"/>
                <w:color w:val="000000" w:themeColor="text1"/>
                <w:spacing w:val="0"/>
                <w:sz w:val="18"/>
                <w:szCs w:val="18"/>
                <w:lang w:val="en-US"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109DE0CE">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0.0109</w:t>
            </w:r>
          </w:p>
        </w:tc>
        <w:tc>
          <w:tcPr>
            <w:tcW w:w="483" w:type="pct"/>
            <w:tcBorders>
              <w:tl2br w:val="nil"/>
              <w:tr2bl w:val="nil"/>
            </w:tcBorders>
            <w:noWrap w:val="0"/>
            <w:vAlign w:val="center"/>
          </w:tcPr>
          <w:p w14:paraId="7CDDC9C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0.0107</w:t>
            </w:r>
          </w:p>
        </w:tc>
        <w:tc>
          <w:tcPr>
            <w:tcW w:w="492" w:type="pct"/>
            <w:tcBorders>
              <w:tl2br w:val="nil"/>
              <w:tr2bl w:val="nil"/>
            </w:tcBorders>
            <w:noWrap w:val="0"/>
            <w:vAlign w:val="center"/>
          </w:tcPr>
          <w:p w14:paraId="1C30C1B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0.0102</w:t>
            </w:r>
          </w:p>
        </w:tc>
        <w:tc>
          <w:tcPr>
            <w:tcW w:w="475" w:type="pct"/>
            <w:tcBorders>
              <w:tl2br w:val="nil"/>
              <w:tr2bl w:val="nil"/>
            </w:tcBorders>
            <w:noWrap w:val="0"/>
            <w:vAlign w:val="center"/>
          </w:tcPr>
          <w:p w14:paraId="59E8B5E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0.0101</w:t>
            </w:r>
          </w:p>
        </w:tc>
        <w:tc>
          <w:tcPr>
            <w:tcW w:w="452" w:type="pct"/>
            <w:tcBorders>
              <w:tl2br w:val="nil"/>
              <w:tr2bl w:val="nil"/>
            </w:tcBorders>
            <w:noWrap w:val="0"/>
            <w:vAlign w:val="center"/>
          </w:tcPr>
          <w:p w14:paraId="261C390B">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0.0099</w:t>
            </w:r>
          </w:p>
        </w:tc>
        <w:tc>
          <w:tcPr>
            <w:tcW w:w="437" w:type="pct"/>
            <w:tcBorders>
              <w:tl2br w:val="nil"/>
              <w:tr2bl w:val="nil"/>
            </w:tcBorders>
            <w:noWrap w:val="0"/>
            <w:vAlign w:val="center"/>
          </w:tcPr>
          <w:p w14:paraId="21BF295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0.0104</w:t>
            </w:r>
          </w:p>
        </w:tc>
      </w:tr>
      <w:tr w14:paraId="07E2DBD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443" w:type="pct"/>
            <w:vMerge w:val="restart"/>
            <w:tcBorders>
              <w:tl2br w:val="nil"/>
              <w:tr2bl w:val="nil"/>
            </w:tcBorders>
            <w:noWrap w:val="0"/>
            <w:vAlign w:val="center"/>
          </w:tcPr>
          <w:p w14:paraId="3721C7C0">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C26-1-1</w:t>
            </w:r>
          </w:p>
        </w:tc>
        <w:tc>
          <w:tcPr>
            <w:tcW w:w="869" w:type="pct"/>
            <w:vMerge w:val="restart"/>
            <w:tcBorders>
              <w:tl2br w:val="nil"/>
              <w:tr2bl w:val="nil"/>
            </w:tcBorders>
            <w:noWrap w:val="0"/>
            <w:vAlign w:val="center"/>
          </w:tcPr>
          <w:p w14:paraId="1B8362D9">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升压站东侧围墙外</w:t>
            </w:r>
            <w:r>
              <w:rPr>
                <w:rFonts w:ascii="Times New Roman" w:hAnsi="Times New Roman" w:eastAsia="Times New Roman" w:cs="Times New Roman"/>
                <w:color w:val="000000" w:themeColor="text1"/>
                <w:spacing w:val="0"/>
                <w:sz w:val="18"/>
                <w:szCs w:val="18"/>
                <w14:textFill>
                  <w14:solidFill>
                    <w14:schemeClr w14:val="tx1"/>
                  </w14:solidFill>
                </w14:textFill>
              </w:rPr>
              <w:t>45</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61B833BA">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543EE1F3">
            <w:pPr>
              <w:pStyle w:val="89"/>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62E807F5">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194.25</w:t>
            </w:r>
          </w:p>
        </w:tc>
        <w:tc>
          <w:tcPr>
            <w:tcW w:w="483" w:type="pct"/>
            <w:tcBorders>
              <w:tl2br w:val="nil"/>
              <w:tr2bl w:val="nil"/>
            </w:tcBorders>
            <w:noWrap w:val="0"/>
            <w:vAlign w:val="center"/>
          </w:tcPr>
          <w:p w14:paraId="4358854D">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193.17</w:t>
            </w:r>
          </w:p>
        </w:tc>
        <w:tc>
          <w:tcPr>
            <w:tcW w:w="492" w:type="pct"/>
            <w:tcBorders>
              <w:tl2br w:val="nil"/>
              <w:tr2bl w:val="nil"/>
            </w:tcBorders>
            <w:noWrap w:val="0"/>
            <w:vAlign w:val="center"/>
          </w:tcPr>
          <w:p w14:paraId="67962876">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192.35</w:t>
            </w:r>
          </w:p>
        </w:tc>
        <w:tc>
          <w:tcPr>
            <w:tcW w:w="475" w:type="pct"/>
            <w:tcBorders>
              <w:tl2br w:val="nil"/>
              <w:tr2bl w:val="nil"/>
            </w:tcBorders>
            <w:noWrap w:val="0"/>
            <w:vAlign w:val="center"/>
          </w:tcPr>
          <w:p w14:paraId="57512E4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189.45</w:t>
            </w:r>
          </w:p>
        </w:tc>
        <w:tc>
          <w:tcPr>
            <w:tcW w:w="452" w:type="pct"/>
            <w:tcBorders>
              <w:tl2br w:val="nil"/>
              <w:tr2bl w:val="nil"/>
            </w:tcBorders>
            <w:noWrap w:val="0"/>
            <w:vAlign w:val="center"/>
          </w:tcPr>
          <w:p w14:paraId="757046F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187.14</w:t>
            </w:r>
          </w:p>
        </w:tc>
        <w:tc>
          <w:tcPr>
            <w:tcW w:w="437" w:type="pct"/>
            <w:tcBorders>
              <w:tl2br w:val="nil"/>
              <w:tr2bl w:val="nil"/>
            </w:tcBorders>
            <w:noWrap w:val="0"/>
            <w:vAlign w:val="center"/>
          </w:tcPr>
          <w:p w14:paraId="3D7BD408">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191.27</w:t>
            </w:r>
          </w:p>
        </w:tc>
      </w:tr>
      <w:tr w14:paraId="5C7B33E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443" w:type="pct"/>
            <w:vMerge w:val="continue"/>
            <w:tcBorders>
              <w:tl2br w:val="nil"/>
              <w:tr2bl w:val="nil"/>
            </w:tcBorders>
            <w:noWrap w:val="0"/>
            <w:vAlign w:val="center"/>
          </w:tcPr>
          <w:p w14:paraId="779D5CFC">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320E6118">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649E6F0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1EF8FC91">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13C224E5">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0.0094</w:t>
            </w:r>
          </w:p>
        </w:tc>
        <w:tc>
          <w:tcPr>
            <w:tcW w:w="483" w:type="pct"/>
            <w:tcBorders>
              <w:tl2br w:val="nil"/>
              <w:tr2bl w:val="nil"/>
            </w:tcBorders>
            <w:noWrap w:val="0"/>
            <w:vAlign w:val="center"/>
          </w:tcPr>
          <w:p w14:paraId="03326EC0">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0.0091</w:t>
            </w:r>
          </w:p>
        </w:tc>
        <w:tc>
          <w:tcPr>
            <w:tcW w:w="492" w:type="pct"/>
            <w:tcBorders>
              <w:tl2br w:val="nil"/>
              <w:tr2bl w:val="nil"/>
            </w:tcBorders>
            <w:noWrap w:val="0"/>
            <w:vAlign w:val="center"/>
          </w:tcPr>
          <w:p w14:paraId="13789F42">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0.0089</w:t>
            </w:r>
          </w:p>
        </w:tc>
        <w:tc>
          <w:tcPr>
            <w:tcW w:w="475" w:type="pct"/>
            <w:tcBorders>
              <w:tl2br w:val="nil"/>
              <w:tr2bl w:val="nil"/>
            </w:tcBorders>
            <w:noWrap w:val="0"/>
            <w:vAlign w:val="center"/>
          </w:tcPr>
          <w:p w14:paraId="318EFCA5">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0.0086</w:t>
            </w:r>
          </w:p>
        </w:tc>
        <w:tc>
          <w:tcPr>
            <w:tcW w:w="452" w:type="pct"/>
            <w:tcBorders>
              <w:tl2br w:val="nil"/>
              <w:tr2bl w:val="nil"/>
            </w:tcBorders>
            <w:noWrap w:val="0"/>
            <w:vAlign w:val="center"/>
          </w:tcPr>
          <w:p w14:paraId="4DE6C5E3">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0.0084</w:t>
            </w:r>
          </w:p>
        </w:tc>
        <w:tc>
          <w:tcPr>
            <w:tcW w:w="437" w:type="pct"/>
            <w:tcBorders>
              <w:tl2br w:val="nil"/>
              <w:tr2bl w:val="nil"/>
            </w:tcBorders>
            <w:noWrap w:val="0"/>
            <w:vAlign w:val="center"/>
          </w:tcPr>
          <w:p w14:paraId="62091779">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0.0089</w:t>
            </w:r>
          </w:p>
        </w:tc>
      </w:tr>
      <w:tr w14:paraId="4A31284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51" w:hRule="atLeast"/>
          <w:jc w:val="center"/>
        </w:trPr>
        <w:tc>
          <w:tcPr>
            <w:tcW w:w="443" w:type="pct"/>
            <w:vMerge w:val="restart"/>
            <w:tcBorders>
              <w:tl2br w:val="nil"/>
              <w:tr2bl w:val="nil"/>
            </w:tcBorders>
            <w:noWrap w:val="0"/>
            <w:vAlign w:val="center"/>
          </w:tcPr>
          <w:p w14:paraId="17DC09D3">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C27-1-1</w:t>
            </w:r>
          </w:p>
        </w:tc>
        <w:tc>
          <w:tcPr>
            <w:tcW w:w="869" w:type="pct"/>
            <w:vMerge w:val="restart"/>
            <w:tcBorders>
              <w:tl2br w:val="nil"/>
              <w:tr2bl w:val="nil"/>
            </w:tcBorders>
            <w:noWrap w:val="0"/>
            <w:vAlign w:val="center"/>
          </w:tcPr>
          <w:p w14:paraId="54414B9C">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2#</w:t>
            </w:r>
            <w:r>
              <w:rPr>
                <w:color w:val="000000" w:themeColor="text1"/>
                <w:spacing w:val="0"/>
                <w:sz w:val="18"/>
                <w:szCs w:val="18"/>
                <w14:textFill>
                  <w14:solidFill>
                    <w14:schemeClr w14:val="tx1"/>
                  </w14:solidFill>
                </w14:textFill>
              </w:rPr>
              <w:t>升压站东侧围墙外</w:t>
            </w:r>
            <w:r>
              <w:rPr>
                <w:rFonts w:ascii="Times New Roman" w:hAnsi="Times New Roman" w:eastAsia="Times New Roman" w:cs="Times New Roman"/>
                <w:color w:val="000000" w:themeColor="text1"/>
                <w:spacing w:val="0"/>
                <w:sz w:val="18"/>
                <w:szCs w:val="18"/>
                <w14:textFill>
                  <w14:solidFill>
                    <w14:schemeClr w14:val="tx1"/>
                  </w14:solidFill>
                </w14:textFill>
              </w:rPr>
              <w:t>50</w:t>
            </w:r>
            <w:r>
              <w:rPr>
                <w:color w:val="000000" w:themeColor="text1"/>
                <w:spacing w:val="0"/>
                <w:sz w:val="18"/>
                <w:szCs w:val="18"/>
                <w14:textFill>
                  <w14:solidFill>
                    <w14:schemeClr w14:val="tx1"/>
                  </w14:solidFill>
                </w14:textFill>
              </w:rPr>
              <w:t>米</w:t>
            </w:r>
          </w:p>
        </w:tc>
        <w:tc>
          <w:tcPr>
            <w:tcW w:w="229" w:type="pct"/>
            <w:vMerge w:val="continue"/>
            <w:tcBorders>
              <w:tl2br w:val="nil"/>
              <w:tr2bl w:val="nil"/>
            </w:tcBorders>
            <w:noWrap w:val="0"/>
            <w:vAlign w:val="center"/>
          </w:tcPr>
          <w:p w14:paraId="42C1CA27">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5A5808F7">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电场</w:t>
            </w:r>
            <w:r>
              <w:rPr>
                <w:rFonts w:hint="eastAsia"/>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V/m</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00CA95AC">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162.44</w:t>
            </w:r>
          </w:p>
        </w:tc>
        <w:tc>
          <w:tcPr>
            <w:tcW w:w="483" w:type="pct"/>
            <w:tcBorders>
              <w:tl2br w:val="nil"/>
              <w:tr2bl w:val="nil"/>
            </w:tcBorders>
            <w:noWrap w:val="0"/>
            <w:vAlign w:val="center"/>
          </w:tcPr>
          <w:p w14:paraId="3EF41820">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160.19</w:t>
            </w:r>
          </w:p>
        </w:tc>
        <w:tc>
          <w:tcPr>
            <w:tcW w:w="492" w:type="pct"/>
            <w:tcBorders>
              <w:tl2br w:val="nil"/>
              <w:tr2bl w:val="nil"/>
            </w:tcBorders>
            <w:noWrap w:val="0"/>
            <w:vAlign w:val="center"/>
          </w:tcPr>
          <w:p w14:paraId="270121E1">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157.62</w:t>
            </w:r>
          </w:p>
        </w:tc>
        <w:tc>
          <w:tcPr>
            <w:tcW w:w="475" w:type="pct"/>
            <w:tcBorders>
              <w:tl2br w:val="nil"/>
              <w:tr2bl w:val="nil"/>
            </w:tcBorders>
            <w:noWrap w:val="0"/>
            <w:vAlign w:val="center"/>
          </w:tcPr>
          <w:p w14:paraId="347F5699">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154.11</w:t>
            </w:r>
          </w:p>
        </w:tc>
        <w:tc>
          <w:tcPr>
            <w:tcW w:w="452" w:type="pct"/>
            <w:tcBorders>
              <w:tl2br w:val="nil"/>
              <w:tr2bl w:val="nil"/>
            </w:tcBorders>
            <w:noWrap w:val="0"/>
            <w:vAlign w:val="center"/>
          </w:tcPr>
          <w:p w14:paraId="2FD5FEB6">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150.26</w:t>
            </w:r>
          </w:p>
        </w:tc>
        <w:tc>
          <w:tcPr>
            <w:tcW w:w="437" w:type="pct"/>
            <w:tcBorders>
              <w:tl2br w:val="nil"/>
              <w:tr2bl w:val="nil"/>
            </w:tcBorders>
            <w:noWrap w:val="0"/>
            <w:vAlign w:val="center"/>
          </w:tcPr>
          <w:p w14:paraId="28902F81">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156.92</w:t>
            </w:r>
          </w:p>
        </w:tc>
      </w:tr>
      <w:tr w14:paraId="56F1149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64" w:hRule="atLeast"/>
          <w:jc w:val="center"/>
        </w:trPr>
        <w:tc>
          <w:tcPr>
            <w:tcW w:w="443" w:type="pct"/>
            <w:vMerge w:val="continue"/>
            <w:tcBorders>
              <w:tl2br w:val="nil"/>
              <w:tr2bl w:val="nil"/>
            </w:tcBorders>
            <w:noWrap w:val="0"/>
            <w:vAlign w:val="center"/>
          </w:tcPr>
          <w:p w14:paraId="1EA04D14">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p>
        </w:tc>
        <w:tc>
          <w:tcPr>
            <w:tcW w:w="869" w:type="pct"/>
            <w:vMerge w:val="continue"/>
            <w:tcBorders>
              <w:tl2br w:val="nil"/>
              <w:tr2bl w:val="nil"/>
            </w:tcBorders>
            <w:noWrap w:val="0"/>
            <w:vAlign w:val="center"/>
          </w:tcPr>
          <w:p w14:paraId="5E2D021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p>
        </w:tc>
        <w:tc>
          <w:tcPr>
            <w:tcW w:w="229" w:type="pct"/>
            <w:vMerge w:val="continue"/>
            <w:tcBorders>
              <w:tl2br w:val="nil"/>
              <w:tr2bl w:val="nil"/>
            </w:tcBorders>
            <w:noWrap w:val="0"/>
            <w:vAlign w:val="center"/>
          </w:tcPr>
          <w:p w14:paraId="78A51EB2">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ascii="Arial"/>
                <w:color w:val="000000" w:themeColor="text1"/>
                <w:spacing w:val="0"/>
                <w:sz w:val="18"/>
                <w:szCs w:val="18"/>
                <w14:textFill>
                  <w14:solidFill>
                    <w14:schemeClr w14:val="tx1"/>
                  </w14:solidFill>
                </w14:textFill>
              </w:rPr>
            </w:pPr>
          </w:p>
        </w:tc>
        <w:tc>
          <w:tcPr>
            <w:tcW w:w="665" w:type="pct"/>
            <w:tcBorders>
              <w:tl2br w:val="nil"/>
              <w:tr2bl w:val="nil"/>
            </w:tcBorders>
            <w:noWrap w:val="0"/>
            <w:vAlign w:val="center"/>
          </w:tcPr>
          <w:p w14:paraId="0B5A2CC8">
            <w:pPr>
              <w:pStyle w:val="8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eastAsia="宋体"/>
                <w:color w:val="000000" w:themeColor="text1"/>
                <w:spacing w:val="0"/>
                <w:sz w:val="18"/>
                <w:szCs w:val="18"/>
                <w:lang w:eastAsia="zh-CN"/>
                <w14:textFill>
                  <w14:solidFill>
                    <w14:schemeClr w14:val="tx1"/>
                  </w14:solidFill>
                </w14:textFill>
              </w:rPr>
            </w:pPr>
            <w:r>
              <w:rPr>
                <w:color w:val="000000" w:themeColor="text1"/>
                <w:spacing w:val="0"/>
                <w:sz w:val="18"/>
                <w:szCs w:val="18"/>
                <w14:textFill>
                  <w14:solidFill>
                    <w14:schemeClr w14:val="tx1"/>
                  </w14:solidFill>
                </w14:textFill>
              </w:rPr>
              <w:t>磁场</w:t>
            </w:r>
            <w:r>
              <w:rPr>
                <w:rFonts w:hint="eastAsia" w:ascii="Times New Roman" w:hAnsi="Times New Roman" w:eastAsia="宋体" w:cs="Times New Roman"/>
                <w:color w:val="000000" w:themeColor="text1"/>
                <w:spacing w:val="0"/>
                <w:sz w:val="18"/>
                <w:szCs w:val="18"/>
                <w:lang w:val="en-US" w:eastAsia="zh-CN"/>
                <w14:textFill>
                  <w14:solidFill>
                    <w14:schemeClr w14:val="tx1"/>
                  </w14:solidFill>
                </w14:textFill>
              </w:rPr>
              <w:t>(</w:t>
            </w:r>
            <w:r>
              <w:rPr>
                <w:rFonts w:ascii="Times New Roman" w:hAnsi="Times New Roman" w:eastAsia="Times New Roman" w:cs="Times New Roman"/>
                <w:color w:val="000000" w:themeColor="text1"/>
                <w:spacing w:val="0"/>
                <w:sz w:val="18"/>
                <w:szCs w:val="18"/>
                <w14:textFill>
                  <w14:solidFill>
                    <w14:schemeClr w14:val="tx1"/>
                  </w14:solidFill>
                </w14:textFill>
              </w:rPr>
              <w:t>μT</w:t>
            </w:r>
            <w:r>
              <w:rPr>
                <w:rFonts w:hint="eastAsia" w:eastAsia="宋体"/>
                <w:color w:val="000000" w:themeColor="text1"/>
                <w:spacing w:val="0"/>
                <w:sz w:val="18"/>
                <w:szCs w:val="18"/>
                <w:lang w:val="en-US" w:eastAsia="zh-CN"/>
                <w14:textFill>
                  <w14:solidFill>
                    <w14:schemeClr w14:val="tx1"/>
                  </w14:solidFill>
                </w14:textFill>
              </w:rPr>
              <w:t>)</w:t>
            </w:r>
          </w:p>
        </w:tc>
        <w:tc>
          <w:tcPr>
            <w:tcW w:w="452" w:type="pct"/>
            <w:tcBorders>
              <w:tl2br w:val="nil"/>
              <w:tr2bl w:val="nil"/>
            </w:tcBorders>
            <w:noWrap w:val="0"/>
            <w:vAlign w:val="center"/>
          </w:tcPr>
          <w:p w14:paraId="56CF5D15">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0.0062</w:t>
            </w:r>
          </w:p>
        </w:tc>
        <w:tc>
          <w:tcPr>
            <w:tcW w:w="483" w:type="pct"/>
            <w:tcBorders>
              <w:tl2br w:val="nil"/>
              <w:tr2bl w:val="nil"/>
            </w:tcBorders>
            <w:noWrap w:val="0"/>
            <w:vAlign w:val="center"/>
          </w:tcPr>
          <w:p w14:paraId="55441CE3">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0.0060</w:t>
            </w:r>
          </w:p>
        </w:tc>
        <w:tc>
          <w:tcPr>
            <w:tcW w:w="492" w:type="pct"/>
            <w:tcBorders>
              <w:tl2br w:val="nil"/>
              <w:tr2bl w:val="nil"/>
            </w:tcBorders>
            <w:noWrap w:val="0"/>
            <w:vAlign w:val="center"/>
          </w:tcPr>
          <w:p w14:paraId="0885AC22">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0.0057</w:t>
            </w:r>
          </w:p>
        </w:tc>
        <w:tc>
          <w:tcPr>
            <w:tcW w:w="475" w:type="pct"/>
            <w:tcBorders>
              <w:tl2br w:val="nil"/>
              <w:tr2bl w:val="nil"/>
            </w:tcBorders>
            <w:noWrap w:val="0"/>
            <w:vAlign w:val="center"/>
          </w:tcPr>
          <w:p w14:paraId="4273985F">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0.0042</w:t>
            </w:r>
          </w:p>
        </w:tc>
        <w:tc>
          <w:tcPr>
            <w:tcW w:w="452" w:type="pct"/>
            <w:tcBorders>
              <w:tl2br w:val="nil"/>
              <w:tr2bl w:val="nil"/>
            </w:tcBorders>
            <w:noWrap w:val="0"/>
            <w:vAlign w:val="center"/>
          </w:tcPr>
          <w:p w14:paraId="067FE272">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0.0041</w:t>
            </w:r>
          </w:p>
        </w:tc>
        <w:tc>
          <w:tcPr>
            <w:tcW w:w="437" w:type="pct"/>
            <w:tcBorders>
              <w:tl2br w:val="nil"/>
              <w:tr2bl w:val="nil"/>
            </w:tcBorders>
            <w:noWrap w:val="0"/>
            <w:vAlign w:val="center"/>
          </w:tcPr>
          <w:p w14:paraId="1AA8D714">
            <w:pPr>
              <w:keepNext w:val="0"/>
              <w:keepLines w:val="0"/>
              <w:pageBreakBefore w:val="0"/>
              <w:widowControl w:val="0"/>
              <w:kinsoku/>
              <w:wordWrap/>
              <w:overflowPunct/>
              <w:topLinePunct w:val="0"/>
              <w:autoSpaceDE/>
              <w:autoSpaceDN/>
              <w:bidi w:val="0"/>
              <w:adjustRightInd/>
              <w:snapToGrid w:val="0"/>
              <w:spacing w:line="240" w:lineRule="auto"/>
              <w:ind w:left="0" w:leftChars="0" w:right="0" w:firstLine="0"/>
              <w:jc w:val="center"/>
              <w:textAlignment w:val="auto"/>
              <w:rPr>
                <w:rFonts w:ascii="Times New Roman" w:hAnsi="Times New Roman" w:eastAsia="Times New Roman" w:cs="Times New Roman"/>
                <w:color w:val="000000" w:themeColor="text1"/>
                <w:spacing w:val="0"/>
                <w:sz w:val="18"/>
                <w:szCs w:val="18"/>
                <w14:textFill>
                  <w14:solidFill>
                    <w14:schemeClr w14:val="tx1"/>
                  </w14:solidFill>
                </w14:textFill>
              </w:rPr>
            </w:pPr>
            <w:r>
              <w:rPr>
                <w:rFonts w:ascii="Times New Roman" w:hAnsi="Times New Roman" w:eastAsia="Times New Roman" w:cs="Times New Roman"/>
                <w:color w:val="000000" w:themeColor="text1"/>
                <w:spacing w:val="0"/>
                <w:sz w:val="18"/>
                <w:szCs w:val="18"/>
                <w14:textFill>
                  <w14:solidFill>
                    <w14:schemeClr w14:val="tx1"/>
                  </w14:solidFill>
                </w14:textFill>
              </w:rPr>
              <w:t>0.0052</w:t>
            </w:r>
          </w:p>
        </w:tc>
      </w:tr>
    </w:tbl>
    <w:p w14:paraId="2D6EF6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根据上表可知，中绿电乌鲁木齐市米东区350万千瓦光伏北沙窝西</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南、北、东</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220千伏升压汇集站项目2#汇集站工频电场强度监测结果最大值2175.7V/m，工频磁感应强度监测结果最大值为0.0714μT。各监测点的监测结果均低于《电磁环境控制限值》（GB8702-2014）</w:t>
      </w:r>
      <w:r>
        <w:rPr>
          <w:rFonts w:hint="eastAsia" w:cs="Times New Roman"/>
          <w:color w:val="000000" w:themeColor="text1"/>
          <w:sz w:val="24"/>
          <w:szCs w:val="24"/>
          <w:highlight w:val="none"/>
          <w:lang w:val="en-US" w:eastAsia="zh-CN"/>
          <w14:textFill>
            <w14:solidFill>
              <w14:schemeClr w14:val="tx1"/>
            </w14:solidFill>
          </w14:textFill>
        </w:rPr>
        <w:t>中</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规定的</w:t>
      </w:r>
      <w:r>
        <w:rPr>
          <w:rFonts w:hint="default" w:ascii="Times New Roman" w:hAnsi="Times New Roman" w:eastAsia="宋体" w:cs="Times New Roman"/>
          <w:color w:val="000000" w:themeColor="text1"/>
          <w:sz w:val="24"/>
          <w:szCs w:val="24"/>
          <w:highlight w:val="none"/>
          <w14:textFill>
            <w14:solidFill>
              <w14:schemeClr w14:val="tx1"/>
            </w14:solidFill>
          </w14:textFill>
        </w:rPr>
        <w:t>频率为50Hz的公众曝露控制限值要求（工频电场强度</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4</w:t>
      </w:r>
      <w:r>
        <w:rPr>
          <w:rFonts w:hint="eastAsia" w:cs="Times New Roman"/>
          <w:color w:val="000000" w:themeColor="text1"/>
          <w:sz w:val="24"/>
          <w:szCs w:val="24"/>
          <w:highlight w:val="none"/>
          <w:lang w:val="en-US" w:eastAsia="zh-CN"/>
          <w14:textFill>
            <w14:solidFill>
              <w14:schemeClr w14:val="tx1"/>
            </w14:solidFill>
          </w14:textFill>
        </w:rPr>
        <w:t>k</w:t>
      </w:r>
      <w:r>
        <w:rPr>
          <w:rFonts w:hint="default" w:ascii="Times New Roman" w:hAnsi="Times New Roman" w:eastAsia="宋体" w:cs="Times New Roman"/>
          <w:color w:val="000000" w:themeColor="text1"/>
          <w:sz w:val="24"/>
          <w:szCs w:val="24"/>
          <w:highlight w:val="none"/>
          <w14:textFill>
            <w14:solidFill>
              <w14:schemeClr w14:val="tx1"/>
            </w14:solidFill>
          </w14:textFill>
        </w:rPr>
        <w:t>V/m、工频磁感应强度</w:t>
      </w:r>
      <w:r>
        <w:rPr>
          <w:rFonts w:hint="eastAsia"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100uT）。</w:t>
      </w:r>
    </w:p>
    <w:p w14:paraId="116C5481">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3.2架空线路电磁环境影响预测</w:t>
      </w:r>
    </w:p>
    <w:p w14:paraId="341B0F9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根据《环境影响评价技术导则 输变电》</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HJ24-2020</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要求，本项目架空线路的电磁环境影响评价等级为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三</w:t>
      </w:r>
      <w:r>
        <w:rPr>
          <w:rFonts w:hint="default" w:ascii="Times New Roman" w:hAnsi="Times New Roman" w:eastAsia="宋体" w:cs="Times New Roman"/>
          <w:color w:val="000000" w:themeColor="text1"/>
          <w:sz w:val="24"/>
          <w:szCs w:val="24"/>
          <w:highlight w:val="none"/>
          <w14:textFill>
            <w14:solidFill>
              <w14:schemeClr w14:val="tx1"/>
            </w14:solidFill>
          </w14:textFill>
        </w:rPr>
        <w:t>级，电磁环境影响采用模式预测</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理论计算</w:t>
      </w:r>
      <w:r>
        <w:rPr>
          <w:rFonts w:hint="eastAsia"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的方式进行预测分析。</w:t>
      </w:r>
    </w:p>
    <w:p w14:paraId="42C4CA0E">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cs="Times New Roman" w:eastAsiaTheme="minorEastAsia"/>
          <w:b/>
          <w:bCs/>
          <w:color w:val="000000" w:themeColor="text1"/>
          <w:sz w:val="24"/>
          <w:szCs w:val="24"/>
          <w:highlight w:val="none"/>
          <w14:textFill>
            <w14:solidFill>
              <w14:schemeClr w14:val="tx1"/>
            </w14:solidFill>
          </w14:textFill>
        </w:rPr>
      </w:pPr>
      <w:r>
        <w:rPr>
          <w:rFonts w:hint="default" w:ascii="Times New Roman" w:hAnsi="Times New Roman" w:cs="Times New Roman" w:eastAsiaTheme="minorEastAsia"/>
          <w:b/>
          <w:bCs/>
          <w:color w:val="000000" w:themeColor="text1"/>
          <w:sz w:val="24"/>
          <w:szCs w:val="24"/>
          <w:highlight w:val="none"/>
          <w14:textFill>
            <w14:solidFill>
              <w14:schemeClr w14:val="tx1"/>
            </w14:solidFill>
          </w14:textFill>
        </w:rPr>
        <w:t>3.2.1计算方法</w:t>
      </w:r>
    </w:p>
    <w:p w14:paraId="306E0947">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输电线路产生的工频电场、工频磁场影响预测计算，根据《环境影响评价技术导则 输变电》</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HJ 24-2020</w:t>
      </w:r>
      <w:r>
        <w:rPr>
          <w:rFonts w:hint="default" w:ascii="Times New Roman" w:hAnsi="Times New Roman" w:cs="Times New Roman" w:eastAsiaTheme="minorEastAsia"/>
          <w:color w:val="000000" w:themeColor="text1"/>
          <w:sz w:val="24"/>
          <w:szCs w:val="24"/>
          <w:lang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14:textFill>
            <w14:solidFill>
              <w14:schemeClr w14:val="tx1"/>
            </w14:solidFill>
          </w14:textFill>
        </w:rPr>
        <w:t>附录C、D推荐的计算模式进行。</w:t>
      </w:r>
    </w:p>
    <w:p w14:paraId="4FE5D721">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以上计算方法适用于线路无限长而且平行于地面，由于任何线路长度都是有限的，并且有弧垂，因此需要做如下假设，设本项目线路无限长，线路经过最大弧垂点平行于地面。这样计算出来的结果将比实际值大，对于衡量线路不超标是完全适用的，并据此指引线路的设计方案将是保守和安全的。具体计算方法如下：</w:t>
      </w:r>
    </w:p>
    <w:p w14:paraId="1360EA02">
      <w:pPr>
        <w:keepNext w:val="0"/>
        <w:keepLines w:val="0"/>
        <w:pageBreakBefore w:val="0"/>
        <w:widowControl w:val="0"/>
        <w:kinsoku/>
        <w:wordWrap/>
        <w:overflowPunct/>
        <w:topLinePunct w:val="0"/>
        <w:autoSpaceDE w:val="0"/>
        <w:autoSpaceDN w:val="0"/>
        <w:bidi w:val="0"/>
        <w:adjustRightInd w:val="0"/>
        <w:snapToGrid w:val="0"/>
        <w:spacing w:line="500" w:lineRule="exact"/>
        <w:ind w:firstLine="482"/>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kern w:val="0"/>
          <w:sz w:val="24"/>
          <w:szCs w:val="24"/>
          <w14:textFill>
            <w14:solidFill>
              <w14:schemeClr w14:val="tx1"/>
            </w14:solidFill>
          </w14:textFill>
        </w:rPr>
        <w:t>①工频电场强度预测</w:t>
      </w:r>
    </w:p>
    <w:p w14:paraId="7B938486">
      <w:pPr>
        <w:keepNext w:val="0"/>
        <w:keepLines w:val="0"/>
        <w:pageBreakBefore w:val="0"/>
        <w:widowControl w:val="0"/>
        <w:kinsoku/>
        <w:wordWrap/>
        <w:overflowPunct/>
        <w:topLinePunct w:val="0"/>
        <w:autoSpaceDE w:val="0"/>
        <w:autoSpaceDN w:val="0"/>
        <w:bidi w:val="0"/>
        <w:adjustRightInd w:val="0"/>
        <w:snapToGrid w:val="0"/>
        <w:spacing w:line="500" w:lineRule="exact"/>
        <w:ind w:firstLine="482"/>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高压输电线上的等效电荷是线电荷，由于高压输电线半径r远远小于架设高度h，所以等效电荷的位置可以认为是在输电导线的几何中心。</w:t>
      </w:r>
    </w:p>
    <w:p w14:paraId="788B32E4">
      <w:pPr>
        <w:keepNext w:val="0"/>
        <w:keepLines w:val="0"/>
        <w:pageBreakBefore w:val="0"/>
        <w:widowControl w:val="0"/>
        <w:kinsoku/>
        <w:wordWrap/>
        <w:overflowPunct/>
        <w:topLinePunct w:val="0"/>
        <w:autoSpaceDE w:val="0"/>
        <w:autoSpaceDN w:val="0"/>
        <w:bidi w:val="0"/>
        <w:adjustRightInd w:val="0"/>
        <w:snapToGrid w:val="0"/>
        <w:spacing w:line="500" w:lineRule="exact"/>
        <w:ind w:firstLine="482"/>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设输电线路为无限长并且平行于地面，地面可视为良导体，利用镜像法计算输电线上的等效电荷。</w:t>
      </w:r>
    </w:p>
    <w:p w14:paraId="634BBA31">
      <w:pPr>
        <w:keepNext w:val="0"/>
        <w:keepLines w:val="0"/>
        <w:pageBreakBefore w:val="0"/>
        <w:widowControl w:val="0"/>
        <w:kinsoku/>
        <w:wordWrap/>
        <w:overflowPunct/>
        <w:topLinePunct w:val="0"/>
        <w:autoSpaceDE w:val="0"/>
        <w:autoSpaceDN w:val="0"/>
        <w:bidi w:val="0"/>
        <w:adjustRightInd w:val="0"/>
        <w:snapToGrid w:val="0"/>
        <w:spacing w:line="500" w:lineRule="exact"/>
        <w:ind w:firstLine="48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为了计算多导线线路中导线上的等效电荷，可写出下列矩阵方程：</w:t>
      </w:r>
    </w:p>
    <w:p w14:paraId="0DF76ACE">
      <w:pPr>
        <w:pStyle w:val="46"/>
        <w:spacing w:line="240" w:lineRule="auto"/>
        <w:ind w:firstLine="2551" w:firstLineChars="1063"/>
        <w:rPr>
          <w:rStyle w:val="47"/>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68"/>
          <w:sz w:val="24"/>
          <w:szCs w:val="24"/>
          <w14:textFill>
            <w14:solidFill>
              <w14:schemeClr w14:val="tx1"/>
            </w14:solidFill>
          </w14:textFill>
        </w:rPr>
        <w:object>
          <v:shape id="_x0000_i1025" o:spt="75" type="#_x0000_t75" style="height:76.2pt;width:170.8pt;" o:ole="t" filled="f" o:preferrelative="t" stroked="f" coordsize="21600,21600">
            <v:path/>
            <v:fill on="f" focussize="0,0"/>
            <v:stroke on="f"/>
            <v:imagedata r:id="rId14" o:title=""/>
            <o:lock v:ext="edit" aspectratio="t"/>
            <w10:wrap type="none"/>
            <w10:anchorlock/>
          </v:shape>
          <o:OLEObject Type="Embed" ProgID="Equation.DSMT4" ShapeID="_x0000_i1025" DrawAspect="Content" ObjectID="_1468075725" r:id="rId13">
            <o:LockedField>false</o:LockedField>
          </o:OLEObject>
        </w:object>
      </w:r>
    </w:p>
    <w:p w14:paraId="2F810AB8">
      <w:pPr>
        <w:keepNext w:val="0"/>
        <w:keepLines w:val="0"/>
        <w:pageBreakBefore w:val="0"/>
        <w:widowControl w:val="0"/>
        <w:kinsoku/>
        <w:wordWrap/>
        <w:overflowPunct/>
        <w:topLinePunct w:val="0"/>
        <w:autoSpaceDE w:val="0"/>
        <w:autoSpaceDN w:val="0"/>
        <w:bidi w:val="0"/>
        <w:adjustRightInd w:val="0"/>
        <w:snapToGrid w:val="0"/>
        <w:spacing w:before="120" w:beforeLines="50" w:line="500" w:lineRule="exact"/>
        <w:ind w:firstLine="482"/>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式中：U——各导线对地电压的单列矩阵；</w:t>
      </w:r>
    </w:p>
    <w:p w14:paraId="60788088">
      <w:pPr>
        <w:keepNext w:val="0"/>
        <w:keepLines w:val="0"/>
        <w:pageBreakBefore w:val="0"/>
        <w:widowControl w:val="0"/>
        <w:kinsoku/>
        <w:wordWrap/>
        <w:overflowPunct/>
        <w:topLinePunct w:val="0"/>
        <w:autoSpaceDE w:val="0"/>
        <w:autoSpaceDN w:val="0"/>
        <w:bidi w:val="0"/>
        <w:adjustRightInd w:val="0"/>
        <w:snapToGrid w:val="0"/>
        <w:spacing w:line="500" w:lineRule="exact"/>
        <w:ind w:firstLine="1200" w:firstLineChars="50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Q——各导线上等效电荷的单列矩阵；</w:t>
      </w:r>
    </w:p>
    <w:p w14:paraId="66A17D8B">
      <w:pPr>
        <w:keepNext w:val="0"/>
        <w:keepLines w:val="0"/>
        <w:pageBreakBefore w:val="0"/>
        <w:widowControl w:val="0"/>
        <w:kinsoku/>
        <w:wordWrap/>
        <w:overflowPunct/>
        <w:topLinePunct w:val="0"/>
        <w:autoSpaceDE w:val="0"/>
        <w:autoSpaceDN w:val="0"/>
        <w:bidi w:val="0"/>
        <w:adjustRightInd w:val="0"/>
        <w:snapToGrid w:val="0"/>
        <w:spacing w:line="500" w:lineRule="exact"/>
        <w:ind w:firstLine="1200" w:firstLineChars="50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λ——各导线的电位系数组成的m阶方阵</w:t>
      </w:r>
      <w:r>
        <w:rPr>
          <w:rFonts w:hint="eastAsia" w:ascii="Times New Roman" w:hAnsi="Times New Roman" w:cs="Times New Roman" w:eastAsiaTheme="minorEastAsia"/>
          <w:color w:val="000000" w:themeColor="text1"/>
          <w:sz w:val="24"/>
          <w:szCs w:val="24"/>
          <w:lang w:val="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m为导线数目</w:t>
      </w:r>
      <w:r>
        <w:rPr>
          <w:rFonts w:hint="eastAsia" w:ascii="Times New Roman" w:hAnsi="Times New Roman" w:cs="Times New Roman" w:eastAsiaTheme="minorEastAsia"/>
          <w:color w:val="000000" w:themeColor="text1"/>
          <w:sz w:val="24"/>
          <w:szCs w:val="24"/>
          <w:lang w:val="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w:t>
      </w:r>
    </w:p>
    <w:p w14:paraId="4F7B759A">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﹝U﹞矩阵可由输电线的电压和相位确定，从环境保护考虑以额定电压的1.05倍作为计算电压。</w:t>
      </w:r>
    </w:p>
    <w:p w14:paraId="3D5DCFA7">
      <w:pPr>
        <w:keepNext w:val="0"/>
        <w:keepLines w:val="0"/>
        <w:pageBreakBefore w:val="0"/>
        <w:widowControl w:val="0"/>
        <w:kinsoku/>
        <w:wordWrap/>
        <w:overflowPunct/>
        <w:topLinePunct w:val="0"/>
        <w:autoSpaceDE w:val="0"/>
        <w:autoSpaceDN w:val="0"/>
        <w:bidi w:val="0"/>
        <w:adjustRightInd w:val="0"/>
        <w:snapToGrid w:val="0"/>
        <w:spacing w:line="500" w:lineRule="exact"/>
        <w:ind w:firstLine="480" w:firstLineChars="200"/>
        <w:textAlignment w:val="auto"/>
        <w:rPr>
          <w:rFonts w:hint="default" w:ascii="Times New Roman" w:hAnsi="Times New Roman" w:cs="Times New Roman" w:eastAsiaTheme="minorEastAsia"/>
          <w:color w:val="000000" w:themeColor="text1"/>
          <w:sz w:val="24"/>
          <w:szCs w:val="24"/>
          <w:highlight w:val="none"/>
          <w:lang w:val="zh-CN"/>
          <w14:textFill>
            <w14:solidFill>
              <w14:schemeClr w14:val="tx1"/>
            </w14:solidFill>
          </w14:textFill>
        </w:rPr>
      </w:pPr>
      <w:r>
        <w:rPr>
          <w:rFonts w:hint="default" w:ascii="Times New Roman" w:hAnsi="Times New Roman" w:cs="Times New Roman" w:eastAsiaTheme="minorEastAsia"/>
          <w:color w:val="000000" w:themeColor="text1"/>
          <w:sz w:val="24"/>
          <w:szCs w:val="24"/>
          <w:highlight w:val="none"/>
          <w:lang w:val="zh-CN"/>
          <w14:textFill>
            <w14:solidFill>
              <w14:schemeClr w14:val="tx1"/>
            </w14:solidFill>
          </w14:textFill>
        </w:rPr>
        <w:t>对于</w:t>
      </w: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220</w:t>
      </w:r>
      <w:r>
        <w:rPr>
          <w:rFonts w:hint="default" w:ascii="Times New Roman" w:hAnsi="Times New Roman" w:cs="Times New Roman" w:eastAsiaTheme="minorEastAsia"/>
          <w:color w:val="000000" w:themeColor="text1"/>
          <w:sz w:val="24"/>
          <w:szCs w:val="24"/>
          <w:highlight w:val="none"/>
          <w:lang w:val="zh-CN"/>
          <w14:textFill>
            <w14:solidFill>
              <w14:schemeClr w14:val="tx1"/>
            </w14:solidFill>
          </w14:textFill>
        </w:rPr>
        <w:t>kV三相导线，各相导线对地电压为：</w:t>
      </w:r>
    </w:p>
    <w:p w14:paraId="26E37BCC">
      <w:pPr>
        <w:keepNext w:val="0"/>
        <w:keepLines w:val="0"/>
        <w:pageBreakBefore w:val="0"/>
        <w:widowControl w:val="0"/>
        <w:kinsoku/>
        <w:wordWrap/>
        <w:overflowPunct/>
        <w:topLinePunct w:val="0"/>
        <w:autoSpaceDE w:val="0"/>
        <w:autoSpaceDN w:val="0"/>
        <w:bidi w:val="0"/>
        <w:adjustRightInd w:val="0"/>
        <w:snapToGrid/>
        <w:spacing w:line="360" w:lineRule="auto"/>
        <w:ind w:firstLine="1080" w:firstLineChars="450"/>
        <w:textAlignment w:val="auto"/>
        <w:rPr>
          <w:rFonts w:hint="default" w:ascii="Times New Roman" w:hAnsi="Times New Roman" w:cs="Times New Roman" w:eastAsiaTheme="minorEastAsia"/>
          <w:color w:val="000000" w:themeColor="text1"/>
          <w:sz w:val="24"/>
          <w:szCs w:val="24"/>
          <w:highlight w:val="none"/>
          <w:lang w:val="zh-CN"/>
          <w14:textFill>
            <w14:solidFill>
              <w14:schemeClr w14:val="tx1"/>
            </w14:solidFill>
          </w14:textFill>
        </w:rPr>
      </w:pPr>
      <w:r>
        <w:rPr>
          <w:rFonts w:hint="default" w:ascii="Times New Roman" w:hAnsi="Times New Roman" w:cs="Times New Roman" w:eastAsiaTheme="minorEastAsia"/>
          <w:color w:val="000000" w:themeColor="text1"/>
          <w:kern w:val="0"/>
          <w:position w:val="-14"/>
          <w:sz w:val="24"/>
          <w:szCs w:val="24"/>
          <w:highlight w:val="none"/>
          <w:lang w:val="zh-CN"/>
          <w14:textFill>
            <w14:solidFill>
              <w14:schemeClr w14:val="tx1"/>
            </w14:solidFill>
          </w14:textFill>
        </w:rPr>
        <w:object>
          <v:shape id="_x0000_i1026" o:spt="75" type="#_x0000_t75" style="height:19.85pt;width:216pt;" o:ole="t" filled="f" o:preferrelative="t" stroked="f" coordsize="21600,21600">
            <v:path/>
            <v:fill on="f" focussize="0,0"/>
            <v:stroke on="f"/>
            <v:imagedata r:id="rId16" o:title=""/>
            <o:lock v:ext="edit" aspectratio="t"/>
            <w10:wrap type="none"/>
            <w10:anchorlock/>
          </v:shape>
          <o:OLEObject Type="Embed" ProgID="Equation.3" ShapeID="_x0000_i1026" DrawAspect="Content" ObjectID="_1468075726" r:id="rId15">
            <o:LockedField>false</o:LockedField>
          </o:OLEObject>
        </w:object>
      </w:r>
    </w:p>
    <w:p w14:paraId="4963798B">
      <w:pPr>
        <w:keepNext w:val="0"/>
        <w:keepLines w:val="0"/>
        <w:pageBreakBefore w:val="0"/>
        <w:widowControl w:val="0"/>
        <w:kinsoku/>
        <w:wordWrap/>
        <w:overflowPunct/>
        <w:topLinePunct w:val="0"/>
        <w:autoSpaceDE w:val="0"/>
        <w:autoSpaceDN w:val="0"/>
        <w:bidi w:val="0"/>
        <w:adjustRightInd w:val="0"/>
        <w:snapToGrid w:val="0"/>
        <w:spacing w:line="500" w:lineRule="exact"/>
        <w:ind w:firstLine="482"/>
        <w:textAlignment w:val="auto"/>
        <w:rPr>
          <w:rFonts w:hint="default" w:ascii="Times New Roman" w:hAnsi="Times New Roman" w:cs="Times New Roman" w:eastAsiaTheme="minorEastAsia"/>
          <w:color w:val="000000" w:themeColor="text1"/>
          <w:sz w:val="24"/>
          <w:szCs w:val="24"/>
          <w:highlight w:val="none"/>
          <w:lang w:val="zh-CN"/>
          <w14:textFill>
            <w14:solidFill>
              <w14:schemeClr w14:val="tx1"/>
            </w14:solidFill>
          </w14:textFill>
        </w:rPr>
      </w:pPr>
      <w:r>
        <w:rPr>
          <w:rFonts w:hint="eastAsia" w:ascii="Times New Roman" w:hAnsi="Times New Roman" w:cs="Times New Roman" w:eastAsiaTheme="minorEastAsia"/>
          <w:color w:val="000000" w:themeColor="text1"/>
          <w:sz w:val="24"/>
          <w:szCs w:val="24"/>
          <w:highlight w:val="none"/>
          <w:lang w:val="en-US" w:eastAsia="zh-CN"/>
          <w14:textFill>
            <w14:solidFill>
              <w14:schemeClr w14:val="tx1"/>
            </w14:solidFill>
          </w14:textFill>
        </w:rPr>
        <w:t>220</w:t>
      </w:r>
      <w:r>
        <w:rPr>
          <w:rFonts w:hint="default" w:ascii="Times New Roman" w:hAnsi="Times New Roman" w:cs="Times New Roman" w:eastAsiaTheme="minorEastAsia"/>
          <w:color w:val="000000" w:themeColor="text1"/>
          <w:sz w:val="24"/>
          <w:szCs w:val="24"/>
          <w:highlight w:val="none"/>
          <w:lang w:val="zh-CN"/>
          <w14:textFill>
            <w14:solidFill>
              <w14:schemeClr w14:val="tx1"/>
            </w14:solidFill>
          </w14:textFill>
        </w:rPr>
        <w:t>kV各相导线对地电压分量为：</w:t>
      </w:r>
    </w:p>
    <w:p w14:paraId="00B3ED09">
      <w:pPr>
        <w:pStyle w:val="10"/>
        <w:keepNext w:val="0"/>
        <w:keepLines w:val="0"/>
        <w:pageBreakBefore w:val="0"/>
        <w:kinsoku/>
        <w:wordWrap/>
        <w:overflowPunct/>
        <w:topLinePunct w:val="0"/>
        <w:bidi w:val="0"/>
        <w:spacing w:before="0" w:after="0" w:line="500" w:lineRule="exact"/>
        <w:ind w:left="3234"/>
        <w:textAlignment w:val="auto"/>
        <w:rPr>
          <w:color w:val="000000" w:themeColor="text1"/>
          <w:spacing w:val="0"/>
          <w:position w:val="0"/>
          <w:sz w:val="24"/>
          <w:szCs w:val="24"/>
          <w14:textFill>
            <w14:solidFill>
              <w14:schemeClr w14:val="tx1"/>
            </w14:solidFill>
          </w14:textFill>
        </w:rPr>
      </w:pPr>
      <w:r>
        <w:rPr>
          <w:color w:val="000000" w:themeColor="text1"/>
          <w:spacing w:val="0"/>
          <w:position w:val="0"/>
          <w:sz w:val="24"/>
          <w:szCs w:val="24"/>
          <w14:textFill>
            <w14:solidFill>
              <w14:schemeClr w14:val="tx1"/>
            </w14:solidFill>
          </w14:textFill>
        </w:rPr>
        <w:t>U</w:t>
      </w:r>
      <w:r>
        <w:rPr>
          <w:color w:val="000000" w:themeColor="text1"/>
          <w:spacing w:val="0"/>
          <w:position w:val="0"/>
          <w:sz w:val="12"/>
          <w:szCs w:val="12"/>
          <w14:textFill>
            <w14:solidFill>
              <w14:schemeClr w14:val="tx1"/>
            </w14:solidFill>
          </w14:textFill>
        </w:rPr>
        <w:t>A</w:t>
      </w:r>
      <w:r>
        <w:rPr>
          <w:color w:val="000000" w:themeColor="text1"/>
          <w:spacing w:val="0"/>
          <w:position w:val="0"/>
          <w:sz w:val="24"/>
          <w:szCs w:val="24"/>
          <w14:textFill>
            <w14:solidFill>
              <w14:schemeClr w14:val="tx1"/>
            </w14:solidFill>
          </w14:textFill>
        </w:rPr>
        <w:t>=</w:t>
      </w:r>
      <w:r>
        <w:rPr>
          <w:rFonts w:hint="eastAsia"/>
          <w:color w:val="000000" w:themeColor="text1"/>
          <w:spacing w:val="0"/>
          <w:position w:val="0"/>
          <w:sz w:val="24"/>
          <w:szCs w:val="24"/>
          <w:lang w:eastAsia="zh-CN"/>
          <w14:textFill>
            <w14:solidFill>
              <w14:schemeClr w14:val="tx1"/>
            </w14:solidFill>
          </w14:textFill>
        </w:rPr>
        <w:t>（</w:t>
      </w:r>
      <w:r>
        <w:rPr>
          <w:color w:val="000000" w:themeColor="text1"/>
          <w:spacing w:val="0"/>
          <w:position w:val="0"/>
          <w:sz w:val="24"/>
          <w:szCs w:val="24"/>
          <w14:textFill>
            <w14:solidFill>
              <w14:schemeClr w14:val="tx1"/>
            </w14:solidFill>
          </w14:textFill>
        </w:rPr>
        <w:t>133.4+j0</w:t>
      </w:r>
      <w:r>
        <w:rPr>
          <w:rFonts w:hint="eastAsia"/>
          <w:color w:val="000000" w:themeColor="text1"/>
          <w:spacing w:val="0"/>
          <w:position w:val="0"/>
          <w:sz w:val="24"/>
          <w:szCs w:val="24"/>
          <w:lang w:eastAsia="zh-CN"/>
          <w14:textFill>
            <w14:solidFill>
              <w14:schemeClr w14:val="tx1"/>
            </w14:solidFill>
          </w14:textFill>
        </w:rPr>
        <w:t>）</w:t>
      </w:r>
      <w:r>
        <w:rPr>
          <w:rFonts w:hint="default" w:ascii="Times New Roman" w:hAnsi="Times New Roman" w:cs="Times New Roman" w:eastAsiaTheme="minorEastAsia"/>
          <w:color w:val="000000" w:themeColor="text1"/>
          <w:spacing w:val="0"/>
          <w:position w:val="0"/>
          <w:sz w:val="24"/>
          <w:szCs w:val="24"/>
          <w:lang w:val="zh-CN"/>
          <w14:textFill>
            <w14:solidFill>
              <w14:schemeClr w14:val="tx1"/>
            </w14:solidFill>
          </w14:textFill>
        </w:rPr>
        <w:t>kV</w:t>
      </w:r>
    </w:p>
    <w:p w14:paraId="1BD2971E">
      <w:pPr>
        <w:pStyle w:val="10"/>
        <w:keepNext w:val="0"/>
        <w:keepLines w:val="0"/>
        <w:pageBreakBefore w:val="0"/>
        <w:kinsoku/>
        <w:wordWrap/>
        <w:overflowPunct/>
        <w:topLinePunct w:val="0"/>
        <w:bidi w:val="0"/>
        <w:spacing w:before="0" w:after="0" w:line="500" w:lineRule="exact"/>
        <w:ind w:left="3234"/>
        <w:textAlignment w:val="auto"/>
        <w:rPr>
          <w:color w:val="000000" w:themeColor="text1"/>
          <w:spacing w:val="0"/>
          <w:position w:val="0"/>
          <w:sz w:val="24"/>
          <w:szCs w:val="24"/>
          <w14:textFill>
            <w14:solidFill>
              <w14:schemeClr w14:val="tx1"/>
            </w14:solidFill>
          </w14:textFill>
        </w:rPr>
      </w:pPr>
      <w:r>
        <w:rPr>
          <w:color w:val="000000" w:themeColor="text1"/>
          <w:spacing w:val="0"/>
          <w:position w:val="0"/>
          <w:sz w:val="24"/>
          <w:szCs w:val="24"/>
          <w14:textFill>
            <w14:solidFill>
              <w14:schemeClr w14:val="tx1"/>
            </w14:solidFill>
          </w14:textFill>
        </w:rPr>
        <w:t>U</w:t>
      </w:r>
      <w:r>
        <w:rPr>
          <w:color w:val="000000" w:themeColor="text1"/>
          <w:spacing w:val="0"/>
          <w:position w:val="0"/>
          <w:sz w:val="12"/>
          <w:szCs w:val="12"/>
          <w14:textFill>
            <w14:solidFill>
              <w14:schemeClr w14:val="tx1"/>
            </w14:solidFill>
          </w14:textFill>
        </w:rPr>
        <w:t>B</w:t>
      </w:r>
      <w:r>
        <w:rPr>
          <w:color w:val="000000" w:themeColor="text1"/>
          <w:spacing w:val="0"/>
          <w:position w:val="0"/>
          <w:sz w:val="24"/>
          <w:szCs w:val="24"/>
          <w14:textFill>
            <w14:solidFill>
              <w14:schemeClr w14:val="tx1"/>
            </w14:solidFill>
          </w14:textFill>
        </w:rPr>
        <w:t>=</w:t>
      </w:r>
      <w:r>
        <w:rPr>
          <w:rFonts w:hint="eastAsia"/>
          <w:color w:val="000000" w:themeColor="text1"/>
          <w:spacing w:val="0"/>
          <w:position w:val="0"/>
          <w:sz w:val="24"/>
          <w:szCs w:val="24"/>
          <w:lang w:eastAsia="zh-CN"/>
          <w14:textFill>
            <w14:solidFill>
              <w14:schemeClr w14:val="tx1"/>
            </w14:solidFill>
          </w14:textFill>
        </w:rPr>
        <w:t>（</w:t>
      </w:r>
      <w:r>
        <w:rPr>
          <w:color w:val="000000" w:themeColor="text1"/>
          <w:spacing w:val="0"/>
          <w:position w:val="0"/>
          <w:sz w:val="24"/>
          <w:szCs w:val="24"/>
          <w14:textFill>
            <w14:solidFill>
              <w14:schemeClr w14:val="tx1"/>
            </w14:solidFill>
          </w14:textFill>
        </w:rPr>
        <w:t>-66.7+j115.5</w:t>
      </w:r>
      <w:r>
        <w:rPr>
          <w:rFonts w:hint="eastAsia"/>
          <w:color w:val="000000" w:themeColor="text1"/>
          <w:spacing w:val="0"/>
          <w:position w:val="0"/>
          <w:sz w:val="24"/>
          <w:szCs w:val="24"/>
          <w:lang w:eastAsia="zh-CN"/>
          <w14:textFill>
            <w14:solidFill>
              <w14:schemeClr w14:val="tx1"/>
            </w14:solidFill>
          </w14:textFill>
        </w:rPr>
        <w:t>）</w:t>
      </w:r>
      <w:r>
        <w:rPr>
          <w:rFonts w:hint="default" w:ascii="Times New Roman" w:hAnsi="Times New Roman" w:cs="Times New Roman" w:eastAsiaTheme="minorEastAsia"/>
          <w:color w:val="000000" w:themeColor="text1"/>
          <w:spacing w:val="0"/>
          <w:position w:val="0"/>
          <w:sz w:val="24"/>
          <w:szCs w:val="24"/>
          <w:lang w:val="zh-CN"/>
          <w14:textFill>
            <w14:solidFill>
              <w14:schemeClr w14:val="tx1"/>
            </w14:solidFill>
          </w14:textFill>
        </w:rPr>
        <w:t>kV</w:t>
      </w:r>
    </w:p>
    <w:p w14:paraId="797EC3DE">
      <w:pPr>
        <w:keepNext w:val="0"/>
        <w:keepLines w:val="0"/>
        <w:pageBreakBefore w:val="0"/>
        <w:widowControl w:val="0"/>
        <w:kinsoku/>
        <w:wordWrap/>
        <w:overflowPunct/>
        <w:topLinePunct w:val="0"/>
        <w:autoSpaceDE w:val="0"/>
        <w:autoSpaceDN w:val="0"/>
        <w:bidi w:val="0"/>
        <w:adjustRightInd w:val="0"/>
        <w:spacing w:line="500" w:lineRule="exact"/>
        <w:ind w:firstLine="3240" w:firstLineChars="1350"/>
        <w:textAlignment w:val="auto"/>
        <w:rPr>
          <w:rFonts w:hint="default" w:ascii="Times New Roman" w:hAnsi="Times New Roman" w:cs="Times New Roman" w:eastAsiaTheme="minorEastAsia"/>
          <w:color w:val="000000" w:themeColor="text1"/>
          <w:spacing w:val="0"/>
          <w:position w:val="0"/>
          <w:sz w:val="24"/>
          <w:szCs w:val="24"/>
          <w:lang w:val="zh-CN"/>
          <w14:textFill>
            <w14:solidFill>
              <w14:schemeClr w14:val="tx1"/>
            </w14:solidFill>
          </w14:textFill>
        </w:rPr>
      </w:pPr>
      <w:r>
        <w:rPr>
          <w:color w:val="000000" w:themeColor="text1"/>
          <w:spacing w:val="0"/>
          <w:position w:val="0"/>
          <w:sz w:val="24"/>
          <w:szCs w:val="24"/>
          <w14:textFill>
            <w14:solidFill>
              <w14:schemeClr w14:val="tx1"/>
            </w14:solidFill>
          </w14:textFill>
        </w:rPr>
        <w:t>U</w:t>
      </w:r>
      <w:r>
        <w:rPr>
          <w:color w:val="000000" w:themeColor="text1"/>
          <w:spacing w:val="0"/>
          <w:position w:val="0"/>
          <w:sz w:val="12"/>
          <w:szCs w:val="12"/>
          <w14:textFill>
            <w14:solidFill>
              <w14:schemeClr w14:val="tx1"/>
            </w14:solidFill>
          </w14:textFill>
        </w:rPr>
        <w:t>C</w:t>
      </w:r>
      <w:r>
        <w:rPr>
          <w:color w:val="000000" w:themeColor="text1"/>
          <w:spacing w:val="0"/>
          <w:position w:val="0"/>
          <w:sz w:val="24"/>
          <w:szCs w:val="24"/>
          <w14:textFill>
            <w14:solidFill>
              <w14:schemeClr w14:val="tx1"/>
            </w14:solidFill>
          </w14:textFill>
        </w:rPr>
        <w:t>=</w:t>
      </w:r>
      <w:r>
        <w:rPr>
          <w:rFonts w:hint="eastAsia"/>
          <w:color w:val="000000" w:themeColor="text1"/>
          <w:spacing w:val="0"/>
          <w:position w:val="0"/>
          <w:sz w:val="24"/>
          <w:szCs w:val="24"/>
          <w:lang w:eastAsia="zh-CN"/>
          <w14:textFill>
            <w14:solidFill>
              <w14:schemeClr w14:val="tx1"/>
            </w14:solidFill>
          </w14:textFill>
        </w:rPr>
        <w:t>（</w:t>
      </w:r>
      <w:r>
        <w:rPr>
          <w:color w:val="000000" w:themeColor="text1"/>
          <w:spacing w:val="0"/>
          <w:position w:val="0"/>
          <w:sz w:val="24"/>
          <w:szCs w:val="24"/>
          <w14:textFill>
            <w14:solidFill>
              <w14:schemeClr w14:val="tx1"/>
            </w14:solidFill>
          </w14:textFill>
        </w:rPr>
        <w:t>-66.7-j115.5</w:t>
      </w:r>
      <w:r>
        <w:rPr>
          <w:rFonts w:hint="eastAsia"/>
          <w:color w:val="000000" w:themeColor="text1"/>
          <w:spacing w:val="0"/>
          <w:position w:val="0"/>
          <w:sz w:val="24"/>
          <w:szCs w:val="24"/>
          <w:lang w:eastAsia="zh-CN"/>
          <w14:textFill>
            <w14:solidFill>
              <w14:schemeClr w14:val="tx1"/>
            </w14:solidFill>
          </w14:textFill>
        </w:rPr>
        <w:t>）</w:t>
      </w:r>
      <w:r>
        <w:rPr>
          <w:rFonts w:hint="default" w:ascii="Times New Roman" w:hAnsi="Times New Roman" w:cs="Times New Roman" w:eastAsiaTheme="minorEastAsia"/>
          <w:color w:val="000000" w:themeColor="text1"/>
          <w:spacing w:val="0"/>
          <w:position w:val="0"/>
          <w:sz w:val="24"/>
          <w:szCs w:val="24"/>
          <w:lang w:val="zh-CN"/>
          <w14:textFill>
            <w14:solidFill>
              <w14:schemeClr w14:val="tx1"/>
            </w14:solidFill>
          </w14:textFill>
        </w:rPr>
        <w:t>kV</w:t>
      </w:r>
    </w:p>
    <w:p w14:paraId="71E1194B">
      <w:pPr>
        <w:pStyle w:val="6"/>
        <w:keepNext w:val="0"/>
        <w:keepLines w:val="0"/>
        <w:pageBreakBefore w:val="0"/>
        <w:widowControl/>
        <w:kinsoku/>
        <w:wordWrap/>
        <w:overflowPunct/>
        <w:topLinePunct w:val="0"/>
        <w:autoSpaceDE/>
        <w:autoSpaceDN/>
        <w:bidi w:val="0"/>
        <w:adjustRightInd w:val="0"/>
        <w:snapToGrid/>
        <w:spacing w:line="240" w:lineRule="auto"/>
        <w:ind w:firstLine="0"/>
        <w:jc w:val="center"/>
        <w:textAlignment w:val="baseline"/>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drawing>
          <wp:inline distT="0" distB="0" distL="114300" distR="114300">
            <wp:extent cx="2520950" cy="2183130"/>
            <wp:effectExtent l="0" t="0" r="12700" b="7620"/>
            <wp:docPr id="12" name="图片 3" descr="图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图A1"/>
                    <pic:cNvPicPr>
                      <a:picLocks noChangeAspect="1"/>
                    </pic:cNvPicPr>
                  </pic:nvPicPr>
                  <pic:blipFill>
                    <a:blip r:embed="rId17">
                      <a:lum contrast="6000"/>
                    </a:blip>
                    <a:stretch>
                      <a:fillRect/>
                    </a:stretch>
                  </pic:blipFill>
                  <pic:spPr>
                    <a:xfrm>
                      <a:off x="0" y="0"/>
                      <a:ext cx="2520950" cy="2183130"/>
                    </a:xfrm>
                    <a:prstGeom prst="rect">
                      <a:avLst/>
                    </a:prstGeom>
                    <a:noFill/>
                    <a:ln>
                      <a:noFill/>
                    </a:ln>
                  </pic:spPr>
                </pic:pic>
              </a:graphicData>
            </a:graphic>
          </wp:inline>
        </w:drawing>
      </w:r>
    </w:p>
    <w:p w14:paraId="5C214F48">
      <w:pPr>
        <w:pStyle w:val="6"/>
        <w:ind w:firstLine="482"/>
        <w:jc w:val="center"/>
        <w:rPr>
          <w:rFonts w:hint="eastAsia" w:ascii="黑体" w:hAnsi="黑体" w:eastAsia="黑体" w:cs="黑体"/>
          <w:b w:val="0"/>
          <w:bCs/>
          <w:color w:val="000000" w:themeColor="text1"/>
          <w:sz w:val="21"/>
          <w:szCs w:val="21"/>
          <w:lang w:val="zh-CN"/>
          <w14:textFill>
            <w14:solidFill>
              <w14:schemeClr w14:val="tx1"/>
            </w14:solidFill>
          </w14:textFill>
        </w:rPr>
      </w:pPr>
      <w:r>
        <w:rPr>
          <w:rFonts w:hint="eastAsia" w:ascii="黑体" w:hAnsi="黑体" w:eastAsia="黑体" w:cs="黑体"/>
          <w:b w:val="0"/>
          <w:bCs/>
          <w:color w:val="000000" w:themeColor="text1"/>
          <w:sz w:val="21"/>
          <w:szCs w:val="21"/>
          <w:lang w:val="zh-CN"/>
          <w14:textFill>
            <w14:solidFill>
              <w14:schemeClr w14:val="tx1"/>
            </w14:solidFill>
          </w14:textFill>
        </w:rPr>
        <w:t>图1  对地电压计算图</w:t>
      </w:r>
    </w:p>
    <w:p w14:paraId="4CF04E31">
      <w:pPr>
        <w:keepNext w:val="0"/>
        <w:keepLines w:val="0"/>
        <w:pageBreakBefore w:val="0"/>
        <w:widowControl w:val="0"/>
        <w:kinsoku/>
        <w:wordWrap/>
        <w:overflowPunct/>
        <w:topLinePunct w:val="0"/>
        <w:autoSpaceDE w:val="0"/>
        <w:autoSpaceDN w:val="0"/>
        <w:bidi w:val="0"/>
        <w:adjustRightInd w:val="0"/>
        <w:snapToGrid/>
        <w:spacing w:line="500" w:lineRule="exact"/>
        <w:ind w:firstLine="482"/>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﹝λ﹞矩阵由镜像原理求得。地面为电位等于零的平面，地面的感应电荷可由对应地面导线的镜像电荷代替，用i，j，…表示相互平行的实际导线，用i′，j′，…表示它们的镜像，电位系数可写为：</w:t>
      </w:r>
    </w:p>
    <w:p w14:paraId="6191300B">
      <w:pPr>
        <w:pStyle w:val="46"/>
        <w:spacing w:line="360" w:lineRule="auto"/>
        <w:ind w:firstLine="2916" w:firstLineChars="1215"/>
        <w:rPr>
          <w:rStyle w:val="47"/>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30"/>
          <w:sz w:val="24"/>
          <w:szCs w:val="24"/>
          <w14:textFill>
            <w14:solidFill>
              <w14:schemeClr w14:val="tx1"/>
            </w14:solidFill>
          </w14:textFill>
        </w:rPr>
        <w:object>
          <v:shape id="_x0000_i1027" o:spt="75" type="#_x0000_t75" style="height:34.35pt;width:82.9pt;" o:ole="t" filled="f" o:preferrelative="t" stroked="f" coordsize="21600,21600">
            <v:path/>
            <v:fill on="f" focussize="0,0"/>
            <v:stroke on="f"/>
            <v:imagedata r:id="rId19" o:title=""/>
            <o:lock v:ext="edit" aspectratio="t"/>
            <w10:wrap type="none"/>
            <w10:anchorlock/>
          </v:shape>
          <o:OLEObject Type="Embed" ProgID="Equation.3" ShapeID="_x0000_i1027" DrawAspect="Content" ObjectID="_1468075727" r:id="rId18">
            <o:LockedField>false</o:LockedField>
          </o:OLEObject>
        </w:object>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              </w:t>
      </w:r>
    </w:p>
    <w:p w14:paraId="03493CA3">
      <w:pPr>
        <w:pStyle w:val="46"/>
        <w:spacing w:line="360" w:lineRule="auto"/>
        <w:ind w:firstLine="2916" w:firstLineChars="1215"/>
        <w:rPr>
          <w:rStyle w:val="47"/>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32"/>
          <w:sz w:val="24"/>
          <w:szCs w:val="24"/>
          <w14:textFill>
            <w14:solidFill>
              <w14:schemeClr w14:val="tx1"/>
            </w14:solidFill>
          </w14:textFill>
        </w:rPr>
        <w:object>
          <v:shape id="_x0000_i1028" o:spt="75" type="#_x0000_t75" style="height:37.65pt;width:79.55pt;" o:ole="t" filled="f" o:preferrelative="t" stroked="f" coordsize="21600,21600">
            <v:path/>
            <v:fill on="f" focussize="0,0"/>
            <v:stroke on="f"/>
            <v:imagedata r:id="rId21" o:title=""/>
            <o:lock v:ext="edit" aspectratio="t"/>
            <w10:wrap type="none"/>
            <w10:anchorlock/>
          </v:shape>
          <o:OLEObject Type="Embed" ProgID="Equation.3" ShapeID="_x0000_i1028" DrawAspect="Content" ObjectID="_1468075728" r:id="rId20">
            <o:LockedField>false</o:LockedField>
          </o:OLEObject>
        </w:object>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              </w:t>
      </w:r>
    </w:p>
    <w:p w14:paraId="20C74C30">
      <w:pPr>
        <w:pStyle w:val="48"/>
        <w:spacing w:line="360" w:lineRule="auto"/>
        <w:ind w:firstLine="2916" w:firstLineChars="1215"/>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14"/>
          <w:sz w:val="24"/>
          <w:szCs w:val="24"/>
          <w14:textFill>
            <w14:solidFill>
              <w14:schemeClr w14:val="tx1"/>
            </w14:solidFill>
          </w14:textFill>
        </w:rPr>
        <w:object>
          <v:shape id="_x0000_i1029" o:spt="75" type="#_x0000_t75" style="height:19.25pt;width:41.85pt;" o:ole="t" filled="f" o:preferrelative="t" stroked="f" coordsize="21600,21600">
            <v:path/>
            <v:fill on="f" focussize="0,0"/>
            <v:stroke on="f"/>
            <v:imagedata r:id="rId23" o:title=""/>
            <o:lock v:ext="edit" aspectratio="t"/>
            <w10:wrap type="none"/>
            <w10:anchorlock/>
          </v:shape>
          <o:OLEObject Type="Embed" ProgID="Equation.3" ShapeID="_x0000_i1029" DrawAspect="Content" ObjectID="_1468075729" r:id="rId22">
            <o:LockedField>false</o:LockedField>
          </o:OLEObject>
        </w:object>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                        </w:t>
      </w:r>
    </w:p>
    <w:p w14:paraId="512B4BEF">
      <w:pPr>
        <w:pStyle w:val="48"/>
        <w:keepNext w:val="0"/>
        <w:keepLines w:val="0"/>
        <w:pageBreakBefore w:val="0"/>
        <w:widowControl/>
        <w:kinsoku/>
        <w:wordWrap/>
        <w:overflowPunct/>
        <w:topLinePunct w:val="0"/>
        <w:autoSpaceDE/>
        <w:autoSpaceDN/>
        <w:bidi w:val="0"/>
        <w:adjustRightInd w:val="0"/>
        <w:snapToGrid/>
        <w:spacing w:line="240" w:lineRule="auto"/>
        <w:ind w:firstLine="480"/>
        <w:textAlignment w:val="baseline"/>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式中：</w:t>
      </w:r>
      <w:r>
        <w:rPr>
          <w:rFonts w:hint="default" w:ascii="Times New Roman" w:hAnsi="Times New Roman" w:cs="Times New Roman" w:eastAsiaTheme="minorEastAsia"/>
          <w:i/>
          <w:color w:val="000000" w:themeColor="text1"/>
          <w:sz w:val="24"/>
          <w:szCs w:val="24"/>
          <w:lang w:val="zh-CN"/>
          <w14:textFill>
            <w14:solidFill>
              <w14:schemeClr w14:val="tx1"/>
            </w14:solidFill>
          </w14:textFill>
        </w:rPr>
        <w:t>ε</w:t>
      </w:r>
      <w:r>
        <w:rPr>
          <w:rFonts w:hint="default" w:ascii="Times New Roman" w:hAnsi="Times New Roman" w:cs="Times New Roman" w:eastAsiaTheme="minorEastAsia"/>
          <w:i/>
          <w:color w:val="000000" w:themeColor="text1"/>
          <w:sz w:val="24"/>
          <w:szCs w:val="24"/>
          <w:vertAlign w:val="subscript"/>
          <w:lang w:val="zh-CN"/>
          <w14:textFill>
            <w14:solidFill>
              <w14:schemeClr w14:val="tx1"/>
            </w14:solidFill>
          </w14:textFill>
        </w:rPr>
        <w:t>0</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——真空介电常数，</w:t>
      </w:r>
      <w:r>
        <w:rPr>
          <w:rFonts w:hint="default" w:ascii="Times New Roman" w:hAnsi="Times New Roman" w:cs="Times New Roman" w:eastAsiaTheme="minorEastAsia"/>
          <w:color w:val="000000" w:themeColor="text1"/>
          <w:position w:val="-24"/>
          <w:sz w:val="24"/>
          <w:szCs w:val="24"/>
          <w14:textFill>
            <w14:solidFill>
              <w14:schemeClr w14:val="tx1"/>
            </w14:solidFill>
          </w14:textFill>
        </w:rPr>
        <w:object>
          <v:shape id="_x0000_i1030" o:spt="75" type="#_x0000_t75" style="height:26.8pt;width:89.55pt;" o:ole="t" filled="f" o:preferrelative="t" stroked="f" coordsize="21600,21600">
            <v:path/>
            <v:fill on="f" focussize="0,0"/>
            <v:stroke on="f"/>
            <v:imagedata r:id="rId25" o:title=""/>
            <o:lock v:ext="edit" aspectratio="t"/>
            <w10:wrap type="none"/>
            <w10:anchorlock/>
          </v:shape>
          <o:OLEObject Type="Embed" ProgID="Equation.3" ShapeID="_x0000_i1030" DrawAspect="Content" ObjectID="_1468075730" r:id="rId24">
            <o:LockedField>false</o:LockedField>
          </o:OLEObject>
        </w:object>
      </w:r>
      <w:r>
        <w:rPr>
          <w:rFonts w:hint="default" w:ascii="Times New Roman" w:hAnsi="Times New Roman" w:cs="Times New Roman" w:eastAsiaTheme="minorEastAsia"/>
          <w:color w:val="000000" w:themeColor="text1"/>
          <w:sz w:val="24"/>
          <w:szCs w:val="24"/>
          <w14:textFill>
            <w14:solidFill>
              <w14:schemeClr w14:val="tx1"/>
            </w14:solidFill>
          </w14:textFill>
        </w:rPr>
        <w:t>；</w:t>
      </w:r>
    </w:p>
    <w:p w14:paraId="3FA2133C">
      <w:pPr>
        <w:pStyle w:val="6"/>
        <w:keepNext w:val="0"/>
        <w:keepLines w:val="0"/>
        <w:pageBreakBefore w:val="0"/>
        <w:widowControl/>
        <w:kinsoku/>
        <w:wordWrap/>
        <w:overflowPunct/>
        <w:topLinePunct w:val="0"/>
        <w:autoSpaceDE/>
        <w:autoSpaceDN/>
        <w:bidi w:val="0"/>
        <w:adjustRightInd w:val="0"/>
        <w:snapToGrid/>
        <w:spacing w:line="500" w:lineRule="exact"/>
        <w:ind w:firstLine="1178" w:firstLineChars="491"/>
        <w:textAlignment w:val="baseline"/>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i/>
          <w:color w:val="000000" w:themeColor="text1"/>
          <w:sz w:val="24"/>
          <w:szCs w:val="24"/>
          <w14:textFill>
            <w14:solidFill>
              <w14:schemeClr w14:val="tx1"/>
            </w14:solidFill>
          </w14:textFill>
        </w:rPr>
        <w:t>R</w:t>
      </w:r>
      <w:r>
        <w:rPr>
          <w:rFonts w:hint="default" w:ascii="Times New Roman" w:hAnsi="Times New Roman" w:cs="Times New Roman" w:eastAsiaTheme="minorEastAsia"/>
          <w:i/>
          <w:color w:val="000000" w:themeColor="text1"/>
          <w:sz w:val="24"/>
          <w:szCs w:val="24"/>
          <w:vertAlign w:val="subscript"/>
          <w14:textFill>
            <w14:solidFill>
              <w14:schemeClr w14:val="tx1"/>
            </w14:solidFill>
          </w14:textFill>
        </w:rPr>
        <w:t>i</w:t>
      </w:r>
      <w:r>
        <w:rPr>
          <w:rFonts w:hint="default" w:ascii="Times New Roman" w:hAnsi="Times New Roman" w:cs="Times New Roman" w:eastAsiaTheme="minorEastAsia"/>
          <w:color w:val="000000" w:themeColor="text1"/>
          <w:sz w:val="24"/>
          <w:szCs w:val="24"/>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输电导线半径，对于分裂导线可用等效单根导线半径代入</w:t>
      </w:r>
      <w:r>
        <w:rPr>
          <w:rFonts w:hint="default" w:ascii="Times New Roman" w:hAnsi="Times New Roman" w:cs="Times New Roman" w:eastAsiaTheme="minorEastAsia"/>
          <w:color w:val="000000" w:themeColor="text1"/>
          <w:sz w:val="24"/>
          <w:szCs w:val="24"/>
          <w14:textFill>
            <w14:solidFill>
              <w14:schemeClr w14:val="tx1"/>
            </w14:solidFill>
          </w14:textFill>
        </w:rPr>
        <w:t>，</w:t>
      </w:r>
      <w:r>
        <w:rPr>
          <w:rFonts w:hint="default" w:ascii="Times New Roman" w:hAnsi="Times New Roman" w:cs="Times New Roman" w:eastAsiaTheme="minorEastAsia"/>
          <w:i/>
          <w:color w:val="000000" w:themeColor="text1"/>
          <w:sz w:val="24"/>
          <w:szCs w:val="24"/>
          <w14:textFill>
            <w14:solidFill>
              <w14:schemeClr w14:val="tx1"/>
            </w14:solidFill>
          </w14:textFill>
        </w:rPr>
        <w:t>R</w:t>
      </w:r>
      <w:r>
        <w:rPr>
          <w:rFonts w:hint="default" w:ascii="Times New Roman" w:hAnsi="Times New Roman" w:cs="Times New Roman" w:eastAsiaTheme="minorEastAsia"/>
          <w:i/>
          <w:color w:val="000000" w:themeColor="text1"/>
          <w:sz w:val="24"/>
          <w:szCs w:val="24"/>
          <w:vertAlign w:val="subscript"/>
          <w14:textFill>
            <w14:solidFill>
              <w14:schemeClr w14:val="tx1"/>
            </w14:solidFill>
          </w14:textFill>
        </w:rPr>
        <w:t>i</w:t>
      </w:r>
      <w:r>
        <w:rPr>
          <w:rFonts w:hint="default" w:ascii="Times New Roman" w:hAnsi="Times New Roman" w:cs="Times New Roman" w:eastAsiaTheme="minorEastAsia"/>
          <w:color w:val="000000" w:themeColor="text1"/>
          <w:sz w:val="24"/>
          <w:szCs w:val="24"/>
          <w14:textFill>
            <w14:solidFill>
              <w14:schemeClr w14:val="tx1"/>
            </w14:solidFill>
          </w14:textFill>
        </w:rPr>
        <w:t>的计</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算式为：</w:t>
      </w:r>
    </w:p>
    <w:p w14:paraId="3275CA75">
      <w:pPr>
        <w:pStyle w:val="46"/>
        <w:spacing w:line="240" w:lineRule="auto"/>
        <w:ind w:firstLine="2916" w:firstLineChars="1215"/>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26"/>
          <w:sz w:val="24"/>
          <w:szCs w:val="24"/>
          <w14:textFill>
            <w14:solidFill>
              <w14:schemeClr w14:val="tx1"/>
            </w14:solidFill>
          </w14:textFill>
        </w:rPr>
        <w:object>
          <v:shape id="_x0000_i1031" o:spt="75" type="#_x0000_t75" style="height:34.35pt;width:61.95pt;" o:ole="t" filled="f" o:preferrelative="t" stroked="f" coordsize="21600,21600">
            <v:path/>
            <v:fill on="f" focussize="0,0"/>
            <v:stroke on="f"/>
            <v:imagedata r:id="rId27" o:title=""/>
            <o:lock v:ext="edit" aspectratio="t"/>
            <w10:wrap type="none"/>
            <w10:anchorlock/>
          </v:shape>
          <o:OLEObject Type="Embed" ProgID="Equation.3" ShapeID="_x0000_i1031" DrawAspect="Content" ObjectID="_1468075731" r:id="rId26">
            <o:LockedField>false</o:LockedField>
          </o:OLEObject>
        </w:object>
      </w:r>
    </w:p>
    <w:p w14:paraId="7172A164">
      <w:pPr>
        <w:pStyle w:val="49"/>
        <w:keepNext w:val="0"/>
        <w:keepLines w:val="0"/>
        <w:pageBreakBefore w:val="0"/>
        <w:kinsoku/>
        <w:wordWrap/>
        <w:overflowPunct/>
        <w:topLinePunct w:val="0"/>
        <w:autoSpaceDE/>
        <w:autoSpaceDN/>
        <w:bidi w:val="0"/>
        <w:snapToGrid/>
        <w:spacing w:line="500" w:lineRule="exact"/>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式中：</w:t>
      </w:r>
      <w:r>
        <w:rPr>
          <w:rFonts w:hint="default" w:ascii="Times New Roman" w:hAnsi="Times New Roman" w:cs="Times New Roman" w:eastAsiaTheme="minorEastAsia"/>
          <w:i/>
          <w:color w:val="000000" w:themeColor="text1"/>
          <w:sz w:val="24"/>
          <w:szCs w:val="24"/>
          <w14:textFill>
            <w14:solidFill>
              <w14:schemeClr w14:val="tx1"/>
            </w14:solidFill>
          </w14:textFill>
        </w:rPr>
        <w:t>R</w:t>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——分裂导线半径，m； </w:t>
      </w:r>
    </w:p>
    <w:p w14:paraId="72FA197C">
      <w:pPr>
        <w:pStyle w:val="50"/>
        <w:keepNext w:val="0"/>
        <w:keepLines w:val="0"/>
        <w:pageBreakBefore w:val="0"/>
        <w:kinsoku/>
        <w:wordWrap/>
        <w:overflowPunct/>
        <w:topLinePunct w:val="0"/>
        <w:autoSpaceDE/>
        <w:autoSpaceDN/>
        <w:bidi w:val="0"/>
        <w:snapToGrid/>
        <w:spacing w:line="500" w:lineRule="exact"/>
        <w:ind w:firstLine="1200" w:firstLineChars="50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i/>
          <w:color w:val="000000" w:themeColor="text1"/>
          <w:sz w:val="24"/>
          <w:szCs w:val="24"/>
          <w14:textFill>
            <w14:solidFill>
              <w14:schemeClr w14:val="tx1"/>
            </w14:solidFill>
          </w14:textFill>
        </w:rPr>
        <w:t>n</w:t>
      </w:r>
      <w:r>
        <w:rPr>
          <w:rFonts w:hint="default" w:ascii="Times New Roman" w:hAnsi="Times New Roman" w:cs="Times New Roman" w:eastAsiaTheme="minorEastAsia"/>
          <w:color w:val="000000" w:themeColor="text1"/>
          <w:sz w:val="24"/>
          <w:szCs w:val="24"/>
          <w14:textFill>
            <w14:solidFill>
              <w14:schemeClr w14:val="tx1"/>
            </w14:solidFill>
          </w14:textFill>
        </w:rPr>
        <w:t>——次导线根数；</w:t>
      </w:r>
    </w:p>
    <w:p w14:paraId="0B68BD13">
      <w:pPr>
        <w:pStyle w:val="50"/>
        <w:keepNext w:val="0"/>
        <w:keepLines w:val="0"/>
        <w:pageBreakBefore w:val="0"/>
        <w:kinsoku/>
        <w:wordWrap/>
        <w:overflowPunct/>
        <w:topLinePunct w:val="0"/>
        <w:autoSpaceDE/>
        <w:autoSpaceDN/>
        <w:bidi w:val="0"/>
        <w:snapToGrid/>
        <w:spacing w:line="500" w:lineRule="exact"/>
        <w:ind w:firstLine="1200" w:firstLineChars="50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i/>
          <w:color w:val="000000" w:themeColor="text1"/>
          <w:sz w:val="24"/>
          <w:szCs w:val="24"/>
          <w14:textFill>
            <w14:solidFill>
              <w14:schemeClr w14:val="tx1"/>
            </w14:solidFill>
          </w14:textFill>
        </w:rPr>
        <w:t>r</w:t>
      </w:r>
      <w:r>
        <w:rPr>
          <w:rFonts w:hint="default" w:ascii="Times New Roman" w:hAnsi="Times New Roman" w:cs="Times New Roman" w:eastAsiaTheme="minorEastAsia"/>
          <w:color w:val="000000" w:themeColor="text1"/>
          <w:sz w:val="24"/>
          <w:szCs w:val="24"/>
          <w14:textFill>
            <w14:solidFill>
              <w14:schemeClr w14:val="tx1"/>
            </w14:solidFill>
          </w14:textFill>
        </w:rPr>
        <w:t>——次导线半径，m。</w:t>
      </w:r>
    </w:p>
    <w:p w14:paraId="1FD702CA">
      <w:pPr>
        <w:keepNext w:val="0"/>
        <w:keepLines w:val="0"/>
        <w:pageBreakBefore w:val="0"/>
        <w:widowControl w:val="0"/>
        <w:kinsoku/>
        <w:wordWrap/>
        <w:overflowPunct/>
        <w:topLinePunct w:val="0"/>
        <w:autoSpaceDE w:val="0"/>
        <w:autoSpaceDN w:val="0"/>
        <w:bidi w:val="0"/>
        <w:adjustRightInd w:val="0"/>
        <w:snapToGrid/>
        <w:spacing w:line="500" w:lineRule="exact"/>
        <w:ind w:firstLine="482"/>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由﹝U﹞矩阵和﹝λ﹞矩阵，利用等效电荷矩阵方程即可解出﹝Q﹞矩阵。空间任意一点的电场强度可根据叠加原理计算得出，在</w:t>
      </w:r>
      <w:r>
        <w:rPr>
          <w:rFonts w:hint="eastAsia"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x，y</w:t>
      </w:r>
      <w:r>
        <w:rPr>
          <w:rFonts w:hint="eastAsia" w:cs="Times New Roman" w:eastAsiaTheme="minorEastAsia"/>
          <w:color w:val="000000" w:themeColor="text1"/>
          <w:sz w:val="24"/>
          <w:szCs w:val="24"/>
          <w:lang w:val="en-US" w:eastAsia="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点的电场强度分量</w:t>
      </w:r>
      <w:r>
        <w:rPr>
          <w:rFonts w:hint="default" w:ascii="Times New Roman" w:hAnsi="Times New Roman" w:cs="Times New Roman" w:eastAsiaTheme="minorEastAsia"/>
          <w:i/>
          <w:color w:val="000000" w:themeColor="text1"/>
          <w:sz w:val="24"/>
          <w:szCs w:val="24"/>
          <w:lang w:val="zh-CN"/>
          <w14:textFill>
            <w14:solidFill>
              <w14:schemeClr w14:val="tx1"/>
            </w14:solidFill>
          </w14:textFill>
        </w:rPr>
        <w:t>Ex</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和</w:t>
      </w:r>
      <w:r>
        <w:rPr>
          <w:rFonts w:hint="default" w:ascii="Times New Roman" w:hAnsi="Times New Roman" w:cs="Times New Roman" w:eastAsiaTheme="minorEastAsia"/>
          <w:i/>
          <w:color w:val="000000" w:themeColor="text1"/>
          <w:sz w:val="24"/>
          <w:szCs w:val="24"/>
          <w:lang w:val="zh-CN"/>
          <w14:textFill>
            <w14:solidFill>
              <w14:schemeClr w14:val="tx1"/>
            </w14:solidFill>
          </w14:textFill>
        </w:rPr>
        <w:t>Ey</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可表示为：</w:t>
      </w:r>
    </w:p>
    <w:p w14:paraId="721838BE">
      <w:pPr>
        <w:pStyle w:val="49"/>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drawing>
          <wp:inline distT="0" distB="0" distL="114300" distR="114300">
            <wp:extent cx="2136140" cy="1935480"/>
            <wp:effectExtent l="0" t="0" r="16510" b="7620"/>
            <wp:docPr id="43" name="图片 9"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9" descr="001"/>
                    <pic:cNvPicPr>
                      <a:picLocks noChangeAspect="1"/>
                    </pic:cNvPicPr>
                  </pic:nvPicPr>
                  <pic:blipFill>
                    <a:blip r:embed="rId28">
                      <a:lum contrast="6000"/>
                    </a:blip>
                    <a:stretch>
                      <a:fillRect/>
                    </a:stretch>
                  </pic:blipFill>
                  <pic:spPr>
                    <a:xfrm>
                      <a:off x="0" y="0"/>
                      <a:ext cx="2136140" cy="1935480"/>
                    </a:xfrm>
                    <a:prstGeom prst="rect">
                      <a:avLst/>
                    </a:prstGeom>
                    <a:noFill/>
                    <a:ln>
                      <a:noFill/>
                    </a:ln>
                  </pic:spPr>
                </pic:pic>
              </a:graphicData>
            </a:graphic>
          </wp:inline>
        </w:drawing>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     </w:t>
      </w:r>
      <w:r>
        <w:rPr>
          <w:rFonts w:hint="default" w:ascii="Times New Roman" w:hAnsi="Times New Roman" w:cs="Times New Roman" w:eastAsiaTheme="minorEastAsia"/>
          <w:color w:val="000000" w:themeColor="text1"/>
          <w:sz w:val="24"/>
          <w:szCs w:val="24"/>
          <w14:textFill>
            <w14:solidFill>
              <w14:schemeClr w14:val="tx1"/>
            </w14:solidFill>
          </w14:textFill>
        </w:rPr>
        <w:drawing>
          <wp:inline distT="0" distB="0" distL="114300" distR="114300">
            <wp:extent cx="2078990" cy="1888490"/>
            <wp:effectExtent l="0" t="0" r="16510" b="16510"/>
            <wp:docPr id="42" name="图片 10"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 descr="02"/>
                    <pic:cNvPicPr>
                      <a:picLocks noChangeAspect="1"/>
                    </pic:cNvPicPr>
                  </pic:nvPicPr>
                  <pic:blipFill>
                    <a:blip r:embed="rId29"/>
                    <a:stretch>
                      <a:fillRect/>
                    </a:stretch>
                  </pic:blipFill>
                  <pic:spPr>
                    <a:xfrm>
                      <a:off x="0" y="0"/>
                      <a:ext cx="2078990" cy="1888490"/>
                    </a:xfrm>
                    <a:prstGeom prst="rect">
                      <a:avLst/>
                    </a:prstGeom>
                    <a:noFill/>
                    <a:ln>
                      <a:noFill/>
                    </a:ln>
                  </pic:spPr>
                </pic:pic>
              </a:graphicData>
            </a:graphic>
          </wp:inline>
        </w:drawing>
      </w:r>
    </w:p>
    <w:p w14:paraId="3A6BFFE3">
      <w:pPr>
        <w:pStyle w:val="49"/>
        <w:spacing w:before="120" w:beforeLines="50"/>
        <w:ind w:firstLine="1785" w:firstLineChars="850"/>
        <w:rPr>
          <w:rFonts w:hint="eastAsia" w:ascii="黑体" w:hAnsi="黑体" w:eastAsia="黑体" w:cs="黑体"/>
          <w:b w:val="0"/>
          <w:bCs/>
          <w:color w:val="000000" w:themeColor="text1"/>
          <w:sz w:val="21"/>
          <w:szCs w:val="21"/>
          <w14:textFill>
            <w14:solidFill>
              <w14:schemeClr w14:val="tx1"/>
            </w14:solidFill>
          </w14:textFill>
        </w:rPr>
      </w:pPr>
      <w:r>
        <w:rPr>
          <w:rFonts w:hint="eastAsia" w:ascii="黑体" w:hAnsi="黑体" w:eastAsia="黑体" w:cs="黑体"/>
          <w:b w:val="0"/>
          <w:bCs/>
          <w:color w:val="000000" w:themeColor="text1"/>
          <w:sz w:val="21"/>
          <w:szCs w:val="21"/>
          <w14:textFill>
            <w14:solidFill>
              <w14:schemeClr w14:val="tx1"/>
            </w14:solidFill>
          </w14:textFill>
        </w:rPr>
        <w:t xml:space="preserve">图2  电位系数计算图     </w:t>
      </w:r>
      <w:r>
        <w:rPr>
          <w:rFonts w:hint="eastAsia" w:ascii="黑体" w:hAnsi="黑体" w:eastAsia="黑体" w:cs="黑体"/>
          <w:b w:val="0"/>
          <w:bCs/>
          <w:color w:val="000000" w:themeColor="text1"/>
          <w:sz w:val="21"/>
          <w:szCs w:val="21"/>
          <w:lang w:val="en-US" w:eastAsia="zh-CN"/>
          <w14:textFill>
            <w14:solidFill>
              <w14:schemeClr w14:val="tx1"/>
            </w14:solidFill>
          </w14:textFill>
        </w:rPr>
        <w:t xml:space="preserve">        </w:t>
      </w:r>
      <w:r>
        <w:rPr>
          <w:rFonts w:hint="eastAsia" w:ascii="黑体" w:hAnsi="黑体" w:eastAsia="黑体" w:cs="黑体"/>
          <w:b w:val="0"/>
          <w:bCs/>
          <w:color w:val="000000" w:themeColor="text1"/>
          <w:sz w:val="21"/>
          <w:szCs w:val="21"/>
          <w14:textFill>
            <w14:solidFill>
              <w14:schemeClr w14:val="tx1"/>
            </w14:solidFill>
          </w14:textFill>
        </w:rPr>
        <w:t xml:space="preserve">     图3  等效半径计算图</w:t>
      </w:r>
    </w:p>
    <w:p w14:paraId="76EB405B">
      <w:pPr>
        <w:pStyle w:val="46"/>
        <w:spacing w:line="240" w:lineRule="auto"/>
        <w:ind w:firstLine="2916" w:firstLineChars="1215"/>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38"/>
          <w:sz w:val="24"/>
          <w:szCs w:val="24"/>
          <w14:textFill>
            <w14:solidFill>
              <w14:schemeClr w14:val="tx1"/>
            </w14:solidFill>
          </w14:textFill>
        </w:rPr>
        <w:object>
          <v:shape id="_x0000_i1032" o:spt="75" type="#_x0000_t75" style="height:41.85pt;width:162.5pt;" o:ole="t" filled="f" o:preferrelative="t" stroked="f" coordsize="21600,21600">
            <v:path/>
            <v:fill on="f" focussize="0,0"/>
            <v:stroke on="f"/>
            <v:imagedata r:id="rId31" o:title=""/>
            <o:lock v:ext="edit" aspectratio="t"/>
            <w10:wrap type="none"/>
            <w10:anchorlock/>
          </v:shape>
          <o:OLEObject Type="Embed" ProgID="Equation.3" ShapeID="_x0000_i1032" DrawAspect="Content" ObjectID="_1468075732" r:id="rId30">
            <o:LockedField>false</o:LockedField>
          </o:OLEObject>
        </w:object>
      </w:r>
    </w:p>
    <w:p w14:paraId="55BCED2A">
      <w:pPr>
        <w:pStyle w:val="46"/>
        <w:spacing w:line="240" w:lineRule="auto"/>
        <w:ind w:firstLine="2916" w:firstLineChars="1215"/>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30"/>
          <w:sz w:val="24"/>
          <w:szCs w:val="24"/>
          <w14:textFill>
            <w14:solidFill>
              <w14:schemeClr w14:val="tx1"/>
            </w14:solidFill>
          </w14:textFill>
        </w:rPr>
        <w:object>
          <v:shape id="_x0000_i1033" o:spt="75" type="#_x0000_t75" style="height:37.65pt;width:170pt;" o:ole="t" filled="f" o:preferrelative="t" stroked="f" coordsize="21600,21600">
            <v:path/>
            <v:fill on="f" focussize="0,0"/>
            <v:stroke on="f"/>
            <v:imagedata r:id="rId33" o:title=""/>
            <o:lock v:ext="edit" aspectratio="t"/>
            <w10:wrap type="none"/>
            <w10:anchorlock/>
          </v:shape>
          <o:OLEObject Type="Embed" ProgID="Equation.3" ShapeID="_x0000_i1033" DrawAspect="Content" ObjectID="_1468075733" r:id="rId32">
            <o:LockedField>false</o:LockedField>
          </o:OLEObject>
        </w:object>
      </w:r>
    </w:p>
    <w:p w14:paraId="2E36B6C7">
      <w:pPr>
        <w:keepNext w:val="0"/>
        <w:keepLines w:val="0"/>
        <w:pageBreakBefore w:val="0"/>
        <w:widowControl w:val="0"/>
        <w:kinsoku/>
        <w:wordWrap/>
        <w:overflowPunct/>
        <w:topLinePunct w:val="0"/>
        <w:autoSpaceDE w:val="0"/>
        <w:autoSpaceDN w:val="0"/>
        <w:bidi w:val="0"/>
        <w:adjustRightInd w:val="0"/>
        <w:snapToGrid/>
        <w:spacing w:line="500" w:lineRule="exact"/>
        <w:ind w:firstLine="48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式中</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w:t>
      </w:r>
      <w:r>
        <w:rPr>
          <w:rFonts w:hint="default" w:ascii="Times New Roman" w:hAnsi="Times New Roman" w:cs="Times New Roman" w:eastAsiaTheme="minorEastAsia"/>
          <w:i/>
          <w:color w:val="000000" w:themeColor="text1"/>
          <w:sz w:val="24"/>
          <w:szCs w:val="24"/>
          <w:lang w:val="zh-CN"/>
          <w14:textFill>
            <w14:solidFill>
              <w14:schemeClr w14:val="tx1"/>
            </w14:solidFill>
          </w14:textFill>
        </w:rPr>
        <w:t>x</w:t>
      </w:r>
      <w:r>
        <w:rPr>
          <w:rFonts w:hint="default" w:ascii="Times New Roman" w:hAnsi="Times New Roman" w:cs="Times New Roman" w:eastAsiaTheme="minorEastAsia"/>
          <w:i/>
          <w:color w:val="000000" w:themeColor="text1"/>
          <w:sz w:val="24"/>
          <w:szCs w:val="24"/>
          <w:vertAlign w:val="subscript"/>
          <w:lang w:val="zh-CN"/>
          <w14:textFill>
            <w14:solidFill>
              <w14:schemeClr w14:val="tx1"/>
            </w14:solidFill>
          </w14:textFill>
        </w:rPr>
        <w:t>i</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w:t>
      </w:r>
      <w:r>
        <w:rPr>
          <w:rFonts w:hint="default" w:ascii="Times New Roman" w:hAnsi="Times New Roman" w:cs="Times New Roman" w:eastAsiaTheme="minorEastAsia"/>
          <w:i/>
          <w:color w:val="000000" w:themeColor="text1"/>
          <w:sz w:val="24"/>
          <w:szCs w:val="24"/>
          <w:lang w:val="zh-CN"/>
          <w14:textFill>
            <w14:solidFill>
              <w14:schemeClr w14:val="tx1"/>
            </w14:solidFill>
          </w14:textFill>
        </w:rPr>
        <w:t>y</w:t>
      </w:r>
      <w:r>
        <w:rPr>
          <w:rFonts w:hint="default" w:ascii="Times New Roman" w:hAnsi="Times New Roman" w:cs="Times New Roman" w:eastAsiaTheme="minorEastAsia"/>
          <w:i/>
          <w:color w:val="000000" w:themeColor="text1"/>
          <w:sz w:val="24"/>
          <w:szCs w:val="24"/>
          <w:vertAlign w:val="subscript"/>
          <w:lang w:val="zh-CN"/>
          <w14:textFill>
            <w14:solidFill>
              <w14:schemeClr w14:val="tx1"/>
            </w14:solidFill>
          </w14:textFill>
        </w:rPr>
        <w:t>i</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——导线i的坐标</w:t>
      </w:r>
      <w:r>
        <w:rPr>
          <w:rFonts w:hint="eastAsia" w:cs="Times New Roman" w:eastAsiaTheme="minorEastAsia"/>
          <w:color w:val="000000" w:themeColor="text1"/>
          <w:sz w:val="24"/>
          <w:szCs w:val="24"/>
          <w:lang w:val="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i=1、2</w:t>
      </w:r>
      <w:r>
        <w:rPr>
          <w:rFonts w:hint="eastAsia" w:cs="Times New Roman" w:eastAsiaTheme="minorEastAsia"/>
          <w:color w:val="000000" w:themeColor="text1"/>
          <w:sz w:val="24"/>
          <w:szCs w:val="24"/>
          <w:lang w:val="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m</w:t>
      </w:r>
      <w:r>
        <w:rPr>
          <w:rFonts w:hint="eastAsia" w:cs="Times New Roman" w:eastAsiaTheme="minorEastAsia"/>
          <w:color w:val="000000" w:themeColor="text1"/>
          <w:sz w:val="24"/>
          <w:szCs w:val="24"/>
          <w:lang w:val="zh-CN"/>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w:t>
      </w:r>
    </w:p>
    <w:p w14:paraId="27D671F7">
      <w:pPr>
        <w:keepNext w:val="0"/>
        <w:keepLines w:val="0"/>
        <w:pageBreakBefore w:val="0"/>
        <w:widowControl w:val="0"/>
        <w:kinsoku/>
        <w:wordWrap/>
        <w:overflowPunct/>
        <w:topLinePunct w:val="0"/>
        <w:autoSpaceDE w:val="0"/>
        <w:autoSpaceDN w:val="0"/>
        <w:bidi w:val="0"/>
        <w:adjustRightInd w:val="0"/>
        <w:snapToGrid/>
        <w:spacing w:line="500" w:lineRule="exact"/>
        <w:ind w:firstLine="1200" w:firstLineChars="50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i/>
          <w:color w:val="000000" w:themeColor="text1"/>
          <w:sz w:val="24"/>
          <w:szCs w:val="24"/>
          <w:lang w:val="zh-CN"/>
          <w14:textFill>
            <w14:solidFill>
              <w14:schemeClr w14:val="tx1"/>
            </w14:solidFill>
          </w14:textFill>
        </w:rPr>
        <w:t xml:space="preserve">m </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——导线数目；</w:t>
      </w:r>
    </w:p>
    <w:p w14:paraId="44CB362E">
      <w:pPr>
        <w:keepNext w:val="0"/>
        <w:keepLines w:val="0"/>
        <w:pageBreakBefore w:val="0"/>
        <w:widowControl w:val="0"/>
        <w:kinsoku/>
        <w:wordWrap/>
        <w:overflowPunct/>
        <w:topLinePunct w:val="0"/>
        <w:autoSpaceDE w:val="0"/>
        <w:autoSpaceDN w:val="0"/>
        <w:bidi w:val="0"/>
        <w:adjustRightInd w:val="0"/>
        <w:snapToGrid/>
        <w:spacing w:line="500" w:lineRule="exact"/>
        <w:ind w:firstLine="1200" w:firstLineChars="50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i/>
          <w:color w:val="000000" w:themeColor="text1"/>
          <w:sz w:val="24"/>
          <w:szCs w:val="24"/>
          <w:lang w:val="zh-CN"/>
          <w14:textFill>
            <w14:solidFill>
              <w14:schemeClr w14:val="tx1"/>
            </w14:solidFill>
          </w14:textFill>
        </w:rPr>
        <w:t>L</w:t>
      </w:r>
      <w:r>
        <w:rPr>
          <w:rFonts w:hint="default" w:ascii="Times New Roman" w:hAnsi="Times New Roman" w:cs="Times New Roman" w:eastAsiaTheme="minorEastAsia"/>
          <w:i/>
          <w:color w:val="000000" w:themeColor="text1"/>
          <w:sz w:val="24"/>
          <w:szCs w:val="24"/>
          <w:vertAlign w:val="subscript"/>
          <w:lang w:val="zh-CN"/>
          <w14:textFill>
            <w14:solidFill>
              <w14:schemeClr w14:val="tx1"/>
            </w14:solidFill>
          </w14:textFill>
        </w:rPr>
        <w:t>i</w:t>
      </w:r>
      <w:r>
        <w:rPr>
          <w:rFonts w:hint="default" w:ascii="Times New Roman" w:hAnsi="Times New Roman" w:cs="Times New Roman" w:eastAsiaTheme="minorEastAsia"/>
          <w:i/>
          <w:color w:val="000000" w:themeColor="text1"/>
          <w:sz w:val="24"/>
          <w:szCs w:val="24"/>
          <w:lang w:val="zh-CN"/>
          <w14:textFill>
            <w14:solidFill>
              <w14:schemeClr w14:val="tx1"/>
            </w14:solidFill>
          </w14:textFill>
        </w:rPr>
        <w:t>，L</w:t>
      </w:r>
      <w:r>
        <w:rPr>
          <w:rFonts w:hint="default" w:ascii="Times New Roman" w:hAnsi="Times New Roman" w:cs="Times New Roman" w:eastAsiaTheme="minorEastAsia"/>
          <w:i/>
          <w:color w:val="000000" w:themeColor="text1"/>
          <w:sz w:val="24"/>
          <w:szCs w:val="24"/>
          <w:vertAlign w:val="subscript"/>
          <w:lang w:val="zh-CN"/>
          <w14:textFill>
            <w14:solidFill>
              <w14:schemeClr w14:val="tx1"/>
            </w14:solidFill>
          </w14:textFill>
        </w:rPr>
        <w:t xml:space="preserve">'i </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——分别为导线i及其镜像至计算点的距离，m。</w:t>
      </w:r>
    </w:p>
    <w:p w14:paraId="6F3FD609">
      <w:pPr>
        <w:keepNext w:val="0"/>
        <w:keepLines w:val="0"/>
        <w:pageBreakBefore w:val="0"/>
        <w:widowControl w:val="0"/>
        <w:kinsoku/>
        <w:wordWrap/>
        <w:overflowPunct/>
        <w:topLinePunct w:val="0"/>
        <w:autoSpaceDE w:val="0"/>
        <w:autoSpaceDN w:val="0"/>
        <w:bidi w:val="0"/>
        <w:adjustRightInd w:val="0"/>
        <w:snapToGrid/>
        <w:spacing w:line="500" w:lineRule="exact"/>
        <w:ind w:firstLine="48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对于三相交流线路，可根据求得的电荷计算空间任一点电场强度的水平和垂直分量为：</w:t>
      </w:r>
    </w:p>
    <w:p w14:paraId="753359FB">
      <w:pPr>
        <w:pStyle w:val="48"/>
        <w:ind w:firstLine="2916" w:firstLineChars="1215"/>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28"/>
          <w:sz w:val="24"/>
          <w:szCs w:val="24"/>
          <w14:textFill>
            <w14:solidFill>
              <w14:schemeClr w14:val="tx1"/>
            </w14:solidFill>
          </w14:textFill>
        </w:rPr>
        <w:object>
          <v:shape id="_x0000_i1034" o:spt="75" type="#_x0000_t75" style="height:34.35pt;width:113.9pt;" o:ole="t" filled="f" o:preferrelative="t" stroked="f" coordsize="21600,21600">
            <v:path/>
            <v:fill on="f" focussize="0,0"/>
            <v:stroke on="f"/>
            <v:imagedata r:id="rId35" o:title=""/>
            <o:lock v:ext="edit" aspectratio="t"/>
            <w10:wrap type="none"/>
            <w10:anchorlock/>
          </v:shape>
          <o:OLEObject Type="Embed" ProgID="Equation.3" ShapeID="_x0000_i1034" DrawAspect="Content" ObjectID="_1468075734" r:id="rId34">
            <o:LockedField>false</o:LockedField>
          </o:OLEObject>
        </w:object>
      </w:r>
    </w:p>
    <w:p w14:paraId="7A73796D">
      <w:pPr>
        <w:pStyle w:val="48"/>
        <w:ind w:firstLine="3312" w:firstLineChars="138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w:t>
      </w:r>
      <w:r>
        <w:rPr>
          <w:rFonts w:hint="default" w:ascii="Times New Roman" w:hAnsi="Times New Roman" w:cs="Times New Roman" w:eastAsiaTheme="minorEastAsia"/>
          <w:color w:val="000000" w:themeColor="text1"/>
          <w:position w:val="-12"/>
          <w:sz w:val="24"/>
          <w:szCs w:val="24"/>
          <w14:textFill>
            <w14:solidFill>
              <w14:schemeClr w14:val="tx1"/>
            </w14:solidFill>
          </w14:textFill>
        </w:rPr>
        <w:object>
          <v:shape id="_x0000_i1035" o:spt="75" type="#_x0000_t75" style="height:17.6pt;width:51.05pt;" o:ole="t" filled="f" o:preferrelative="t" stroked="f" coordsize="21600,21600">
            <v:path/>
            <v:fill on="f" focussize="0,0"/>
            <v:stroke on="f"/>
            <v:imagedata r:id="rId37" o:title=""/>
            <o:lock v:ext="edit" aspectratio="t"/>
            <w10:wrap type="none"/>
            <w10:anchorlock/>
          </v:shape>
          <o:OLEObject Type="Embed" ProgID="Equation.3" ShapeID="_x0000_i1035" DrawAspect="Content" ObjectID="_1468075735" r:id="rId36">
            <o:LockedField>false</o:LockedField>
          </o:OLEObject>
        </w:object>
      </w:r>
    </w:p>
    <w:p w14:paraId="050C4361">
      <w:pPr>
        <w:pStyle w:val="48"/>
        <w:ind w:firstLine="2916" w:firstLineChars="1215"/>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28"/>
          <w:sz w:val="24"/>
          <w:szCs w:val="24"/>
          <w14:textFill>
            <w14:solidFill>
              <w14:schemeClr w14:val="tx1"/>
            </w14:solidFill>
          </w14:textFill>
        </w:rPr>
        <w:object>
          <v:shape id="_x0000_i1036" o:spt="75" type="#_x0000_t75" style="height:34.35pt;width:113.9pt;" o:ole="t" filled="f" o:preferrelative="t" stroked="f" coordsize="21600,21600">
            <v:path/>
            <v:fill on="f" focussize="0,0"/>
            <v:stroke on="f"/>
            <v:imagedata r:id="rId39" o:title=""/>
            <o:lock v:ext="edit" aspectratio="t"/>
            <w10:wrap type="none"/>
            <w10:anchorlock/>
          </v:shape>
          <o:OLEObject Type="Embed" ProgID="Equation.3" ShapeID="_x0000_i1036" DrawAspect="Content" ObjectID="_1468075736" r:id="rId38">
            <o:LockedField>false</o:LockedField>
          </o:OLEObject>
        </w:object>
      </w:r>
    </w:p>
    <w:p w14:paraId="7C1947AD">
      <w:pPr>
        <w:pStyle w:val="48"/>
        <w:ind w:firstLine="3312" w:firstLineChars="138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w:t>
      </w:r>
      <w:r>
        <w:rPr>
          <w:rFonts w:hint="default" w:ascii="Times New Roman" w:hAnsi="Times New Roman" w:cs="Times New Roman" w:eastAsiaTheme="minorEastAsia"/>
          <w:color w:val="000000" w:themeColor="text1"/>
          <w:position w:val="-14"/>
          <w:sz w:val="24"/>
          <w:szCs w:val="24"/>
          <w14:textFill>
            <w14:solidFill>
              <w14:schemeClr w14:val="tx1"/>
            </w14:solidFill>
          </w14:textFill>
        </w:rPr>
        <w:object>
          <v:shape id="_x0000_i1037" o:spt="75" type="#_x0000_t75" style="height:19.25pt;width:52.75pt;" o:ole="t" filled="f" o:preferrelative="t" stroked="f" coordsize="21600,21600">
            <v:path/>
            <v:fill on="f" focussize="0,0"/>
            <v:stroke on="f"/>
            <v:imagedata r:id="rId41" o:title=""/>
            <o:lock v:ext="edit" aspectratio="t"/>
            <w10:wrap type="none"/>
            <w10:anchorlock/>
          </v:shape>
          <o:OLEObject Type="Embed" ProgID="Equation.3" ShapeID="_x0000_i1037" DrawAspect="Content" ObjectID="_1468075737" r:id="rId40">
            <o:LockedField>false</o:LockedField>
          </o:OLEObject>
        </w:object>
      </w:r>
    </w:p>
    <w:p w14:paraId="4C435DE8">
      <w:pPr>
        <w:pStyle w:val="48"/>
        <w:spacing w:before="120" w:beforeLines="50" w:line="360" w:lineRule="auto"/>
        <w:ind w:firstLine="48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式中：</w:t>
      </w:r>
      <w:r>
        <w:rPr>
          <w:rFonts w:hint="default" w:ascii="Times New Roman" w:hAnsi="Times New Roman" w:cs="Times New Roman" w:eastAsiaTheme="minorEastAsia"/>
          <w:color w:val="000000" w:themeColor="text1"/>
          <w:position w:val="-12"/>
          <w:sz w:val="24"/>
          <w:szCs w:val="24"/>
          <w14:textFill>
            <w14:solidFill>
              <w14:schemeClr w14:val="tx1"/>
            </w14:solidFill>
          </w14:textFill>
        </w:rPr>
        <w:object>
          <v:shape id="_x0000_i1038" o:spt="75" type="#_x0000_t75" style="height:17.6pt;width:19.25pt;" o:ole="t" filled="f" o:preferrelative="t" stroked="f" coordsize="21600,21600">
            <v:path/>
            <v:fill on="f" focussize="0,0"/>
            <v:stroke on="f"/>
            <v:imagedata r:id="rId43" o:title=""/>
            <o:lock v:ext="edit" aspectratio="t"/>
            <w10:wrap type="none"/>
            <w10:anchorlock/>
          </v:shape>
          <o:OLEObject Type="Embed" ProgID="Equation.3" ShapeID="_x0000_i1038" DrawAspect="Content" ObjectID="_1468075738" r:id="rId42">
            <o:LockedField>false</o:LockedField>
          </o:OLEObject>
        </w:object>
      </w:r>
      <w:r>
        <w:rPr>
          <w:rFonts w:hint="default" w:ascii="Times New Roman" w:hAnsi="Times New Roman" w:cs="Times New Roman" w:eastAsiaTheme="minorEastAsia"/>
          <w:color w:val="000000" w:themeColor="text1"/>
          <w:sz w:val="24"/>
          <w:szCs w:val="24"/>
          <w:vertAlign w:val="subscript"/>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由各导线的实部电荷在该点产生场强的水平分量；</w:t>
      </w:r>
    </w:p>
    <w:p w14:paraId="74142399">
      <w:pPr>
        <w:pStyle w:val="48"/>
        <w:spacing w:line="360" w:lineRule="auto"/>
        <w:ind w:firstLine="1178" w:firstLineChars="491"/>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12"/>
          <w:sz w:val="24"/>
          <w:szCs w:val="24"/>
          <w14:textFill>
            <w14:solidFill>
              <w14:schemeClr w14:val="tx1"/>
            </w14:solidFill>
          </w14:textFill>
        </w:rPr>
        <w:object>
          <v:shape id="_x0000_i1039" o:spt="75" type="#_x0000_t75" style="height:17.6pt;width:19.25pt;" o:ole="t" filled="f" o:preferrelative="t" stroked="f" coordsize="21600,21600">
            <v:path/>
            <v:fill on="f" focussize="0,0"/>
            <v:stroke on="f"/>
            <v:imagedata r:id="rId45" o:title=""/>
            <o:lock v:ext="edit" aspectratio="t"/>
            <w10:wrap type="none"/>
            <w10:anchorlock/>
          </v:shape>
          <o:OLEObject Type="Embed" ProgID="Equation.3" ShapeID="_x0000_i1039" DrawAspect="Content" ObjectID="_1468075739" r:id="rId44">
            <o:LockedField>false</o:LockedField>
          </o:OLEObject>
        </w:object>
      </w:r>
      <w:r>
        <w:rPr>
          <w:rFonts w:hint="default" w:ascii="Times New Roman" w:hAnsi="Times New Roman" w:cs="Times New Roman" w:eastAsiaTheme="minorEastAsia"/>
          <w:color w:val="000000" w:themeColor="text1"/>
          <w:sz w:val="24"/>
          <w:szCs w:val="24"/>
          <w:vertAlign w:val="subscript"/>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由各导线的虚部电荷在该点产生场强的水平分量；</w:t>
      </w:r>
    </w:p>
    <w:p w14:paraId="5AD1AD9E">
      <w:pPr>
        <w:pStyle w:val="48"/>
        <w:spacing w:line="360" w:lineRule="auto"/>
        <w:ind w:firstLine="1178" w:firstLineChars="491"/>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14"/>
          <w:sz w:val="24"/>
          <w:szCs w:val="24"/>
          <w14:textFill>
            <w14:solidFill>
              <w14:schemeClr w14:val="tx1"/>
            </w14:solidFill>
          </w14:textFill>
        </w:rPr>
        <w:object>
          <v:shape id="_x0000_i1040" o:spt="75" type="#_x0000_t75" style="height:19.25pt;width:19.25pt;" o:ole="t" filled="f" o:preferrelative="t" stroked="f" coordsize="21600,21600">
            <v:path/>
            <v:fill on="f" focussize="0,0"/>
            <v:stroke on="f"/>
            <v:imagedata r:id="rId47" o:title=""/>
            <o:lock v:ext="edit" aspectratio="t"/>
            <w10:wrap type="none"/>
            <w10:anchorlock/>
          </v:shape>
          <o:OLEObject Type="Embed" ProgID="Equation.3" ShapeID="_x0000_i1040" DrawAspect="Content" ObjectID="_1468075740" r:id="rId46">
            <o:LockedField>false</o:LockedField>
          </o:OLEObject>
        </w:object>
      </w:r>
      <w:r>
        <w:rPr>
          <w:rFonts w:hint="default" w:ascii="Times New Roman" w:hAnsi="Times New Roman" w:cs="Times New Roman" w:eastAsiaTheme="minorEastAsia"/>
          <w:color w:val="000000" w:themeColor="text1"/>
          <w:sz w:val="24"/>
          <w:szCs w:val="24"/>
          <w:vertAlign w:val="subscript"/>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由各导线的实部电荷在该点产生场强的垂直分量；</w:t>
      </w:r>
    </w:p>
    <w:p w14:paraId="4B22248B">
      <w:pPr>
        <w:pStyle w:val="48"/>
        <w:spacing w:line="360" w:lineRule="auto"/>
        <w:ind w:firstLine="1178" w:firstLineChars="491"/>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14"/>
          <w:sz w:val="24"/>
          <w:szCs w:val="24"/>
          <w14:textFill>
            <w14:solidFill>
              <w14:schemeClr w14:val="tx1"/>
            </w14:solidFill>
          </w14:textFill>
        </w:rPr>
        <w:object>
          <v:shape id="_x0000_i1041" o:spt="75" type="#_x0000_t75" style="height:19.25pt;width:19.25pt;" o:ole="t" filled="f" o:preferrelative="t" stroked="f" coordsize="21600,21600">
            <v:path/>
            <v:fill on="f" focussize="0,0"/>
            <v:stroke on="f"/>
            <v:imagedata r:id="rId49" o:title=""/>
            <o:lock v:ext="edit" aspectratio="t"/>
            <w10:wrap type="none"/>
            <w10:anchorlock/>
          </v:shape>
          <o:OLEObject Type="Embed" ProgID="Equation.3" ShapeID="_x0000_i1041" DrawAspect="Content" ObjectID="_1468075741" r:id="rId48">
            <o:LockedField>false</o:LockedField>
          </o:OLEObject>
        </w:object>
      </w:r>
      <w:r>
        <w:rPr>
          <w:rFonts w:hint="default" w:ascii="Times New Roman" w:hAnsi="Times New Roman" w:cs="Times New Roman" w:eastAsiaTheme="minorEastAsia"/>
          <w:color w:val="000000" w:themeColor="text1"/>
          <w:sz w:val="24"/>
          <w:szCs w:val="24"/>
          <w:vertAlign w:val="subscript"/>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由各导线的虚部电荷在该点产生场强的垂直分量。</w:t>
      </w:r>
    </w:p>
    <w:p w14:paraId="52A8DEB5">
      <w:pPr>
        <w:pStyle w:val="48"/>
        <w:spacing w:line="360" w:lineRule="auto"/>
        <w:ind w:firstLine="698" w:firstLineChars="291"/>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该点的合成的电场强度则为：</w:t>
      </w:r>
    </w:p>
    <w:p w14:paraId="694BF23E">
      <w:pPr>
        <w:pStyle w:val="46"/>
        <w:ind w:firstLine="2916" w:firstLineChars="1215"/>
        <w:rPr>
          <w:rStyle w:val="47"/>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12"/>
          <w:sz w:val="24"/>
          <w:szCs w:val="24"/>
          <w14:textFill>
            <w14:solidFill>
              <w14:schemeClr w14:val="tx1"/>
            </w14:solidFill>
          </w14:textFill>
        </w:rPr>
        <w:object>
          <v:shape id="_x0000_i1042" o:spt="75" type="#_x0000_t75" style="height:22.6pt;width:91.25pt;" o:ole="t" filled="f" o:preferrelative="t" stroked="f" coordsize="21600,21600">
            <v:path/>
            <v:fill on="f" focussize="0,0"/>
            <v:stroke on="f"/>
            <v:imagedata r:id="rId51" o:title=""/>
            <o:lock v:ext="edit" aspectratio="t"/>
            <w10:wrap type="none"/>
            <w10:anchorlock/>
          </v:shape>
          <o:OLEObject Type="Embed" ProgID="Equation.3" ShapeID="_x0000_i1042" DrawAspect="Content" ObjectID="_1468075742" r:id="rId50">
            <o:LockedField>false</o:LockedField>
          </o:OLEObject>
        </w:object>
      </w:r>
      <w:r>
        <w:rPr>
          <w:rStyle w:val="47"/>
          <w:rFonts w:hint="default" w:ascii="Times New Roman" w:hAnsi="Times New Roman" w:cs="Times New Roman" w:eastAsiaTheme="minorEastAsia"/>
          <w:color w:val="000000" w:themeColor="text1"/>
          <w:sz w:val="24"/>
          <w:szCs w:val="24"/>
          <w14:textFill>
            <w14:solidFill>
              <w14:schemeClr w14:val="tx1"/>
            </w14:solidFill>
          </w14:textFill>
        </w:rPr>
        <w:t xml:space="preserve"> + </w:t>
      </w:r>
      <w:r>
        <w:rPr>
          <w:rFonts w:hint="default" w:ascii="Times New Roman" w:hAnsi="Times New Roman" w:cs="Times New Roman" w:eastAsiaTheme="minorEastAsia"/>
          <w:color w:val="000000" w:themeColor="text1"/>
          <w:position w:val="-14"/>
          <w:sz w:val="24"/>
          <w:szCs w:val="24"/>
          <w14:textFill>
            <w14:solidFill>
              <w14:schemeClr w14:val="tx1"/>
            </w14:solidFill>
          </w14:textFill>
        </w:rPr>
        <w:object>
          <v:shape id="_x0000_i1043" o:spt="75" type="#_x0000_t75" style="height:22.6pt;width:67.85pt;" o:ole="t" filled="f" o:preferrelative="t" stroked="f" coordsize="21600,21600">
            <v:path/>
            <v:fill on="f" focussize="0,0"/>
            <v:stroke on="f"/>
            <v:imagedata r:id="rId53" o:title=""/>
            <o:lock v:ext="edit" aspectratio="t"/>
            <w10:wrap type="none"/>
            <w10:anchorlock/>
          </v:shape>
          <o:OLEObject Type="Embed" ProgID="Equation.3" ShapeID="_x0000_i1043" DrawAspect="Content" ObjectID="_1468075743" r:id="rId52">
            <o:LockedField>false</o:LockedField>
          </o:OLEObject>
        </w:object>
      </w:r>
    </w:p>
    <w:p w14:paraId="145D205F">
      <w:pPr>
        <w:pStyle w:val="6"/>
        <w:ind w:firstLine="3151" w:firstLineChars="1313"/>
        <w:rPr>
          <w:rStyle w:val="47"/>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14"/>
          <w:sz w:val="24"/>
          <w:szCs w:val="24"/>
          <w14:textFill>
            <w14:solidFill>
              <w14:schemeClr w14:val="tx1"/>
            </w14:solidFill>
          </w14:textFill>
        </w:rPr>
        <w:object>
          <v:shape id="_x0000_i1044" o:spt="75" type="#_x0000_t75" style="height:22.6pt;width:49.4pt;" o:ole="t" filled="f" o:preferrelative="t" stroked="f" coordsize="21600,21600">
            <v:path/>
            <v:fill on="f" focussize="0,0"/>
            <v:stroke on="f"/>
            <v:imagedata r:id="rId55" o:title=""/>
            <o:lock v:ext="edit" aspectratio="t"/>
            <w10:wrap type="none"/>
            <w10:anchorlock/>
          </v:shape>
          <o:OLEObject Type="Embed" ProgID="Equation.3" ShapeID="_x0000_i1044" DrawAspect="Content" ObjectID="_1468075744" r:id="rId54">
            <o:LockedField>false</o:LockedField>
          </o:OLEObject>
        </w:object>
      </w:r>
      <w:r>
        <w:rPr>
          <w:rStyle w:val="47"/>
          <w:rFonts w:hint="default" w:ascii="Times New Roman" w:hAnsi="Times New Roman" w:cs="Times New Roman" w:eastAsiaTheme="minorEastAsia"/>
          <w:color w:val="000000" w:themeColor="text1"/>
          <w:sz w:val="24"/>
          <w:szCs w:val="24"/>
          <w14:textFill>
            <w14:solidFill>
              <w14:schemeClr w14:val="tx1"/>
            </w14:solidFill>
          </w14:textFill>
        </w:rPr>
        <w:tab/>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             </w:t>
      </w:r>
    </w:p>
    <w:p w14:paraId="489367C0">
      <w:pPr>
        <w:pStyle w:val="48"/>
        <w:ind w:firstLine="698" w:firstLineChars="291"/>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式中：</w:t>
      </w:r>
    </w:p>
    <w:p w14:paraId="670F36C3">
      <w:pPr>
        <w:pStyle w:val="46"/>
        <w:ind w:firstLine="2916" w:firstLineChars="1215"/>
        <w:rPr>
          <w:rStyle w:val="47"/>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14"/>
          <w:sz w:val="24"/>
          <w:szCs w:val="24"/>
          <w14:textFill>
            <w14:solidFill>
              <w14:schemeClr w14:val="tx1"/>
            </w14:solidFill>
          </w14:textFill>
        </w:rPr>
        <w:object>
          <v:shape id="_x0000_i1045" o:spt="75" type="#_x0000_t75" style="height:22.6pt;width:82.9pt;" o:ole="t" filled="f" o:preferrelative="t" stroked="f" coordsize="21600,21600">
            <v:path/>
            <v:fill on="f" focussize="0,0"/>
            <v:stroke on="f"/>
            <v:imagedata r:id="rId57" o:title=""/>
            <o:lock v:ext="edit" aspectratio="t"/>
            <w10:wrap type="none"/>
            <w10:anchorlock/>
          </v:shape>
          <o:OLEObject Type="Embed" ProgID="Equation.3" ShapeID="_x0000_i1045" DrawAspect="Content" ObjectID="_1468075745" r:id="rId56">
            <o:LockedField>false</o:LockedField>
          </o:OLEObject>
        </w:object>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             </w:t>
      </w:r>
    </w:p>
    <w:p w14:paraId="41783ECB">
      <w:pPr>
        <w:autoSpaceDE w:val="0"/>
        <w:autoSpaceDN w:val="0"/>
        <w:adjustRightInd w:val="0"/>
        <w:spacing w:line="480" w:lineRule="exact"/>
        <w:ind w:firstLine="2880" w:firstLineChars="120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16"/>
          <w:sz w:val="24"/>
          <w:szCs w:val="24"/>
          <w14:textFill>
            <w14:solidFill>
              <w14:schemeClr w14:val="tx1"/>
            </w14:solidFill>
          </w14:textFill>
        </w:rPr>
        <w:object>
          <v:shape id="_x0000_i1046" o:spt="75" type="#_x0000_t75" style="height:22.6pt;width:82.9pt;" o:ole="t" filled="f" o:preferrelative="t" stroked="f" coordsize="21600,21600">
            <v:path/>
            <v:fill on="f" focussize="0,0"/>
            <v:stroke on="f"/>
            <v:imagedata r:id="rId59" o:title=""/>
            <o:lock v:ext="edit" aspectratio="t"/>
            <w10:wrap type="none"/>
            <w10:anchorlock/>
          </v:shape>
          <o:OLEObject Type="Embed" ProgID="Equation.3" ShapeID="_x0000_i1046" DrawAspect="Content" ObjectID="_1468075746" r:id="rId58">
            <o:LockedField>false</o:LockedField>
          </o:OLEObject>
        </w:object>
      </w:r>
      <w:r>
        <w:rPr>
          <w:rFonts w:hint="default" w:ascii="Times New Roman" w:hAnsi="Times New Roman" w:cs="Times New Roman" w:eastAsiaTheme="minorEastAsia"/>
          <w:color w:val="000000" w:themeColor="text1"/>
          <w:sz w:val="24"/>
          <w:szCs w:val="24"/>
          <w14:textFill>
            <w14:solidFill>
              <w14:schemeClr w14:val="tx1"/>
            </w14:solidFill>
          </w14:textFill>
        </w:rPr>
        <w:t xml:space="preserve">              </w:t>
      </w:r>
    </w:p>
    <w:p w14:paraId="150AF56F">
      <w:pPr>
        <w:keepNext w:val="0"/>
        <w:keepLines w:val="0"/>
        <w:pageBreakBefore w:val="0"/>
        <w:widowControl w:val="0"/>
        <w:kinsoku/>
        <w:wordWrap/>
        <w:overflowPunct/>
        <w:topLinePunct w:val="0"/>
        <w:autoSpaceDE w:val="0"/>
        <w:autoSpaceDN w:val="0"/>
        <w:bidi w:val="0"/>
        <w:adjustRightInd w:val="0"/>
        <w:snapToGrid/>
        <w:spacing w:before="120" w:beforeLines="50" w:line="500" w:lineRule="exact"/>
        <w:ind w:firstLine="482"/>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kern w:val="0"/>
          <w:sz w:val="24"/>
          <w:szCs w:val="24"/>
          <w14:textFill>
            <w14:solidFill>
              <w14:schemeClr w14:val="tx1"/>
            </w14:solidFill>
          </w14:textFill>
        </w:rPr>
        <w:t>②工频磁感应强度预测</w:t>
      </w:r>
    </w:p>
    <w:p w14:paraId="552E92EA">
      <w:pPr>
        <w:keepNext w:val="0"/>
        <w:keepLines w:val="0"/>
        <w:pageBreakBefore w:val="0"/>
        <w:widowControl w:val="0"/>
        <w:kinsoku/>
        <w:wordWrap/>
        <w:overflowPunct/>
        <w:topLinePunct w:val="0"/>
        <w:autoSpaceDE w:val="0"/>
        <w:autoSpaceDN w:val="0"/>
        <w:bidi w:val="0"/>
        <w:adjustRightInd w:val="0"/>
        <w:snapToGrid/>
        <w:spacing w:line="500" w:lineRule="exact"/>
        <w:ind w:firstLine="48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由于工频情况下电磁性能具有准静态特性，线路的磁场仅由电流产生。应用安培定律，将计算结果按矢量叠加，可得出导线周围的磁场强度。</w:t>
      </w:r>
    </w:p>
    <w:p w14:paraId="11A4AE34">
      <w:pPr>
        <w:keepNext w:val="0"/>
        <w:keepLines w:val="0"/>
        <w:pageBreakBefore w:val="0"/>
        <w:widowControl w:val="0"/>
        <w:kinsoku/>
        <w:wordWrap/>
        <w:overflowPunct/>
        <w:topLinePunct w:val="0"/>
        <w:autoSpaceDE w:val="0"/>
        <w:autoSpaceDN w:val="0"/>
        <w:bidi w:val="0"/>
        <w:adjustRightInd w:val="0"/>
        <w:snapToGrid/>
        <w:spacing w:line="500" w:lineRule="exact"/>
        <w:ind w:firstLine="480"/>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和电场强度计算不同的是关于镜像导线的考虑，与导线所处高度相比这些镜像导线位于地下很深的距离</w:t>
      </w:r>
      <w:r>
        <w:rPr>
          <w:rFonts w:hint="default" w:ascii="Times New Roman" w:hAnsi="Times New Roman" w:cs="Times New Roman" w:eastAsiaTheme="minorEastAsia"/>
          <w:i/>
          <w:color w:val="000000" w:themeColor="text1"/>
          <w:sz w:val="24"/>
          <w:szCs w:val="24"/>
          <w:lang w:val="zh-CN"/>
          <w14:textFill>
            <w14:solidFill>
              <w14:schemeClr w14:val="tx1"/>
            </w14:solidFill>
          </w14:textFill>
        </w:rPr>
        <w:t>d</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w:t>
      </w:r>
    </w:p>
    <w:p w14:paraId="744AE1A7">
      <w:pPr>
        <w:pStyle w:val="48"/>
        <w:spacing w:line="240" w:lineRule="auto"/>
        <w:ind w:firstLine="2880" w:firstLineChars="120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position w:val="-30"/>
          <w:sz w:val="24"/>
          <w:szCs w:val="24"/>
          <w14:textFill>
            <w14:solidFill>
              <w14:schemeClr w14:val="tx1"/>
            </w14:solidFill>
          </w14:textFill>
        </w:rPr>
        <w:object>
          <v:shape id="_x0000_i1047" o:spt="75" type="#_x0000_t75" style="height:37.65pt;width:59.45pt;" o:ole="t" filled="f" o:preferrelative="t" stroked="f" coordsize="21600,21600">
            <v:path/>
            <v:fill on="f" focussize="0,0"/>
            <v:stroke on="f"/>
            <v:imagedata r:id="rId61" o:title=""/>
            <o:lock v:ext="edit" aspectratio="t"/>
            <w10:wrap type="none"/>
            <w10:anchorlock/>
          </v:shape>
          <o:OLEObject Type="Embed" ProgID="Equation.3" ShapeID="_x0000_i1047" DrawAspect="Content" ObjectID="_1468075747" r:id="rId60">
            <o:LockedField>false</o:LockedField>
          </o:OLEObject>
        </w:object>
      </w:r>
      <w:r>
        <w:rPr>
          <w:rFonts w:hint="default" w:ascii="Times New Roman" w:hAnsi="Times New Roman" w:cs="Times New Roman" w:eastAsiaTheme="minorEastAsia"/>
          <w:color w:val="000000" w:themeColor="text1"/>
          <w:sz w:val="24"/>
          <w:szCs w:val="24"/>
          <w14:textFill>
            <w14:solidFill>
              <w14:schemeClr w14:val="tx1"/>
            </w14:solidFill>
          </w14:textFill>
        </w:rPr>
        <w:t>(m)</w:t>
      </w:r>
    </w:p>
    <w:p w14:paraId="3838A770">
      <w:pPr>
        <w:pStyle w:val="48"/>
        <w:spacing w:line="360" w:lineRule="auto"/>
        <w:ind w:firstLine="480"/>
        <w:rPr>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式中：</w:t>
      </w:r>
      <w:r>
        <w:rPr>
          <w:rFonts w:hint="default" w:ascii="Times New Roman" w:hAnsi="Times New Roman" w:cs="Times New Roman" w:eastAsiaTheme="minorEastAsia"/>
          <w:i/>
          <w:color w:val="000000" w:themeColor="text1"/>
          <w:sz w:val="24"/>
          <w:szCs w:val="24"/>
          <w14:textFill>
            <w14:solidFill>
              <w14:schemeClr w14:val="tx1"/>
            </w14:solidFill>
          </w14:textFill>
        </w:rPr>
        <w:t>ρ</w:t>
      </w:r>
      <w:r>
        <w:rPr>
          <w:rFonts w:hint="default" w:ascii="Times New Roman" w:hAnsi="Times New Roman" w:cs="Times New Roman" w:eastAsiaTheme="minorEastAsia"/>
          <w:color w:val="000000" w:themeColor="text1"/>
          <w:sz w:val="24"/>
          <w:szCs w:val="24"/>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大地电阻率</w:t>
      </w:r>
      <w:r>
        <w:rPr>
          <w:rFonts w:hint="default" w:ascii="Times New Roman" w:hAnsi="Times New Roman" w:cs="Times New Roman" w:eastAsiaTheme="minorEastAsia"/>
          <w:color w:val="000000" w:themeColor="text1"/>
          <w:sz w:val="24"/>
          <w:szCs w:val="24"/>
          <w14:textFill>
            <w14:solidFill>
              <w14:schemeClr w14:val="tx1"/>
            </w14:solidFill>
          </w14:textFill>
        </w:rPr>
        <w:t>，</w:t>
      </w:r>
      <w:r>
        <w:rPr>
          <w:rFonts w:hint="default" w:ascii="Times New Roman" w:hAnsi="Times New Roman" w:cs="Times New Roman" w:eastAsiaTheme="minorEastAsia"/>
          <w:color w:val="000000" w:themeColor="text1"/>
          <w:position w:val="-6"/>
          <w:sz w:val="24"/>
          <w:szCs w:val="24"/>
          <w14:textFill>
            <w14:solidFill>
              <w14:schemeClr w14:val="tx1"/>
            </w14:solidFill>
          </w14:textFill>
        </w:rPr>
        <w:object>
          <v:shape id="_x0000_i1048" o:spt="75" type="#_x0000_t75" style="height:15.05pt;width:30.15pt;" o:ole="t" filled="f" o:preferrelative="t" stroked="f" coordsize="21600,21600">
            <v:path/>
            <v:fill on="f" focussize="0,0"/>
            <v:stroke on="f"/>
            <v:imagedata r:id="rId63" o:title=""/>
            <o:lock v:ext="edit" aspectratio="t"/>
            <w10:wrap type="none"/>
            <w10:anchorlock/>
          </v:shape>
          <o:OLEObject Type="Embed" ProgID="Equation.3" ShapeID="_x0000_i1048" DrawAspect="Content" ObjectID="_1468075748" r:id="rId62">
            <o:LockedField>false</o:LockedField>
          </o:OLEObject>
        </w:object>
      </w:r>
      <w:r>
        <w:rPr>
          <w:rFonts w:hint="default" w:ascii="Times New Roman" w:hAnsi="Times New Roman" w:cs="Times New Roman" w:eastAsiaTheme="minorEastAsia"/>
          <w:color w:val="000000" w:themeColor="text1"/>
          <w:sz w:val="24"/>
          <w:szCs w:val="24"/>
          <w14:textFill>
            <w14:solidFill>
              <w14:schemeClr w14:val="tx1"/>
            </w14:solidFill>
          </w14:textFill>
        </w:rPr>
        <w:t>；</w:t>
      </w:r>
    </w:p>
    <w:p w14:paraId="0CE838DF">
      <w:pPr>
        <w:pStyle w:val="6"/>
        <w:spacing w:line="360" w:lineRule="auto"/>
        <w:ind w:firstLine="1178" w:firstLineChars="491"/>
        <w:rPr>
          <w:rStyle w:val="47"/>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i/>
          <w:color w:val="000000" w:themeColor="text1"/>
          <w:sz w:val="24"/>
          <w:szCs w:val="24"/>
          <w14:textFill>
            <w14:solidFill>
              <w14:schemeClr w14:val="tx1"/>
            </w14:solidFill>
          </w14:textFill>
        </w:rPr>
        <w:t>f</w:t>
      </w:r>
      <w:r>
        <w:rPr>
          <w:rStyle w:val="47"/>
          <w:rFonts w:hint="default" w:ascii="Times New Roman" w:hAnsi="Times New Roman" w:cs="Times New Roman" w:eastAsiaTheme="minorEastAsia"/>
          <w:color w:val="000000" w:themeColor="text1"/>
          <w:sz w:val="24"/>
          <w:szCs w:val="24"/>
          <w14:textFill>
            <w14:solidFill>
              <w14:schemeClr w14:val="tx1"/>
            </w14:solidFill>
          </w14:textFill>
        </w:rPr>
        <w:t>——</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频率，</w:t>
      </w:r>
      <w:r>
        <w:rPr>
          <w:rStyle w:val="47"/>
          <w:rFonts w:hint="default" w:ascii="Times New Roman" w:hAnsi="Times New Roman" w:cs="Times New Roman" w:eastAsiaTheme="minorEastAsia"/>
          <w:color w:val="000000" w:themeColor="text1"/>
          <w:sz w:val="24"/>
          <w:szCs w:val="24"/>
          <w14:textFill>
            <w14:solidFill>
              <w14:schemeClr w14:val="tx1"/>
            </w14:solidFill>
          </w14:textFill>
        </w:rPr>
        <w:t>Hz。</w:t>
      </w:r>
    </w:p>
    <w:p w14:paraId="7CC468D0">
      <w:pPr>
        <w:keepNext w:val="0"/>
        <w:keepLines w:val="0"/>
        <w:pageBreakBefore w:val="0"/>
        <w:widowControl w:val="0"/>
        <w:kinsoku/>
        <w:wordWrap/>
        <w:overflowPunct/>
        <w:topLinePunct w:val="0"/>
        <w:autoSpaceDE w:val="0"/>
        <w:autoSpaceDN w:val="0"/>
        <w:bidi w:val="0"/>
        <w:adjustRightInd w:val="0"/>
        <w:snapToGrid/>
        <w:spacing w:line="500" w:lineRule="exact"/>
        <w:ind w:firstLine="482"/>
        <w:textAlignment w:val="auto"/>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在很多情况下，只考虑处于空间的实际导线，忽略它的镜像进行计算，其结果已足够符合实际。如图4，考虑导线</w:t>
      </w:r>
      <w:r>
        <w:rPr>
          <w:rFonts w:hint="default" w:ascii="Times New Roman" w:hAnsi="Times New Roman" w:cs="Times New Roman" w:eastAsiaTheme="minorEastAsia"/>
          <w:i/>
          <w:color w:val="000000" w:themeColor="text1"/>
          <w:sz w:val="24"/>
          <w:szCs w:val="24"/>
          <w:lang w:val="zh-CN"/>
          <w14:textFill>
            <w14:solidFill>
              <w14:schemeClr w14:val="tx1"/>
            </w14:solidFill>
          </w14:textFill>
        </w:rPr>
        <w:t>i</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的镜像时，可计算在A点其产生的磁场强度：</w:t>
      </w:r>
    </w:p>
    <w:p w14:paraId="1C3BA1FE">
      <w:pPr>
        <w:pStyle w:val="6"/>
        <w:spacing w:line="240" w:lineRule="auto"/>
        <w:ind w:firstLine="2880" w:firstLineChars="1200"/>
        <w:rPr>
          <w:rStyle w:val="47"/>
          <w:rFonts w:hint="default" w:ascii="Times New Roman" w:hAnsi="Times New Roman" w:cs="Times New Roman" w:eastAsiaTheme="minorEastAsia"/>
          <w:color w:val="000000" w:themeColor="text1"/>
          <w:sz w:val="24"/>
          <w:szCs w:val="24"/>
          <w14:textFill>
            <w14:solidFill>
              <w14:schemeClr w14:val="tx1"/>
            </w14:solidFill>
          </w14:textFill>
        </w:rPr>
      </w:pPr>
      <w:r>
        <w:rPr>
          <w:rFonts w:hint="default" w:ascii="Times New Roman" w:hAnsi="Times New Roman" w:cs="Times New Roman" w:eastAsiaTheme="minorEastAsia"/>
          <w:color w:val="000000" w:themeColor="text1"/>
          <w:sz w:val="24"/>
          <w:szCs w:val="24"/>
          <w14:textFill>
            <w14:solidFill>
              <w14:schemeClr w14:val="tx1"/>
            </w14:solidFill>
          </w14:textFill>
        </w:rPr>
        <w:t>＝</w:t>
      </w:r>
      <w:r>
        <w:rPr>
          <w:rFonts w:hint="default" w:ascii="Times New Roman" w:hAnsi="Times New Roman" w:cs="Times New Roman" w:eastAsiaTheme="minorEastAsia"/>
          <w:color w:val="000000" w:themeColor="text1"/>
          <w:position w:val="-30"/>
          <w:sz w:val="24"/>
          <w:szCs w:val="24"/>
          <w14:textFill>
            <w14:solidFill>
              <w14:schemeClr w14:val="tx1"/>
            </w14:solidFill>
          </w14:textFill>
        </w:rPr>
        <w:object>
          <v:shape id="_x0000_i1049" o:spt="75" type="#_x0000_t75" style="height:34.35pt;width:61.95pt;" o:ole="t" filled="f" o:preferrelative="t" stroked="f" coordsize="21600,21600">
            <v:path/>
            <v:fill on="f" focussize="0,0"/>
            <v:stroke on="f"/>
            <v:imagedata r:id="rId65" o:title=""/>
            <o:lock v:ext="edit" aspectratio="t"/>
            <w10:wrap type="none"/>
            <w10:anchorlock/>
          </v:shape>
          <o:OLEObject Type="Embed" ProgID="Equation.3" ShapeID="_x0000_i1049" DrawAspect="Content" ObjectID="_1468075749" r:id="rId64">
            <o:LockedField>false</o:LockedField>
          </o:OLEObject>
        </w:object>
      </w:r>
      <w:r>
        <w:rPr>
          <w:rFonts w:hint="default" w:ascii="Times New Roman" w:hAnsi="Times New Roman" w:cs="Times New Roman" w:eastAsiaTheme="minorEastAsia"/>
          <w:color w:val="000000" w:themeColor="text1"/>
          <w:sz w:val="24"/>
          <w:szCs w:val="24"/>
          <w14:textFill>
            <w14:solidFill>
              <w14:schemeClr w14:val="tx1"/>
            </w14:solidFill>
          </w14:textFill>
        </w:rPr>
        <w:t>(A/m)</w:t>
      </w:r>
    </w:p>
    <w:p w14:paraId="5414A5C7">
      <w:pPr>
        <w:autoSpaceDE w:val="0"/>
        <w:autoSpaceDN w:val="0"/>
        <w:adjustRightInd w:val="0"/>
        <w:spacing w:line="480" w:lineRule="exact"/>
        <w:ind w:firstLine="480"/>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式中：</w:t>
      </w:r>
      <w:r>
        <w:rPr>
          <w:rFonts w:hint="default" w:ascii="Times New Roman" w:hAnsi="Times New Roman" w:cs="Times New Roman" w:eastAsiaTheme="minorEastAsia"/>
          <w:i/>
          <w:color w:val="000000" w:themeColor="text1"/>
          <w:sz w:val="24"/>
          <w:szCs w:val="24"/>
          <w:lang w:val="zh-CN"/>
          <w14:textFill>
            <w14:solidFill>
              <w14:schemeClr w14:val="tx1"/>
            </w14:solidFill>
          </w14:textFill>
        </w:rPr>
        <w:t>I</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——导线i中的电流值，A；</w:t>
      </w:r>
    </w:p>
    <w:p w14:paraId="14894592">
      <w:pPr>
        <w:autoSpaceDE w:val="0"/>
        <w:autoSpaceDN w:val="0"/>
        <w:adjustRightInd w:val="0"/>
        <w:spacing w:line="480" w:lineRule="exact"/>
        <w:ind w:firstLine="1200" w:firstLineChars="500"/>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i/>
          <w:color w:val="000000" w:themeColor="text1"/>
          <w:sz w:val="24"/>
          <w:szCs w:val="24"/>
          <w:lang w:val="zh-CN"/>
          <w14:textFill>
            <w14:solidFill>
              <w14:schemeClr w14:val="tx1"/>
            </w14:solidFill>
          </w14:textFill>
        </w:rPr>
        <w:t>h</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——导线与预测点的高差，m；</w:t>
      </w:r>
    </w:p>
    <w:p w14:paraId="548765C4">
      <w:pPr>
        <w:autoSpaceDE w:val="0"/>
        <w:autoSpaceDN w:val="0"/>
        <w:adjustRightInd w:val="0"/>
        <w:spacing w:line="480" w:lineRule="exact"/>
        <w:ind w:firstLine="1200" w:firstLineChars="500"/>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i/>
          <w:color w:val="000000" w:themeColor="text1"/>
          <w:sz w:val="24"/>
          <w:szCs w:val="24"/>
          <w:lang w:val="zh-CN"/>
          <w14:textFill>
            <w14:solidFill>
              <w14:schemeClr w14:val="tx1"/>
            </w14:solidFill>
          </w14:textFill>
        </w:rPr>
        <w:t>L</w:t>
      </w:r>
      <w:r>
        <w:rPr>
          <w:rFonts w:hint="default" w:ascii="Times New Roman" w:hAnsi="Times New Roman" w:cs="Times New Roman" w:eastAsiaTheme="minorEastAsia"/>
          <w:color w:val="000000" w:themeColor="text1"/>
          <w:sz w:val="24"/>
          <w:szCs w:val="24"/>
          <w:lang w:val="zh-CN"/>
          <w14:textFill>
            <w14:solidFill>
              <w14:schemeClr w14:val="tx1"/>
            </w14:solidFill>
          </w14:textFill>
        </w:rPr>
        <w:t>——导线与预测点水平距离，m。</w:t>
      </w:r>
    </w:p>
    <w:p w14:paraId="3029D25E">
      <w:pPr>
        <w:autoSpaceDE w:val="0"/>
        <w:autoSpaceDN w:val="0"/>
        <w:adjustRightInd w:val="0"/>
        <w:spacing w:line="480" w:lineRule="exact"/>
        <w:ind w:firstLine="480"/>
        <w:rPr>
          <w:rFonts w:hint="default" w:ascii="Times New Roman" w:hAnsi="Times New Roman" w:cs="Times New Roman" w:eastAsiaTheme="minorEastAsia"/>
          <w:color w:val="000000" w:themeColor="text1"/>
          <w:sz w:val="24"/>
          <w:szCs w:val="24"/>
          <w:lang w:val="zh-CN"/>
          <w14:textFill>
            <w14:solidFill>
              <w14:schemeClr w14:val="tx1"/>
            </w14:solidFill>
          </w14:textFill>
        </w:rPr>
      </w:pPr>
      <w:r>
        <w:rPr>
          <w:rFonts w:hint="default" w:ascii="Times New Roman" w:hAnsi="Times New Roman" w:cs="Times New Roman" w:eastAsiaTheme="minorEastAsia"/>
          <w:color w:val="000000" w:themeColor="text1"/>
          <w:sz w:val="24"/>
          <w:szCs w:val="24"/>
          <w:lang w:val="zh-CN"/>
          <w14:textFill>
            <w14:solidFill>
              <w14:schemeClr w14:val="tx1"/>
            </w14:solidFill>
          </w14:textFill>
        </w:rPr>
        <w:t>对于三相线路，由相位不同形成的磁场强度水平和垂直分量都应分别考虑电流间的相角，按相位矢量来合成。合成的旋转矢量在空间的轨迹是一个椭圆。</w:t>
      </w:r>
    </w:p>
    <w:p w14:paraId="6A1E03A9">
      <w:pPr>
        <w:pStyle w:val="6"/>
        <w:keepNext w:val="0"/>
        <w:keepLines w:val="0"/>
        <w:pageBreakBefore w:val="0"/>
        <w:widowControl/>
        <w:kinsoku/>
        <w:wordWrap/>
        <w:overflowPunct/>
        <w:topLinePunct w:val="0"/>
        <w:autoSpaceDE/>
        <w:autoSpaceDN/>
        <w:bidi w:val="0"/>
        <w:adjustRightInd w:val="0"/>
        <w:snapToGrid/>
        <w:spacing w:line="240" w:lineRule="auto"/>
        <w:ind w:firstLine="0"/>
        <w:jc w:val="center"/>
        <w:textAlignment w:val="baseline"/>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drawing>
          <wp:inline distT="0" distB="0" distL="114300" distR="114300">
            <wp:extent cx="2734945" cy="2115185"/>
            <wp:effectExtent l="0" t="0" r="8255" b="18415"/>
            <wp:docPr id="52" name="图片 30"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0" descr="05"/>
                    <pic:cNvPicPr>
                      <a:picLocks noChangeAspect="1"/>
                    </pic:cNvPicPr>
                  </pic:nvPicPr>
                  <pic:blipFill>
                    <a:blip r:embed="rId66">
                      <a:lum contrast="6000"/>
                    </a:blip>
                    <a:stretch>
                      <a:fillRect/>
                    </a:stretch>
                  </pic:blipFill>
                  <pic:spPr>
                    <a:xfrm>
                      <a:off x="0" y="0"/>
                      <a:ext cx="2734945" cy="2115185"/>
                    </a:xfrm>
                    <a:prstGeom prst="rect">
                      <a:avLst/>
                    </a:prstGeom>
                    <a:noFill/>
                    <a:ln>
                      <a:noFill/>
                    </a:ln>
                  </pic:spPr>
                </pic:pic>
              </a:graphicData>
            </a:graphic>
          </wp:inline>
        </w:drawing>
      </w:r>
    </w:p>
    <w:p w14:paraId="2E7164DA">
      <w:pPr>
        <w:spacing w:line="360" w:lineRule="auto"/>
        <w:jc w:val="center"/>
        <w:rPr>
          <w:rFonts w:hint="eastAsia" w:ascii="黑体" w:hAnsi="黑体" w:eastAsia="黑体" w:cs="黑体"/>
          <w:b w:val="0"/>
          <w:bCs/>
          <w:color w:val="000000" w:themeColor="text1"/>
          <w:sz w:val="21"/>
          <w:szCs w:val="21"/>
          <w14:textFill>
            <w14:solidFill>
              <w14:schemeClr w14:val="tx1"/>
            </w14:solidFill>
          </w14:textFill>
        </w:rPr>
      </w:pPr>
      <w:r>
        <w:rPr>
          <w:rFonts w:hint="eastAsia" w:ascii="黑体" w:hAnsi="黑体" w:eastAsia="黑体" w:cs="黑体"/>
          <w:b w:val="0"/>
          <w:bCs/>
          <w:color w:val="000000" w:themeColor="text1"/>
          <w:sz w:val="21"/>
          <w:szCs w:val="21"/>
          <w14:textFill>
            <w14:solidFill>
              <w14:schemeClr w14:val="tx1"/>
            </w14:solidFill>
          </w14:textFill>
        </w:rPr>
        <w:t xml:space="preserve">图4  </w:t>
      </w:r>
      <w:r>
        <w:rPr>
          <w:rFonts w:hint="eastAsia" w:ascii="黑体" w:hAnsi="黑体" w:eastAsia="黑体" w:cs="黑体"/>
          <w:b w:val="0"/>
          <w:bCs/>
          <w:color w:val="000000" w:themeColor="text1"/>
          <w:sz w:val="21"/>
          <w:szCs w:val="21"/>
          <w:lang w:val="en-US" w:eastAsia="zh-CN"/>
          <w14:textFill>
            <w14:solidFill>
              <w14:schemeClr w14:val="tx1"/>
            </w14:solidFill>
          </w14:textFill>
        </w:rPr>
        <w:t xml:space="preserve">  </w:t>
      </w:r>
      <w:r>
        <w:rPr>
          <w:rFonts w:hint="eastAsia" w:ascii="黑体" w:hAnsi="黑体" w:eastAsia="黑体" w:cs="黑体"/>
          <w:b w:val="0"/>
          <w:bCs/>
          <w:color w:val="000000" w:themeColor="text1"/>
          <w:sz w:val="21"/>
          <w:szCs w:val="21"/>
          <w14:textFill>
            <w14:solidFill>
              <w14:schemeClr w14:val="tx1"/>
            </w14:solidFill>
          </w14:textFill>
        </w:rPr>
        <w:t>磁场向量图</w:t>
      </w:r>
    </w:p>
    <w:p w14:paraId="36560D17">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3.</w:t>
      </w:r>
      <w:r>
        <w:rPr>
          <w:rFonts w:hint="default"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14:textFill>
            <w14:solidFill>
              <w14:schemeClr w14:val="tx1"/>
            </w14:solidFill>
          </w14:textFill>
        </w:rPr>
        <w:t>.2计算所需参数</w:t>
      </w:r>
    </w:p>
    <w:p w14:paraId="20BE31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本次环评将对输电线路进行预测。</w:t>
      </w:r>
      <w:r>
        <w:rPr>
          <w:rFonts w:hint="default" w:ascii="Times New Roman" w:hAnsi="Times New Roman" w:cs="Times New Roman"/>
          <w:color w:val="000000" w:themeColor="text1"/>
          <w:sz w:val="24"/>
          <w:lang w:eastAsia="zh-CN"/>
          <w14:textFill>
            <w14:solidFill>
              <w14:schemeClr w14:val="tx1"/>
            </w14:solidFill>
          </w14:textFill>
        </w:rPr>
        <w:t>本项目</w:t>
      </w:r>
      <w:r>
        <w:rPr>
          <w:rFonts w:hint="default" w:ascii="Times New Roman" w:hAnsi="Times New Roman" w:cs="Times New Roman"/>
          <w:color w:val="000000" w:themeColor="text1"/>
          <w:sz w:val="24"/>
          <w:lang w:val="en-US" w:eastAsia="zh-CN"/>
          <w14:textFill>
            <w14:solidFill>
              <w14:schemeClr w14:val="tx1"/>
            </w14:solidFill>
          </w14:textFill>
        </w:rPr>
        <w:t>22</w:t>
      </w:r>
      <w:r>
        <w:rPr>
          <w:rFonts w:hint="default" w:ascii="Times New Roman" w:hAnsi="Times New Roman" w:cs="Times New Roman"/>
          <w:color w:val="000000" w:themeColor="text1"/>
          <w:sz w:val="24"/>
          <w:lang w:eastAsia="zh-CN"/>
          <w14:textFill>
            <w14:solidFill>
              <w14:schemeClr w14:val="tx1"/>
            </w14:solidFill>
          </w14:textFill>
        </w:rPr>
        <w:t>0kV</w:t>
      </w:r>
      <w:r>
        <w:rPr>
          <w:rFonts w:hint="default" w:ascii="Times New Roman" w:hAnsi="Times New Roman" w:cs="Times New Roman"/>
          <w:color w:val="000000" w:themeColor="text1"/>
          <w:sz w:val="24"/>
          <w:lang w:val="en-US" w:eastAsia="zh-CN"/>
          <w14:textFill>
            <w14:solidFill>
              <w14:schemeClr w14:val="tx1"/>
            </w14:solidFill>
          </w14:textFill>
        </w:rPr>
        <w:t>单</w:t>
      </w:r>
      <w:r>
        <w:rPr>
          <w:rFonts w:hint="default" w:ascii="Times New Roman" w:hAnsi="Times New Roman" w:cs="Times New Roman"/>
          <w:color w:val="000000" w:themeColor="text1"/>
          <w:sz w:val="24"/>
          <w:lang w:eastAsia="zh-CN"/>
          <w14:textFill>
            <w14:solidFill>
              <w14:schemeClr w14:val="tx1"/>
            </w14:solidFill>
          </w14:textFill>
        </w:rPr>
        <w:t>回线路，本次环评对上述线路进行预测</w:t>
      </w:r>
      <w:r>
        <w:rPr>
          <w:rFonts w:hint="default" w:ascii="Times New Roman" w:hAnsi="Times New Roman" w:cs="Times New Roman"/>
          <w:color w:val="000000" w:themeColor="text1"/>
          <w:sz w:val="24"/>
          <w:lang w:val="en-US" w:eastAsia="zh-CN"/>
          <w14:textFill>
            <w14:solidFill>
              <w14:schemeClr w14:val="tx1"/>
            </w14:solidFill>
          </w14:textFill>
        </w:rPr>
        <w:t>。</w:t>
      </w:r>
    </w:p>
    <w:p w14:paraId="4E0859D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lang w:val="zh-CN" w:eastAsia="zh-CN"/>
          <w14:textFill>
            <w14:solidFill>
              <w14:schemeClr w14:val="tx1"/>
            </w14:solidFill>
          </w14:textFill>
        </w:rPr>
        <w:t>本次评价选择</w:t>
      </w:r>
      <w:r>
        <w:rPr>
          <w:rFonts w:hint="eastAsia" w:cs="Times New Roman"/>
          <w:color w:val="000000" w:themeColor="text1"/>
          <w:sz w:val="24"/>
          <w:lang w:val="en-US" w:eastAsia="zh-CN"/>
          <w14:textFill>
            <w14:solidFill>
              <w14:schemeClr w14:val="tx1"/>
            </w14:solidFill>
          </w14:textFill>
        </w:rPr>
        <w:t>项目两种</w:t>
      </w:r>
      <w:r>
        <w:rPr>
          <w:rFonts w:hint="default" w:ascii="Times New Roman" w:hAnsi="Times New Roman" w:eastAsia="宋体" w:cs="Times New Roman"/>
          <w:color w:val="000000" w:themeColor="text1"/>
          <w:sz w:val="24"/>
          <w:lang w:val="zh-CN" w:eastAsia="zh-CN"/>
          <w14:textFill>
            <w14:solidFill>
              <w14:schemeClr w14:val="tx1"/>
            </w14:solidFill>
          </w14:textFill>
        </w:rPr>
        <w:t>塔型进行理论计算，塔型为单回路塔型220-KD21D-J4</w:t>
      </w:r>
      <w:r>
        <w:rPr>
          <w:rFonts w:hint="default" w:ascii="Times New Roman" w:hAnsi="Times New Roman" w:cs="Times New Roman"/>
          <w:color w:val="000000" w:themeColor="text1"/>
          <w:kern w:val="0"/>
          <w:sz w:val="24"/>
          <w:highlight w:val="none"/>
          <w:shd w:val="clear" w:color="auto" w:fill="auto"/>
          <w:lang w:val="en-US" w:eastAsia="zh-CN"/>
          <w14:textFill>
            <w14:solidFill>
              <w14:schemeClr w14:val="tx1"/>
            </w14:solidFill>
          </w14:textFill>
        </w:rPr>
        <w:t>和220-KD21D-ZB2</w:t>
      </w:r>
      <w:r>
        <w:rPr>
          <w:rFonts w:hint="default" w:ascii="Times New Roman" w:hAnsi="Times New Roman" w:eastAsia="宋体" w:cs="Times New Roman"/>
          <w:color w:val="000000" w:themeColor="text1"/>
          <w:sz w:val="24"/>
          <w:lang w:val="zh-CN" w:eastAsia="zh-CN"/>
          <w14:textFill>
            <w14:solidFill>
              <w14:schemeClr w14:val="tx1"/>
            </w14:solidFill>
          </w14:textFill>
        </w:rPr>
        <w:t>。220-KD21D-J4塔型绝缘子串4.</w:t>
      </w:r>
      <w:r>
        <w:rPr>
          <w:rFonts w:hint="eastAsia" w:cs="Times New Roman"/>
          <w:color w:val="000000" w:themeColor="text1"/>
          <w:sz w:val="24"/>
          <w:lang w:val="en-US" w:eastAsia="zh-CN"/>
          <w14:textFill>
            <w14:solidFill>
              <w14:schemeClr w14:val="tx1"/>
            </w14:solidFill>
          </w14:textFill>
        </w:rPr>
        <w:t>225</w:t>
      </w:r>
      <w:r>
        <w:rPr>
          <w:rFonts w:hint="default" w:ascii="Times New Roman" w:hAnsi="Times New Roman" w:eastAsia="宋体" w:cs="Times New Roman"/>
          <w:color w:val="000000" w:themeColor="text1"/>
          <w:sz w:val="24"/>
          <w:lang w:val="zh-CN" w:eastAsia="zh-CN"/>
          <w14:textFill>
            <w14:solidFill>
              <w14:schemeClr w14:val="tx1"/>
            </w14:solidFill>
          </w14:textFill>
        </w:rPr>
        <w:t>-4.</w:t>
      </w:r>
      <w:r>
        <w:rPr>
          <w:rFonts w:hint="eastAsia" w:cs="Times New Roman"/>
          <w:color w:val="000000" w:themeColor="text1"/>
          <w:sz w:val="24"/>
          <w:lang w:val="en-US" w:eastAsia="zh-CN"/>
          <w14:textFill>
            <w14:solidFill>
              <w14:schemeClr w14:val="tx1"/>
            </w14:solidFill>
          </w14:textFill>
        </w:rPr>
        <w:t>73</w:t>
      </w:r>
      <w:r>
        <w:rPr>
          <w:rFonts w:hint="default" w:ascii="Times New Roman" w:hAnsi="Times New Roman" w:eastAsia="宋体" w:cs="Times New Roman"/>
          <w:color w:val="000000" w:themeColor="text1"/>
          <w:sz w:val="24"/>
          <w:lang w:val="zh-CN" w:eastAsia="zh-CN"/>
          <w14:textFill>
            <w14:solidFill>
              <w14:schemeClr w14:val="tx1"/>
            </w14:solidFill>
          </w14:textFill>
        </w:rPr>
        <w:t>5m</w:t>
      </w:r>
      <w:r>
        <w:rPr>
          <w:rFonts w:hint="eastAsia" w:cs="Times New Roman"/>
          <w:color w:val="000000" w:themeColor="text1"/>
          <w:sz w:val="24"/>
          <w:lang w:val="zh-CN" w:eastAsia="zh-CN"/>
          <w14:textFill>
            <w14:solidFill>
              <w14:schemeClr w14:val="tx1"/>
            </w14:solidFill>
          </w14:textFill>
        </w:rPr>
        <w:t>，</w:t>
      </w:r>
      <w:r>
        <w:rPr>
          <w:rFonts w:hint="default" w:ascii="Times New Roman" w:hAnsi="Times New Roman" w:cs="Times New Roman"/>
          <w:color w:val="000000" w:themeColor="text1"/>
          <w:kern w:val="0"/>
          <w:sz w:val="24"/>
          <w:highlight w:val="none"/>
          <w:shd w:val="clear" w:color="auto" w:fill="auto"/>
          <w:lang w:val="en-US" w:eastAsia="zh-CN"/>
          <w14:textFill>
            <w14:solidFill>
              <w14:schemeClr w14:val="tx1"/>
            </w14:solidFill>
          </w14:textFill>
        </w:rPr>
        <w:t>220-KD21D-ZB2</w:t>
      </w:r>
      <w:r>
        <w:rPr>
          <w:rFonts w:hint="default" w:ascii="Times New Roman" w:hAnsi="Times New Roman" w:eastAsia="宋体" w:cs="Times New Roman"/>
          <w:color w:val="000000" w:themeColor="text1"/>
          <w:sz w:val="24"/>
          <w:lang w:val="zh-CN" w:eastAsia="zh-CN"/>
          <w14:textFill>
            <w14:solidFill>
              <w14:schemeClr w14:val="tx1"/>
            </w14:solidFill>
          </w14:textFill>
        </w:rPr>
        <w:t>塔型绝缘子串3.43-</w:t>
      </w:r>
      <w:r>
        <w:rPr>
          <w:rFonts w:hint="eastAsia" w:cs="Times New Roman"/>
          <w:color w:val="000000" w:themeColor="text1"/>
          <w:sz w:val="24"/>
          <w:lang w:val="en-US" w:eastAsia="zh-CN"/>
          <w14:textFill>
            <w14:solidFill>
              <w14:schemeClr w14:val="tx1"/>
            </w14:solidFill>
          </w14:textFill>
        </w:rPr>
        <w:t>3</w:t>
      </w:r>
      <w:r>
        <w:rPr>
          <w:rFonts w:hint="default" w:ascii="Times New Roman" w:hAnsi="Times New Roman" w:eastAsia="宋体" w:cs="Times New Roman"/>
          <w:color w:val="000000" w:themeColor="text1"/>
          <w:sz w:val="24"/>
          <w:lang w:val="zh-CN" w:eastAsia="zh-CN"/>
          <w14:textFill>
            <w14:solidFill>
              <w14:schemeClr w14:val="tx1"/>
            </w14:solidFill>
          </w14:textFill>
        </w:rPr>
        <w:t>.725m，</w:t>
      </w:r>
      <w:r>
        <w:rPr>
          <w:rFonts w:hint="default" w:ascii="Times New Roman" w:hAnsi="Times New Roman" w:cs="Times New Roman"/>
          <w:color w:val="000000" w:themeColor="text1"/>
          <w:sz w:val="24"/>
          <w:highlight w:val="none"/>
          <w14:textFill>
            <w14:solidFill>
              <w14:schemeClr w14:val="tx1"/>
            </w14:solidFill>
          </w14:textFill>
        </w:rPr>
        <w:t>见表</w:t>
      </w:r>
      <w:r>
        <w:rPr>
          <w:rFonts w:hint="eastAsia" w:ascii="Times New Roman" w:hAnsi="Times New Roman" w:cs="Times New Roman"/>
          <w:color w:val="000000" w:themeColor="text1"/>
          <w:sz w:val="24"/>
          <w:highlight w:val="none"/>
          <w:lang w:val="en-US" w:eastAsia="zh-CN"/>
          <w14:textFill>
            <w14:solidFill>
              <w14:schemeClr w14:val="tx1"/>
            </w14:solidFill>
          </w14:textFill>
        </w:rPr>
        <w:t>6</w:t>
      </w:r>
      <w:r>
        <w:rPr>
          <w:rFonts w:hint="default" w:ascii="Times New Roman" w:hAnsi="Times New Roman" w:cs="Times New Roman"/>
          <w:color w:val="000000" w:themeColor="text1"/>
          <w:sz w:val="24"/>
          <w:highlight w:val="none"/>
          <w:lang w:val="en-US" w:eastAsia="zh-CN"/>
          <w14:textFill>
            <w14:solidFill>
              <w14:schemeClr w14:val="tx1"/>
            </w14:solidFill>
          </w14:textFill>
        </w:rPr>
        <w:t>和表</w:t>
      </w:r>
      <w:r>
        <w:rPr>
          <w:rFonts w:hint="eastAsia" w:ascii="Times New Roman" w:hAnsi="Times New Roman" w:cs="Times New Roman"/>
          <w:color w:val="000000" w:themeColor="text1"/>
          <w:sz w:val="24"/>
          <w:highlight w:val="none"/>
          <w:lang w:val="en-US" w:eastAsia="zh-CN"/>
          <w14:textFill>
            <w14:solidFill>
              <w14:schemeClr w14:val="tx1"/>
            </w14:solidFill>
          </w14:textFill>
        </w:rPr>
        <w:t>7</w:t>
      </w:r>
      <w:r>
        <w:rPr>
          <w:rFonts w:hint="default" w:ascii="Times New Roman" w:hAnsi="Times New Roman" w:cs="Times New Roman"/>
          <w:color w:val="000000" w:themeColor="text1"/>
          <w:sz w:val="24"/>
          <w:highlight w:val="none"/>
          <w:lang w:eastAsia="zh-CN"/>
          <w14:textFill>
            <w14:solidFill>
              <w14:schemeClr w14:val="tx1"/>
            </w14:solidFill>
          </w14:textFill>
        </w:rPr>
        <w:t>。</w:t>
      </w:r>
    </w:p>
    <w:p w14:paraId="6905A9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000000" w:themeColor="text1"/>
          <w:sz w:val="21"/>
          <w:szCs w:val="21"/>
          <w:highlight w:val="none"/>
          <w14:textFill>
            <w14:solidFill>
              <w14:schemeClr w14:val="tx1"/>
            </w14:solidFill>
          </w14:textFill>
        </w:rPr>
      </w:pPr>
      <w:r>
        <w:rPr>
          <w:rFonts w:hint="eastAsia" w:ascii="黑体" w:hAnsi="黑体" w:eastAsia="黑体" w:cs="黑体"/>
          <w:color w:val="000000" w:themeColor="text1"/>
          <w:kern w:val="0"/>
          <w:sz w:val="21"/>
          <w:szCs w:val="21"/>
          <w:lang w:val="en-US" w:eastAsia="zh-CN"/>
          <w14:textFill>
            <w14:solidFill>
              <w14:schemeClr w14:val="tx1"/>
            </w14:solidFill>
          </w14:textFill>
        </w:rPr>
        <w:t>表6   本项目220kV单回线路段计算参数（220-KD21D-J4）</w:t>
      </w:r>
    </w:p>
    <w:tbl>
      <w:tblPr>
        <w:tblStyle w:val="27"/>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59"/>
        <w:gridCol w:w="1608"/>
        <w:gridCol w:w="3619"/>
        <w:gridCol w:w="3154"/>
      </w:tblGrid>
      <w:tr w14:paraId="1B1159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32FC6103">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序号</w:t>
            </w:r>
          </w:p>
        </w:tc>
        <w:tc>
          <w:tcPr>
            <w:tcW w:w="909" w:type="pct"/>
            <w:tcBorders>
              <w:tl2br w:val="nil"/>
              <w:tr2bl w:val="nil"/>
            </w:tcBorders>
            <w:noWrap w:val="0"/>
            <w:vAlign w:val="center"/>
          </w:tcPr>
          <w:p w14:paraId="732BACFF">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名称</w:t>
            </w:r>
          </w:p>
        </w:tc>
        <w:tc>
          <w:tcPr>
            <w:tcW w:w="2046" w:type="pct"/>
            <w:tcBorders>
              <w:tl2br w:val="nil"/>
              <w:tr2bl w:val="nil"/>
            </w:tcBorders>
            <w:noWrap w:val="0"/>
            <w:vAlign w:val="center"/>
          </w:tcPr>
          <w:p w14:paraId="28D9DA88">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内容</w:t>
            </w:r>
          </w:p>
        </w:tc>
        <w:tc>
          <w:tcPr>
            <w:tcW w:w="1783" w:type="pct"/>
            <w:tcBorders>
              <w:tl2br w:val="nil"/>
              <w:tr2bl w:val="nil"/>
            </w:tcBorders>
            <w:noWrap w:val="0"/>
            <w:vAlign w:val="center"/>
          </w:tcPr>
          <w:p w14:paraId="32DC42D4">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示意图</w:t>
            </w:r>
          </w:p>
        </w:tc>
      </w:tr>
      <w:tr w14:paraId="7CA483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7098EB4A">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w:t>
            </w:r>
          </w:p>
        </w:tc>
        <w:tc>
          <w:tcPr>
            <w:tcW w:w="909" w:type="pct"/>
            <w:tcBorders>
              <w:tl2br w:val="nil"/>
              <w:tr2bl w:val="nil"/>
            </w:tcBorders>
            <w:noWrap w:val="0"/>
            <w:vAlign w:val="center"/>
          </w:tcPr>
          <w:p w14:paraId="2E1641E0">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线路</w:t>
            </w:r>
          </w:p>
        </w:tc>
        <w:tc>
          <w:tcPr>
            <w:tcW w:w="2046" w:type="pct"/>
            <w:tcBorders>
              <w:tl2br w:val="nil"/>
              <w:tr2bl w:val="nil"/>
            </w:tcBorders>
            <w:noWrap w:val="0"/>
            <w:vAlign w:val="center"/>
          </w:tcPr>
          <w:p w14:paraId="3EAD2E75">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22</w:t>
            </w:r>
            <w:r>
              <w:rPr>
                <w:rFonts w:hint="default" w:ascii="Times New Roman" w:hAnsi="Times New Roman" w:cs="Times New Roman"/>
                <w:color w:val="000000" w:themeColor="text1"/>
                <w:highlight w:val="none"/>
                <w:lang w:eastAsia="zh-CN"/>
                <w14:textFill>
                  <w14:solidFill>
                    <w14:schemeClr w14:val="tx1"/>
                  </w14:solidFill>
                </w14:textFill>
              </w:rPr>
              <w:t>0kV单回线路</w:t>
            </w:r>
          </w:p>
        </w:tc>
        <w:tc>
          <w:tcPr>
            <w:tcW w:w="1783" w:type="pct"/>
            <w:vMerge w:val="restart"/>
            <w:tcBorders>
              <w:tl2br w:val="nil"/>
              <w:tr2bl w:val="nil"/>
            </w:tcBorders>
            <w:noWrap w:val="0"/>
            <w:vAlign w:val="center"/>
          </w:tcPr>
          <w:p w14:paraId="480A2A58">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64384" behindDoc="0" locked="0" layoutInCell="1" allowOverlap="1">
                  <wp:simplePos x="0" y="0"/>
                  <wp:positionH relativeFrom="column">
                    <wp:posOffset>856615</wp:posOffset>
                  </wp:positionH>
                  <wp:positionV relativeFrom="paragraph">
                    <wp:posOffset>502920</wp:posOffset>
                  </wp:positionV>
                  <wp:extent cx="130810" cy="99695"/>
                  <wp:effectExtent l="0" t="0" r="2540" b="14605"/>
                  <wp:wrapNone/>
                  <wp:docPr id="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
                          <pic:cNvPicPr>
                            <a:picLocks noChangeAspect="1"/>
                          </pic:cNvPicPr>
                        </pic:nvPicPr>
                        <pic:blipFill>
                          <a:blip r:embed="rId67"/>
                          <a:stretch>
                            <a:fillRect/>
                          </a:stretch>
                        </pic:blipFill>
                        <pic:spPr>
                          <a:xfrm>
                            <a:off x="0" y="0"/>
                            <a:ext cx="130810" cy="99695"/>
                          </a:xfrm>
                          <a:prstGeom prst="rect">
                            <a:avLst/>
                          </a:prstGeom>
                          <a:noFill/>
                          <a:ln>
                            <a:noFill/>
                          </a:ln>
                        </pic:spPr>
                      </pic:pic>
                    </a:graphicData>
                  </a:graphic>
                </wp:anchor>
              </w:drawing>
            </w: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63360" behindDoc="0" locked="0" layoutInCell="1" allowOverlap="1">
                  <wp:simplePos x="0" y="0"/>
                  <wp:positionH relativeFrom="column">
                    <wp:posOffset>1391285</wp:posOffset>
                  </wp:positionH>
                  <wp:positionV relativeFrom="paragraph">
                    <wp:posOffset>994410</wp:posOffset>
                  </wp:positionV>
                  <wp:extent cx="125730" cy="130175"/>
                  <wp:effectExtent l="0" t="0" r="7620" b="3175"/>
                  <wp:wrapNone/>
                  <wp:docPr id="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
                          <pic:cNvPicPr>
                            <a:picLocks noChangeAspect="1"/>
                          </pic:cNvPicPr>
                        </pic:nvPicPr>
                        <pic:blipFill>
                          <a:blip r:embed="rId68"/>
                          <a:stretch>
                            <a:fillRect/>
                          </a:stretch>
                        </pic:blipFill>
                        <pic:spPr>
                          <a:xfrm>
                            <a:off x="0" y="0"/>
                            <a:ext cx="125730" cy="130175"/>
                          </a:xfrm>
                          <a:prstGeom prst="rect">
                            <a:avLst/>
                          </a:prstGeom>
                          <a:noFill/>
                          <a:ln>
                            <a:noFill/>
                          </a:ln>
                        </pic:spPr>
                      </pic:pic>
                    </a:graphicData>
                  </a:graphic>
                </wp:anchor>
              </w:drawing>
            </w: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65408" behindDoc="0" locked="0" layoutInCell="1" allowOverlap="1">
                  <wp:simplePos x="0" y="0"/>
                  <wp:positionH relativeFrom="column">
                    <wp:posOffset>521335</wp:posOffset>
                  </wp:positionH>
                  <wp:positionV relativeFrom="paragraph">
                    <wp:posOffset>1000760</wp:posOffset>
                  </wp:positionV>
                  <wp:extent cx="128905" cy="128905"/>
                  <wp:effectExtent l="0" t="0" r="4445" b="4445"/>
                  <wp:wrapNone/>
                  <wp:docPr id="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
                          <pic:cNvPicPr>
                            <a:picLocks noChangeAspect="1"/>
                          </pic:cNvPicPr>
                        </pic:nvPicPr>
                        <pic:blipFill>
                          <a:blip r:embed="rId69"/>
                          <a:stretch>
                            <a:fillRect/>
                          </a:stretch>
                        </pic:blipFill>
                        <pic:spPr>
                          <a:xfrm>
                            <a:off x="0" y="0"/>
                            <a:ext cx="128905" cy="128905"/>
                          </a:xfrm>
                          <a:prstGeom prst="rect">
                            <a:avLst/>
                          </a:prstGeom>
                          <a:noFill/>
                          <a:ln>
                            <a:noFill/>
                          </a:ln>
                        </pic:spPr>
                      </pic:pic>
                    </a:graphicData>
                  </a:graphic>
                </wp:anchor>
              </w:drawing>
            </w:r>
            <w:r>
              <w:rPr>
                <w:rFonts w:hint="default" w:ascii="Times New Roman" w:hAnsi="Times New Roman" w:cs="Times New Roman"/>
                <w:color w:val="000000" w:themeColor="text1"/>
                <w14:textFill>
                  <w14:solidFill>
                    <w14:schemeClr w14:val="tx1"/>
                  </w14:solidFill>
                </w14:textFill>
              </w:rPr>
              <w:drawing>
                <wp:inline distT="0" distB="0" distL="114300" distR="114300">
                  <wp:extent cx="1501140" cy="3279140"/>
                  <wp:effectExtent l="0" t="0" r="3810" b="16510"/>
                  <wp:docPr id="6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31"/>
                          <pic:cNvPicPr>
                            <a:picLocks noChangeAspect="1"/>
                          </pic:cNvPicPr>
                        </pic:nvPicPr>
                        <pic:blipFill>
                          <a:blip r:embed="rId70"/>
                          <a:stretch>
                            <a:fillRect/>
                          </a:stretch>
                        </pic:blipFill>
                        <pic:spPr>
                          <a:xfrm>
                            <a:off x="0" y="0"/>
                            <a:ext cx="1501140" cy="3279140"/>
                          </a:xfrm>
                          <a:prstGeom prst="rect">
                            <a:avLst/>
                          </a:prstGeom>
                          <a:noFill/>
                          <a:ln>
                            <a:noFill/>
                          </a:ln>
                        </pic:spPr>
                      </pic:pic>
                    </a:graphicData>
                  </a:graphic>
                </wp:inline>
              </w:drawing>
            </w:r>
          </w:p>
        </w:tc>
      </w:tr>
      <w:tr w14:paraId="037CDB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575828C4">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w:t>
            </w:r>
          </w:p>
        </w:tc>
        <w:tc>
          <w:tcPr>
            <w:tcW w:w="909" w:type="pct"/>
            <w:tcBorders>
              <w:tl2br w:val="nil"/>
              <w:tr2bl w:val="nil"/>
            </w:tcBorders>
            <w:noWrap w:val="0"/>
            <w:vAlign w:val="center"/>
          </w:tcPr>
          <w:p w14:paraId="5CFEC95D">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采用塔型</w:t>
            </w:r>
          </w:p>
        </w:tc>
        <w:tc>
          <w:tcPr>
            <w:tcW w:w="2046" w:type="pct"/>
            <w:tcBorders>
              <w:tl2br w:val="nil"/>
              <w:tr2bl w:val="nil"/>
            </w:tcBorders>
            <w:noWrap w:val="0"/>
            <w:vAlign w:val="center"/>
          </w:tcPr>
          <w:p w14:paraId="45DBD6AC">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220-KD21D-J4</w:t>
            </w:r>
          </w:p>
        </w:tc>
        <w:tc>
          <w:tcPr>
            <w:tcW w:w="1783" w:type="pct"/>
            <w:vMerge w:val="continue"/>
            <w:tcBorders>
              <w:tl2br w:val="nil"/>
              <w:tr2bl w:val="nil"/>
            </w:tcBorders>
            <w:noWrap w:val="0"/>
            <w:vAlign w:val="center"/>
          </w:tcPr>
          <w:p w14:paraId="5C6EC569">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4DDD41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6D78447A">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3</w:t>
            </w:r>
          </w:p>
        </w:tc>
        <w:tc>
          <w:tcPr>
            <w:tcW w:w="909" w:type="pct"/>
            <w:tcBorders>
              <w:tl2br w:val="nil"/>
              <w:tr2bl w:val="nil"/>
            </w:tcBorders>
            <w:noWrap w:val="0"/>
            <w:vAlign w:val="center"/>
          </w:tcPr>
          <w:p w14:paraId="2BD2091C">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回路数</w:t>
            </w:r>
          </w:p>
        </w:tc>
        <w:tc>
          <w:tcPr>
            <w:tcW w:w="2046" w:type="pct"/>
            <w:tcBorders>
              <w:tl2br w:val="nil"/>
              <w:tr2bl w:val="nil"/>
            </w:tcBorders>
            <w:noWrap w:val="0"/>
            <w:vAlign w:val="center"/>
          </w:tcPr>
          <w:p w14:paraId="021E4A2A">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单回路</w:t>
            </w:r>
          </w:p>
        </w:tc>
        <w:tc>
          <w:tcPr>
            <w:tcW w:w="1783" w:type="pct"/>
            <w:vMerge w:val="continue"/>
            <w:tcBorders>
              <w:tl2br w:val="nil"/>
              <w:tr2bl w:val="nil"/>
            </w:tcBorders>
            <w:noWrap w:val="0"/>
            <w:vAlign w:val="center"/>
          </w:tcPr>
          <w:p w14:paraId="09D2EA82">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p>
        </w:tc>
      </w:tr>
      <w:tr w14:paraId="22D487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60" w:type="pct"/>
            <w:tcBorders>
              <w:tl2br w:val="nil"/>
              <w:tr2bl w:val="nil"/>
            </w:tcBorders>
            <w:noWrap w:val="0"/>
            <w:vAlign w:val="center"/>
          </w:tcPr>
          <w:p w14:paraId="4641E768">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4</w:t>
            </w:r>
          </w:p>
        </w:tc>
        <w:tc>
          <w:tcPr>
            <w:tcW w:w="909" w:type="pct"/>
            <w:tcBorders>
              <w:tl2br w:val="nil"/>
              <w:tr2bl w:val="nil"/>
            </w:tcBorders>
            <w:noWrap w:val="0"/>
            <w:vAlign w:val="center"/>
          </w:tcPr>
          <w:p w14:paraId="0B59FEB1">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相序排列方式</w:t>
            </w:r>
          </w:p>
        </w:tc>
        <w:tc>
          <w:tcPr>
            <w:tcW w:w="2046" w:type="pct"/>
            <w:tcBorders>
              <w:tl2br w:val="nil"/>
              <w:tr2bl w:val="nil"/>
            </w:tcBorders>
            <w:noWrap w:val="0"/>
            <w:vAlign w:val="center"/>
          </w:tcPr>
          <w:p w14:paraId="451ADE05">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三角排列</w:t>
            </w:r>
          </w:p>
        </w:tc>
        <w:tc>
          <w:tcPr>
            <w:tcW w:w="1783" w:type="pct"/>
            <w:vMerge w:val="continue"/>
            <w:tcBorders>
              <w:tl2br w:val="nil"/>
              <w:tr2bl w:val="nil"/>
            </w:tcBorders>
            <w:noWrap w:val="0"/>
            <w:vAlign w:val="center"/>
          </w:tcPr>
          <w:p w14:paraId="789A5269">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4AE97E2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260" w:type="pct"/>
            <w:tcBorders>
              <w:tl2br w:val="nil"/>
              <w:tr2bl w:val="nil"/>
            </w:tcBorders>
            <w:noWrap w:val="0"/>
            <w:vAlign w:val="center"/>
          </w:tcPr>
          <w:p w14:paraId="6E6BC987">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5</w:t>
            </w:r>
          </w:p>
        </w:tc>
        <w:tc>
          <w:tcPr>
            <w:tcW w:w="909" w:type="pct"/>
            <w:tcBorders>
              <w:tl2br w:val="nil"/>
              <w:tr2bl w:val="nil"/>
            </w:tcBorders>
            <w:noWrap w:val="0"/>
            <w:vAlign w:val="center"/>
          </w:tcPr>
          <w:p w14:paraId="6606886B">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导线型号</w:t>
            </w:r>
          </w:p>
        </w:tc>
        <w:tc>
          <w:tcPr>
            <w:tcW w:w="2046" w:type="pct"/>
            <w:tcBorders>
              <w:tl2br w:val="nil"/>
              <w:tr2bl w:val="nil"/>
            </w:tcBorders>
            <w:noWrap w:val="0"/>
            <w:vAlign w:val="center"/>
          </w:tcPr>
          <w:p w14:paraId="471539D8">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4×</w:t>
            </w:r>
            <w:r>
              <w:rPr>
                <w:rFonts w:hint="default" w:ascii="Times New Roman" w:hAnsi="Times New Roman" w:cs="Times New Roman"/>
                <w:color w:val="000000" w:themeColor="text1"/>
                <w:highlight w:val="none"/>
                <w:lang w:eastAsia="zh-CN"/>
                <w14:textFill>
                  <w14:solidFill>
                    <w14:schemeClr w14:val="tx1"/>
                  </w14:solidFill>
                </w14:textFill>
              </w:rPr>
              <w:t>JL/G1A-400/35型</w:t>
            </w:r>
          </w:p>
        </w:tc>
        <w:tc>
          <w:tcPr>
            <w:tcW w:w="1783" w:type="pct"/>
            <w:vMerge w:val="continue"/>
            <w:tcBorders>
              <w:tl2br w:val="nil"/>
              <w:tr2bl w:val="nil"/>
            </w:tcBorders>
            <w:noWrap w:val="0"/>
            <w:vAlign w:val="center"/>
          </w:tcPr>
          <w:p w14:paraId="2C7AF2B4">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3514EB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53E31AD3">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w:t>
            </w:r>
          </w:p>
        </w:tc>
        <w:tc>
          <w:tcPr>
            <w:tcW w:w="909" w:type="pct"/>
            <w:tcBorders>
              <w:tl2br w:val="nil"/>
              <w:tr2bl w:val="nil"/>
            </w:tcBorders>
            <w:noWrap w:val="0"/>
            <w:vAlign w:val="center"/>
          </w:tcPr>
          <w:p w14:paraId="1348B7B9">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导线外径</w:t>
            </w:r>
          </w:p>
        </w:tc>
        <w:tc>
          <w:tcPr>
            <w:tcW w:w="2046" w:type="pct"/>
            <w:tcBorders>
              <w:tl2br w:val="nil"/>
              <w:tr2bl w:val="nil"/>
            </w:tcBorders>
            <w:noWrap w:val="0"/>
            <w:vAlign w:val="center"/>
          </w:tcPr>
          <w:p w14:paraId="1F9C1B85">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26.8mm</w:t>
            </w:r>
          </w:p>
        </w:tc>
        <w:tc>
          <w:tcPr>
            <w:tcW w:w="1783" w:type="pct"/>
            <w:vMerge w:val="continue"/>
            <w:tcBorders>
              <w:tl2br w:val="nil"/>
              <w:tr2bl w:val="nil"/>
            </w:tcBorders>
            <w:noWrap w:val="0"/>
            <w:vAlign w:val="center"/>
          </w:tcPr>
          <w:p w14:paraId="1266F556">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1BC5D7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4FE83693">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7</w:t>
            </w:r>
          </w:p>
        </w:tc>
        <w:tc>
          <w:tcPr>
            <w:tcW w:w="909" w:type="pct"/>
            <w:tcBorders>
              <w:tl2br w:val="nil"/>
              <w:tr2bl w:val="nil"/>
            </w:tcBorders>
            <w:noWrap w:val="0"/>
            <w:vAlign w:val="center"/>
          </w:tcPr>
          <w:p w14:paraId="24AA9F29">
            <w:pPr>
              <w:keepNext w:val="0"/>
              <w:keepLines w:val="0"/>
              <w:pageBreakBefore w:val="0"/>
              <w:widowControl/>
              <w:kinsoku/>
              <w:wordWrap/>
              <w:overflowPunct/>
              <w:topLinePunct w:val="0"/>
              <w:autoSpaceDE/>
              <w:autoSpaceDN/>
              <w:bidi w:val="0"/>
              <w:adjustRightInd/>
              <w:snapToGrid w:val="0"/>
              <w:spacing w:line="240" w:lineRule="auto"/>
              <w:ind w:left="0" w:leftChars="0" w:right="0" w:firstLine="0" w:firstLineChars="0"/>
              <w:jc w:val="center"/>
              <w:textAlignment w:val="auto"/>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分裂数</w:t>
            </w:r>
          </w:p>
        </w:tc>
        <w:tc>
          <w:tcPr>
            <w:tcW w:w="2046" w:type="pct"/>
            <w:tcBorders>
              <w:tl2br w:val="nil"/>
              <w:tr2bl w:val="nil"/>
            </w:tcBorders>
            <w:noWrap w:val="0"/>
            <w:vAlign w:val="center"/>
          </w:tcPr>
          <w:p w14:paraId="058696CC">
            <w:pPr>
              <w:keepNext w:val="0"/>
              <w:keepLines w:val="0"/>
              <w:pageBreakBefore w:val="0"/>
              <w:widowControl/>
              <w:kinsoku/>
              <w:wordWrap/>
              <w:overflowPunct/>
              <w:topLinePunct w:val="0"/>
              <w:autoSpaceDE/>
              <w:autoSpaceDN/>
              <w:bidi w:val="0"/>
              <w:adjustRightInd/>
              <w:snapToGrid w:val="0"/>
              <w:spacing w:line="240" w:lineRule="auto"/>
              <w:ind w:left="0" w:leftChars="0" w:right="0" w:firstLine="0" w:firstLineChars="0"/>
              <w:jc w:val="center"/>
              <w:textAlignment w:val="auto"/>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4</w:t>
            </w:r>
          </w:p>
        </w:tc>
        <w:tc>
          <w:tcPr>
            <w:tcW w:w="1783" w:type="pct"/>
            <w:vMerge w:val="continue"/>
            <w:tcBorders>
              <w:tl2br w:val="nil"/>
              <w:tr2bl w:val="nil"/>
            </w:tcBorders>
            <w:noWrap w:val="0"/>
            <w:vAlign w:val="center"/>
          </w:tcPr>
          <w:p w14:paraId="146EFE06">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7A7AA8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4B4AA2C0">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8</w:t>
            </w:r>
          </w:p>
        </w:tc>
        <w:tc>
          <w:tcPr>
            <w:tcW w:w="909" w:type="pct"/>
            <w:tcBorders>
              <w:tl2br w:val="nil"/>
              <w:tr2bl w:val="nil"/>
            </w:tcBorders>
            <w:noWrap w:val="0"/>
            <w:vAlign w:val="center"/>
          </w:tcPr>
          <w:p w14:paraId="60C5140E">
            <w:pPr>
              <w:keepNext w:val="0"/>
              <w:keepLines w:val="0"/>
              <w:pageBreakBefore w:val="0"/>
              <w:widowControl/>
              <w:kinsoku/>
              <w:wordWrap/>
              <w:overflowPunct/>
              <w:topLinePunct w:val="0"/>
              <w:autoSpaceDE/>
              <w:autoSpaceDN/>
              <w:bidi w:val="0"/>
              <w:adjustRightInd/>
              <w:snapToGrid w:val="0"/>
              <w:spacing w:line="240" w:lineRule="auto"/>
              <w:ind w:left="0" w:leftChars="0" w:right="0" w:firstLine="0" w:firstLineChars="0"/>
              <w:jc w:val="center"/>
              <w:textAlignment w:val="auto"/>
              <w:rPr>
                <w:rFonts w:hint="default" w:ascii="Times New Roman" w:hAnsi="Times New Roman" w:eastAsia="宋体" w:cs="Times New Roman"/>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分裂导线间距</w:t>
            </w:r>
          </w:p>
        </w:tc>
        <w:tc>
          <w:tcPr>
            <w:tcW w:w="2046" w:type="pct"/>
            <w:tcBorders>
              <w:tl2br w:val="nil"/>
              <w:tr2bl w:val="nil"/>
            </w:tcBorders>
            <w:noWrap w:val="0"/>
            <w:vAlign w:val="center"/>
          </w:tcPr>
          <w:p w14:paraId="1E9814F3">
            <w:pPr>
              <w:keepNext w:val="0"/>
              <w:keepLines w:val="0"/>
              <w:pageBreakBefore w:val="0"/>
              <w:widowControl/>
              <w:kinsoku/>
              <w:wordWrap/>
              <w:overflowPunct/>
              <w:topLinePunct w:val="0"/>
              <w:autoSpaceDE/>
              <w:autoSpaceDN/>
              <w:bidi w:val="0"/>
              <w:adjustRightInd/>
              <w:snapToGrid w:val="0"/>
              <w:spacing w:line="240" w:lineRule="auto"/>
              <w:ind w:left="0" w:leftChars="0" w:right="0" w:firstLine="0" w:firstLineChars="0"/>
              <w:jc w:val="center"/>
              <w:textAlignment w:val="auto"/>
              <w:rPr>
                <w:rFonts w:hint="default" w:ascii="Times New Roman" w:hAnsi="Times New Roman" w:eastAsia="宋体" w:cs="Times New Roman"/>
                <w:bCs/>
                <w:color w:val="000000" w:themeColor="text1"/>
                <w:kern w:val="0"/>
                <w:sz w:val="21"/>
                <w:szCs w:val="21"/>
                <w:lang w:val="en-US" w:eastAsia="zh-CN" w:bidi="ar-SA"/>
                <w14:textFill>
                  <w14:solidFill>
                    <w14:schemeClr w14:val="tx1"/>
                  </w14:solidFill>
                </w14:textFill>
              </w:rPr>
            </w:pPr>
            <w:r>
              <w:rPr>
                <w:rFonts w:hint="eastAsia" w:cs="Times New Roman"/>
                <w:bCs/>
                <w:color w:val="000000" w:themeColor="text1"/>
                <w:sz w:val="21"/>
                <w:szCs w:val="21"/>
                <w:lang w:val="en-US" w:eastAsia="zh-CN"/>
                <w14:textFill>
                  <w14:solidFill>
                    <w14:schemeClr w14:val="tx1"/>
                  </w14:solidFill>
                </w14:textFill>
              </w:rPr>
              <w:t>0.</w:t>
            </w:r>
            <w:r>
              <w:rPr>
                <w:rFonts w:hint="default" w:ascii="Times New Roman" w:hAnsi="Times New Roman" w:cs="Times New Roman"/>
                <w:bCs/>
                <w:color w:val="000000" w:themeColor="text1"/>
                <w:sz w:val="21"/>
                <w:szCs w:val="21"/>
                <w:lang w:val="en-US" w:eastAsia="zh-CN"/>
                <w14:textFill>
                  <w14:solidFill>
                    <w14:schemeClr w14:val="tx1"/>
                  </w14:solidFill>
                </w14:textFill>
              </w:rPr>
              <w:t>45</w:t>
            </w:r>
            <w:r>
              <w:rPr>
                <w:rFonts w:hint="default" w:ascii="Times New Roman" w:hAnsi="Times New Roman" w:cs="Times New Roman"/>
                <w:bCs/>
                <w:color w:val="000000" w:themeColor="text1"/>
                <w:sz w:val="21"/>
                <w:szCs w:val="21"/>
                <w14:textFill>
                  <w14:solidFill>
                    <w14:schemeClr w14:val="tx1"/>
                  </w14:solidFill>
                </w14:textFill>
              </w:rPr>
              <w:t>m</w:t>
            </w:r>
          </w:p>
        </w:tc>
        <w:tc>
          <w:tcPr>
            <w:tcW w:w="1783" w:type="pct"/>
            <w:vMerge w:val="continue"/>
            <w:tcBorders>
              <w:tl2br w:val="nil"/>
              <w:tr2bl w:val="nil"/>
            </w:tcBorders>
            <w:noWrap w:val="0"/>
            <w:vAlign w:val="center"/>
          </w:tcPr>
          <w:p w14:paraId="3E81641A">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28DB33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3A2B0125">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9</w:t>
            </w:r>
          </w:p>
        </w:tc>
        <w:tc>
          <w:tcPr>
            <w:tcW w:w="909" w:type="pct"/>
            <w:tcBorders>
              <w:tl2br w:val="nil"/>
              <w:tr2bl w:val="nil"/>
            </w:tcBorders>
            <w:noWrap w:val="0"/>
            <w:vAlign w:val="center"/>
          </w:tcPr>
          <w:p w14:paraId="7C0FE427">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地线型式</w:t>
            </w:r>
          </w:p>
        </w:tc>
        <w:tc>
          <w:tcPr>
            <w:tcW w:w="2046" w:type="pct"/>
            <w:tcBorders>
              <w:tl2br w:val="nil"/>
              <w:tr2bl w:val="nil"/>
            </w:tcBorders>
            <w:noWrap w:val="0"/>
            <w:vAlign w:val="center"/>
          </w:tcPr>
          <w:p w14:paraId="2EF28C5B">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72芯OPGW-15-120-2型复合光缆</w:t>
            </w:r>
          </w:p>
        </w:tc>
        <w:tc>
          <w:tcPr>
            <w:tcW w:w="1783" w:type="pct"/>
            <w:vMerge w:val="continue"/>
            <w:tcBorders>
              <w:tl2br w:val="nil"/>
              <w:tr2bl w:val="nil"/>
            </w:tcBorders>
            <w:noWrap w:val="0"/>
            <w:vAlign w:val="center"/>
          </w:tcPr>
          <w:p w14:paraId="73A23FDB">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p>
        </w:tc>
      </w:tr>
      <w:tr w14:paraId="777CED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jc w:val="center"/>
        </w:trPr>
        <w:tc>
          <w:tcPr>
            <w:tcW w:w="260" w:type="pct"/>
            <w:tcBorders>
              <w:tl2br w:val="nil"/>
              <w:tr2bl w:val="nil"/>
            </w:tcBorders>
            <w:noWrap w:val="0"/>
            <w:vAlign w:val="center"/>
          </w:tcPr>
          <w:p w14:paraId="51BEBDAF">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10</w:t>
            </w:r>
          </w:p>
        </w:tc>
        <w:tc>
          <w:tcPr>
            <w:tcW w:w="909" w:type="pct"/>
            <w:tcBorders>
              <w:tl2br w:val="nil"/>
              <w:tr2bl w:val="nil"/>
            </w:tcBorders>
            <w:noWrap w:val="0"/>
            <w:vAlign w:val="center"/>
          </w:tcPr>
          <w:p w14:paraId="632F1F14">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预测运行电流</w:t>
            </w:r>
          </w:p>
        </w:tc>
        <w:tc>
          <w:tcPr>
            <w:tcW w:w="2046" w:type="pct"/>
            <w:tcBorders>
              <w:tl2br w:val="nil"/>
              <w:tr2bl w:val="nil"/>
            </w:tcBorders>
            <w:noWrap w:val="0"/>
            <w:vAlign w:val="center"/>
          </w:tcPr>
          <w:p w14:paraId="22B287EA">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1969</w:t>
            </w:r>
            <w:r>
              <w:rPr>
                <w:rFonts w:hint="default" w:ascii="Times New Roman" w:hAnsi="Times New Roman" w:cs="Times New Roman"/>
                <w:color w:val="000000" w:themeColor="text1"/>
                <w:highlight w:val="none"/>
                <w:lang w:eastAsia="zh-CN"/>
                <w14:textFill>
                  <w14:solidFill>
                    <w14:schemeClr w14:val="tx1"/>
                  </w14:solidFill>
                </w14:textFill>
              </w:rPr>
              <w:t>A</w:t>
            </w:r>
          </w:p>
        </w:tc>
        <w:tc>
          <w:tcPr>
            <w:tcW w:w="1783" w:type="pct"/>
            <w:vMerge w:val="continue"/>
            <w:tcBorders>
              <w:tl2br w:val="nil"/>
              <w:tr2bl w:val="nil"/>
            </w:tcBorders>
            <w:noWrap w:val="0"/>
            <w:vAlign w:val="center"/>
          </w:tcPr>
          <w:p w14:paraId="5CCB1307">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1A4CA8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098CEA0C">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11</w:t>
            </w:r>
          </w:p>
        </w:tc>
        <w:tc>
          <w:tcPr>
            <w:tcW w:w="909" w:type="pct"/>
            <w:tcBorders>
              <w:tl2br w:val="nil"/>
              <w:tr2bl w:val="nil"/>
            </w:tcBorders>
            <w:noWrap w:val="0"/>
            <w:vAlign w:val="center"/>
          </w:tcPr>
          <w:p w14:paraId="2B1506D6">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导线垂直间距</w:t>
            </w:r>
          </w:p>
        </w:tc>
        <w:tc>
          <w:tcPr>
            <w:tcW w:w="2046" w:type="pct"/>
            <w:tcBorders>
              <w:tl2br w:val="nil"/>
              <w:tr2bl w:val="nil"/>
            </w:tcBorders>
            <w:noWrap w:val="0"/>
            <w:vAlign w:val="center"/>
          </w:tcPr>
          <w:p w14:paraId="4AA6627E">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A相-B相：</w:t>
            </w:r>
            <w:r>
              <w:rPr>
                <w:rFonts w:hint="default" w:ascii="Times New Roman" w:hAnsi="Times New Roman" w:cs="Times New Roman"/>
                <w:color w:val="000000" w:themeColor="text1"/>
                <w:highlight w:val="none"/>
                <w:lang w:val="en-US" w:eastAsia="zh-CN"/>
                <w14:textFill>
                  <w14:solidFill>
                    <w14:schemeClr w14:val="tx1"/>
                  </w14:solidFill>
                </w14:textFill>
              </w:rPr>
              <w:t>5.6</w:t>
            </w:r>
            <w:r>
              <w:rPr>
                <w:rFonts w:hint="default" w:ascii="Times New Roman" w:hAnsi="Times New Roman" w:cs="Times New Roman"/>
                <w:color w:val="000000" w:themeColor="text1"/>
                <w:highlight w:val="none"/>
                <w:lang w:eastAsia="zh-CN"/>
                <w14:textFill>
                  <w14:solidFill>
                    <w14:schemeClr w14:val="tx1"/>
                  </w14:solidFill>
                </w14:textFill>
              </w:rPr>
              <w:t>m；C相-B相：</w:t>
            </w:r>
            <w:r>
              <w:rPr>
                <w:rFonts w:hint="default" w:ascii="Times New Roman" w:hAnsi="Times New Roman" w:cs="Times New Roman"/>
                <w:color w:val="000000" w:themeColor="text1"/>
                <w:highlight w:val="none"/>
                <w:lang w:val="en-US" w:eastAsia="zh-CN"/>
                <w14:textFill>
                  <w14:solidFill>
                    <w14:schemeClr w14:val="tx1"/>
                  </w14:solidFill>
                </w14:textFill>
              </w:rPr>
              <w:t>5.6</w:t>
            </w:r>
            <w:r>
              <w:rPr>
                <w:rFonts w:hint="default" w:ascii="Times New Roman" w:hAnsi="Times New Roman" w:cs="Times New Roman"/>
                <w:color w:val="000000" w:themeColor="text1"/>
                <w:highlight w:val="none"/>
                <w:lang w:eastAsia="zh-CN"/>
                <w14:textFill>
                  <w14:solidFill>
                    <w14:schemeClr w14:val="tx1"/>
                  </w14:solidFill>
                </w14:textFill>
              </w:rPr>
              <w:t>m（水平）；A相-C相：</w:t>
            </w:r>
            <w:r>
              <w:rPr>
                <w:rFonts w:hint="default" w:ascii="Times New Roman" w:hAnsi="Times New Roman" w:cs="Times New Roman"/>
                <w:color w:val="000000" w:themeColor="text1"/>
                <w:highlight w:val="none"/>
                <w:lang w:val="en-US" w:eastAsia="zh-CN"/>
                <w14:textFill>
                  <w14:solidFill>
                    <w14:schemeClr w14:val="tx1"/>
                  </w14:solidFill>
                </w14:textFill>
              </w:rPr>
              <w:t>0</w:t>
            </w:r>
            <w:r>
              <w:rPr>
                <w:rFonts w:hint="default" w:ascii="Times New Roman" w:hAnsi="Times New Roman" w:cs="Times New Roman"/>
                <w:color w:val="000000" w:themeColor="text1"/>
                <w:highlight w:val="none"/>
                <w:lang w:eastAsia="zh-CN"/>
                <w14:textFill>
                  <w14:solidFill>
                    <w14:schemeClr w14:val="tx1"/>
                  </w14:solidFill>
                </w14:textFill>
              </w:rPr>
              <w:t>m</w:t>
            </w:r>
          </w:p>
        </w:tc>
        <w:tc>
          <w:tcPr>
            <w:tcW w:w="1783" w:type="pct"/>
            <w:vMerge w:val="continue"/>
            <w:tcBorders>
              <w:tl2br w:val="nil"/>
              <w:tr2bl w:val="nil"/>
            </w:tcBorders>
            <w:noWrap w:val="0"/>
            <w:vAlign w:val="center"/>
          </w:tcPr>
          <w:p w14:paraId="447FFE85">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06A9E2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4BD44736">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12</w:t>
            </w:r>
          </w:p>
        </w:tc>
        <w:tc>
          <w:tcPr>
            <w:tcW w:w="909" w:type="pct"/>
            <w:tcBorders>
              <w:tl2br w:val="nil"/>
              <w:tr2bl w:val="nil"/>
            </w:tcBorders>
            <w:noWrap w:val="0"/>
            <w:vAlign w:val="center"/>
          </w:tcPr>
          <w:p w14:paraId="1D642753">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相序</w:t>
            </w:r>
          </w:p>
        </w:tc>
        <w:tc>
          <w:tcPr>
            <w:tcW w:w="2046" w:type="pct"/>
            <w:tcBorders>
              <w:tl2br w:val="nil"/>
              <w:tr2bl w:val="nil"/>
            </w:tcBorders>
            <w:noWrap w:val="0"/>
            <w:vAlign w:val="center"/>
          </w:tcPr>
          <w:p w14:paraId="2543811C">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B-A-C（左中右）</w:t>
            </w:r>
          </w:p>
        </w:tc>
        <w:tc>
          <w:tcPr>
            <w:tcW w:w="1783" w:type="pct"/>
            <w:vMerge w:val="continue"/>
            <w:tcBorders>
              <w:tl2br w:val="nil"/>
              <w:tr2bl w:val="nil"/>
            </w:tcBorders>
            <w:noWrap w:val="0"/>
            <w:vAlign w:val="center"/>
          </w:tcPr>
          <w:p w14:paraId="14D8037A">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2C6543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480D4035">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13</w:t>
            </w:r>
          </w:p>
        </w:tc>
        <w:tc>
          <w:tcPr>
            <w:tcW w:w="909" w:type="pct"/>
            <w:tcBorders>
              <w:tl2br w:val="nil"/>
              <w:tr2bl w:val="nil"/>
            </w:tcBorders>
            <w:noWrap w:val="0"/>
            <w:vAlign w:val="center"/>
          </w:tcPr>
          <w:p w14:paraId="1DC3DAC1">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导线水平间距</w:t>
            </w:r>
          </w:p>
        </w:tc>
        <w:tc>
          <w:tcPr>
            <w:tcW w:w="2046" w:type="pct"/>
            <w:tcBorders>
              <w:tl2br w:val="nil"/>
              <w:tr2bl w:val="nil"/>
            </w:tcBorders>
            <w:noWrap w:val="0"/>
            <w:vAlign w:val="center"/>
          </w:tcPr>
          <w:p w14:paraId="3C215B62">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A相-B相：</w:t>
            </w:r>
            <w:r>
              <w:rPr>
                <w:rFonts w:hint="default" w:ascii="Times New Roman" w:hAnsi="Times New Roman" w:cs="Times New Roman"/>
                <w:color w:val="000000" w:themeColor="text1"/>
                <w:highlight w:val="none"/>
                <w:lang w:val="en-US" w:eastAsia="zh-CN"/>
                <w14:textFill>
                  <w14:solidFill>
                    <w14:schemeClr w14:val="tx1"/>
                  </w14:solidFill>
                </w14:textFill>
              </w:rPr>
              <w:t>5.4</w:t>
            </w:r>
            <w:r>
              <w:rPr>
                <w:rFonts w:hint="default" w:ascii="Times New Roman" w:hAnsi="Times New Roman" w:cs="Times New Roman"/>
                <w:color w:val="000000" w:themeColor="text1"/>
                <w:highlight w:val="none"/>
                <w:lang w:eastAsia="zh-CN"/>
                <w14:textFill>
                  <w14:solidFill>
                    <w14:schemeClr w14:val="tx1"/>
                  </w14:solidFill>
                </w14:textFill>
              </w:rPr>
              <w:t>m；C相-B相：</w:t>
            </w:r>
            <w:r>
              <w:rPr>
                <w:rFonts w:hint="default" w:ascii="Times New Roman" w:hAnsi="Times New Roman" w:cs="Times New Roman"/>
                <w:color w:val="000000" w:themeColor="text1"/>
                <w:highlight w:val="none"/>
                <w:lang w:val="en-US" w:eastAsia="zh-CN"/>
                <w14:textFill>
                  <w14:solidFill>
                    <w14:schemeClr w14:val="tx1"/>
                  </w14:solidFill>
                </w14:textFill>
              </w:rPr>
              <w:t>7.1</w:t>
            </w:r>
            <w:r>
              <w:rPr>
                <w:rFonts w:hint="default" w:ascii="Times New Roman" w:hAnsi="Times New Roman" w:cs="Times New Roman"/>
                <w:color w:val="000000" w:themeColor="text1"/>
                <w:highlight w:val="none"/>
                <w:lang w:eastAsia="zh-CN"/>
                <w14:textFill>
                  <w14:solidFill>
                    <w14:schemeClr w14:val="tx1"/>
                  </w14:solidFill>
                </w14:textFill>
              </w:rPr>
              <w:t>m；A相-C相：</w:t>
            </w:r>
            <w:r>
              <w:rPr>
                <w:rFonts w:hint="default" w:ascii="Times New Roman" w:hAnsi="Times New Roman" w:cs="Times New Roman"/>
                <w:color w:val="000000" w:themeColor="text1"/>
                <w:highlight w:val="none"/>
                <w:lang w:val="en-US" w:eastAsia="zh-CN"/>
                <w14:textFill>
                  <w14:solidFill>
                    <w14:schemeClr w14:val="tx1"/>
                  </w14:solidFill>
                </w14:textFill>
              </w:rPr>
              <w:t>12.5</w:t>
            </w:r>
            <w:r>
              <w:rPr>
                <w:rFonts w:hint="default" w:ascii="Times New Roman" w:hAnsi="Times New Roman" w:cs="Times New Roman"/>
                <w:color w:val="000000" w:themeColor="text1"/>
                <w:highlight w:val="none"/>
                <w:lang w:eastAsia="zh-CN"/>
                <w14:textFill>
                  <w14:solidFill>
                    <w14:schemeClr w14:val="tx1"/>
                  </w14:solidFill>
                </w14:textFill>
              </w:rPr>
              <w:t>m</w:t>
            </w:r>
          </w:p>
        </w:tc>
        <w:tc>
          <w:tcPr>
            <w:tcW w:w="1783" w:type="pct"/>
            <w:vMerge w:val="continue"/>
            <w:tcBorders>
              <w:tl2br w:val="nil"/>
              <w:tr2bl w:val="nil"/>
            </w:tcBorders>
            <w:noWrap w:val="0"/>
            <w:vAlign w:val="center"/>
          </w:tcPr>
          <w:p w14:paraId="7D836421">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15DA23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24D1AEFD">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14</w:t>
            </w:r>
          </w:p>
        </w:tc>
        <w:tc>
          <w:tcPr>
            <w:tcW w:w="909" w:type="pct"/>
            <w:tcBorders>
              <w:tl2br w:val="nil"/>
              <w:tr2bl w:val="nil"/>
            </w:tcBorders>
            <w:noWrap w:val="0"/>
            <w:vAlign w:val="center"/>
          </w:tcPr>
          <w:p w14:paraId="0B1438C2">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底导线对地距离</w:t>
            </w:r>
          </w:p>
        </w:tc>
        <w:tc>
          <w:tcPr>
            <w:tcW w:w="2046" w:type="pct"/>
            <w:tcBorders>
              <w:tl2br w:val="nil"/>
              <w:tr2bl w:val="nil"/>
            </w:tcBorders>
            <w:noWrap w:val="0"/>
            <w:vAlign w:val="center"/>
          </w:tcPr>
          <w:p w14:paraId="5A2E43F7">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13</w:t>
            </w:r>
            <w:r>
              <w:rPr>
                <w:rFonts w:hint="default" w:ascii="Times New Roman" w:hAnsi="Times New Roman" w:cs="Times New Roman"/>
                <w:color w:val="000000" w:themeColor="text1"/>
                <w:highlight w:val="none"/>
                <w:lang w:eastAsia="zh-CN"/>
                <w14:textFill>
                  <w14:solidFill>
                    <w14:schemeClr w14:val="tx1"/>
                  </w14:solidFill>
                </w14:textFill>
              </w:rPr>
              <w:t>m</w:t>
            </w:r>
          </w:p>
        </w:tc>
        <w:tc>
          <w:tcPr>
            <w:tcW w:w="1783" w:type="pct"/>
            <w:vMerge w:val="continue"/>
            <w:tcBorders>
              <w:tl2br w:val="nil"/>
              <w:tr2bl w:val="nil"/>
            </w:tcBorders>
            <w:noWrap w:val="0"/>
            <w:vAlign w:val="center"/>
          </w:tcPr>
          <w:p w14:paraId="085BBE09">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p>
        </w:tc>
      </w:tr>
      <w:tr w14:paraId="44C396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5A530EBB">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eastAsia="宋体" w:cs="Times New Roman"/>
                <w:color w:val="000000" w:themeColor="text1"/>
                <w:sz w:val="21"/>
                <w:highlight w:val="none"/>
                <w:lang w:val="en-US" w:eastAsia="zh-CN" w:bidi="ar-SA"/>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15</w:t>
            </w:r>
          </w:p>
        </w:tc>
        <w:tc>
          <w:tcPr>
            <w:tcW w:w="909" w:type="pct"/>
            <w:tcBorders>
              <w:tl2br w:val="nil"/>
              <w:tr2bl w:val="nil"/>
            </w:tcBorders>
            <w:noWrap w:val="0"/>
            <w:vAlign w:val="center"/>
          </w:tcPr>
          <w:p w14:paraId="41CB6DD3">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14:textFill>
                  <w14:solidFill>
                    <w14:schemeClr w14:val="tx1"/>
                  </w14:solidFill>
                </w14:textFill>
              </w:rPr>
            </w:pPr>
            <w:r>
              <w:rPr>
                <w:rFonts w:hint="default" w:ascii="Times New Roman" w:hAnsi="Times New Roman" w:cs="Times New Roman"/>
                <w:color w:val="000000" w:themeColor="text1"/>
                <w:highlight w:val="none"/>
                <w:lang w:eastAsia="zh-CN"/>
                <w14:textFill>
                  <w14:solidFill>
                    <w14:schemeClr w14:val="tx1"/>
                  </w14:solidFill>
                </w14:textFill>
              </w:rPr>
              <w:t>呼称高</w:t>
            </w:r>
          </w:p>
        </w:tc>
        <w:tc>
          <w:tcPr>
            <w:tcW w:w="2046" w:type="pct"/>
            <w:tcBorders>
              <w:tl2br w:val="nil"/>
              <w:tr2bl w:val="nil"/>
            </w:tcBorders>
            <w:noWrap w:val="0"/>
            <w:vAlign w:val="center"/>
          </w:tcPr>
          <w:p w14:paraId="1F779518">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24</w:t>
            </w:r>
            <w:r>
              <w:rPr>
                <w:rFonts w:hint="default" w:ascii="Times New Roman" w:hAnsi="Times New Roman" w:cs="Times New Roman"/>
                <w:color w:val="000000" w:themeColor="text1"/>
                <w:highlight w:val="none"/>
                <w:lang w:eastAsia="zh-CN"/>
                <w14:textFill>
                  <w14:solidFill>
                    <w14:schemeClr w14:val="tx1"/>
                  </w14:solidFill>
                </w14:textFill>
              </w:rPr>
              <w:t>m</w:t>
            </w:r>
            <w:r>
              <w:rPr>
                <w:rFonts w:hint="eastAsia" w:cs="Times New Roman"/>
                <w:color w:val="000000" w:themeColor="text1"/>
                <w:highlight w:val="none"/>
                <w:lang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27m</w:t>
            </w:r>
          </w:p>
        </w:tc>
        <w:tc>
          <w:tcPr>
            <w:tcW w:w="1783" w:type="pct"/>
            <w:vMerge w:val="continue"/>
            <w:tcBorders>
              <w:tl2br w:val="nil"/>
              <w:tr2bl w:val="nil"/>
            </w:tcBorders>
            <w:noWrap w:val="0"/>
            <w:vAlign w:val="center"/>
          </w:tcPr>
          <w:p w14:paraId="05635068">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eastAsia="zh-CN"/>
                <w14:textFill>
                  <w14:solidFill>
                    <w14:schemeClr w14:val="tx1"/>
                  </w14:solidFill>
                </w14:textFill>
              </w:rPr>
            </w:pPr>
          </w:p>
        </w:tc>
      </w:tr>
      <w:tr w14:paraId="688518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0" w:type="pct"/>
            <w:tcBorders>
              <w:tl2br w:val="nil"/>
              <w:tr2bl w:val="nil"/>
            </w:tcBorders>
            <w:noWrap w:val="0"/>
            <w:vAlign w:val="center"/>
          </w:tcPr>
          <w:p w14:paraId="209748AC">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16</w:t>
            </w:r>
          </w:p>
        </w:tc>
        <w:tc>
          <w:tcPr>
            <w:tcW w:w="909" w:type="pct"/>
            <w:tcBorders>
              <w:tl2br w:val="nil"/>
              <w:tr2bl w:val="nil"/>
            </w:tcBorders>
            <w:noWrap w:val="0"/>
            <w:vAlign w:val="center"/>
          </w:tcPr>
          <w:p w14:paraId="78137D18">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计算范围</w:t>
            </w:r>
          </w:p>
        </w:tc>
        <w:tc>
          <w:tcPr>
            <w:tcW w:w="2046" w:type="pct"/>
            <w:tcBorders>
              <w:tl2br w:val="nil"/>
              <w:tr2bl w:val="nil"/>
            </w:tcBorders>
            <w:noWrap w:val="0"/>
            <w:vAlign w:val="center"/>
          </w:tcPr>
          <w:p w14:paraId="111830B5">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工频电场、磁场：水平方向：中相线对地投影0m起，至边导线外</w:t>
            </w:r>
            <w:r>
              <w:rPr>
                <w:rFonts w:hint="eastAsia" w:cs="Times New Roman"/>
                <w:color w:val="000000" w:themeColor="text1"/>
                <w:kern w:val="0"/>
                <w:sz w:val="21"/>
                <w:szCs w:val="21"/>
                <w:highlight w:val="none"/>
                <w:lang w:val="en-US" w:eastAsia="zh-CN"/>
                <w14:textFill>
                  <w14:solidFill>
                    <w14:schemeClr w14:val="tx1"/>
                  </w14:solidFill>
                </w14:textFill>
              </w:rPr>
              <w:t>47</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m</w:t>
            </w:r>
            <w:r>
              <w:rPr>
                <w:rFonts w:hint="eastAsia" w:cs="Times New Roman"/>
                <w:color w:val="000000" w:themeColor="text1"/>
                <w:kern w:val="0"/>
                <w:sz w:val="21"/>
                <w:szCs w:val="21"/>
                <w:highlight w:val="none"/>
                <w:lang w:val="en-US" w:eastAsia="zh-CN"/>
                <w14:textFill>
                  <w14:solidFill>
                    <w14:schemeClr w14:val="tx1"/>
                  </w14:solidFill>
                </w14:textFill>
              </w:rPr>
              <w:t>/45m</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，间距1m；垂直方向：地面1.5m</w:t>
            </w:r>
          </w:p>
        </w:tc>
        <w:tc>
          <w:tcPr>
            <w:tcW w:w="1783" w:type="pct"/>
            <w:vMerge w:val="continue"/>
            <w:tcBorders>
              <w:tl2br w:val="nil"/>
              <w:tr2bl w:val="nil"/>
            </w:tcBorders>
            <w:noWrap w:val="0"/>
            <w:vAlign w:val="center"/>
          </w:tcPr>
          <w:p w14:paraId="3EC6C020">
            <w:pPr>
              <w:pStyle w:val="79"/>
              <w:keepNext w:val="0"/>
              <w:keepLines w:val="0"/>
              <w:pageBreakBefore w:val="0"/>
              <w:kinsoku/>
              <w:wordWrap/>
              <w:overflowPunct/>
              <w:topLinePunct w:val="0"/>
              <w:autoSpaceDE/>
              <w:autoSpaceDN/>
              <w:bidi w:val="0"/>
              <w:snapToGrid w:val="0"/>
              <w:spacing w:before="0" w:after="0" w:line="240" w:lineRule="auto"/>
              <w:ind w:left="0" w:leftChars="0" w:right="0" w:firstLine="0" w:firstLineChars="0"/>
              <w:rPr>
                <w:rFonts w:hint="default" w:ascii="Times New Roman" w:hAnsi="Times New Roman" w:cs="Times New Roman"/>
                <w:color w:val="000000" w:themeColor="text1"/>
                <w:highlight w:val="none"/>
                <w:lang w:val="en-US" w:eastAsia="zh-CN"/>
                <w14:textFill>
                  <w14:solidFill>
                    <w14:schemeClr w14:val="tx1"/>
                  </w14:solidFill>
                </w14:textFill>
              </w:rPr>
            </w:pPr>
          </w:p>
        </w:tc>
      </w:tr>
    </w:tbl>
    <w:p w14:paraId="0293B2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000000" w:themeColor="text1"/>
          <w:kern w:val="0"/>
          <w:sz w:val="21"/>
          <w:szCs w:val="21"/>
          <w:lang w:val="en-US" w:eastAsia="zh-CN"/>
          <w14:textFill>
            <w14:solidFill>
              <w14:schemeClr w14:val="tx1"/>
            </w14:solidFill>
          </w14:textFill>
        </w:rPr>
      </w:pPr>
    </w:p>
    <w:p w14:paraId="35C8DB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黑体" w:hAnsi="黑体" w:eastAsia="黑体" w:cs="黑体"/>
          <w:color w:val="000000" w:themeColor="text1"/>
          <w:sz w:val="21"/>
          <w:szCs w:val="21"/>
          <w:highlight w:val="none"/>
          <w14:textFill>
            <w14:solidFill>
              <w14:schemeClr w14:val="tx1"/>
            </w14:solidFill>
          </w14:textFill>
        </w:rPr>
      </w:pPr>
      <w:r>
        <w:rPr>
          <w:rFonts w:hint="eastAsia" w:ascii="黑体" w:hAnsi="黑体" w:eastAsia="黑体" w:cs="黑体"/>
          <w:color w:val="000000" w:themeColor="text1"/>
          <w:kern w:val="0"/>
          <w:sz w:val="21"/>
          <w:szCs w:val="21"/>
          <w:lang w:val="en-US" w:eastAsia="zh-CN"/>
          <w14:textFill>
            <w14:solidFill>
              <w14:schemeClr w14:val="tx1"/>
            </w14:solidFill>
          </w14:textFill>
        </w:rPr>
        <w:t>表7   本项目220kV单回线路段计算参数（220-KD21D-ZB2）</w:t>
      </w:r>
    </w:p>
    <w:tbl>
      <w:tblPr>
        <w:tblStyle w:val="27"/>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76"/>
        <w:gridCol w:w="1655"/>
        <w:gridCol w:w="3735"/>
        <w:gridCol w:w="2974"/>
      </w:tblGrid>
      <w:tr w14:paraId="426A38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0" w:hRule="atLeast"/>
          <w:jc w:val="center"/>
        </w:trPr>
        <w:tc>
          <w:tcPr>
            <w:tcW w:w="269" w:type="pct"/>
            <w:tcBorders>
              <w:tl2br w:val="nil"/>
              <w:tr2bl w:val="nil"/>
            </w:tcBorders>
            <w:noWrap w:val="0"/>
            <w:vAlign w:val="center"/>
          </w:tcPr>
          <w:p w14:paraId="35D8B304">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序号</w:t>
            </w:r>
          </w:p>
        </w:tc>
        <w:tc>
          <w:tcPr>
            <w:tcW w:w="936" w:type="pct"/>
            <w:tcBorders>
              <w:tl2br w:val="nil"/>
              <w:tr2bl w:val="nil"/>
            </w:tcBorders>
            <w:noWrap w:val="0"/>
            <w:vAlign w:val="center"/>
          </w:tcPr>
          <w:p w14:paraId="516A7916">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名称</w:t>
            </w:r>
          </w:p>
        </w:tc>
        <w:tc>
          <w:tcPr>
            <w:tcW w:w="2112" w:type="pct"/>
            <w:tcBorders>
              <w:tl2br w:val="nil"/>
              <w:tr2bl w:val="nil"/>
            </w:tcBorders>
            <w:noWrap w:val="0"/>
            <w:vAlign w:val="center"/>
          </w:tcPr>
          <w:p w14:paraId="36F81CEA">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内容</w:t>
            </w:r>
          </w:p>
        </w:tc>
        <w:tc>
          <w:tcPr>
            <w:tcW w:w="1682" w:type="pct"/>
            <w:tcBorders>
              <w:tl2br w:val="nil"/>
              <w:tr2bl w:val="nil"/>
            </w:tcBorders>
            <w:noWrap w:val="0"/>
            <w:vAlign w:val="center"/>
          </w:tcPr>
          <w:p w14:paraId="69BF52AE">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示意图</w:t>
            </w:r>
          </w:p>
        </w:tc>
      </w:tr>
      <w:tr w14:paraId="65EB6B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7ACF7664">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w:t>
            </w:r>
          </w:p>
        </w:tc>
        <w:tc>
          <w:tcPr>
            <w:tcW w:w="936" w:type="pct"/>
            <w:tcBorders>
              <w:tl2br w:val="nil"/>
              <w:tr2bl w:val="nil"/>
            </w:tcBorders>
            <w:noWrap w:val="0"/>
            <w:vAlign w:val="center"/>
          </w:tcPr>
          <w:p w14:paraId="338271B0">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线路</w:t>
            </w:r>
          </w:p>
        </w:tc>
        <w:tc>
          <w:tcPr>
            <w:tcW w:w="2112" w:type="pct"/>
            <w:tcBorders>
              <w:tl2br w:val="nil"/>
              <w:tr2bl w:val="nil"/>
            </w:tcBorders>
            <w:noWrap w:val="0"/>
            <w:vAlign w:val="center"/>
          </w:tcPr>
          <w:p w14:paraId="3E77101A">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22</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0kV单回线路</w:t>
            </w:r>
          </w:p>
        </w:tc>
        <w:tc>
          <w:tcPr>
            <w:tcW w:w="1682" w:type="pct"/>
            <w:vMerge w:val="restart"/>
            <w:tcBorders>
              <w:tl2br w:val="nil"/>
              <w:tr2bl w:val="nil"/>
            </w:tcBorders>
            <w:noWrap w:val="0"/>
            <w:vAlign w:val="center"/>
          </w:tcPr>
          <w:p w14:paraId="17AE86A1">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drawing>
                <wp:anchor distT="0" distB="0" distL="114300" distR="114300" simplePos="0" relativeHeight="251668480" behindDoc="0" locked="0" layoutInCell="1" allowOverlap="1">
                  <wp:simplePos x="0" y="0"/>
                  <wp:positionH relativeFrom="column">
                    <wp:posOffset>904240</wp:posOffset>
                  </wp:positionH>
                  <wp:positionV relativeFrom="paragraph">
                    <wp:posOffset>217805</wp:posOffset>
                  </wp:positionV>
                  <wp:extent cx="158750" cy="121285"/>
                  <wp:effectExtent l="0" t="0" r="12700" b="12065"/>
                  <wp:wrapNone/>
                  <wp:docPr id="9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1"/>
                          <pic:cNvPicPr>
                            <a:picLocks noChangeAspect="1"/>
                          </pic:cNvPicPr>
                        </pic:nvPicPr>
                        <pic:blipFill>
                          <a:blip r:embed="rId67"/>
                          <a:stretch>
                            <a:fillRect/>
                          </a:stretch>
                        </pic:blipFill>
                        <pic:spPr>
                          <a:xfrm>
                            <a:off x="0" y="0"/>
                            <a:ext cx="158750" cy="121285"/>
                          </a:xfrm>
                          <a:prstGeom prst="rect">
                            <a:avLst/>
                          </a:prstGeom>
                          <a:noFill/>
                          <a:ln>
                            <a:noFill/>
                          </a:ln>
                        </pic:spPr>
                      </pic:pic>
                    </a:graphicData>
                  </a:graphic>
                </wp:anchor>
              </w:drawing>
            </w:r>
            <w:r>
              <w:rPr>
                <w:rFonts w:hint="default" w:ascii="Times New Roman" w:hAnsi="Times New Roman" w:cs="Times New Roman" w:eastAsiaTheme="minorEastAsia"/>
                <w:color w:val="000000" w:themeColor="text1"/>
                <w:sz w:val="21"/>
                <w:szCs w:val="21"/>
                <w14:textFill>
                  <w14:solidFill>
                    <w14:schemeClr w14:val="tx1"/>
                  </w14:solidFill>
                </w14:textFill>
              </w:rPr>
              <w:drawing>
                <wp:anchor distT="0" distB="0" distL="114300" distR="114300" simplePos="0" relativeHeight="251667456" behindDoc="0" locked="0" layoutInCell="1" allowOverlap="1">
                  <wp:simplePos x="0" y="0"/>
                  <wp:positionH relativeFrom="column">
                    <wp:posOffset>447675</wp:posOffset>
                  </wp:positionH>
                  <wp:positionV relativeFrom="paragraph">
                    <wp:posOffset>542925</wp:posOffset>
                  </wp:positionV>
                  <wp:extent cx="144145" cy="132080"/>
                  <wp:effectExtent l="0" t="0" r="8255" b="1270"/>
                  <wp:wrapNone/>
                  <wp:docPr id="10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
                          <pic:cNvPicPr>
                            <a:picLocks noChangeAspect="1"/>
                          </pic:cNvPicPr>
                        </pic:nvPicPr>
                        <pic:blipFill>
                          <a:blip r:embed="rId69"/>
                          <a:stretch>
                            <a:fillRect/>
                          </a:stretch>
                        </pic:blipFill>
                        <pic:spPr>
                          <a:xfrm>
                            <a:off x="0" y="0"/>
                            <a:ext cx="144145" cy="132080"/>
                          </a:xfrm>
                          <a:prstGeom prst="rect">
                            <a:avLst/>
                          </a:prstGeom>
                          <a:noFill/>
                          <a:ln>
                            <a:noFill/>
                          </a:ln>
                        </pic:spPr>
                      </pic:pic>
                    </a:graphicData>
                  </a:graphic>
                </wp:anchor>
              </w:drawing>
            </w:r>
            <w:r>
              <w:rPr>
                <w:rFonts w:hint="default" w:ascii="Times New Roman" w:hAnsi="Times New Roman" w:cs="Times New Roman" w:eastAsiaTheme="minorEastAsia"/>
                <w:color w:val="000000" w:themeColor="text1"/>
                <w:sz w:val="21"/>
                <w:szCs w:val="21"/>
                <w14:textFill>
                  <w14:solidFill>
                    <w14:schemeClr w14:val="tx1"/>
                  </w14:solidFill>
                </w14:textFill>
              </w:rPr>
              <w:drawing>
                <wp:anchor distT="0" distB="0" distL="114300" distR="114300" simplePos="0" relativeHeight="251669504" behindDoc="0" locked="0" layoutInCell="1" allowOverlap="1">
                  <wp:simplePos x="0" y="0"/>
                  <wp:positionH relativeFrom="column">
                    <wp:posOffset>1409700</wp:posOffset>
                  </wp:positionH>
                  <wp:positionV relativeFrom="paragraph">
                    <wp:posOffset>526415</wp:posOffset>
                  </wp:positionV>
                  <wp:extent cx="146050" cy="150495"/>
                  <wp:effectExtent l="0" t="0" r="6350" b="1905"/>
                  <wp:wrapNone/>
                  <wp:docPr id="10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9"/>
                          <pic:cNvPicPr>
                            <a:picLocks noChangeAspect="1"/>
                          </pic:cNvPicPr>
                        </pic:nvPicPr>
                        <pic:blipFill>
                          <a:blip r:embed="rId68"/>
                          <a:stretch>
                            <a:fillRect/>
                          </a:stretch>
                        </pic:blipFill>
                        <pic:spPr>
                          <a:xfrm>
                            <a:off x="0" y="0"/>
                            <a:ext cx="146050" cy="150495"/>
                          </a:xfrm>
                          <a:prstGeom prst="rect">
                            <a:avLst/>
                          </a:prstGeom>
                          <a:noFill/>
                          <a:ln>
                            <a:noFill/>
                          </a:ln>
                        </pic:spPr>
                      </pic:pic>
                    </a:graphicData>
                  </a:graphic>
                </wp:anchor>
              </w:drawing>
            </w:r>
            <w:r>
              <w:rPr>
                <w:rFonts w:hint="default" w:ascii="Times New Roman" w:hAnsi="Times New Roman" w:cs="Times New Roman" w:eastAsiaTheme="minorEastAsia"/>
                <w:color w:val="000000" w:themeColor="text1"/>
                <w:sz w:val="21"/>
                <w:szCs w:val="21"/>
                <w14:textFill>
                  <w14:solidFill>
                    <w14:schemeClr w14:val="tx1"/>
                  </w14:solidFill>
                </w14:textFill>
              </w:rPr>
              <w:drawing>
                <wp:inline distT="0" distB="0" distL="114300" distR="114300">
                  <wp:extent cx="1395095" cy="3382645"/>
                  <wp:effectExtent l="0" t="0" r="14605" b="8255"/>
                  <wp:docPr id="10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33"/>
                          <pic:cNvPicPr>
                            <a:picLocks noChangeAspect="1"/>
                          </pic:cNvPicPr>
                        </pic:nvPicPr>
                        <pic:blipFill>
                          <a:blip r:embed="rId71"/>
                          <a:stretch>
                            <a:fillRect/>
                          </a:stretch>
                        </pic:blipFill>
                        <pic:spPr>
                          <a:xfrm>
                            <a:off x="0" y="0"/>
                            <a:ext cx="1395095" cy="3382645"/>
                          </a:xfrm>
                          <a:prstGeom prst="rect">
                            <a:avLst/>
                          </a:prstGeom>
                          <a:noFill/>
                          <a:ln>
                            <a:noFill/>
                          </a:ln>
                        </pic:spPr>
                      </pic:pic>
                    </a:graphicData>
                  </a:graphic>
                </wp:inline>
              </w:drawing>
            </w:r>
            <w:r>
              <w:rPr>
                <w:rFonts w:hint="default" w:ascii="Times New Roman" w:hAnsi="Times New Roman" w:cs="Times New Roman" w:eastAsiaTheme="minorEastAsia"/>
                <w:color w:val="000000" w:themeColor="text1"/>
                <w:sz w:val="21"/>
                <w:szCs w:val="21"/>
                <w:highlight w:val="none"/>
                <w14:textFill>
                  <w14:solidFill>
                    <w14:schemeClr w14:val="tx1"/>
                  </w14:solidFill>
                </w14:textFill>
              </w:rPr>
              <w:pict>
                <v:shape id="Object 6" o:spid="_x0000_s2060" o:spt="75" type="#_x0000_t75" style="position:absolute;left:0pt;margin-left:85.75pt;margin-top:58.5pt;height:16.7pt;width:14.3pt;z-index:251666432;mso-width-relative:page;mso-height-relative:page;" o:ole="t" filled="f" o:preferrelative="t" stroked="f" coordsize="21600,21600">
                  <v:path/>
                  <v:fill on="f" focussize="0,0"/>
                  <v:stroke on="f"/>
                  <v:imagedata r:id="rId73" cropleft="2403f" croptop="16134f" cropright="59032f" o:title=""/>
                  <o:lock v:ext="edit" aspectratio="f"/>
                </v:shape>
                <o:OLEObject Type="Embed" ProgID="Word.Document.8" ShapeID="Object 6" DrawAspect="Content" ObjectID="_1468075750" r:id="rId72">
                  <o:LockedField>false</o:LockedField>
                </o:OLEObject>
              </w:pict>
            </w:r>
          </w:p>
        </w:tc>
      </w:tr>
      <w:tr w14:paraId="152BD62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7" w:hRule="atLeast"/>
          <w:jc w:val="center"/>
        </w:trPr>
        <w:tc>
          <w:tcPr>
            <w:tcW w:w="269" w:type="pct"/>
            <w:tcBorders>
              <w:tl2br w:val="nil"/>
              <w:tr2bl w:val="nil"/>
            </w:tcBorders>
            <w:noWrap w:val="0"/>
            <w:vAlign w:val="center"/>
          </w:tcPr>
          <w:p w14:paraId="0E0680CD">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2</w:t>
            </w:r>
          </w:p>
        </w:tc>
        <w:tc>
          <w:tcPr>
            <w:tcW w:w="936" w:type="pct"/>
            <w:tcBorders>
              <w:tl2br w:val="nil"/>
              <w:tr2bl w:val="nil"/>
            </w:tcBorders>
            <w:noWrap w:val="0"/>
            <w:vAlign w:val="center"/>
          </w:tcPr>
          <w:p w14:paraId="16A313D0">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采用塔型</w:t>
            </w:r>
          </w:p>
        </w:tc>
        <w:tc>
          <w:tcPr>
            <w:tcW w:w="2112" w:type="pct"/>
            <w:tcBorders>
              <w:tl2br w:val="nil"/>
              <w:tr2bl w:val="nil"/>
            </w:tcBorders>
            <w:noWrap w:val="0"/>
            <w:vAlign w:val="center"/>
          </w:tcPr>
          <w:p w14:paraId="4D36C9C4">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b w:val="0"/>
                <w:bCs w:val="0"/>
                <w:color w:val="000000" w:themeColor="text1"/>
                <w:sz w:val="21"/>
                <w:szCs w:val="21"/>
                <w:highlight w:val="none"/>
                <w:lang w:val="en-US" w:eastAsia="zh-CN"/>
                <w14:textFill>
                  <w14:solidFill>
                    <w14:schemeClr w14:val="tx1"/>
                  </w14:solidFill>
                </w14:textFill>
              </w:rPr>
              <w:t>220-KD21D-ZB2</w:t>
            </w:r>
          </w:p>
        </w:tc>
        <w:tc>
          <w:tcPr>
            <w:tcW w:w="1682" w:type="pct"/>
            <w:vMerge w:val="continue"/>
            <w:tcBorders>
              <w:tl2br w:val="nil"/>
              <w:tr2bl w:val="nil"/>
            </w:tcBorders>
            <w:noWrap w:val="0"/>
            <w:vAlign w:val="center"/>
          </w:tcPr>
          <w:p w14:paraId="3928351F">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618AE2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37B36FE2">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3</w:t>
            </w:r>
          </w:p>
        </w:tc>
        <w:tc>
          <w:tcPr>
            <w:tcW w:w="936" w:type="pct"/>
            <w:tcBorders>
              <w:tl2br w:val="nil"/>
              <w:tr2bl w:val="nil"/>
            </w:tcBorders>
            <w:noWrap w:val="0"/>
            <w:vAlign w:val="center"/>
          </w:tcPr>
          <w:p w14:paraId="643325B7">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回路数</w:t>
            </w:r>
          </w:p>
        </w:tc>
        <w:tc>
          <w:tcPr>
            <w:tcW w:w="2112" w:type="pct"/>
            <w:tcBorders>
              <w:tl2br w:val="nil"/>
              <w:tr2bl w:val="nil"/>
            </w:tcBorders>
            <w:noWrap w:val="0"/>
            <w:vAlign w:val="center"/>
          </w:tcPr>
          <w:p w14:paraId="1D794E95">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单回路</w:t>
            </w:r>
          </w:p>
        </w:tc>
        <w:tc>
          <w:tcPr>
            <w:tcW w:w="1682" w:type="pct"/>
            <w:vMerge w:val="continue"/>
            <w:tcBorders>
              <w:tl2br w:val="nil"/>
              <w:tr2bl w:val="nil"/>
            </w:tcBorders>
            <w:noWrap w:val="0"/>
            <w:vAlign w:val="center"/>
          </w:tcPr>
          <w:p w14:paraId="2C7696BB">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p>
        </w:tc>
      </w:tr>
      <w:tr w14:paraId="45C6EF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69" w:type="pct"/>
            <w:tcBorders>
              <w:tl2br w:val="nil"/>
              <w:tr2bl w:val="nil"/>
            </w:tcBorders>
            <w:noWrap w:val="0"/>
            <w:vAlign w:val="center"/>
          </w:tcPr>
          <w:p w14:paraId="79D4FFB6">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w:t>
            </w:r>
          </w:p>
        </w:tc>
        <w:tc>
          <w:tcPr>
            <w:tcW w:w="936" w:type="pct"/>
            <w:tcBorders>
              <w:tl2br w:val="nil"/>
              <w:tr2bl w:val="nil"/>
            </w:tcBorders>
            <w:noWrap w:val="0"/>
            <w:vAlign w:val="center"/>
          </w:tcPr>
          <w:p w14:paraId="6BF28040">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相序排列方式</w:t>
            </w:r>
          </w:p>
        </w:tc>
        <w:tc>
          <w:tcPr>
            <w:tcW w:w="2112" w:type="pct"/>
            <w:tcBorders>
              <w:tl2br w:val="nil"/>
              <w:tr2bl w:val="nil"/>
            </w:tcBorders>
            <w:noWrap w:val="0"/>
            <w:vAlign w:val="center"/>
          </w:tcPr>
          <w:p w14:paraId="4BAB8A45">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三角排列</w:t>
            </w:r>
          </w:p>
        </w:tc>
        <w:tc>
          <w:tcPr>
            <w:tcW w:w="1682" w:type="pct"/>
            <w:vMerge w:val="continue"/>
            <w:tcBorders>
              <w:tl2br w:val="nil"/>
              <w:tr2bl w:val="nil"/>
            </w:tcBorders>
            <w:noWrap w:val="0"/>
            <w:vAlign w:val="center"/>
          </w:tcPr>
          <w:p w14:paraId="49DDD2E4">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0C610B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0" w:hRule="atLeast"/>
          <w:jc w:val="center"/>
        </w:trPr>
        <w:tc>
          <w:tcPr>
            <w:tcW w:w="269" w:type="pct"/>
            <w:tcBorders>
              <w:tl2br w:val="nil"/>
              <w:tr2bl w:val="nil"/>
            </w:tcBorders>
            <w:noWrap w:val="0"/>
            <w:vAlign w:val="center"/>
          </w:tcPr>
          <w:p w14:paraId="3CEC910A">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5</w:t>
            </w:r>
          </w:p>
        </w:tc>
        <w:tc>
          <w:tcPr>
            <w:tcW w:w="936" w:type="pct"/>
            <w:tcBorders>
              <w:tl2br w:val="nil"/>
              <w:tr2bl w:val="nil"/>
            </w:tcBorders>
            <w:noWrap w:val="0"/>
            <w:vAlign w:val="center"/>
          </w:tcPr>
          <w:p w14:paraId="107D10D6">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导线型号</w:t>
            </w:r>
          </w:p>
        </w:tc>
        <w:tc>
          <w:tcPr>
            <w:tcW w:w="2112" w:type="pct"/>
            <w:tcBorders>
              <w:tl2br w:val="nil"/>
              <w:tr2bl w:val="nil"/>
            </w:tcBorders>
            <w:noWrap w:val="0"/>
            <w:vAlign w:val="center"/>
          </w:tcPr>
          <w:p w14:paraId="6389FE83">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JL/G1A-400/35型</w:t>
            </w:r>
          </w:p>
        </w:tc>
        <w:tc>
          <w:tcPr>
            <w:tcW w:w="1682" w:type="pct"/>
            <w:vMerge w:val="continue"/>
            <w:tcBorders>
              <w:tl2br w:val="nil"/>
              <w:tr2bl w:val="nil"/>
            </w:tcBorders>
            <w:noWrap w:val="0"/>
            <w:vAlign w:val="center"/>
          </w:tcPr>
          <w:p w14:paraId="3C44F9CF">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106114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053DA665">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6</w:t>
            </w:r>
          </w:p>
        </w:tc>
        <w:tc>
          <w:tcPr>
            <w:tcW w:w="936" w:type="pct"/>
            <w:tcBorders>
              <w:tl2br w:val="nil"/>
              <w:tr2bl w:val="nil"/>
            </w:tcBorders>
            <w:noWrap w:val="0"/>
            <w:vAlign w:val="center"/>
          </w:tcPr>
          <w:p w14:paraId="26F9188D">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导线外径</w:t>
            </w:r>
          </w:p>
        </w:tc>
        <w:tc>
          <w:tcPr>
            <w:tcW w:w="2112" w:type="pct"/>
            <w:tcBorders>
              <w:tl2br w:val="nil"/>
              <w:tr2bl w:val="nil"/>
            </w:tcBorders>
            <w:noWrap w:val="0"/>
            <w:vAlign w:val="center"/>
          </w:tcPr>
          <w:p w14:paraId="229B2D31">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26.8mm</w:t>
            </w:r>
          </w:p>
        </w:tc>
        <w:tc>
          <w:tcPr>
            <w:tcW w:w="1682" w:type="pct"/>
            <w:vMerge w:val="continue"/>
            <w:tcBorders>
              <w:tl2br w:val="nil"/>
              <w:tr2bl w:val="nil"/>
            </w:tcBorders>
            <w:noWrap w:val="0"/>
            <w:vAlign w:val="center"/>
          </w:tcPr>
          <w:p w14:paraId="454B5489">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46BAAD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67C2E7F6">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7</w:t>
            </w:r>
          </w:p>
        </w:tc>
        <w:tc>
          <w:tcPr>
            <w:tcW w:w="936" w:type="pct"/>
            <w:tcBorders>
              <w:tl2br w:val="nil"/>
              <w:tr2bl w:val="nil"/>
            </w:tcBorders>
            <w:noWrap w:val="0"/>
            <w:vAlign w:val="center"/>
          </w:tcPr>
          <w:p w14:paraId="409F4A81">
            <w:pPr>
              <w:keepNext w:val="0"/>
              <w:keepLines w:val="0"/>
              <w:pageBreakBefore w:val="0"/>
              <w:widowControl/>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cs="Times New Roman" w:eastAsiaTheme="minorEastAsia"/>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分裂数</w:t>
            </w:r>
          </w:p>
        </w:tc>
        <w:tc>
          <w:tcPr>
            <w:tcW w:w="2112" w:type="pct"/>
            <w:tcBorders>
              <w:tl2br w:val="nil"/>
              <w:tr2bl w:val="nil"/>
            </w:tcBorders>
            <w:noWrap w:val="0"/>
            <w:vAlign w:val="center"/>
          </w:tcPr>
          <w:p w14:paraId="2FF84CAF">
            <w:pPr>
              <w:keepNext w:val="0"/>
              <w:keepLines w:val="0"/>
              <w:pageBreakBefore w:val="0"/>
              <w:widowControl/>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cs="Times New Roman" w:eastAsiaTheme="minorEastAsia"/>
                <w:bCs/>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4</w:t>
            </w:r>
          </w:p>
        </w:tc>
        <w:tc>
          <w:tcPr>
            <w:tcW w:w="1682" w:type="pct"/>
            <w:vMerge w:val="continue"/>
            <w:tcBorders>
              <w:tl2br w:val="nil"/>
              <w:tr2bl w:val="nil"/>
            </w:tcBorders>
            <w:noWrap w:val="0"/>
            <w:vAlign w:val="center"/>
          </w:tcPr>
          <w:p w14:paraId="74F17810">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3B2A99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7" w:hRule="atLeast"/>
          <w:jc w:val="center"/>
        </w:trPr>
        <w:tc>
          <w:tcPr>
            <w:tcW w:w="269" w:type="pct"/>
            <w:tcBorders>
              <w:tl2br w:val="nil"/>
              <w:tr2bl w:val="nil"/>
            </w:tcBorders>
            <w:noWrap w:val="0"/>
            <w:vAlign w:val="center"/>
          </w:tcPr>
          <w:p w14:paraId="4408D71C">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8</w:t>
            </w:r>
          </w:p>
        </w:tc>
        <w:tc>
          <w:tcPr>
            <w:tcW w:w="936" w:type="pct"/>
            <w:tcBorders>
              <w:tl2br w:val="nil"/>
              <w:tr2bl w:val="nil"/>
            </w:tcBorders>
            <w:noWrap w:val="0"/>
            <w:vAlign w:val="center"/>
          </w:tcPr>
          <w:p w14:paraId="2379C909">
            <w:pPr>
              <w:keepNext w:val="0"/>
              <w:keepLines w:val="0"/>
              <w:pageBreakBefore w:val="0"/>
              <w:widowControl/>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cs="Times New Roman" w:eastAsiaTheme="minorEastAsia"/>
                <w:bCs/>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14:textFill>
                  <w14:solidFill>
                    <w14:schemeClr w14:val="tx1"/>
                  </w14:solidFill>
                </w14:textFill>
              </w:rPr>
              <w:t>分裂导线间距</w:t>
            </w:r>
          </w:p>
        </w:tc>
        <w:tc>
          <w:tcPr>
            <w:tcW w:w="2112" w:type="pct"/>
            <w:tcBorders>
              <w:tl2br w:val="nil"/>
              <w:tr2bl w:val="nil"/>
            </w:tcBorders>
            <w:noWrap w:val="0"/>
            <w:vAlign w:val="center"/>
          </w:tcPr>
          <w:p w14:paraId="72283CDE">
            <w:pPr>
              <w:keepNext w:val="0"/>
              <w:keepLines w:val="0"/>
              <w:pageBreakBefore w:val="0"/>
              <w:widowControl/>
              <w:kinsoku/>
              <w:wordWrap/>
              <w:overflowPunct/>
              <w:topLinePunct w:val="0"/>
              <w:autoSpaceDE/>
              <w:autoSpaceDN/>
              <w:bidi w:val="0"/>
              <w:adjustRightInd/>
              <w:snapToGrid/>
              <w:spacing w:line="240" w:lineRule="auto"/>
              <w:ind w:left="0" w:leftChars="0" w:right="0" w:firstLine="0" w:firstLineChars="0"/>
              <w:jc w:val="center"/>
              <w:textAlignment w:val="auto"/>
              <w:rPr>
                <w:rFonts w:hint="default" w:ascii="Times New Roman" w:hAnsi="Times New Roman" w:cs="Times New Roman" w:eastAsiaTheme="minorEastAsia"/>
                <w:bCs/>
                <w:color w:val="000000" w:themeColor="text1"/>
                <w:kern w:val="0"/>
                <w:sz w:val="21"/>
                <w:szCs w:val="21"/>
                <w:lang w:val="en-US" w:eastAsia="zh-CN" w:bidi="ar-SA"/>
                <w14:textFill>
                  <w14:solidFill>
                    <w14:schemeClr w14:val="tx1"/>
                  </w14:solidFill>
                </w14:textFill>
              </w:rPr>
            </w:pPr>
            <w:r>
              <w:rPr>
                <w:rFonts w:hint="eastAsia" w:cs="Times New Roman" w:eastAsiaTheme="minorEastAsia"/>
                <w:bCs/>
                <w:color w:val="000000" w:themeColor="text1"/>
                <w:sz w:val="21"/>
                <w:szCs w:val="21"/>
                <w:lang w:val="en-US" w:eastAsia="zh-CN"/>
                <w14:textFill>
                  <w14:solidFill>
                    <w14:schemeClr w14:val="tx1"/>
                  </w14:solidFill>
                </w14:textFill>
              </w:rPr>
              <w:t>0.</w:t>
            </w:r>
            <w:r>
              <w:rPr>
                <w:rFonts w:hint="default" w:ascii="Times New Roman" w:hAnsi="Times New Roman" w:cs="Times New Roman" w:eastAsiaTheme="minorEastAsia"/>
                <w:bCs/>
                <w:color w:val="000000" w:themeColor="text1"/>
                <w:sz w:val="21"/>
                <w:szCs w:val="21"/>
                <w:lang w:val="en-US" w:eastAsia="zh-CN"/>
                <w14:textFill>
                  <w14:solidFill>
                    <w14:schemeClr w14:val="tx1"/>
                  </w14:solidFill>
                </w14:textFill>
              </w:rPr>
              <w:t>45</w:t>
            </w:r>
            <w:r>
              <w:rPr>
                <w:rFonts w:hint="default" w:ascii="Times New Roman" w:hAnsi="Times New Roman" w:cs="Times New Roman" w:eastAsiaTheme="minorEastAsia"/>
                <w:bCs/>
                <w:color w:val="000000" w:themeColor="text1"/>
                <w:sz w:val="21"/>
                <w:szCs w:val="21"/>
                <w14:textFill>
                  <w14:solidFill>
                    <w14:schemeClr w14:val="tx1"/>
                  </w14:solidFill>
                </w14:textFill>
              </w:rPr>
              <w:t>m</w:t>
            </w:r>
          </w:p>
        </w:tc>
        <w:tc>
          <w:tcPr>
            <w:tcW w:w="1682" w:type="pct"/>
            <w:vMerge w:val="continue"/>
            <w:tcBorders>
              <w:tl2br w:val="nil"/>
              <w:tr2bl w:val="nil"/>
            </w:tcBorders>
            <w:noWrap w:val="0"/>
            <w:vAlign w:val="center"/>
          </w:tcPr>
          <w:p w14:paraId="12EBD87B">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47222E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6EA6D491">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9</w:t>
            </w:r>
          </w:p>
        </w:tc>
        <w:tc>
          <w:tcPr>
            <w:tcW w:w="936" w:type="pct"/>
            <w:tcBorders>
              <w:tl2br w:val="nil"/>
              <w:tr2bl w:val="nil"/>
            </w:tcBorders>
            <w:noWrap w:val="0"/>
            <w:vAlign w:val="center"/>
          </w:tcPr>
          <w:p w14:paraId="0AF1BD06">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地线型式</w:t>
            </w:r>
          </w:p>
        </w:tc>
        <w:tc>
          <w:tcPr>
            <w:tcW w:w="2112" w:type="pct"/>
            <w:tcBorders>
              <w:tl2br w:val="nil"/>
              <w:tr2bl w:val="nil"/>
            </w:tcBorders>
            <w:noWrap w:val="0"/>
            <w:vAlign w:val="center"/>
          </w:tcPr>
          <w:p w14:paraId="1241749F">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72芯OPGW-15-120-2型复合光缆</w:t>
            </w:r>
          </w:p>
        </w:tc>
        <w:tc>
          <w:tcPr>
            <w:tcW w:w="1682" w:type="pct"/>
            <w:vMerge w:val="continue"/>
            <w:tcBorders>
              <w:tl2br w:val="nil"/>
              <w:tr2bl w:val="nil"/>
            </w:tcBorders>
            <w:noWrap w:val="0"/>
            <w:vAlign w:val="center"/>
          </w:tcPr>
          <w:p w14:paraId="1B6E5275">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p>
        </w:tc>
      </w:tr>
      <w:tr w14:paraId="38DCED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219CB5B0">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10</w:t>
            </w:r>
          </w:p>
        </w:tc>
        <w:tc>
          <w:tcPr>
            <w:tcW w:w="936" w:type="pct"/>
            <w:tcBorders>
              <w:tl2br w:val="nil"/>
              <w:tr2bl w:val="nil"/>
            </w:tcBorders>
            <w:noWrap w:val="0"/>
            <w:vAlign w:val="center"/>
          </w:tcPr>
          <w:p w14:paraId="6B828504">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预测运行电流</w:t>
            </w:r>
          </w:p>
        </w:tc>
        <w:tc>
          <w:tcPr>
            <w:tcW w:w="2112" w:type="pct"/>
            <w:tcBorders>
              <w:tl2br w:val="nil"/>
              <w:tr2bl w:val="nil"/>
            </w:tcBorders>
            <w:noWrap w:val="0"/>
            <w:vAlign w:val="center"/>
          </w:tcPr>
          <w:p w14:paraId="4D354F66">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1969</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A</w:t>
            </w:r>
          </w:p>
        </w:tc>
        <w:tc>
          <w:tcPr>
            <w:tcW w:w="1682" w:type="pct"/>
            <w:vMerge w:val="continue"/>
            <w:tcBorders>
              <w:tl2br w:val="nil"/>
              <w:tr2bl w:val="nil"/>
            </w:tcBorders>
            <w:noWrap w:val="0"/>
            <w:vAlign w:val="center"/>
          </w:tcPr>
          <w:p w14:paraId="29218462">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67E879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54138FCF">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11</w:t>
            </w:r>
          </w:p>
        </w:tc>
        <w:tc>
          <w:tcPr>
            <w:tcW w:w="936" w:type="pct"/>
            <w:tcBorders>
              <w:tl2br w:val="nil"/>
              <w:tr2bl w:val="nil"/>
            </w:tcBorders>
            <w:noWrap w:val="0"/>
            <w:vAlign w:val="center"/>
          </w:tcPr>
          <w:p w14:paraId="37C6F733">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导线垂直间距</w:t>
            </w:r>
          </w:p>
        </w:tc>
        <w:tc>
          <w:tcPr>
            <w:tcW w:w="2112" w:type="pct"/>
            <w:tcBorders>
              <w:tl2br w:val="nil"/>
              <w:tr2bl w:val="nil"/>
            </w:tcBorders>
            <w:noWrap w:val="0"/>
            <w:vAlign w:val="center"/>
          </w:tcPr>
          <w:p w14:paraId="024AD1DA">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A相-B相：</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1.6</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m；C相-B相：</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1.6</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m（水平）；A相-C相：</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0</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m</w:t>
            </w:r>
          </w:p>
        </w:tc>
        <w:tc>
          <w:tcPr>
            <w:tcW w:w="1682" w:type="pct"/>
            <w:vMerge w:val="continue"/>
            <w:tcBorders>
              <w:tl2br w:val="nil"/>
              <w:tr2bl w:val="nil"/>
            </w:tcBorders>
            <w:noWrap w:val="0"/>
            <w:vAlign w:val="center"/>
          </w:tcPr>
          <w:p w14:paraId="6A195704">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6770BB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170A02D3">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12</w:t>
            </w:r>
          </w:p>
        </w:tc>
        <w:tc>
          <w:tcPr>
            <w:tcW w:w="936" w:type="pct"/>
            <w:tcBorders>
              <w:tl2br w:val="nil"/>
              <w:tr2bl w:val="nil"/>
            </w:tcBorders>
            <w:noWrap w:val="0"/>
            <w:vAlign w:val="center"/>
          </w:tcPr>
          <w:p w14:paraId="6CF8EA1A">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相序</w:t>
            </w:r>
          </w:p>
        </w:tc>
        <w:tc>
          <w:tcPr>
            <w:tcW w:w="2112" w:type="pct"/>
            <w:tcBorders>
              <w:tl2br w:val="nil"/>
              <w:tr2bl w:val="nil"/>
            </w:tcBorders>
            <w:noWrap w:val="0"/>
            <w:vAlign w:val="center"/>
          </w:tcPr>
          <w:p w14:paraId="1B0D7B2F">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A</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B</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-C（左中右）</w:t>
            </w:r>
          </w:p>
        </w:tc>
        <w:tc>
          <w:tcPr>
            <w:tcW w:w="1682" w:type="pct"/>
            <w:vMerge w:val="continue"/>
            <w:tcBorders>
              <w:tl2br w:val="nil"/>
              <w:tr2bl w:val="nil"/>
            </w:tcBorders>
            <w:noWrap w:val="0"/>
            <w:vAlign w:val="center"/>
          </w:tcPr>
          <w:p w14:paraId="36B3C0C8">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0790E7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1AA4A98C">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13</w:t>
            </w:r>
          </w:p>
        </w:tc>
        <w:tc>
          <w:tcPr>
            <w:tcW w:w="936" w:type="pct"/>
            <w:tcBorders>
              <w:tl2br w:val="nil"/>
              <w:tr2bl w:val="nil"/>
            </w:tcBorders>
            <w:noWrap w:val="0"/>
            <w:vAlign w:val="center"/>
          </w:tcPr>
          <w:p w14:paraId="24F9D733">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导线水平间距</w:t>
            </w:r>
          </w:p>
        </w:tc>
        <w:tc>
          <w:tcPr>
            <w:tcW w:w="2112" w:type="pct"/>
            <w:tcBorders>
              <w:tl2br w:val="nil"/>
              <w:tr2bl w:val="nil"/>
            </w:tcBorders>
            <w:noWrap w:val="0"/>
            <w:vAlign w:val="center"/>
          </w:tcPr>
          <w:p w14:paraId="7D1FC495">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A相-B相：</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8.8</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m；C相-B相：</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8.8</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m；A相-C相：</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17.6</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m</w:t>
            </w:r>
          </w:p>
        </w:tc>
        <w:tc>
          <w:tcPr>
            <w:tcW w:w="1682" w:type="pct"/>
            <w:vMerge w:val="continue"/>
            <w:tcBorders>
              <w:tl2br w:val="nil"/>
              <w:tr2bl w:val="nil"/>
            </w:tcBorders>
            <w:noWrap w:val="0"/>
            <w:vAlign w:val="center"/>
          </w:tcPr>
          <w:p w14:paraId="3F2FACF1">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4D9667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0009F8C7">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14</w:t>
            </w:r>
          </w:p>
        </w:tc>
        <w:tc>
          <w:tcPr>
            <w:tcW w:w="936" w:type="pct"/>
            <w:tcBorders>
              <w:tl2br w:val="nil"/>
              <w:tr2bl w:val="nil"/>
            </w:tcBorders>
            <w:noWrap w:val="0"/>
            <w:vAlign w:val="center"/>
          </w:tcPr>
          <w:p w14:paraId="7605D666">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底导线对地距离</w:t>
            </w:r>
          </w:p>
        </w:tc>
        <w:tc>
          <w:tcPr>
            <w:tcW w:w="2112" w:type="pct"/>
            <w:tcBorders>
              <w:tl2br w:val="nil"/>
              <w:tr2bl w:val="nil"/>
            </w:tcBorders>
            <w:noWrap w:val="0"/>
            <w:vAlign w:val="center"/>
          </w:tcPr>
          <w:p w14:paraId="6B16B2C8">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13</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m</w:t>
            </w:r>
          </w:p>
        </w:tc>
        <w:tc>
          <w:tcPr>
            <w:tcW w:w="1682" w:type="pct"/>
            <w:vMerge w:val="continue"/>
            <w:tcBorders>
              <w:tl2br w:val="nil"/>
              <w:tr2bl w:val="nil"/>
            </w:tcBorders>
            <w:noWrap w:val="0"/>
            <w:vAlign w:val="center"/>
          </w:tcPr>
          <w:p w14:paraId="03AC8F78">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p>
        </w:tc>
      </w:tr>
      <w:tr w14:paraId="31C31F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05C62640">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bidi="ar-SA"/>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15</w:t>
            </w:r>
          </w:p>
        </w:tc>
        <w:tc>
          <w:tcPr>
            <w:tcW w:w="936" w:type="pct"/>
            <w:tcBorders>
              <w:tl2br w:val="nil"/>
              <w:tr2bl w:val="nil"/>
            </w:tcBorders>
            <w:noWrap w:val="0"/>
            <w:vAlign w:val="center"/>
          </w:tcPr>
          <w:p w14:paraId="479DC016">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呼称高</w:t>
            </w:r>
          </w:p>
        </w:tc>
        <w:tc>
          <w:tcPr>
            <w:tcW w:w="2112" w:type="pct"/>
            <w:tcBorders>
              <w:tl2br w:val="nil"/>
              <w:tr2bl w:val="nil"/>
            </w:tcBorders>
            <w:noWrap w:val="0"/>
            <w:vAlign w:val="center"/>
          </w:tcPr>
          <w:p w14:paraId="6DAA6BFF">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27</w:t>
            </w:r>
            <w:r>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t>m</w:t>
            </w:r>
            <w:r>
              <w:rPr>
                <w:rFonts w:hint="eastAsia" w:cs="Times New Roman" w:eastAsiaTheme="minorEastAsia"/>
                <w:color w:val="000000" w:themeColor="text1"/>
                <w:sz w:val="21"/>
                <w:szCs w:val="21"/>
                <w:highlight w:val="none"/>
                <w:lang w:eastAsia="zh-CN"/>
                <w14:textFill>
                  <w14:solidFill>
                    <w14:schemeClr w14:val="tx1"/>
                  </w14:solidFill>
                </w14:textFill>
              </w:rPr>
              <w:t>—</w:t>
            </w: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45m</w:t>
            </w:r>
          </w:p>
        </w:tc>
        <w:tc>
          <w:tcPr>
            <w:tcW w:w="1682" w:type="pct"/>
            <w:vMerge w:val="continue"/>
            <w:tcBorders>
              <w:tl2br w:val="nil"/>
              <w:tr2bl w:val="nil"/>
            </w:tcBorders>
            <w:noWrap w:val="0"/>
            <w:vAlign w:val="center"/>
          </w:tcPr>
          <w:p w14:paraId="70BA7E76">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r w14:paraId="01276E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69" w:type="pct"/>
            <w:tcBorders>
              <w:tl2br w:val="nil"/>
              <w:tr2bl w:val="nil"/>
            </w:tcBorders>
            <w:noWrap w:val="0"/>
            <w:vAlign w:val="center"/>
          </w:tcPr>
          <w:p w14:paraId="5070A5F5">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16</w:t>
            </w:r>
          </w:p>
        </w:tc>
        <w:tc>
          <w:tcPr>
            <w:tcW w:w="936" w:type="pct"/>
            <w:tcBorders>
              <w:tl2br w:val="nil"/>
              <w:tr2bl w:val="nil"/>
            </w:tcBorders>
            <w:noWrap w:val="0"/>
            <w:vAlign w:val="center"/>
          </w:tcPr>
          <w:p w14:paraId="68B84184">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eastAsiaTheme="minorEastAsia"/>
                <w:color w:val="000000" w:themeColor="text1"/>
                <w:sz w:val="21"/>
                <w:szCs w:val="21"/>
                <w:highlight w:val="none"/>
                <w:lang w:val="en-US" w:eastAsia="zh-CN"/>
                <w14:textFill>
                  <w14:solidFill>
                    <w14:schemeClr w14:val="tx1"/>
                  </w14:solidFill>
                </w14:textFill>
              </w:rPr>
              <w:t>计算范围</w:t>
            </w:r>
          </w:p>
        </w:tc>
        <w:tc>
          <w:tcPr>
            <w:tcW w:w="2112" w:type="pct"/>
            <w:tcBorders>
              <w:tl2br w:val="nil"/>
              <w:tr2bl w:val="nil"/>
            </w:tcBorders>
            <w:noWrap w:val="0"/>
            <w:vAlign w:val="center"/>
          </w:tcPr>
          <w:p w14:paraId="4785CC1E">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工频电场、磁场：水平方向：中相线对地投影0m起，至边导线外</w:t>
            </w: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4</w:t>
            </w:r>
            <w:r>
              <w:rPr>
                <w:rFonts w:hint="eastAsia" w:cs="Times New Roman"/>
                <w:color w:val="000000" w:themeColor="text1"/>
                <w:kern w:val="0"/>
                <w:sz w:val="21"/>
                <w:szCs w:val="21"/>
                <w:highlight w:val="none"/>
                <w:lang w:val="en-US" w:eastAsia="zh-CN"/>
                <w14:textFill>
                  <w14:solidFill>
                    <w14:schemeClr w14:val="tx1"/>
                  </w14:solidFill>
                </w14:textFill>
              </w:rPr>
              <w:t>9</w:t>
            </w:r>
            <w:r>
              <w:rPr>
                <w:rFonts w:hint="default" w:ascii="Times New Roman" w:hAnsi="Times New Roman" w:cs="Times New Roman"/>
                <w:color w:val="000000" w:themeColor="text1"/>
                <w:kern w:val="0"/>
                <w:sz w:val="21"/>
                <w:szCs w:val="21"/>
                <w:highlight w:val="none"/>
                <w:lang w:val="en-US" w:eastAsia="zh-CN"/>
                <w14:textFill>
                  <w14:solidFill>
                    <w14:schemeClr w14:val="tx1"/>
                  </w14:solidFill>
                </w14:textFill>
              </w:rPr>
              <w:t>m，间距1m；垂直方向：地面1.5m</w:t>
            </w:r>
          </w:p>
        </w:tc>
        <w:tc>
          <w:tcPr>
            <w:tcW w:w="1682" w:type="pct"/>
            <w:vMerge w:val="continue"/>
            <w:tcBorders>
              <w:tl2br w:val="nil"/>
              <w:tr2bl w:val="nil"/>
            </w:tcBorders>
            <w:noWrap w:val="0"/>
            <w:vAlign w:val="center"/>
          </w:tcPr>
          <w:p w14:paraId="7753F8AD">
            <w:pPr>
              <w:pStyle w:val="79"/>
              <w:keepNext w:val="0"/>
              <w:keepLines w:val="0"/>
              <w:pageBreakBefore w:val="0"/>
              <w:kinsoku/>
              <w:wordWrap/>
              <w:overflowPunct/>
              <w:topLinePunct w:val="0"/>
              <w:autoSpaceDE/>
              <w:autoSpaceDN/>
              <w:bidi w:val="0"/>
              <w:spacing w:before="0" w:after="0" w:line="240" w:lineRule="auto"/>
              <w:ind w:left="0" w:leftChars="0" w:right="0" w:firstLine="0" w:firstLineChars="0"/>
              <w:rPr>
                <w:rFonts w:hint="default" w:ascii="Times New Roman" w:hAnsi="Times New Roman" w:cs="Times New Roman" w:eastAsiaTheme="minorEastAsia"/>
                <w:color w:val="000000" w:themeColor="text1"/>
                <w:sz w:val="21"/>
                <w:szCs w:val="21"/>
                <w:highlight w:val="none"/>
                <w:lang w:eastAsia="zh-CN"/>
                <w14:textFill>
                  <w14:solidFill>
                    <w14:schemeClr w14:val="tx1"/>
                  </w14:solidFill>
                </w14:textFill>
              </w:rPr>
            </w:pPr>
          </w:p>
        </w:tc>
      </w:tr>
    </w:tbl>
    <w:p w14:paraId="4CC27F57">
      <w:pPr>
        <w:keepNext w:val="0"/>
        <w:keepLines w:val="0"/>
        <w:pageBreakBefore w:val="0"/>
        <w:widowControl w:val="0"/>
        <w:kinsoku/>
        <w:wordWrap/>
        <w:overflowPunct/>
        <w:topLinePunct w:val="0"/>
        <w:autoSpaceDE w:val="0"/>
        <w:autoSpaceDN w:val="0"/>
        <w:bidi w:val="0"/>
        <w:adjustRightInd w:val="0"/>
        <w:snapToGrid w:val="0"/>
        <w:spacing w:beforeAutospacing="0" w:line="500" w:lineRule="exact"/>
        <w:ind w:firstLine="482" w:firstLineChars="200"/>
        <w:textAlignment w:val="auto"/>
        <w:outlineLvl w:val="1"/>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bookmarkStart w:id="90" w:name="_Toc6238"/>
      <w:r>
        <w:rPr>
          <w:rFonts w:hint="eastAsia" w:ascii="Times New Roman" w:hAnsi="Times New Roman" w:eastAsia="宋体" w:cs="Times New Roman"/>
          <w:b/>
          <w:bCs/>
          <w:color w:val="000000" w:themeColor="text1"/>
          <w:kern w:val="0"/>
          <w:sz w:val="24"/>
          <w:lang w:val="en-US" w:eastAsia="zh-CN"/>
          <w14:textFill>
            <w14:solidFill>
              <w14:schemeClr w14:val="tx1"/>
            </w14:solidFill>
          </w14:textFill>
        </w:rPr>
        <w:t>3.</w:t>
      </w:r>
      <w:r>
        <w:rPr>
          <w:rFonts w:hint="eastAsia" w:ascii="Times New Roman" w:hAnsi="Times New Roman" w:cs="Times New Roman"/>
          <w:b/>
          <w:bCs/>
          <w:color w:val="000000" w:themeColor="text1"/>
          <w:kern w:val="0"/>
          <w:sz w:val="24"/>
          <w:lang w:val="en-US" w:eastAsia="zh-CN"/>
          <w14:textFill>
            <w14:solidFill>
              <w14:schemeClr w14:val="tx1"/>
            </w14:solidFill>
          </w14:textFill>
        </w:rPr>
        <w:t>2.</w:t>
      </w:r>
      <w:r>
        <w:rPr>
          <w:rFonts w:hint="eastAsia" w:ascii="Times New Roman" w:hAnsi="Times New Roman" w:eastAsia="宋体" w:cs="Times New Roman"/>
          <w:b/>
          <w:bCs/>
          <w:color w:val="000000" w:themeColor="text1"/>
          <w:kern w:val="0"/>
          <w:sz w:val="24"/>
          <w:lang w:val="en-US" w:eastAsia="zh-CN"/>
          <w14:textFill>
            <w14:solidFill>
              <w14:schemeClr w14:val="tx1"/>
            </w14:solidFill>
          </w14:textFill>
        </w:rPr>
        <w:t>3建设项目线路工频电场强度、工频磁感应强度预测</w:t>
      </w:r>
      <w:bookmarkEnd w:id="90"/>
    </w:p>
    <w:p w14:paraId="6248B01D">
      <w:pPr>
        <w:keepNext w:val="0"/>
        <w:keepLines w:val="0"/>
        <w:pageBreakBefore w:val="0"/>
        <w:widowControl w:val="0"/>
        <w:kinsoku/>
        <w:wordWrap/>
        <w:overflowPunct/>
        <w:topLinePunct w:val="0"/>
        <w:autoSpaceDE w:val="0"/>
        <w:autoSpaceDN w:val="0"/>
        <w:bidi w:val="0"/>
        <w:adjustRightInd w:val="0"/>
        <w:spacing w:line="500" w:lineRule="exact"/>
        <w:ind w:firstLine="480"/>
        <w:textAlignment w:val="auto"/>
        <w:rPr>
          <w:rFonts w:hint="default" w:ascii="Times New Roman" w:hAnsi="Times New Roman" w:cs="Times New Roman"/>
          <w:b w:val="0"/>
          <w:bCs w:val="0"/>
          <w:color w:val="000000" w:themeColor="text1"/>
          <w:sz w:val="24"/>
          <w:lang w:val="zh-CN" w:eastAsia="zh-CN"/>
          <w14:textFill>
            <w14:solidFill>
              <w14:schemeClr w14:val="tx1"/>
            </w14:solidFill>
          </w14:textFill>
        </w:rPr>
      </w:pPr>
      <w:r>
        <w:rPr>
          <w:rFonts w:hint="default" w:ascii="Times New Roman" w:hAnsi="Times New Roman" w:eastAsia="宋体" w:cs="Times New Roman"/>
          <w:b w:val="0"/>
          <w:bCs w:val="0"/>
          <w:color w:val="000000" w:themeColor="text1"/>
          <w:sz w:val="24"/>
          <w:lang w:val="zh-CN" w:eastAsia="zh-CN"/>
          <w14:textFill>
            <w14:solidFill>
              <w14:schemeClr w14:val="tx1"/>
            </w14:solidFill>
          </w14:textFill>
        </w:rPr>
        <w:t>根据《110kV～750kV架空输电线路设计规范》（GB</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lang w:val="zh-CN" w:eastAsia="zh-CN"/>
          <w14:textFill>
            <w14:solidFill>
              <w14:schemeClr w14:val="tx1"/>
            </w14:solidFill>
          </w14:textFill>
        </w:rPr>
        <w:t>50545-2010）中220kV架空线路要求导线对地面最小距离居民区（7.5m）和非居民区（6.5m）</w:t>
      </w:r>
      <w:r>
        <w:rPr>
          <w:rFonts w:hint="default" w:ascii="Times New Roman" w:hAnsi="Times New Roman" w:cs="Times New Roman"/>
          <w:b w:val="0"/>
          <w:bCs w:val="0"/>
          <w:color w:val="000000" w:themeColor="text1"/>
          <w:sz w:val="24"/>
          <w:lang w:val="zh-CN" w:eastAsia="zh-CN"/>
          <w14:textFill>
            <w14:solidFill>
              <w14:schemeClr w14:val="tx1"/>
            </w14:solidFill>
          </w14:textFill>
        </w:rPr>
        <w:t>。</w:t>
      </w:r>
    </w:p>
    <w:p w14:paraId="00E4F521">
      <w:pPr>
        <w:keepNext w:val="0"/>
        <w:keepLines w:val="0"/>
        <w:pageBreakBefore w:val="0"/>
        <w:widowControl w:val="0"/>
        <w:kinsoku/>
        <w:wordWrap/>
        <w:overflowPunct/>
        <w:topLinePunct w:val="0"/>
        <w:autoSpaceDE w:val="0"/>
        <w:autoSpaceDN w:val="0"/>
        <w:bidi w:val="0"/>
        <w:adjustRightInd w:val="0"/>
        <w:spacing w:line="500" w:lineRule="exact"/>
        <w:ind w:firstLine="480"/>
        <w:textAlignment w:val="auto"/>
        <w:rPr>
          <w:rFonts w:hint="default" w:ascii="Times New Roman" w:hAnsi="Times New Roman" w:eastAsia="宋体" w:cs="Times New Roman"/>
          <w:b w:val="0"/>
          <w:bCs w:val="0"/>
          <w:color w:val="000000" w:themeColor="text1"/>
          <w:sz w:val="24"/>
          <w:lang w:val="zh-CN" w:eastAsia="zh-CN"/>
          <w14:textFill>
            <w14:solidFill>
              <w14:schemeClr w14:val="tx1"/>
            </w14:solidFill>
          </w14:textFill>
        </w:rPr>
      </w:pPr>
      <w:r>
        <w:rPr>
          <w:rFonts w:hint="default" w:ascii="Times New Roman" w:hAnsi="Times New Roman" w:eastAsia="宋体" w:cs="Times New Roman"/>
          <w:b w:val="0"/>
          <w:bCs w:val="0"/>
          <w:color w:val="000000" w:themeColor="text1"/>
          <w:sz w:val="24"/>
          <w:lang w:val="zh-CN" w:eastAsia="zh-CN"/>
          <w14:textFill>
            <w14:solidFill>
              <w14:schemeClr w14:val="tx1"/>
            </w14:solidFill>
          </w14:textFill>
        </w:rPr>
        <w:t>本次预测</w:t>
      </w:r>
      <w:r>
        <w:rPr>
          <w:rFonts w:hint="default" w:ascii="Times New Roman" w:hAnsi="Times New Roman" w:eastAsia="宋体" w:cs="Times New Roman"/>
          <w:color w:val="000000" w:themeColor="text1"/>
          <w:sz w:val="24"/>
          <w:lang w:val="zh-CN" w:eastAsia="zh-CN"/>
          <w14:textFill>
            <w14:solidFill>
              <w14:schemeClr w14:val="tx1"/>
            </w14:solidFill>
          </w14:textFill>
        </w:rPr>
        <w:t>220-KD21D-J4</w:t>
      </w:r>
      <w:r>
        <w:rPr>
          <w:rFonts w:hint="default" w:ascii="Times New Roman" w:hAnsi="Times New Roman" w:cs="Times New Roman"/>
          <w:color w:val="000000" w:themeColor="text1"/>
          <w:sz w:val="24"/>
          <w:lang w:val="en-US" w:eastAsia="zh-CN"/>
          <w14:textFill>
            <w14:solidFill>
              <w14:schemeClr w14:val="tx1"/>
            </w14:solidFill>
          </w14:textFill>
        </w:rPr>
        <w:t>塔型</w:t>
      </w:r>
      <w:r>
        <w:rPr>
          <w:rFonts w:hint="default" w:ascii="Times New Roman" w:hAnsi="Times New Roman" w:eastAsia="宋体" w:cs="Times New Roman"/>
          <w:b w:val="0"/>
          <w:bCs w:val="0"/>
          <w:color w:val="000000" w:themeColor="text1"/>
          <w:sz w:val="24"/>
          <w:lang w:val="zh-CN" w:eastAsia="zh-CN"/>
          <w14:textFill>
            <w14:solidFill>
              <w14:schemeClr w14:val="tx1"/>
            </w14:solidFill>
          </w14:textFill>
        </w:rPr>
        <w:t>导线对地高度为6.5m、7.5m</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和</w:t>
      </w:r>
      <w:r>
        <w:rPr>
          <w:rFonts w:hint="default" w:ascii="Times New Roman" w:hAnsi="Times New Roman" w:cs="Times New Roman"/>
          <w:b w:val="0"/>
          <w:bCs w:val="0"/>
          <w:color w:val="000000" w:themeColor="text1"/>
          <w:sz w:val="24"/>
          <w:lang w:val="en-US" w:eastAsia="zh-CN"/>
          <w14:textFill>
            <w14:solidFill>
              <w14:schemeClr w14:val="tx1"/>
            </w14:solidFill>
          </w14:textFill>
        </w:rPr>
        <w:t>10.9</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m（本次评价建议高度）</w:t>
      </w:r>
      <w:r>
        <w:rPr>
          <w:rFonts w:hint="default" w:ascii="Times New Roman" w:hAnsi="Times New Roman" w:eastAsia="宋体" w:cs="Times New Roman"/>
          <w:b w:val="0"/>
          <w:bCs w:val="0"/>
          <w:color w:val="000000" w:themeColor="text1"/>
          <w:sz w:val="24"/>
          <w:lang w:val="zh-CN" w:eastAsia="zh-CN"/>
          <w14:textFill>
            <w14:solidFill>
              <w14:schemeClr w14:val="tx1"/>
            </w14:solidFill>
          </w14:textFill>
        </w:rPr>
        <w:t>，220-KD21D-ZB2导线对地高度为6.5m、7.5m</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和</w:t>
      </w:r>
      <w:r>
        <w:rPr>
          <w:rFonts w:hint="default" w:ascii="Times New Roman" w:hAnsi="Times New Roman" w:cs="Times New Roman"/>
          <w:b w:val="0"/>
          <w:bCs w:val="0"/>
          <w:color w:val="000000" w:themeColor="text1"/>
          <w:sz w:val="24"/>
          <w:lang w:val="en-US" w:eastAsia="zh-CN"/>
          <w14:textFill>
            <w14:solidFill>
              <w14:schemeClr w14:val="tx1"/>
            </w14:solidFill>
          </w14:textFill>
        </w:rPr>
        <w:t>11.2</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m（本次评价建议高度）</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val="zh-CN" w:eastAsia="zh-CN"/>
          <w14:textFill>
            <w14:solidFill>
              <w14:schemeClr w14:val="tx1"/>
            </w14:solidFill>
          </w14:textFill>
        </w:rPr>
        <w:t>地面上1.5m高度处的工频电场强度和工频磁感应强度。</w:t>
      </w:r>
    </w:p>
    <w:p w14:paraId="50AA3744">
      <w:pPr>
        <w:keepNext w:val="0"/>
        <w:keepLines w:val="0"/>
        <w:pageBreakBefore w:val="0"/>
        <w:widowControl w:val="0"/>
        <w:kinsoku/>
        <w:wordWrap/>
        <w:overflowPunct/>
        <w:topLinePunct w:val="0"/>
        <w:autoSpaceDE w:val="0"/>
        <w:autoSpaceDN w:val="0"/>
        <w:bidi w:val="0"/>
        <w:adjustRightInd w:val="0"/>
        <w:spacing w:line="500" w:lineRule="exact"/>
        <w:ind w:firstLine="48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本项目</w:t>
      </w:r>
      <w:r>
        <w:rPr>
          <w:rFonts w:hint="default" w:ascii="Times New Roman" w:hAnsi="Times New Roman" w:eastAsia="宋体" w:cs="Times New Roman"/>
          <w:color w:val="000000" w:themeColor="text1"/>
          <w:sz w:val="24"/>
          <w:lang w:val="zh-CN" w:eastAsia="zh-CN"/>
          <w14:textFill>
            <w14:solidFill>
              <w14:schemeClr w14:val="tx1"/>
            </w14:solidFill>
          </w14:textFill>
        </w:rPr>
        <w:t>220-KD21D-J4</w:t>
      </w:r>
      <w:r>
        <w:rPr>
          <w:rFonts w:hint="eastAsia" w:ascii="Times New Roman" w:hAnsi="Times New Roman" w:cs="Times New Roman"/>
          <w:color w:val="000000" w:themeColor="text1"/>
          <w:sz w:val="24"/>
          <w:lang w:val="en-US" w:eastAsia="zh-CN"/>
          <w14:textFill>
            <w14:solidFill>
              <w14:schemeClr w14:val="tx1"/>
            </w14:solidFill>
          </w14:textFill>
        </w:rPr>
        <w:t>线路</w:t>
      </w:r>
      <w:r>
        <w:rPr>
          <w:rFonts w:hint="default" w:ascii="Times New Roman" w:hAnsi="Times New Roman" w:cs="Times New Roman"/>
          <w:color w:val="000000" w:themeColor="text1"/>
          <w:sz w:val="24"/>
          <w14:textFill>
            <w14:solidFill>
              <w14:schemeClr w14:val="tx1"/>
            </w14:solidFill>
          </w14:textFill>
        </w:rPr>
        <w:t>计算结果</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详见</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表</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p>
    <w:p w14:paraId="71E5208C">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黑体" w:cs="Times New Roman"/>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color w:val="000000" w:themeColor="text1"/>
          <w:sz w:val="21"/>
          <w:szCs w:val="21"/>
          <w:lang w:val="en-US" w:eastAsia="zh-CN"/>
          <w14:textFill>
            <w14:solidFill>
              <w14:schemeClr w14:val="tx1"/>
            </w14:solidFill>
          </w14:textFill>
        </w:rPr>
        <w:t xml:space="preserve">表8  </w:t>
      </w:r>
      <w:r>
        <w:rPr>
          <w:rFonts w:hint="eastAsia" w:eastAsia="黑体" w:cs="Times New Roman"/>
          <w:color w:val="000000" w:themeColor="text1"/>
          <w:sz w:val="21"/>
          <w:szCs w:val="21"/>
          <w:lang w:val="en-US" w:eastAsia="zh-CN"/>
          <w14:textFill>
            <w14:solidFill>
              <w14:schemeClr w14:val="tx1"/>
            </w14:solidFill>
          </w14:textFill>
        </w:rPr>
        <w:t xml:space="preserve">  </w:t>
      </w:r>
      <w:r>
        <w:rPr>
          <w:rFonts w:hint="eastAsia" w:ascii="Times New Roman" w:hAnsi="Times New Roman" w:eastAsia="黑体" w:cs="Times New Roman"/>
          <w:color w:val="000000" w:themeColor="text1"/>
          <w:sz w:val="21"/>
          <w:szCs w:val="21"/>
          <w:lang w:val="en-US" w:eastAsia="zh-CN"/>
          <w14:textFill>
            <w14:solidFill>
              <w14:schemeClr w14:val="tx1"/>
            </w14:solidFill>
          </w14:textFill>
        </w:rPr>
        <w:t>本项目220kV单回路线路电磁环境预测值</w:t>
      </w:r>
      <w:r>
        <w:rPr>
          <w:rFonts w:hint="eastAsia" w:eastAsia="黑体" w:cs="Times New Roman"/>
          <w:color w:val="000000" w:themeColor="text1"/>
          <w:sz w:val="21"/>
          <w:szCs w:val="21"/>
          <w:lang w:val="en-US" w:eastAsia="zh-CN"/>
          <w14:textFill>
            <w14:solidFill>
              <w14:schemeClr w14:val="tx1"/>
            </w14:solidFill>
          </w14:textFill>
        </w:rPr>
        <w:t>（220-KD21D-J4）</w:t>
      </w:r>
    </w:p>
    <w:tbl>
      <w:tblPr>
        <w:tblStyle w:val="27"/>
        <w:tblW w:w="4762"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553"/>
        <w:gridCol w:w="1126"/>
        <w:gridCol w:w="1252"/>
        <w:gridCol w:w="1082"/>
        <w:gridCol w:w="1085"/>
        <w:gridCol w:w="1095"/>
        <w:gridCol w:w="1230"/>
      </w:tblGrid>
      <w:tr w14:paraId="57C905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vMerge w:val="restart"/>
            <w:tcBorders>
              <w:tl2br w:val="nil"/>
              <w:tr2bl w:val="nil"/>
            </w:tcBorders>
            <w:noWrap w:val="0"/>
            <w:vAlign w:val="center"/>
          </w:tcPr>
          <w:p w14:paraId="01C31609">
            <w:pPr>
              <w:widowControl/>
              <w:spacing w:line="0" w:lineRule="atLeast"/>
              <w:jc w:val="cente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距线路走廊中心距离</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kern w:val="0"/>
                <w:sz w:val="21"/>
                <w:szCs w:val="21"/>
                <w14:textFill>
                  <w14:solidFill>
                    <w14:schemeClr w14:val="tx1"/>
                  </w14:solidFill>
                </w14:textFill>
              </w:rPr>
              <w:t>m</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p>
        </w:tc>
        <w:tc>
          <w:tcPr>
            <w:tcW w:w="2053" w:type="pct"/>
            <w:gridSpan w:val="3"/>
            <w:tcBorders>
              <w:tl2br w:val="nil"/>
              <w:tr2bl w:val="nil"/>
            </w:tcBorders>
            <w:noWrap w:val="0"/>
            <w:vAlign w:val="center"/>
          </w:tcPr>
          <w:p w14:paraId="7ADECF3F">
            <w:pPr>
              <w:widowControl/>
              <w:spacing w:line="0" w:lineRule="atLeast"/>
              <w:jc w:val="cente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工频电场强度：E</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kern w:val="0"/>
                <w:sz w:val="21"/>
                <w:szCs w:val="21"/>
                <w14:textFill>
                  <w14:solidFill>
                    <w14:schemeClr w14:val="tx1"/>
                  </w14:solidFill>
                </w14:textFill>
              </w:rPr>
              <w:t>kV/m</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p>
        </w:tc>
        <w:tc>
          <w:tcPr>
            <w:tcW w:w="2024" w:type="pct"/>
            <w:gridSpan w:val="3"/>
            <w:tcBorders>
              <w:tl2br w:val="nil"/>
              <w:tr2bl w:val="nil"/>
            </w:tcBorders>
            <w:noWrap w:val="0"/>
            <w:vAlign w:val="center"/>
          </w:tcPr>
          <w:p w14:paraId="69F709A1">
            <w:pPr>
              <w:widowControl/>
              <w:spacing w:line="0" w:lineRule="atLeast"/>
              <w:jc w:val="cente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工频磁感应强度：B</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kern w:val="0"/>
                <w:sz w:val="21"/>
                <w:szCs w:val="21"/>
                <w14:textFill>
                  <w14:solidFill>
                    <w14:schemeClr w14:val="tx1"/>
                  </w14:solidFill>
                </w14:textFill>
              </w:rPr>
              <w:t>μT</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p>
        </w:tc>
      </w:tr>
      <w:tr w14:paraId="2788D3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vMerge w:val="continue"/>
            <w:tcBorders>
              <w:tl2br w:val="nil"/>
              <w:tr2bl w:val="nil"/>
            </w:tcBorders>
            <w:noWrap w:val="0"/>
            <w:vAlign w:val="center"/>
          </w:tcPr>
          <w:p w14:paraId="14C63A3F">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p>
        </w:tc>
        <w:tc>
          <w:tcPr>
            <w:tcW w:w="668" w:type="pct"/>
            <w:tcBorders>
              <w:tl2br w:val="nil"/>
              <w:tr2bl w:val="nil"/>
            </w:tcBorders>
            <w:noWrap w:val="0"/>
            <w:vAlign w:val="center"/>
          </w:tcPr>
          <w:p w14:paraId="4A80AC54">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6</w:t>
            </w:r>
            <w:r>
              <w:rPr>
                <w:rFonts w:hint="default" w:ascii="Times New Roman" w:hAnsi="Times New Roman" w:cs="Times New Roman" w:eastAsiaTheme="minorEastAsia"/>
                <w:color w:val="000000" w:themeColor="text1"/>
                <w:kern w:val="0"/>
                <w:sz w:val="21"/>
                <w:szCs w:val="21"/>
                <w14:textFill>
                  <w14:solidFill>
                    <w14:schemeClr w14:val="tx1"/>
                  </w14:solidFill>
                </w14:textFill>
              </w:rPr>
              <w:t>.5m</w:t>
            </w:r>
          </w:p>
        </w:tc>
        <w:tc>
          <w:tcPr>
            <w:tcW w:w="743" w:type="pct"/>
            <w:tcBorders>
              <w:tl2br w:val="nil"/>
              <w:tr2bl w:val="nil"/>
            </w:tcBorders>
            <w:noWrap w:val="0"/>
            <w:vAlign w:val="center"/>
          </w:tcPr>
          <w:p w14:paraId="3C9AD628">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w:t>
            </w: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地7</w:t>
            </w:r>
            <w:r>
              <w:rPr>
                <w:rFonts w:hint="default" w:ascii="Times New Roman" w:hAnsi="Times New Roman" w:cs="Times New Roman" w:eastAsiaTheme="minorEastAsia"/>
                <w:color w:val="000000" w:themeColor="text1"/>
                <w:kern w:val="0"/>
                <w:sz w:val="21"/>
                <w:szCs w:val="21"/>
                <w14:textFill>
                  <w14:solidFill>
                    <w14:schemeClr w14:val="tx1"/>
                  </w14:solidFill>
                </w14:textFill>
              </w:rPr>
              <w:t>.5m</w:t>
            </w:r>
          </w:p>
        </w:tc>
        <w:tc>
          <w:tcPr>
            <w:tcW w:w="641" w:type="pct"/>
            <w:tcBorders>
              <w:tl2br w:val="nil"/>
              <w:tr2bl w:val="nil"/>
            </w:tcBorders>
            <w:noWrap w:val="0"/>
            <w:vAlign w:val="center"/>
          </w:tcPr>
          <w:p w14:paraId="753670F5">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eastAsia" w:cs="Times New Roman" w:eastAsiaTheme="minorEastAsia"/>
                <w:color w:val="000000" w:themeColor="text1"/>
                <w:kern w:val="0"/>
                <w:sz w:val="21"/>
                <w:szCs w:val="21"/>
                <w:lang w:val="en-US" w:eastAsia="zh-CN"/>
                <w14:textFill>
                  <w14:solidFill>
                    <w14:schemeClr w14:val="tx1"/>
                  </w14:solidFill>
                </w14:textFill>
              </w:rPr>
              <w:t>10.9</w:t>
            </w:r>
            <w:r>
              <w:rPr>
                <w:rFonts w:hint="default" w:ascii="Times New Roman" w:hAnsi="Times New Roman" w:cs="Times New Roman" w:eastAsiaTheme="minorEastAsia"/>
                <w:color w:val="000000" w:themeColor="text1"/>
                <w:kern w:val="0"/>
                <w:sz w:val="21"/>
                <w:szCs w:val="21"/>
                <w14:textFill>
                  <w14:solidFill>
                    <w14:schemeClr w14:val="tx1"/>
                  </w14:solidFill>
                </w14:textFill>
              </w:rPr>
              <w:t>m</w:t>
            </w:r>
          </w:p>
        </w:tc>
        <w:tc>
          <w:tcPr>
            <w:tcW w:w="644" w:type="pct"/>
            <w:tcBorders>
              <w:tl2br w:val="nil"/>
              <w:tr2bl w:val="nil"/>
            </w:tcBorders>
            <w:noWrap w:val="0"/>
            <w:vAlign w:val="center"/>
          </w:tcPr>
          <w:p w14:paraId="2B44473A">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6</w:t>
            </w:r>
            <w:r>
              <w:rPr>
                <w:rFonts w:hint="default" w:ascii="Times New Roman" w:hAnsi="Times New Roman" w:cs="Times New Roman" w:eastAsiaTheme="minorEastAsia"/>
                <w:color w:val="000000" w:themeColor="text1"/>
                <w:kern w:val="0"/>
                <w:sz w:val="21"/>
                <w:szCs w:val="21"/>
                <w14:textFill>
                  <w14:solidFill>
                    <w14:schemeClr w14:val="tx1"/>
                  </w14:solidFill>
                </w14:textFill>
              </w:rPr>
              <w:t>.5m</w:t>
            </w:r>
          </w:p>
        </w:tc>
        <w:tc>
          <w:tcPr>
            <w:tcW w:w="650" w:type="pct"/>
            <w:tcBorders>
              <w:tl2br w:val="nil"/>
              <w:tr2bl w:val="nil"/>
            </w:tcBorders>
            <w:noWrap w:val="0"/>
            <w:vAlign w:val="center"/>
          </w:tcPr>
          <w:p w14:paraId="1F0A965A">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7</w:t>
            </w:r>
            <w:r>
              <w:rPr>
                <w:rFonts w:hint="default" w:ascii="Times New Roman" w:hAnsi="Times New Roman" w:cs="Times New Roman" w:eastAsiaTheme="minorEastAsia"/>
                <w:color w:val="000000" w:themeColor="text1"/>
                <w:kern w:val="0"/>
                <w:sz w:val="21"/>
                <w:szCs w:val="21"/>
                <w14:textFill>
                  <w14:solidFill>
                    <w14:schemeClr w14:val="tx1"/>
                  </w14:solidFill>
                </w14:textFill>
              </w:rPr>
              <w:t>.5m</w:t>
            </w:r>
          </w:p>
        </w:tc>
        <w:tc>
          <w:tcPr>
            <w:tcW w:w="730" w:type="pct"/>
            <w:tcBorders>
              <w:tl2br w:val="nil"/>
              <w:tr2bl w:val="nil"/>
            </w:tcBorders>
            <w:noWrap w:val="0"/>
            <w:vAlign w:val="center"/>
          </w:tcPr>
          <w:p w14:paraId="0A8AD6C5">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eastAsia" w:cs="Times New Roman" w:eastAsiaTheme="minorEastAsia"/>
                <w:color w:val="000000" w:themeColor="text1"/>
                <w:kern w:val="0"/>
                <w:sz w:val="21"/>
                <w:szCs w:val="21"/>
                <w:lang w:val="en-US" w:eastAsia="zh-CN"/>
                <w14:textFill>
                  <w14:solidFill>
                    <w14:schemeClr w14:val="tx1"/>
                  </w14:solidFill>
                </w14:textFill>
              </w:rPr>
              <w:t>10.9</w:t>
            </w:r>
            <w:r>
              <w:rPr>
                <w:rFonts w:hint="default" w:ascii="Times New Roman" w:hAnsi="Times New Roman" w:cs="Times New Roman" w:eastAsiaTheme="minorEastAsia"/>
                <w:color w:val="000000" w:themeColor="text1"/>
                <w:kern w:val="0"/>
                <w:sz w:val="21"/>
                <w:szCs w:val="21"/>
                <w14:textFill>
                  <w14:solidFill>
                    <w14:schemeClr w14:val="tx1"/>
                  </w14:solidFill>
                </w14:textFill>
              </w:rPr>
              <w:t>m</w:t>
            </w:r>
          </w:p>
        </w:tc>
      </w:tr>
      <w:tr w14:paraId="11758F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noWrap w:val="0"/>
            <w:vAlign w:val="center"/>
          </w:tcPr>
          <w:p w14:paraId="61265D0A">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eastAsia" w:cs="Times New Roman" w:eastAsiaTheme="minorEastAsia"/>
                <w:color w:val="000000" w:themeColor="text1"/>
                <w:kern w:val="0"/>
                <w:sz w:val="21"/>
                <w:szCs w:val="21"/>
                <w:lang w:val="en-US" w:eastAsia="zh-CN"/>
                <w14:textFill>
                  <w14:solidFill>
                    <w14:schemeClr w14:val="tx1"/>
                  </w14:solidFill>
                </w14:textFill>
              </w:rPr>
              <w:t>-48.0000</w:t>
            </w:r>
          </w:p>
        </w:tc>
        <w:tc>
          <w:tcPr>
            <w:tcW w:w="668" w:type="pct"/>
            <w:tcBorders>
              <w:tl2br w:val="nil"/>
              <w:tr2bl w:val="nil"/>
            </w:tcBorders>
            <w:shd w:val="clear" w:color="auto" w:fill="auto"/>
            <w:noWrap w:val="0"/>
            <w:vAlign w:val="center"/>
          </w:tcPr>
          <w:p w14:paraId="53D9CF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0.1447</w:t>
            </w:r>
          </w:p>
        </w:tc>
        <w:tc>
          <w:tcPr>
            <w:tcW w:w="743" w:type="pct"/>
            <w:tcBorders>
              <w:tl2br w:val="nil"/>
              <w:tr2bl w:val="nil"/>
            </w:tcBorders>
            <w:shd w:val="clear" w:color="auto" w:fill="auto"/>
            <w:noWrap w:val="0"/>
            <w:vAlign w:val="center"/>
          </w:tcPr>
          <w:p w14:paraId="202B47F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0.1492</w:t>
            </w:r>
          </w:p>
        </w:tc>
        <w:tc>
          <w:tcPr>
            <w:tcW w:w="641" w:type="pct"/>
            <w:tcBorders>
              <w:tl2br w:val="nil"/>
              <w:tr2bl w:val="nil"/>
            </w:tcBorders>
            <w:shd w:val="clear" w:color="auto" w:fill="auto"/>
            <w:noWrap w:val="0"/>
            <w:vAlign w:val="bottom"/>
          </w:tcPr>
          <w:p w14:paraId="7327A8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0.1690</w:t>
            </w:r>
          </w:p>
        </w:tc>
        <w:tc>
          <w:tcPr>
            <w:tcW w:w="644" w:type="pct"/>
            <w:tcBorders>
              <w:tl2br w:val="nil"/>
              <w:tr2bl w:val="nil"/>
            </w:tcBorders>
            <w:shd w:val="clear" w:color="auto" w:fill="auto"/>
            <w:noWrap w:val="0"/>
            <w:vAlign w:val="center"/>
          </w:tcPr>
          <w:p w14:paraId="071C95D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2.1683</w:t>
            </w:r>
          </w:p>
        </w:tc>
        <w:tc>
          <w:tcPr>
            <w:tcW w:w="650" w:type="pct"/>
            <w:tcBorders>
              <w:tl2br w:val="nil"/>
              <w:tr2bl w:val="nil"/>
            </w:tcBorders>
            <w:shd w:val="clear" w:color="auto" w:fill="auto"/>
            <w:noWrap w:val="0"/>
            <w:vAlign w:val="center"/>
          </w:tcPr>
          <w:p w14:paraId="46B12F7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2.1548</w:t>
            </w:r>
          </w:p>
        </w:tc>
        <w:tc>
          <w:tcPr>
            <w:tcW w:w="730" w:type="pct"/>
            <w:tcBorders>
              <w:tl2br w:val="nil"/>
              <w:tr2bl w:val="nil"/>
            </w:tcBorders>
            <w:shd w:val="clear" w:color="auto" w:fill="auto"/>
            <w:noWrap w:val="0"/>
            <w:vAlign w:val="bottom"/>
          </w:tcPr>
          <w:p w14:paraId="031A16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2.0963</w:t>
            </w:r>
          </w:p>
        </w:tc>
      </w:tr>
      <w:tr w14:paraId="0DFF7F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22" w:type="pct"/>
            <w:tcBorders>
              <w:tl2br w:val="nil"/>
              <w:tr2bl w:val="nil"/>
            </w:tcBorders>
            <w:shd w:val="clear" w:color="auto" w:fill="auto"/>
            <w:noWrap w:val="0"/>
            <w:vAlign w:val="center"/>
          </w:tcPr>
          <w:p w14:paraId="6A544A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-47.0000</w:t>
            </w:r>
          </w:p>
        </w:tc>
        <w:tc>
          <w:tcPr>
            <w:tcW w:w="668" w:type="pct"/>
            <w:tcBorders>
              <w:tl2br w:val="nil"/>
              <w:tr2bl w:val="nil"/>
            </w:tcBorders>
            <w:shd w:val="clear" w:color="auto" w:fill="auto"/>
            <w:noWrap w:val="0"/>
            <w:vAlign w:val="center"/>
          </w:tcPr>
          <w:p w14:paraId="2E7321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0.1515</w:t>
            </w:r>
          </w:p>
        </w:tc>
        <w:tc>
          <w:tcPr>
            <w:tcW w:w="743" w:type="pct"/>
            <w:tcBorders>
              <w:tl2br w:val="nil"/>
              <w:tr2bl w:val="nil"/>
            </w:tcBorders>
            <w:shd w:val="clear" w:color="auto" w:fill="auto"/>
            <w:noWrap w:val="0"/>
            <w:vAlign w:val="center"/>
          </w:tcPr>
          <w:p w14:paraId="15D0C61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0.1565</w:t>
            </w:r>
          </w:p>
        </w:tc>
        <w:tc>
          <w:tcPr>
            <w:tcW w:w="641" w:type="pct"/>
            <w:tcBorders>
              <w:tl2br w:val="nil"/>
              <w:tr2bl w:val="nil"/>
            </w:tcBorders>
            <w:shd w:val="clear" w:color="auto" w:fill="auto"/>
            <w:noWrap w:val="0"/>
            <w:vAlign w:val="bottom"/>
          </w:tcPr>
          <w:p w14:paraId="7C11C43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0.1779</w:t>
            </w:r>
          </w:p>
        </w:tc>
        <w:tc>
          <w:tcPr>
            <w:tcW w:w="644" w:type="pct"/>
            <w:tcBorders>
              <w:tl2br w:val="nil"/>
              <w:tr2bl w:val="nil"/>
            </w:tcBorders>
            <w:shd w:val="clear" w:color="auto" w:fill="auto"/>
            <w:noWrap w:val="0"/>
            <w:vAlign w:val="center"/>
          </w:tcPr>
          <w:p w14:paraId="02D88F3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2.2634</w:t>
            </w:r>
          </w:p>
        </w:tc>
        <w:tc>
          <w:tcPr>
            <w:tcW w:w="650" w:type="pct"/>
            <w:tcBorders>
              <w:tl2br w:val="nil"/>
              <w:tr2bl w:val="nil"/>
            </w:tcBorders>
            <w:shd w:val="clear" w:color="auto" w:fill="auto"/>
            <w:noWrap w:val="0"/>
            <w:vAlign w:val="center"/>
          </w:tcPr>
          <w:p w14:paraId="049051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2.2488</w:t>
            </w:r>
          </w:p>
        </w:tc>
        <w:tc>
          <w:tcPr>
            <w:tcW w:w="730" w:type="pct"/>
            <w:tcBorders>
              <w:tl2br w:val="nil"/>
              <w:tr2bl w:val="nil"/>
            </w:tcBorders>
            <w:shd w:val="clear" w:color="auto" w:fill="auto"/>
            <w:noWrap w:val="0"/>
            <w:vAlign w:val="bottom"/>
          </w:tcPr>
          <w:p w14:paraId="4E1683B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2.1851</w:t>
            </w:r>
          </w:p>
        </w:tc>
      </w:tr>
      <w:tr w14:paraId="0E9941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14CCA34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-46.0000</w:t>
            </w:r>
          </w:p>
        </w:tc>
        <w:tc>
          <w:tcPr>
            <w:tcW w:w="668" w:type="pct"/>
            <w:tcBorders>
              <w:tl2br w:val="nil"/>
              <w:tr2bl w:val="nil"/>
            </w:tcBorders>
            <w:shd w:val="clear" w:color="auto" w:fill="auto"/>
            <w:noWrap w:val="0"/>
            <w:vAlign w:val="center"/>
          </w:tcPr>
          <w:p w14:paraId="1027DA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0.1589</w:t>
            </w:r>
          </w:p>
        </w:tc>
        <w:tc>
          <w:tcPr>
            <w:tcW w:w="743" w:type="pct"/>
            <w:tcBorders>
              <w:tl2br w:val="nil"/>
              <w:tr2bl w:val="nil"/>
            </w:tcBorders>
            <w:shd w:val="clear" w:color="auto" w:fill="auto"/>
            <w:noWrap w:val="0"/>
            <w:vAlign w:val="center"/>
          </w:tcPr>
          <w:p w14:paraId="6A8DB89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0.1644</w:t>
            </w:r>
          </w:p>
        </w:tc>
        <w:tc>
          <w:tcPr>
            <w:tcW w:w="641" w:type="pct"/>
            <w:tcBorders>
              <w:tl2br w:val="nil"/>
              <w:tr2bl w:val="nil"/>
            </w:tcBorders>
            <w:shd w:val="clear" w:color="auto" w:fill="auto"/>
            <w:noWrap w:val="0"/>
            <w:vAlign w:val="bottom"/>
          </w:tcPr>
          <w:p w14:paraId="0EEDA06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0.1877</w:t>
            </w:r>
          </w:p>
        </w:tc>
        <w:tc>
          <w:tcPr>
            <w:tcW w:w="644" w:type="pct"/>
            <w:tcBorders>
              <w:tl2br w:val="nil"/>
              <w:tr2bl w:val="nil"/>
            </w:tcBorders>
            <w:shd w:val="clear" w:color="auto" w:fill="auto"/>
            <w:noWrap w:val="0"/>
            <w:vAlign w:val="center"/>
          </w:tcPr>
          <w:p w14:paraId="3845D70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2.3649</w:t>
            </w:r>
          </w:p>
        </w:tc>
        <w:tc>
          <w:tcPr>
            <w:tcW w:w="650" w:type="pct"/>
            <w:tcBorders>
              <w:tl2br w:val="nil"/>
              <w:tr2bl w:val="nil"/>
            </w:tcBorders>
            <w:shd w:val="clear" w:color="auto" w:fill="auto"/>
            <w:noWrap w:val="0"/>
            <w:vAlign w:val="center"/>
          </w:tcPr>
          <w:p w14:paraId="4F65557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2.3489</w:t>
            </w:r>
          </w:p>
        </w:tc>
        <w:tc>
          <w:tcPr>
            <w:tcW w:w="730" w:type="pct"/>
            <w:tcBorders>
              <w:tl2br w:val="nil"/>
              <w:tr2bl w:val="nil"/>
            </w:tcBorders>
            <w:shd w:val="clear" w:color="auto" w:fill="auto"/>
            <w:noWrap w:val="0"/>
            <w:vAlign w:val="bottom"/>
          </w:tcPr>
          <w:p w14:paraId="3360285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2.2795</w:t>
            </w:r>
          </w:p>
        </w:tc>
      </w:tr>
      <w:tr w14:paraId="39B9A4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3001258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-45.0000</w:t>
            </w:r>
          </w:p>
        </w:tc>
        <w:tc>
          <w:tcPr>
            <w:tcW w:w="668" w:type="pct"/>
            <w:tcBorders>
              <w:tl2br w:val="nil"/>
              <w:tr2bl w:val="nil"/>
            </w:tcBorders>
            <w:shd w:val="clear" w:color="auto" w:fill="auto"/>
            <w:noWrap w:val="0"/>
            <w:vAlign w:val="center"/>
          </w:tcPr>
          <w:p w14:paraId="03459F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0.1669</w:t>
            </w:r>
          </w:p>
        </w:tc>
        <w:tc>
          <w:tcPr>
            <w:tcW w:w="743" w:type="pct"/>
            <w:tcBorders>
              <w:tl2br w:val="nil"/>
              <w:tr2bl w:val="nil"/>
            </w:tcBorders>
            <w:shd w:val="clear" w:color="auto" w:fill="auto"/>
            <w:noWrap w:val="0"/>
            <w:vAlign w:val="center"/>
          </w:tcPr>
          <w:p w14:paraId="6AFDA84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0.1729</w:t>
            </w:r>
          </w:p>
        </w:tc>
        <w:tc>
          <w:tcPr>
            <w:tcW w:w="641" w:type="pct"/>
            <w:tcBorders>
              <w:tl2br w:val="nil"/>
              <w:tr2bl w:val="nil"/>
            </w:tcBorders>
            <w:shd w:val="clear" w:color="auto" w:fill="auto"/>
            <w:noWrap w:val="0"/>
            <w:vAlign w:val="bottom"/>
          </w:tcPr>
          <w:p w14:paraId="3297A29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0.1982</w:t>
            </w:r>
          </w:p>
        </w:tc>
        <w:tc>
          <w:tcPr>
            <w:tcW w:w="644" w:type="pct"/>
            <w:tcBorders>
              <w:tl2br w:val="nil"/>
              <w:tr2bl w:val="nil"/>
            </w:tcBorders>
            <w:shd w:val="clear" w:color="auto" w:fill="auto"/>
            <w:noWrap w:val="0"/>
            <w:vAlign w:val="center"/>
          </w:tcPr>
          <w:p w14:paraId="45C8DC9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2.4734</w:t>
            </w:r>
          </w:p>
        </w:tc>
        <w:tc>
          <w:tcPr>
            <w:tcW w:w="650" w:type="pct"/>
            <w:tcBorders>
              <w:tl2br w:val="nil"/>
              <w:tr2bl w:val="nil"/>
            </w:tcBorders>
            <w:shd w:val="clear" w:color="auto" w:fill="auto"/>
            <w:noWrap w:val="0"/>
            <w:vAlign w:val="center"/>
          </w:tcPr>
          <w:p w14:paraId="7D8B47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2.4559</w:t>
            </w:r>
          </w:p>
        </w:tc>
        <w:tc>
          <w:tcPr>
            <w:tcW w:w="730" w:type="pct"/>
            <w:tcBorders>
              <w:tl2br w:val="nil"/>
              <w:tr2bl w:val="nil"/>
            </w:tcBorders>
            <w:shd w:val="clear" w:color="auto" w:fill="auto"/>
            <w:noWrap w:val="0"/>
            <w:vAlign w:val="bottom"/>
          </w:tcPr>
          <w:p w14:paraId="25824C4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2.3800</w:t>
            </w:r>
          </w:p>
        </w:tc>
      </w:tr>
      <w:tr w14:paraId="65DA49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0D279B6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-44.0000</w:t>
            </w:r>
          </w:p>
        </w:tc>
        <w:tc>
          <w:tcPr>
            <w:tcW w:w="668" w:type="pct"/>
            <w:tcBorders>
              <w:tl2br w:val="nil"/>
              <w:tr2bl w:val="nil"/>
            </w:tcBorders>
            <w:shd w:val="clear" w:color="auto" w:fill="auto"/>
            <w:noWrap w:val="0"/>
            <w:vAlign w:val="center"/>
          </w:tcPr>
          <w:p w14:paraId="6F56A03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0.1755</w:t>
            </w:r>
          </w:p>
        </w:tc>
        <w:tc>
          <w:tcPr>
            <w:tcW w:w="743" w:type="pct"/>
            <w:tcBorders>
              <w:tl2br w:val="nil"/>
              <w:tr2bl w:val="nil"/>
            </w:tcBorders>
            <w:shd w:val="clear" w:color="auto" w:fill="auto"/>
            <w:noWrap w:val="0"/>
            <w:vAlign w:val="center"/>
          </w:tcPr>
          <w:p w14:paraId="1DE594A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0.1822</w:t>
            </w:r>
          </w:p>
        </w:tc>
        <w:tc>
          <w:tcPr>
            <w:tcW w:w="641" w:type="pct"/>
            <w:tcBorders>
              <w:tl2br w:val="nil"/>
              <w:tr2bl w:val="nil"/>
            </w:tcBorders>
            <w:shd w:val="clear" w:color="auto" w:fill="auto"/>
            <w:noWrap w:val="0"/>
            <w:vAlign w:val="bottom"/>
          </w:tcPr>
          <w:p w14:paraId="11A7343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0.2097</w:t>
            </w:r>
          </w:p>
        </w:tc>
        <w:tc>
          <w:tcPr>
            <w:tcW w:w="644" w:type="pct"/>
            <w:tcBorders>
              <w:tl2br w:val="nil"/>
              <w:tr2bl w:val="nil"/>
            </w:tcBorders>
            <w:shd w:val="clear" w:color="auto" w:fill="auto"/>
            <w:noWrap w:val="0"/>
            <w:vAlign w:val="center"/>
          </w:tcPr>
          <w:p w14:paraId="468C18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2.5895</w:t>
            </w:r>
          </w:p>
        </w:tc>
        <w:tc>
          <w:tcPr>
            <w:tcW w:w="650" w:type="pct"/>
            <w:tcBorders>
              <w:tl2br w:val="nil"/>
              <w:tr2bl w:val="nil"/>
            </w:tcBorders>
            <w:shd w:val="clear" w:color="auto" w:fill="auto"/>
            <w:noWrap w:val="0"/>
            <w:vAlign w:val="center"/>
          </w:tcPr>
          <w:p w14:paraId="644A599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2.5704</w:t>
            </w:r>
          </w:p>
        </w:tc>
        <w:tc>
          <w:tcPr>
            <w:tcW w:w="730" w:type="pct"/>
            <w:tcBorders>
              <w:tl2br w:val="nil"/>
              <w:tr2bl w:val="nil"/>
            </w:tcBorders>
            <w:shd w:val="clear" w:color="auto" w:fill="auto"/>
            <w:noWrap w:val="0"/>
            <w:vAlign w:val="bottom"/>
          </w:tcPr>
          <w:p w14:paraId="24E3369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2.4873</w:t>
            </w:r>
          </w:p>
        </w:tc>
      </w:tr>
      <w:tr w14:paraId="149A2A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1328D4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-43.0000</w:t>
            </w:r>
          </w:p>
        </w:tc>
        <w:tc>
          <w:tcPr>
            <w:tcW w:w="668" w:type="pct"/>
            <w:tcBorders>
              <w:tl2br w:val="nil"/>
              <w:tr2bl w:val="nil"/>
            </w:tcBorders>
            <w:shd w:val="clear" w:color="auto" w:fill="auto"/>
            <w:noWrap w:val="0"/>
            <w:vAlign w:val="center"/>
          </w:tcPr>
          <w:p w14:paraId="6609401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0.1849</w:t>
            </w:r>
          </w:p>
        </w:tc>
        <w:tc>
          <w:tcPr>
            <w:tcW w:w="743" w:type="pct"/>
            <w:tcBorders>
              <w:tl2br w:val="nil"/>
              <w:tr2bl w:val="nil"/>
            </w:tcBorders>
            <w:shd w:val="clear" w:color="auto" w:fill="auto"/>
            <w:noWrap w:val="0"/>
            <w:vAlign w:val="center"/>
          </w:tcPr>
          <w:p w14:paraId="2F4188D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0.1923</w:t>
            </w:r>
          </w:p>
        </w:tc>
        <w:tc>
          <w:tcPr>
            <w:tcW w:w="641" w:type="pct"/>
            <w:tcBorders>
              <w:tl2br w:val="nil"/>
              <w:tr2bl w:val="nil"/>
            </w:tcBorders>
            <w:shd w:val="clear" w:color="auto" w:fill="auto"/>
            <w:noWrap w:val="0"/>
            <w:vAlign w:val="bottom"/>
          </w:tcPr>
          <w:p w14:paraId="0B6ECE8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0.2222</w:t>
            </w:r>
          </w:p>
        </w:tc>
        <w:tc>
          <w:tcPr>
            <w:tcW w:w="644" w:type="pct"/>
            <w:tcBorders>
              <w:tl2br w:val="nil"/>
              <w:tr2bl w:val="nil"/>
            </w:tcBorders>
            <w:shd w:val="clear" w:color="auto" w:fill="auto"/>
            <w:noWrap w:val="0"/>
            <w:vAlign w:val="center"/>
          </w:tcPr>
          <w:p w14:paraId="512868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2.7141</w:t>
            </w:r>
          </w:p>
        </w:tc>
        <w:tc>
          <w:tcPr>
            <w:tcW w:w="650" w:type="pct"/>
            <w:tcBorders>
              <w:tl2br w:val="nil"/>
              <w:tr2bl w:val="nil"/>
            </w:tcBorders>
            <w:shd w:val="clear" w:color="auto" w:fill="auto"/>
            <w:noWrap w:val="0"/>
            <w:vAlign w:val="center"/>
          </w:tcPr>
          <w:p w14:paraId="07135A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2.6930</w:t>
            </w:r>
          </w:p>
        </w:tc>
        <w:tc>
          <w:tcPr>
            <w:tcW w:w="730" w:type="pct"/>
            <w:tcBorders>
              <w:tl2br w:val="nil"/>
              <w:tr2bl w:val="nil"/>
            </w:tcBorders>
            <w:shd w:val="clear" w:color="auto" w:fill="auto"/>
            <w:noWrap w:val="0"/>
            <w:vAlign w:val="bottom"/>
          </w:tcPr>
          <w:p w14:paraId="3CA2CED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2.6018</w:t>
            </w:r>
          </w:p>
        </w:tc>
      </w:tr>
      <w:tr w14:paraId="00789B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396D97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-42.0000</w:t>
            </w:r>
          </w:p>
        </w:tc>
        <w:tc>
          <w:tcPr>
            <w:tcW w:w="668" w:type="pct"/>
            <w:tcBorders>
              <w:tl2br w:val="nil"/>
              <w:tr2bl w:val="nil"/>
            </w:tcBorders>
            <w:shd w:val="clear" w:color="auto" w:fill="auto"/>
            <w:noWrap w:val="0"/>
            <w:vAlign w:val="center"/>
          </w:tcPr>
          <w:p w14:paraId="5EB0C42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0.1950</w:t>
            </w:r>
          </w:p>
        </w:tc>
        <w:tc>
          <w:tcPr>
            <w:tcW w:w="743" w:type="pct"/>
            <w:tcBorders>
              <w:tl2br w:val="nil"/>
              <w:tr2bl w:val="nil"/>
            </w:tcBorders>
            <w:shd w:val="clear" w:color="auto" w:fill="auto"/>
            <w:noWrap w:val="0"/>
            <w:vAlign w:val="center"/>
          </w:tcPr>
          <w:p w14:paraId="597B598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0.2033</w:t>
            </w:r>
          </w:p>
        </w:tc>
        <w:tc>
          <w:tcPr>
            <w:tcW w:w="641" w:type="pct"/>
            <w:tcBorders>
              <w:tl2br w:val="nil"/>
              <w:tr2bl w:val="nil"/>
            </w:tcBorders>
            <w:shd w:val="clear" w:color="auto" w:fill="auto"/>
            <w:noWrap w:val="0"/>
            <w:vAlign w:val="bottom"/>
          </w:tcPr>
          <w:p w14:paraId="32C32F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0.2358</w:t>
            </w:r>
          </w:p>
        </w:tc>
        <w:tc>
          <w:tcPr>
            <w:tcW w:w="644" w:type="pct"/>
            <w:tcBorders>
              <w:tl2br w:val="nil"/>
              <w:tr2bl w:val="nil"/>
            </w:tcBorders>
            <w:shd w:val="clear" w:color="auto" w:fill="auto"/>
            <w:noWrap w:val="0"/>
            <w:vAlign w:val="center"/>
          </w:tcPr>
          <w:p w14:paraId="3C1AC00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2.8478</w:t>
            </w:r>
          </w:p>
        </w:tc>
        <w:tc>
          <w:tcPr>
            <w:tcW w:w="650" w:type="pct"/>
            <w:tcBorders>
              <w:tl2br w:val="nil"/>
              <w:tr2bl w:val="nil"/>
            </w:tcBorders>
            <w:shd w:val="clear" w:color="auto" w:fill="auto"/>
            <w:noWrap w:val="0"/>
            <w:vAlign w:val="center"/>
          </w:tcPr>
          <w:p w14:paraId="5587346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2.8246</w:t>
            </w:r>
          </w:p>
        </w:tc>
        <w:tc>
          <w:tcPr>
            <w:tcW w:w="730" w:type="pct"/>
            <w:tcBorders>
              <w:tl2br w:val="nil"/>
              <w:tr2bl w:val="nil"/>
            </w:tcBorders>
            <w:shd w:val="clear" w:color="auto" w:fill="auto"/>
            <w:noWrap w:val="0"/>
            <w:vAlign w:val="bottom"/>
          </w:tcPr>
          <w:p w14:paraId="62920B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2.7244</w:t>
            </w:r>
          </w:p>
        </w:tc>
      </w:tr>
      <w:tr w14:paraId="279517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1D1E1B8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-41.0000</w:t>
            </w:r>
          </w:p>
        </w:tc>
        <w:tc>
          <w:tcPr>
            <w:tcW w:w="668" w:type="pct"/>
            <w:tcBorders>
              <w:tl2br w:val="nil"/>
              <w:tr2bl w:val="nil"/>
            </w:tcBorders>
            <w:shd w:val="clear" w:color="auto" w:fill="auto"/>
            <w:noWrap w:val="0"/>
            <w:vAlign w:val="center"/>
          </w:tcPr>
          <w:p w14:paraId="2E65048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0.2062</w:t>
            </w:r>
          </w:p>
        </w:tc>
        <w:tc>
          <w:tcPr>
            <w:tcW w:w="743" w:type="pct"/>
            <w:tcBorders>
              <w:tl2br w:val="nil"/>
              <w:tr2bl w:val="nil"/>
            </w:tcBorders>
            <w:shd w:val="clear" w:color="auto" w:fill="auto"/>
            <w:noWrap w:val="0"/>
            <w:vAlign w:val="center"/>
          </w:tcPr>
          <w:p w14:paraId="2027786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0.2153</w:t>
            </w:r>
          </w:p>
        </w:tc>
        <w:tc>
          <w:tcPr>
            <w:tcW w:w="641" w:type="pct"/>
            <w:tcBorders>
              <w:tl2br w:val="nil"/>
              <w:tr2bl w:val="nil"/>
            </w:tcBorders>
            <w:shd w:val="clear" w:color="auto" w:fill="auto"/>
            <w:noWrap w:val="0"/>
            <w:vAlign w:val="bottom"/>
          </w:tcPr>
          <w:p w14:paraId="43C5406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0.2507</w:t>
            </w:r>
          </w:p>
        </w:tc>
        <w:tc>
          <w:tcPr>
            <w:tcW w:w="644" w:type="pct"/>
            <w:tcBorders>
              <w:tl2br w:val="nil"/>
              <w:tr2bl w:val="nil"/>
            </w:tcBorders>
            <w:shd w:val="clear" w:color="auto" w:fill="auto"/>
            <w:noWrap w:val="0"/>
            <w:vAlign w:val="center"/>
          </w:tcPr>
          <w:p w14:paraId="4575D6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2.9916</w:t>
            </w:r>
          </w:p>
        </w:tc>
        <w:tc>
          <w:tcPr>
            <w:tcW w:w="650" w:type="pct"/>
            <w:tcBorders>
              <w:tl2br w:val="nil"/>
              <w:tr2bl w:val="nil"/>
            </w:tcBorders>
            <w:shd w:val="clear" w:color="auto" w:fill="auto"/>
            <w:noWrap w:val="0"/>
            <w:vAlign w:val="center"/>
          </w:tcPr>
          <w:p w14:paraId="24B592D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2.9660</w:t>
            </w:r>
          </w:p>
        </w:tc>
        <w:tc>
          <w:tcPr>
            <w:tcW w:w="730" w:type="pct"/>
            <w:tcBorders>
              <w:tl2br w:val="nil"/>
              <w:tr2bl w:val="nil"/>
            </w:tcBorders>
            <w:shd w:val="clear" w:color="auto" w:fill="auto"/>
            <w:noWrap w:val="0"/>
            <w:vAlign w:val="bottom"/>
          </w:tcPr>
          <w:p w14:paraId="020E02E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2.8556</w:t>
            </w:r>
          </w:p>
        </w:tc>
      </w:tr>
      <w:tr w14:paraId="320F8F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7DD574F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-40.0000</w:t>
            </w:r>
          </w:p>
        </w:tc>
        <w:tc>
          <w:tcPr>
            <w:tcW w:w="668" w:type="pct"/>
            <w:tcBorders>
              <w:tl2br w:val="nil"/>
              <w:tr2bl w:val="nil"/>
            </w:tcBorders>
            <w:shd w:val="clear" w:color="auto" w:fill="auto"/>
            <w:noWrap w:val="0"/>
            <w:vAlign w:val="center"/>
          </w:tcPr>
          <w:p w14:paraId="7CC1A0F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0.2183</w:t>
            </w:r>
          </w:p>
        </w:tc>
        <w:tc>
          <w:tcPr>
            <w:tcW w:w="743" w:type="pct"/>
            <w:tcBorders>
              <w:tl2br w:val="nil"/>
              <w:tr2bl w:val="nil"/>
            </w:tcBorders>
            <w:shd w:val="clear" w:color="auto" w:fill="auto"/>
            <w:noWrap w:val="0"/>
            <w:vAlign w:val="center"/>
          </w:tcPr>
          <w:p w14:paraId="7699A17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0.2285</w:t>
            </w:r>
          </w:p>
        </w:tc>
        <w:tc>
          <w:tcPr>
            <w:tcW w:w="641" w:type="pct"/>
            <w:tcBorders>
              <w:tl2br w:val="nil"/>
              <w:tr2bl w:val="nil"/>
            </w:tcBorders>
            <w:shd w:val="clear" w:color="auto" w:fill="auto"/>
            <w:noWrap w:val="0"/>
            <w:vAlign w:val="bottom"/>
          </w:tcPr>
          <w:p w14:paraId="3DD7D46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0.2670</w:t>
            </w:r>
          </w:p>
        </w:tc>
        <w:tc>
          <w:tcPr>
            <w:tcW w:w="644" w:type="pct"/>
            <w:tcBorders>
              <w:tl2br w:val="nil"/>
              <w:tr2bl w:val="nil"/>
            </w:tcBorders>
            <w:shd w:val="clear" w:color="auto" w:fill="auto"/>
            <w:noWrap w:val="0"/>
            <w:vAlign w:val="center"/>
          </w:tcPr>
          <w:p w14:paraId="02BD9B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3.1467</w:t>
            </w:r>
          </w:p>
        </w:tc>
        <w:tc>
          <w:tcPr>
            <w:tcW w:w="650" w:type="pct"/>
            <w:tcBorders>
              <w:tl2br w:val="nil"/>
              <w:tr2bl w:val="nil"/>
            </w:tcBorders>
            <w:shd w:val="clear" w:color="auto" w:fill="auto"/>
            <w:noWrap w:val="0"/>
            <w:vAlign w:val="center"/>
          </w:tcPr>
          <w:p w14:paraId="0FFB407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3.1183</w:t>
            </w:r>
          </w:p>
        </w:tc>
        <w:tc>
          <w:tcPr>
            <w:tcW w:w="730" w:type="pct"/>
            <w:tcBorders>
              <w:tl2br w:val="nil"/>
              <w:tr2bl w:val="nil"/>
            </w:tcBorders>
            <w:shd w:val="clear" w:color="auto" w:fill="auto"/>
            <w:noWrap w:val="0"/>
            <w:vAlign w:val="bottom"/>
          </w:tcPr>
          <w:p w14:paraId="635C121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2.9963</w:t>
            </w:r>
          </w:p>
        </w:tc>
      </w:tr>
      <w:tr w14:paraId="67EC27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5F2B24D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-39.0000</w:t>
            </w:r>
          </w:p>
        </w:tc>
        <w:tc>
          <w:tcPr>
            <w:tcW w:w="668" w:type="pct"/>
            <w:tcBorders>
              <w:tl2br w:val="nil"/>
              <w:tr2bl w:val="nil"/>
            </w:tcBorders>
            <w:shd w:val="clear" w:color="auto" w:fill="auto"/>
            <w:noWrap w:val="0"/>
            <w:vAlign w:val="center"/>
          </w:tcPr>
          <w:p w14:paraId="75CFEA9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0.2317</w:t>
            </w:r>
          </w:p>
        </w:tc>
        <w:tc>
          <w:tcPr>
            <w:tcW w:w="743" w:type="pct"/>
            <w:tcBorders>
              <w:tl2br w:val="nil"/>
              <w:tr2bl w:val="nil"/>
            </w:tcBorders>
            <w:shd w:val="clear" w:color="auto" w:fill="auto"/>
            <w:noWrap w:val="0"/>
            <w:vAlign w:val="center"/>
          </w:tcPr>
          <w:p w14:paraId="3E8FB6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0.2430</w:t>
            </w:r>
          </w:p>
        </w:tc>
        <w:tc>
          <w:tcPr>
            <w:tcW w:w="641" w:type="pct"/>
            <w:tcBorders>
              <w:tl2br w:val="nil"/>
              <w:tr2bl w:val="nil"/>
            </w:tcBorders>
            <w:shd w:val="clear" w:color="auto" w:fill="auto"/>
            <w:noWrap w:val="0"/>
            <w:vAlign w:val="bottom"/>
          </w:tcPr>
          <w:p w14:paraId="5DD332E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0.2849</w:t>
            </w:r>
          </w:p>
        </w:tc>
        <w:tc>
          <w:tcPr>
            <w:tcW w:w="644" w:type="pct"/>
            <w:tcBorders>
              <w:tl2br w:val="nil"/>
              <w:tr2bl w:val="nil"/>
            </w:tcBorders>
            <w:shd w:val="clear" w:color="auto" w:fill="auto"/>
            <w:noWrap w:val="0"/>
            <w:vAlign w:val="center"/>
          </w:tcPr>
          <w:p w14:paraId="2050E27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3.3141</w:t>
            </w:r>
          </w:p>
        </w:tc>
        <w:tc>
          <w:tcPr>
            <w:tcW w:w="650" w:type="pct"/>
            <w:tcBorders>
              <w:tl2br w:val="nil"/>
              <w:tr2bl w:val="nil"/>
            </w:tcBorders>
            <w:shd w:val="clear" w:color="auto" w:fill="auto"/>
            <w:noWrap w:val="0"/>
            <w:vAlign w:val="center"/>
          </w:tcPr>
          <w:p w14:paraId="41CDF0D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3.2826</w:t>
            </w:r>
          </w:p>
        </w:tc>
        <w:tc>
          <w:tcPr>
            <w:tcW w:w="730" w:type="pct"/>
            <w:tcBorders>
              <w:tl2br w:val="nil"/>
              <w:tr2bl w:val="nil"/>
            </w:tcBorders>
            <w:shd w:val="clear" w:color="auto" w:fill="auto"/>
            <w:noWrap w:val="0"/>
            <w:vAlign w:val="bottom"/>
          </w:tcPr>
          <w:p w14:paraId="33749B6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3.1475</w:t>
            </w:r>
          </w:p>
        </w:tc>
      </w:tr>
      <w:tr w14:paraId="3368D7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212148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-38.0000</w:t>
            </w:r>
          </w:p>
        </w:tc>
        <w:tc>
          <w:tcPr>
            <w:tcW w:w="668" w:type="pct"/>
            <w:tcBorders>
              <w:tl2br w:val="nil"/>
              <w:tr2bl w:val="nil"/>
            </w:tcBorders>
            <w:shd w:val="clear" w:color="auto" w:fill="auto"/>
            <w:noWrap w:val="0"/>
            <w:vAlign w:val="center"/>
          </w:tcPr>
          <w:p w14:paraId="19A89DA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0.2464</w:t>
            </w:r>
          </w:p>
        </w:tc>
        <w:tc>
          <w:tcPr>
            <w:tcW w:w="743" w:type="pct"/>
            <w:tcBorders>
              <w:tl2br w:val="nil"/>
              <w:tr2bl w:val="nil"/>
            </w:tcBorders>
            <w:shd w:val="clear" w:color="auto" w:fill="auto"/>
            <w:noWrap w:val="0"/>
            <w:vAlign w:val="center"/>
          </w:tcPr>
          <w:p w14:paraId="349683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0.2590</w:t>
            </w:r>
          </w:p>
        </w:tc>
        <w:tc>
          <w:tcPr>
            <w:tcW w:w="641" w:type="pct"/>
            <w:tcBorders>
              <w:tl2br w:val="nil"/>
              <w:tr2bl w:val="nil"/>
            </w:tcBorders>
            <w:shd w:val="clear" w:color="auto" w:fill="auto"/>
            <w:noWrap w:val="0"/>
            <w:vAlign w:val="bottom"/>
          </w:tcPr>
          <w:p w14:paraId="1D3D960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0.3047</w:t>
            </w:r>
          </w:p>
        </w:tc>
        <w:tc>
          <w:tcPr>
            <w:tcW w:w="644" w:type="pct"/>
            <w:tcBorders>
              <w:tl2br w:val="nil"/>
              <w:tr2bl w:val="nil"/>
            </w:tcBorders>
            <w:shd w:val="clear" w:color="auto" w:fill="auto"/>
            <w:noWrap w:val="0"/>
            <w:vAlign w:val="center"/>
          </w:tcPr>
          <w:p w14:paraId="4854509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3.4952</w:t>
            </w:r>
          </w:p>
        </w:tc>
        <w:tc>
          <w:tcPr>
            <w:tcW w:w="650" w:type="pct"/>
            <w:tcBorders>
              <w:tl2br w:val="nil"/>
              <w:tr2bl w:val="nil"/>
            </w:tcBorders>
            <w:shd w:val="clear" w:color="auto" w:fill="auto"/>
            <w:noWrap w:val="0"/>
            <w:vAlign w:val="center"/>
          </w:tcPr>
          <w:p w14:paraId="32735F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3.4601</w:t>
            </w:r>
          </w:p>
        </w:tc>
        <w:tc>
          <w:tcPr>
            <w:tcW w:w="730" w:type="pct"/>
            <w:tcBorders>
              <w:tl2br w:val="nil"/>
              <w:tr2bl w:val="nil"/>
            </w:tcBorders>
            <w:shd w:val="clear" w:color="auto" w:fill="auto"/>
            <w:noWrap w:val="0"/>
            <w:vAlign w:val="bottom"/>
          </w:tcPr>
          <w:p w14:paraId="16629F8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3.3102</w:t>
            </w:r>
          </w:p>
        </w:tc>
      </w:tr>
      <w:tr w14:paraId="509196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17C8787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-37.0000</w:t>
            </w:r>
          </w:p>
        </w:tc>
        <w:tc>
          <w:tcPr>
            <w:tcW w:w="668" w:type="pct"/>
            <w:tcBorders>
              <w:tl2br w:val="nil"/>
              <w:tr2bl w:val="nil"/>
            </w:tcBorders>
            <w:shd w:val="clear" w:color="auto" w:fill="auto"/>
            <w:noWrap w:val="0"/>
            <w:vAlign w:val="center"/>
          </w:tcPr>
          <w:p w14:paraId="6FE6D7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0.2626</w:t>
            </w:r>
          </w:p>
        </w:tc>
        <w:tc>
          <w:tcPr>
            <w:tcW w:w="743" w:type="pct"/>
            <w:tcBorders>
              <w:tl2br w:val="nil"/>
              <w:tr2bl w:val="nil"/>
            </w:tcBorders>
            <w:shd w:val="clear" w:color="auto" w:fill="auto"/>
            <w:noWrap w:val="0"/>
            <w:vAlign w:val="center"/>
          </w:tcPr>
          <w:p w14:paraId="24E72EA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0.2767</w:t>
            </w:r>
          </w:p>
        </w:tc>
        <w:tc>
          <w:tcPr>
            <w:tcW w:w="641" w:type="pct"/>
            <w:tcBorders>
              <w:tl2br w:val="nil"/>
              <w:tr2bl w:val="nil"/>
            </w:tcBorders>
            <w:shd w:val="clear" w:color="auto" w:fill="auto"/>
            <w:noWrap w:val="0"/>
            <w:vAlign w:val="bottom"/>
          </w:tcPr>
          <w:p w14:paraId="04A617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0.3265</w:t>
            </w:r>
          </w:p>
        </w:tc>
        <w:tc>
          <w:tcPr>
            <w:tcW w:w="644" w:type="pct"/>
            <w:tcBorders>
              <w:tl2br w:val="nil"/>
              <w:tr2bl w:val="nil"/>
            </w:tcBorders>
            <w:shd w:val="clear" w:color="auto" w:fill="auto"/>
            <w:noWrap w:val="0"/>
            <w:vAlign w:val="center"/>
          </w:tcPr>
          <w:p w14:paraId="0D05111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3.6916</w:t>
            </w:r>
          </w:p>
        </w:tc>
        <w:tc>
          <w:tcPr>
            <w:tcW w:w="650" w:type="pct"/>
            <w:tcBorders>
              <w:tl2br w:val="nil"/>
              <w:tr2bl w:val="nil"/>
            </w:tcBorders>
            <w:shd w:val="clear" w:color="auto" w:fill="auto"/>
            <w:noWrap w:val="0"/>
            <w:vAlign w:val="center"/>
          </w:tcPr>
          <w:p w14:paraId="480627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3.6525</w:t>
            </w:r>
          </w:p>
        </w:tc>
        <w:tc>
          <w:tcPr>
            <w:tcW w:w="730" w:type="pct"/>
            <w:tcBorders>
              <w:tl2br w:val="nil"/>
              <w:tr2bl w:val="nil"/>
            </w:tcBorders>
            <w:shd w:val="clear" w:color="auto" w:fill="auto"/>
            <w:noWrap w:val="0"/>
            <w:vAlign w:val="bottom"/>
          </w:tcPr>
          <w:p w14:paraId="1A0B1E2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3.4855</w:t>
            </w:r>
          </w:p>
        </w:tc>
      </w:tr>
      <w:tr w14:paraId="05FB73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272170A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-36.0000</w:t>
            </w:r>
          </w:p>
        </w:tc>
        <w:tc>
          <w:tcPr>
            <w:tcW w:w="668" w:type="pct"/>
            <w:tcBorders>
              <w:tl2br w:val="nil"/>
              <w:tr2bl w:val="nil"/>
            </w:tcBorders>
            <w:shd w:val="clear" w:color="auto" w:fill="auto"/>
            <w:noWrap w:val="0"/>
            <w:vAlign w:val="center"/>
          </w:tcPr>
          <w:p w14:paraId="66DEE0C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0.2807</w:t>
            </w:r>
          </w:p>
        </w:tc>
        <w:tc>
          <w:tcPr>
            <w:tcW w:w="743" w:type="pct"/>
            <w:tcBorders>
              <w:tl2br w:val="nil"/>
              <w:tr2bl w:val="nil"/>
            </w:tcBorders>
            <w:shd w:val="clear" w:color="auto" w:fill="auto"/>
            <w:noWrap w:val="0"/>
            <w:vAlign w:val="center"/>
          </w:tcPr>
          <w:p w14:paraId="1E2B57E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0.2964</w:t>
            </w:r>
          </w:p>
        </w:tc>
        <w:tc>
          <w:tcPr>
            <w:tcW w:w="641" w:type="pct"/>
            <w:tcBorders>
              <w:tl2br w:val="nil"/>
              <w:tr2bl w:val="nil"/>
            </w:tcBorders>
            <w:shd w:val="clear" w:color="auto" w:fill="auto"/>
            <w:noWrap w:val="0"/>
            <w:vAlign w:val="bottom"/>
          </w:tcPr>
          <w:p w14:paraId="6261D29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0.3505</w:t>
            </w:r>
          </w:p>
        </w:tc>
        <w:tc>
          <w:tcPr>
            <w:tcW w:w="644" w:type="pct"/>
            <w:tcBorders>
              <w:tl2br w:val="nil"/>
              <w:tr2bl w:val="nil"/>
            </w:tcBorders>
            <w:shd w:val="clear" w:color="auto" w:fill="auto"/>
            <w:noWrap w:val="0"/>
            <w:vAlign w:val="center"/>
          </w:tcPr>
          <w:p w14:paraId="0F6218C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3.9050</w:t>
            </w:r>
          </w:p>
        </w:tc>
        <w:tc>
          <w:tcPr>
            <w:tcW w:w="650" w:type="pct"/>
            <w:tcBorders>
              <w:tl2br w:val="nil"/>
              <w:tr2bl w:val="nil"/>
            </w:tcBorders>
            <w:shd w:val="clear" w:color="auto" w:fill="auto"/>
            <w:noWrap w:val="0"/>
            <w:vAlign w:val="center"/>
          </w:tcPr>
          <w:p w14:paraId="397734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3.8612</w:t>
            </w:r>
          </w:p>
        </w:tc>
        <w:tc>
          <w:tcPr>
            <w:tcW w:w="730" w:type="pct"/>
            <w:tcBorders>
              <w:tl2br w:val="nil"/>
              <w:tr2bl w:val="nil"/>
            </w:tcBorders>
            <w:shd w:val="clear" w:color="auto" w:fill="auto"/>
            <w:noWrap w:val="0"/>
            <w:vAlign w:val="bottom"/>
          </w:tcPr>
          <w:p w14:paraId="7C7BD2D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3.6748</w:t>
            </w:r>
          </w:p>
        </w:tc>
      </w:tr>
      <w:tr w14:paraId="784BD4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1DDD813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-35.0000</w:t>
            </w:r>
          </w:p>
        </w:tc>
        <w:tc>
          <w:tcPr>
            <w:tcW w:w="668" w:type="pct"/>
            <w:tcBorders>
              <w:tl2br w:val="nil"/>
              <w:tr2bl w:val="nil"/>
            </w:tcBorders>
            <w:shd w:val="clear" w:color="auto" w:fill="auto"/>
            <w:noWrap w:val="0"/>
            <w:vAlign w:val="center"/>
          </w:tcPr>
          <w:p w14:paraId="5906558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0.3008</w:t>
            </w:r>
          </w:p>
        </w:tc>
        <w:tc>
          <w:tcPr>
            <w:tcW w:w="743" w:type="pct"/>
            <w:tcBorders>
              <w:tl2br w:val="nil"/>
              <w:tr2bl w:val="nil"/>
            </w:tcBorders>
            <w:shd w:val="clear" w:color="auto" w:fill="auto"/>
            <w:noWrap w:val="0"/>
            <w:vAlign w:val="center"/>
          </w:tcPr>
          <w:p w14:paraId="10D50BC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0.3184</w:t>
            </w:r>
          </w:p>
        </w:tc>
        <w:tc>
          <w:tcPr>
            <w:tcW w:w="641" w:type="pct"/>
            <w:tcBorders>
              <w:tl2br w:val="nil"/>
              <w:tr2bl w:val="nil"/>
            </w:tcBorders>
            <w:shd w:val="clear" w:color="auto" w:fill="auto"/>
            <w:noWrap w:val="0"/>
            <w:vAlign w:val="bottom"/>
          </w:tcPr>
          <w:p w14:paraId="5156A7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0.3772</w:t>
            </w:r>
          </w:p>
        </w:tc>
        <w:tc>
          <w:tcPr>
            <w:tcW w:w="644" w:type="pct"/>
            <w:tcBorders>
              <w:tl2br w:val="nil"/>
              <w:tr2bl w:val="nil"/>
            </w:tcBorders>
            <w:shd w:val="clear" w:color="auto" w:fill="auto"/>
            <w:noWrap w:val="0"/>
            <w:vAlign w:val="center"/>
          </w:tcPr>
          <w:p w14:paraId="1DB7E98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4.1374</w:t>
            </w:r>
          </w:p>
        </w:tc>
        <w:tc>
          <w:tcPr>
            <w:tcW w:w="650" w:type="pct"/>
            <w:tcBorders>
              <w:tl2br w:val="nil"/>
              <w:tr2bl w:val="nil"/>
            </w:tcBorders>
            <w:shd w:val="clear" w:color="auto" w:fill="auto"/>
            <w:noWrap w:val="0"/>
            <w:vAlign w:val="center"/>
          </w:tcPr>
          <w:p w14:paraId="2FE1136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4.0882</w:t>
            </w:r>
          </w:p>
        </w:tc>
        <w:tc>
          <w:tcPr>
            <w:tcW w:w="730" w:type="pct"/>
            <w:tcBorders>
              <w:tl2br w:val="nil"/>
              <w:tr2bl w:val="nil"/>
            </w:tcBorders>
            <w:shd w:val="clear" w:color="auto" w:fill="auto"/>
            <w:noWrap w:val="0"/>
            <w:vAlign w:val="bottom"/>
          </w:tcPr>
          <w:p w14:paraId="1BF64C4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3.8794</w:t>
            </w:r>
          </w:p>
        </w:tc>
      </w:tr>
      <w:tr w14:paraId="6B0D1D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552A2F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-34.0000</w:t>
            </w:r>
          </w:p>
        </w:tc>
        <w:tc>
          <w:tcPr>
            <w:tcW w:w="668" w:type="pct"/>
            <w:tcBorders>
              <w:tl2br w:val="nil"/>
              <w:tr2bl w:val="nil"/>
            </w:tcBorders>
            <w:shd w:val="clear" w:color="auto" w:fill="auto"/>
            <w:noWrap w:val="0"/>
            <w:vAlign w:val="center"/>
          </w:tcPr>
          <w:p w14:paraId="4B32A69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0.3233</w:t>
            </w:r>
          </w:p>
        </w:tc>
        <w:tc>
          <w:tcPr>
            <w:tcW w:w="743" w:type="pct"/>
            <w:tcBorders>
              <w:tl2br w:val="nil"/>
              <w:tr2bl w:val="nil"/>
            </w:tcBorders>
            <w:shd w:val="clear" w:color="auto" w:fill="auto"/>
            <w:noWrap w:val="0"/>
            <w:vAlign w:val="center"/>
          </w:tcPr>
          <w:p w14:paraId="2A59D9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0.3430</w:t>
            </w:r>
          </w:p>
        </w:tc>
        <w:tc>
          <w:tcPr>
            <w:tcW w:w="641" w:type="pct"/>
            <w:tcBorders>
              <w:tl2br w:val="nil"/>
              <w:tr2bl w:val="nil"/>
            </w:tcBorders>
            <w:shd w:val="clear" w:color="auto" w:fill="auto"/>
            <w:noWrap w:val="0"/>
            <w:vAlign w:val="bottom"/>
          </w:tcPr>
          <w:p w14:paraId="1E874D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0.4069</w:t>
            </w:r>
          </w:p>
        </w:tc>
        <w:tc>
          <w:tcPr>
            <w:tcW w:w="644" w:type="pct"/>
            <w:tcBorders>
              <w:tl2br w:val="nil"/>
              <w:tr2bl w:val="nil"/>
            </w:tcBorders>
            <w:shd w:val="clear" w:color="auto" w:fill="auto"/>
            <w:noWrap w:val="0"/>
            <w:vAlign w:val="center"/>
          </w:tcPr>
          <w:p w14:paraId="7D28C3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4.3913</w:t>
            </w:r>
          </w:p>
        </w:tc>
        <w:tc>
          <w:tcPr>
            <w:tcW w:w="650" w:type="pct"/>
            <w:tcBorders>
              <w:tl2br w:val="nil"/>
              <w:tr2bl w:val="nil"/>
            </w:tcBorders>
            <w:shd w:val="clear" w:color="auto" w:fill="auto"/>
            <w:noWrap w:val="0"/>
            <w:vAlign w:val="center"/>
          </w:tcPr>
          <w:p w14:paraId="3C24FC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4.3357</w:t>
            </w:r>
          </w:p>
        </w:tc>
        <w:tc>
          <w:tcPr>
            <w:tcW w:w="730" w:type="pct"/>
            <w:tcBorders>
              <w:tl2br w:val="nil"/>
              <w:tr2bl w:val="nil"/>
            </w:tcBorders>
            <w:shd w:val="clear" w:color="auto" w:fill="auto"/>
            <w:noWrap w:val="0"/>
            <w:vAlign w:val="bottom"/>
          </w:tcPr>
          <w:p w14:paraId="4A08C72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4.1012</w:t>
            </w:r>
          </w:p>
        </w:tc>
      </w:tr>
      <w:tr w14:paraId="35E9D1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4145A77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-33.0000</w:t>
            </w:r>
          </w:p>
        </w:tc>
        <w:tc>
          <w:tcPr>
            <w:tcW w:w="668" w:type="pct"/>
            <w:tcBorders>
              <w:tl2br w:val="nil"/>
              <w:tr2bl w:val="nil"/>
            </w:tcBorders>
            <w:shd w:val="clear" w:color="auto" w:fill="auto"/>
            <w:noWrap w:val="0"/>
            <w:vAlign w:val="center"/>
          </w:tcPr>
          <w:p w14:paraId="022B4FC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0.3486</w:t>
            </w:r>
          </w:p>
        </w:tc>
        <w:tc>
          <w:tcPr>
            <w:tcW w:w="743" w:type="pct"/>
            <w:tcBorders>
              <w:tl2br w:val="nil"/>
              <w:tr2bl w:val="nil"/>
            </w:tcBorders>
            <w:shd w:val="clear" w:color="auto" w:fill="auto"/>
            <w:noWrap w:val="0"/>
            <w:vAlign w:val="center"/>
          </w:tcPr>
          <w:p w14:paraId="314CCA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0.3706</w:t>
            </w:r>
          </w:p>
        </w:tc>
        <w:tc>
          <w:tcPr>
            <w:tcW w:w="641" w:type="pct"/>
            <w:tcBorders>
              <w:tl2br w:val="nil"/>
              <w:tr2bl w:val="nil"/>
            </w:tcBorders>
            <w:shd w:val="clear" w:color="auto" w:fill="auto"/>
            <w:noWrap w:val="0"/>
            <w:vAlign w:val="bottom"/>
          </w:tcPr>
          <w:p w14:paraId="363A1A1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0.4400</w:t>
            </w:r>
          </w:p>
        </w:tc>
        <w:tc>
          <w:tcPr>
            <w:tcW w:w="644" w:type="pct"/>
            <w:tcBorders>
              <w:tl2br w:val="nil"/>
              <w:tr2bl w:val="nil"/>
            </w:tcBorders>
            <w:shd w:val="clear" w:color="auto" w:fill="auto"/>
            <w:noWrap w:val="0"/>
            <w:vAlign w:val="center"/>
          </w:tcPr>
          <w:p w14:paraId="5C037C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4.6692</w:t>
            </w:r>
          </w:p>
        </w:tc>
        <w:tc>
          <w:tcPr>
            <w:tcW w:w="650" w:type="pct"/>
            <w:tcBorders>
              <w:tl2br w:val="nil"/>
              <w:tr2bl w:val="nil"/>
            </w:tcBorders>
            <w:shd w:val="clear" w:color="auto" w:fill="auto"/>
            <w:noWrap w:val="0"/>
            <w:vAlign w:val="center"/>
          </w:tcPr>
          <w:p w14:paraId="5C80283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4.6063</w:t>
            </w:r>
          </w:p>
        </w:tc>
        <w:tc>
          <w:tcPr>
            <w:tcW w:w="730" w:type="pct"/>
            <w:tcBorders>
              <w:tl2br w:val="nil"/>
              <w:tr2bl w:val="nil"/>
            </w:tcBorders>
            <w:shd w:val="clear" w:color="auto" w:fill="auto"/>
            <w:noWrap w:val="0"/>
            <w:vAlign w:val="bottom"/>
          </w:tcPr>
          <w:p w14:paraId="721A2B6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4.3419</w:t>
            </w:r>
          </w:p>
        </w:tc>
      </w:tr>
      <w:tr w14:paraId="67840C2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33A1B60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-32.0000</w:t>
            </w:r>
          </w:p>
        </w:tc>
        <w:tc>
          <w:tcPr>
            <w:tcW w:w="668" w:type="pct"/>
            <w:tcBorders>
              <w:tl2br w:val="nil"/>
              <w:tr2bl w:val="nil"/>
            </w:tcBorders>
            <w:shd w:val="clear" w:color="auto" w:fill="auto"/>
            <w:noWrap w:val="0"/>
            <w:vAlign w:val="center"/>
          </w:tcPr>
          <w:p w14:paraId="7738697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0.3772</w:t>
            </w:r>
          </w:p>
        </w:tc>
        <w:tc>
          <w:tcPr>
            <w:tcW w:w="743" w:type="pct"/>
            <w:tcBorders>
              <w:tl2br w:val="nil"/>
              <w:tr2bl w:val="nil"/>
            </w:tcBorders>
            <w:shd w:val="clear" w:color="auto" w:fill="auto"/>
            <w:noWrap w:val="0"/>
            <w:vAlign w:val="center"/>
          </w:tcPr>
          <w:p w14:paraId="59A7D26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0.4017</w:t>
            </w:r>
          </w:p>
        </w:tc>
        <w:tc>
          <w:tcPr>
            <w:tcW w:w="641" w:type="pct"/>
            <w:tcBorders>
              <w:tl2br w:val="nil"/>
              <w:tr2bl w:val="nil"/>
            </w:tcBorders>
            <w:shd w:val="clear" w:color="auto" w:fill="auto"/>
            <w:noWrap w:val="0"/>
            <w:vAlign w:val="bottom"/>
          </w:tcPr>
          <w:p w14:paraId="5CE5DC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0.4769</w:t>
            </w:r>
          </w:p>
        </w:tc>
        <w:tc>
          <w:tcPr>
            <w:tcW w:w="644" w:type="pct"/>
            <w:tcBorders>
              <w:tl2br w:val="nil"/>
              <w:tr2bl w:val="nil"/>
            </w:tcBorders>
            <w:shd w:val="clear" w:color="auto" w:fill="auto"/>
            <w:noWrap w:val="0"/>
            <w:vAlign w:val="center"/>
          </w:tcPr>
          <w:p w14:paraId="2050630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4.9743</w:t>
            </w:r>
          </w:p>
        </w:tc>
        <w:tc>
          <w:tcPr>
            <w:tcW w:w="650" w:type="pct"/>
            <w:tcBorders>
              <w:tl2br w:val="nil"/>
              <w:tr2bl w:val="nil"/>
            </w:tcBorders>
            <w:shd w:val="clear" w:color="auto" w:fill="auto"/>
            <w:noWrap w:val="0"/>
            <w:vAlign w:val="center"/>
          </w:tcPr>
          <w:p w14:paraId="0E3FE91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4.9028</w:t>
            </w:r>
          </w:p>
        </w:tc>
        <w:tc>
          <w:tcPr>
            <w:tcW w:w="730" w:type="pct"/>
            <w:tcBorders>
              <w:tl2br w:val="nil"/>
              <w:tr2bl w:val="nil"/>
            </w:tcBorders>
            <w:shd w:val="clear" w:color="auto" w:fill="auto"/>
            <w:noWrap w:val="0"/>
            <w:vAlign w:val="bottom"/>
          </w:tcPr>
          <w:p w14:paraId="4548BD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4.6037</w:t>
            </w:r>
          </w:p>
        </w:tc>
      </w:tr>
      <w:tr w14:paraId="6917EB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0C71281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-31.0000</w:t>
            </w:r>
          </w:p>
        </w:tc>
        <w:tc>
          <w:tcPr>
            <w:tcW w:w="668" w:type="pct"/>
            <w:tcBorders>
              <w:tl2br w:val="nil"/>
              <w:tr2bl w:val="nil"/>
            </w:tcBorders>
            <w:shd w:val="clear" w:color="auto" w:fill="auto"/>
            <w:noWrap w:val="0"/>
            <w:vAlign w:val="center"/>
          </w:tcPr>
          <w:p w14:paraId="79C07C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0.4096</w:t>
            </w:r>
          </w:p>
        </w:tc>
        <w:tc>
          <w:tcPr>
            <w:tcW w:w="743" w:type="pct"/>
            <w:tcBorders>
              <w:tl2br w:val="nil"/>
              <w:tr2bl w:val="nil"/>
            </w:tcBorders>
            <w:shd w:val="clear" w:color="auto" w:fill="auto"/>
            <w:noWrap w:val="0"/>
            <w:vAlign w:val="center"/>
          </w:tcPr>
          <w:p w14:paraId="0CA9D85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0.4371</w:t>
            </w:r>
          </w:p>
        </w:tc>
        <w:tc>
          <w:tcPr>
            <w:tcW w:w="641" w:type="pct"/>
            <w:tcBorders>
              <w:tl2br w:val="nil"/>
              <w:tr2bl w:val="nil"/>
            </w:tcBorders>
            <w:shd w:val="clear" w:color="auto" w:fill="auto"/>
            <w:noWrap w:val="0"/>
            <w:vAlign w:val="bottom"/>
          </w:tcPr>
          <w:p w14:paraId="1AC8926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0.5182</w:t>
            </w:r>
          </w:p>
        </w:tc>
        <w:tc>
          <w:tcPr>
            <w:tcW w:w="644" w:type="pct"/>
            <w:tcBorders>
              <w:tl2br w:val="nil"/>
              <w:tr2bl w:val="nil"/>
            </w:tcBorders>
            <w:shd w:val="clear" w:color="auto" w:fill="auto"/>
            <w:noWrap w:val="0"/>
            <w:vAlign w:val="center"/>
          </w:tcPr>
          <w:p w14:paraId="0354C4B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5.3103</w:t>
            </w:r>
          </w:p>
        </w:tc>
        <w:tc>
          <w:tcPr>
            <w:tcW w:w="650" w:type="pct"/>
            <w:tcBorders>
              <w:tl2br w:val="nil"/>
              <w:tr2bl w:val="nil"/>
            </w:tcBorders>
            <w:shd w:val="clear" w:color="auto" w:fill="auto"/>
            <w:noWrap w:val="0"/>
            <w:vAlign w:val="center"/>
          </w:tcPr>
          <w:p w14:paraId="3651FF3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5.2287</w:t>
            </w:r>
          </w:p>
        </w:tc>
        <w:tc>
          <w:tcPr>
            <w:tcW w:w="730" w:type="pct"/>
            <w:tcBorders>
              <w:tl2br w:val="nil"/>
              <w:tr2bl w:val="nil"/>
            </w:tcBorders>
            <w:shd w:val="clear" w:color="auto" w:fill="auto"/>
            <w:noWrap w:val="0"/>
            <w:vAlign w:val="bottom"/>
          </w:tcPr>
          <w:p w14:paraId="36B7CEC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4.8889</w:t>
            </w:r>
          </w:p>
        </w:tc>
      </w:tr>
      <w:tr w14:paraId="30503E9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0E6BD4A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-30.0000</w:t>
            </w:r>
          </w:p>
        </w:tc>
        <w:tc>
          <w:tcPr>
            <w:tcW w:w="668" w:type="pct"/>
            <w:tcBorders>
              <w:tl2br w:val="nil"/>
              <w:tr2bl w:val="nil"/>
            </w:tcBorders>
            <w:shd w:val="clear" w:color="auto" w:fill="auto"/>
            <w:noWrap w:val="0"/>
            <w:vAlign w:val="center"/>
          </w:tcPr>
          <w:p w14:paraId="7B95A0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0.4466</w:t>
            </w:r>
          </w:p>
        </w:tc>
        <w:tc>
          <w:tcPr>
            <w:tcW w:w="743" w:type="pct"/>
            <w:tcBorders>
              <w:tl2br w:val="nil"/>
              <w:tr2bl w:val="nil"/>
            </w:tcBorders>
            <w:shd w:val="clear" w:color="auto" w:fill="auto"/>
            <w:noWrap w:val="0"/>
            <w:vAlign w:val="center"/>
          </w:tcPr>
          <w:p w14:paraId="21FB527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0.4773</w:t>
            </w:r>
          </w:p>
        </w:tc>
        <w:tc>
          <w:tcPr>
            <w:tcW w:w="641" w:type="pct"/>
            <w:tcBorders>
              <w:tl2br w:val="nil"/>
              <w:tr2bl w:val="nil"/>
            </w:tcBorders>
            <w:shd w:val="clear" w:color="auto" w:fill="auto"/>
            <w:noWrap w:val="0"/>
            <w:vAlign w:val="bottom"/>
          </w:tcPr>
          <w:p w14:paraId="4BED800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0.5646</w:t>
            </w:r>
          </w:p>
        </w:tc>
        <w:tc>
          <w:tcPr>
            <w:tcW w:w="644" w:type="pct"/>
            <w:tcBorders>
              <w:tl2br w:val="nil"/>
              <w:tr2bl w:val="nil"/>
            </w:tcBorders>
            <w:shd w:val="clear" w:color="auto" w:fill="auto"/>
            <w:noWrap w:val="0"/>
            <w:vAlign w:val="center"/>
          </w:tcPr>
          <w:p w14:paraId="35A815C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5.6814</w:t>
            </w:r>
          </w:p>
        </w:tc>
        <w:tc>
          <w:tcPr>
            <w:tcW w:w="650" w:type="pct"/>
            <w:tcBorders>
              <w:tl2br w:val="nil"/>
              <w:tr2bl w:val="nil"/>
            </w:tcBorders>
            <w:shd w:val="clear" w:color="auto" w:fill="auto"/>
            <w:noWrap w:val="0"/>
            <w:vAlign w:val="center"/>
          </w:tcPr>
          <w:p w14:paraId="791612A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5.5879</w:t>
            </w:r>
          </w:p>
        </w:tc>
        <w:tc>
          <w:tcPr>
            <w:tcW w:w="730" w:type="pct"/>
            <w:tcBorders>
              <w:tl2br w:val="nil"/>
              <w:tr2bl w:val="nil"/>
            </w:tcBorders>
            <w:shd w:val="clear" w:color="auto" w:fill="auto"/>
            <w:noWrap w:val="0"/>
            <w:vAlign w:val="bottom"/>
          </w:tcPr>
          <w:p w14:paraId="7B4A0F8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5.2005</w:t>
            </w:r>
          </w:p>
        </w:tc>
      </w:tr>
      <w:tr w14:paraId="46E744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31447EA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-29.0000</w:t>
            </w:r>
          </w:p>
        </w:tc>
        <w:tc>
          <w:tcPr>
            <w:tcW w:w="668" w:type="pct"/>
            <w:tcBorders>
              <w:tl2br w:val="nil"/>
              <w:tr2bl w:val="nil"/>
            </w:tcBorders>
            <w:shd w:val="clear" w:color="auto" w:fill="auto"/>
            <w:noWrap w:val="0"/>
            <w:vAlign w:val="center"/>
          </w:tcPr>
          <w:p w14:paraId="6228793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0.4890</w:t>
            </w:r>
          </w:p>
        </w:tc>
        <w:tc>
          <w:tcPr>
            <w:tcW w:w="743" w:type="pct"/>
            <w:tcBorders>
              <w:tl2br w:val="nil"/>
              <w:tr2bl w:val="nil"/>
            </w:tcBorders>
            <w:shd w:val="clear" w:color="auto" w:fill="auto"/>
            <w:noWrap w:val="0"/>
            <w:vAlign w:val="center"/>
          </w:tcPr>
          <w:p w14:paraId="7BFF35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0.5233</w:t>
            </w:r>
          </w:p>
        </w:tc>
        <w:tc>
          <w:tcPr>
            <w:tcW w:w="641" w:type="pct"/>
            <w:tcBorders>
              <w:tl2br w:val="nil"/>
              <w:tr2bl w:val="nil"/>
            </w:tcBorders>
            <w:shd w:val="clear" w:color="auto" w:fill="auto"/>
            <w:noWrap w:val="0"/>
            <w:vAlign w:val="bottom"/>
          </w:tcPr>
          <w:p w14:paraId="2FB14B6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0.6168</w:t>
            </w:r>
          </w:p>
        </w:tc>
        <w:tc>
          <w:tcPr>
            <w:tcW w:w="644" w:type="pct"/>
            <w:tcBorders>
              <w:tl2br w:val="nil"/>
              <w:tr2bl w:val="nil"/>
            </w:tcBorders>
            <w:shd w:val="clear" w:color="auto" w:fill="auto"/>
            <w:noWrap w:val="0"/>
            <w:vAlign w:val="center"/>
          </w:tcPr>
          <w:p w14:paraId="380469B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6.0928</w:t>
            </w:r>
          </w:p>
        </w:tc>
        <w:tc>
          <w:tcPr>
            <w:tcW w:w="650" w:type="pct"/>
            <w:tcBorders>
              <w:tl2br w:val="nil"/>
              <w:tr2bl w:val="nil"/>
            </w:tcBorders>
            <w:shd w:val="clear" w:color="auto" w:fill="auto"/>
            <w:noWrap w:val="0"/>
            <w:vAlign w:val="center"/>
          </w:tcPr>
          <w:p w14:paraId="2A6F2A0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5.9850</w:t>
            </w:r>
          </w:p>
        </w:tc>
        <w:tc>
          <w:tcPr>
            <w:tcW w:w="730" w:type="pct"/>
            <w:tcBorders>
              <w:tl2br w:val="nil"/>
              <w:tr2bl w:val="nil"/>
            </w:tcBorders>
            <w:shd w:val="clear" w:color="auto" w:fill="auto"/>
            <w:noWrap w:val="0"/>
            <w:vAlign w:val="bottom"/>
          </w:tcPr>
          <w:p w14:paraId="3CD9B67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5.5414</w:t>
            </w:r>
          </w:p>
        </w:tc>
      </w:tr>
      <w:tr w14:paraId="6E62CA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2" w:type="pct"/>
            <w:tcBorders>
              <w:tl2br w:val="nil"/>
              <w:tr2bl w:val="nil"/>
            </w:tcBorders>
            <w:shd w:val="clear" w:color="auto" w:fill="auto"/>
            <w:noWrap w:val="0"/>
            <w:vAlign w:val="center"/>
          </w:tcPr>
          <w:p w14:paraId="20576E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-28.0000</w:t>
            </w:r>
          </w:p>
        </w:tc>
        <w:tc>
          <w:tcPr>
            <w:tcW w:w="668" w:type="pct"/>
            <w:tcBorders>
              <w:tl2br w:val="nil"/>
              <w:tr2bl w:val="nil"/>
            </w:tcBorders>
            <w:shd w:val="clear" w:color="auto" w:fill="auto"/>
            <w:noWrap w:val="0"/>
            <w:vAlign w:val="center"/>
          </w:tcPr>
          <w:p w14:paraId="000267E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0.5379</w:t>
            </w:r>
          </w:p>
        </w:tc>
        <w:tc>
          <w:tcPr>
            <w:tcW w:w="743" w:type="pct"/>
            <w:tcBorders>
              <w:tl2br w:val="nil"/>
              <w:tr2bl w:val="nil"/>
            </w:tcBorders>
            <w:shd w:val="clear" w:color="auto" w:fill="auto"/>
            <w:noWrap w:val="0"/>
            <w:vAlign w:val="center"/>
          </w:tcPr>
          <w:p w14:paraId="7D5CDE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0.5761</w:t>
            </w:r>
          </w:p>
        </w:tc>
        <w:tc>
          <w:tcPr>
            <w:tcW w:w="641" w:type="pct"/>
            <w:tcBorders>
              <w:tl2br w:val="nil"/>
              <w:tr2bl w:val="nil"/>
            </w:tcBorders>
            <w:shd w:val="clear" w:color="auto" w:fill="auto"/>
            <w:noWrap w:val="0"/>
            <w:vAlign w:val="bottom"/>
          </w:tcPr>
          <w:p w14:paraId="6E3ABA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0.6756</w:t>
            </w:r>
          </w:p>
        </w:tc>
        <w:tc>
          <w:tcPr>
            <w:tcW w:w="644" w:type="pct"/>
            <w:tcBorders>
              <w:tl2br w:val="nil"/>
              <w:tr2bl w:val="nil"/>
            </w:tcBorders>
            <w:shd w:val="clear" w:color="auto" w:fill="auto"/>
            <w:noWrap w:val="0"/>
            <w:vAlign w:val="center"/>
          </w:tcPr>
          <w:p w14:paraId="3FE8C32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6.5505</w:t>
            </w:r>
          </w:p>
        </w:tc>
        <w:tc>
          <w:tcPr>
            <w:tcW w:w="650" w:type="pct"/>
            <w:tcBorders>
              <w:tl2br w:val="nil"/>
              <w:tr2bl w:val="nil"/>
            </w:tcBorders>
            <w:shd w:val="clear" w:color="auto" w:fill="auto"/>
            <w:noWrap w:val="0"/>
            <w:vAlign w:val="center"/>
          </w:tcPr>
          <w:p w14:paraId="20986E5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6.4255</w:t>
            </w:r>
          </w:p>
        </w:tc>
        <w:tc>
          <w:tcPr>
            <w:tcW w:w="730" w:type="pct"/>
            <w:tcBorders>
              <w:tl2br w:val="nil"/>
              <w:tr2bl w:val="nil"/>
            </w:tcBorders>
            <w:shd w:val="clear" w:color="auto" w:fill="auto"/>
            <w:noWrap w:val="0"/>
            <w:vAlign w:val="bottom"/>
          </w:tcPr>
          <w:p w14:paraId="1F3B8BD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5.9153</w:t>
            </w:r>
          </w:p>
        </w:tc>
      </w:tr>
      <w:tr w14:paraId="62F3C0A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25704F0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-27.0000</w:t>
            </w:r>
          </w:p>
        </w:tc>
        <w:tc>
          <w:tcPr>
            <w:tcW w:w="668" w:type="pct"/>
            <w:tcBorders>
              <w:tl2br w:val="nil"/>
              <w:tr2bl w:val="nil"/>
            </w:tcBorders>
            <w:shd w:val="clear" w:color="auto" w:fill="auto"/>
            <w:noWrap w:val="0"/>
            <w:vAlign w:val="center"/>
          </w:tcPr>
          <w:p w14:paraId="183DDC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0.5947</w:t>
            </w:r>
          </w:p>
        </w:tc>
        <w:tc>
          <w:tcPr>
            <w:tcW w:w="743" w:type="pct"/>
            <w:tcBorders>
              <w:tl2br w:val="nil"/>
              <w:tr2bl w:val="nil"/>
            </w:tcBorders>
            <w:shd w:val="clear" w:color="auto" w:fill="auto"/>
            <w:noWrap w:val="0"/>
            <w:vAlign w:val="center"/>
          </w:tcPr>
          <w:p w14:paraId="26A5D20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0.6371</w:t>
            </w:r>
          </w:p>
        </w:tc>
        <w:tc>
          <w:tcPr>
            <w:tcW w:w="641" w:type="pct"/>
            <w:tcBorders>
              <w:tl2br w:val="nil"/>
              <w:tr2bl w:val="nil"/>
            </w:tcBorders>
            <w:shd w:val="clear" w:color="auto" w:fill="auto"/>
            <w:noWrap w:val="0"/>
            <w:vAlign w:val="bottom"/>
          </w:tcPr>
          <w:p w14:paraId="24A1868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0.7420</w:t>
            </w:r>
          </w:p>
        </w:tc>
        <w:tc>
          <w:tcPr>
            <w:tcW w:w="644" w:type="pct"/>
            <w:tcBorders>
              <w:tl2br w:val="nil"/>
              <w:tr2bl w:val="nil"/>
            </w:tcBorders>
            <w:shd w:val="clear" w:color="auto" w:fill="auto"/>
            <w:noWrap w:val="0"/>
            <w:vAlign w:val="center"/>
          </w:tcPr>
          <w:p w14:paraId="2CDABCE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7.0615</w:t>
            </w:r>
          </w:p>
        </w:tc>
        <w:tc>
          <w:tcPr>
            <w:tcW w:w="650" w:type="pct"/>
            <w:tcBorders>
              <w:tl2br w:val="nil"/>
              <w:tr2bl w:val="nil"/>
            </w:tcBorders>
            <w:shd w:val="clear" w:color="auto" w:fill="auto"/>
            <w:noWrap w:val="0"/>
            <w:vAlign w:val="center"/>
          </w:tcPr>
          <w:p w14:paraId="3A49D7F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6.9159</w:t>
            </w:r>
          </w:p>
        </w:tc>
        <w:tc>
          <w:tcPr>
            <w:tcW w:w="730" w:type="pct"/>
            <w:tcBorders>
              <w:tl2br w:val="nil"/>
              <w:tr2bl w:val="nil"/>
            </w:tcBorders>
            <w:shd w:val="clear" w:color="auto" w:fill="auto"/>
            <w:noWrap w:val="0"/>
            <w:vAlign w:val="bottom"/>
          </w:tcPr>
          <w:p w14:paraId="7CF9C90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6.3262</w:t>
            </w:r>
          </w:p>
        </w:tc>
      </w:tr>
      <w:tr w14:paraId="3281876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29D009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-26.0000</w:t>
            </w:r>
          </w:p>
        </w:tc>
        <w:tc>
          <w:tcPr>
            <w:tcW w:w="668" w:type="pct"/>
            <w:tcBorders>
              <w:tl2br w:val="nil"/>
              <w:tr2bl w:val="nil"/>
            </w:tcBorders>
            <w:shd w:val="clear" w:color="auto" w:fill="auto"/>
            <w:noWrap w:val="0"/>
            <w:vAlign w:val="center"/>
          </w:tcPr>
          <w:p w14:paraId="2B000E5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0.6608</w:t>
            </w:r>
          </w:p>
        </w:tc>
        <w:tc>
          <w:tcPr>
            <w:tcW w:w="743" w:type="pct"/>
            <w:tcBorders>
              <w:tl2br w:val="nil"/>
              <w:tr2bl w:val="nil"/>
            </w:tcBorders>
            <w:shd w:val="clear" w:color="auto" w:fill="auto"/>
            <w:noWrap w:val="0"/>
            <w:vAlign w:val="center"/>
          </w:tcPr>
          <w:p w14:paraId="66AB4EC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0.7079</w:t>
            </w:r>
          </w:p>
        </w:tc>
        <w:tc>
          <w:tcPr>
            <w:tcW w:w="641" w:type="pct"/>
            <w:tcBorders>
              <w:tl2br w:val="nil"/>
              <w:tr2bl w:val="nil"/>
            </w:tcBorders>
            <w:shd w:val="clear" w:color="auto" w:fill="auto"/>
            <w:noWrap w:val="0"/>
            <w:vAlign w:val="bottom"/>
          </w:tcPr>
          <w:p w14:paraId="3A94A17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0.8172</w:t>
            </w:r>
          </w:p>
        </w:tc>
        <w:tc>
          <w:tcPr>
            <w:tcW w:w="644" w:type="pct"/>
            <w:tcBorders>
              <w:tl2br w:val="nil"/>
              <w:tr2bl w:val="nil"/>
            </w:tcBorders>
            <w:shd w:val="clear" w:color="auto" w:fill="auto"/>
            <w:noWrap w:val="0"/>
            <w:vAlign w:val="center"/>
          </w:tcPr>
          <w:p w14:paraId="11C3B9B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7.6345</w:t>
            </w:r>
          </w:p>
        </w:tc>
        <w:tc>
          <w:tcPr>
            <w:tcW w:w="650" w:type="pct"/>
            <w:tcBorders>
              <w:tl2br w:val="nil"/>
              <w:tr2bl w:val="nil"/>
            </w:tcBorders>
            <w:shd w:val="clear" w:color="auto" w:fill="auto"/>
            <w:noWrap w:val="0"/>
            <w:vAlign w:val="center"/>
          </w:tcPr>
          <w:p w14:paraId="4CAC46C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7.4638</w:t>
            </w:r>
          </w:p>
        </w:tc>
        <w:tc>
          <w:tcPr>
            <w:tcW w:w="730" w:type="pct"/>
            <w:tcBorders>
              <w:tl2br w:val="nil"/>
              <w:tr2bl w:val="nil"/>
            </w:tcBorders>
            <w:shd w:val="clear" w:color="auto" w:fill="auto"/>
            <w:noWrap w:val="0"/>
            <w:vAlign w:val="bottom"/>
          </w:tcPr>
          <w:p w14:paraId="26D079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6.7787</w:t>
            </w:r>
          </w:p>
        </w:tc>
      </w:tr>
      <w:tr w14:paraId="21C7AF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030C5F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-25.0000</w:t>
            </w:r>
          </w:p>
        </w:tc>
        <w:tc>
          <w:tcPr>
            <w:tcW w:w="668" w:type="pct"/>
            <w:tcBorders>
              <w:tl2br w:val="nil"/>
              <w:tr2bl w:val="nil"/>
            </w:tcBorders>
            <w:shd w:val="clear" w:color="auto" w:fill="auto"/>
            <w:noWrap w:val="0"/>
            <w:vAlign w:val="center"/>
          </w:tcPr>
          <w:p w14:paraId="41B24E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0.7385</w:t>
            </w:r>
          </w:p>
        </w:tc>
        <w:tc>
          <w:tcPr>
            <w:tcW w:w="743" w:type="pct"/>
            <w:tcBorders>
              <w:tl2br w:val="nil"/>
              <w:tr2bl w:val="nil"/>
            </w:tcBorders>
            <w:shd w:val="clear" w:color="auto" w:fill="auto"/>
            <w:noWrap w:val="0"/>
            <w:vAlign w:val="center"/>
          </w:tcPr>
          <w:p w14:paraId="612B26E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0.7904</w:t>
            </w:r>
          </w:p>
        </w:tc>
        <w:tc>
          <w:tcPr>
            <w:tcW w:w="641" w:type="pct"/>
            <w:tcBorders>
              <w:tl2br w:val="nil"/>
              <w:tr2bl w:val="nil"/>
            </w:tcBorders>
            <w:shd w:val="clear" w:color="auto" w:fill="auto"/>
            <w:noWrap w:val="0"/>
            <w:vAlign w:val="bottom"/>
          </w:tcPr>
          <w:p w14:paraId="26F9C8A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0.9024</w:t>
            </w:r>
          </w:p>
        </w:tc>
        <w:tc>
          <w:tcPr>
            <w:tcW w:w="644" w:type="pct"/>
            <w:tcBorders>
              <w:tl2br w:val="nil"/>
              <w:tr2bl w:val="nil"/>
            </w:tcBorders>
            <w:shd w:val="clear" w:color="auto" w:fill="auto"/>
            <w:noWrap w:val="0"/>
            <w:vAlign w:val="center"/>
          </w:tcPr>
          <w:p w14:paraId="590300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8.2797</w:t>
            </w:r>
          </w:p>
        </w:tc>
        <w:tc>
          <w:tcPr>
            <w:tcW w:w="650" w:type="pct"/>
            <w:tcBorders>
              <w:tl2br w:val="nil"/>
              <w:tr2bl w:val="nil"/>
            </w:tcBorders>
            <w:shd w:val="clear" w:color="auto" w:fill="auto"/>
            <w:noWrap w:val="0"/>
            <w:vAlign w:val="center"/>
          </w:tcPr>
          <w:p w14:paraId="2636E2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8.0783</w:t>
            </w:r>
          </w:p>
        </w:tc>
        <w:tc>
          <w:tcPr>
            <w:tcW w:w="730" w:type="pct"/>
            <w:tcBorders>
              <w:tl2br w:val="nil"/>
              <w:tr2bl w:val="nil"/>
            </w:tcBorders>
            <w:shd w:val="clear" w:color="auto" w:fill="auto"/>
            <w:noWrap w:val="0"/>
            <w:vAlign w:val="bottom"/>
          </w:tcPr>
          <w:p w14:paraId="009DFF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7.2783</w:t>
            </w:r>
          </w:p>
        </w:tc>
      </w:tr>
      <w:tr w14:paraId="575C2A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E14DD4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-24.0000</w:t>
            </w:r>
          </w:p>
        </w:tc>
        <w:tc>
          <w:tcPr>
            <w:tcW w:w="668" w:type="pct"/>
            <w:tcBorders>
              <w:tl2br w:val="nil"/>
              <w:tr2bl w:val="nil"/>
            </w:tcBorders>
            <w:shd w:val="clear" w:color="auto" w:fill="auto"/>
            <w:noWrap w:val="0"/>
            <w:vAlign w:val="center"/>
          </w:tcPr>
          <w:p w14:paraId="4A37D8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0.8303</w:t>
            </w:r>
          </w:p>
        </w:tc>
        <w:tc>
          <w:tcPr>
            <w:tcW w:w="743" w:type="pct"/>
            <w:tcBorders>
              <w:tl2br w:val="nil"/>
              <w:tr2bl w:val="nil"/>
            </w:tcBorders>
            <w:shd w:val="clear" w:color="auto" w:fill="auto"/>
            <w:noWrap w:val="0"/>
            <w:vAlign w:val="center"/>
          </w:tcPr>
          <w:p w14:paraId="1BDFC58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0.8871</w:t>
            </w:r>
          </w:p>
        </w:tc>
        <w:tc>
          <w:tcPr>
            <w:tcW w:w="641" w:type="pct"/>
            <w:tcBorders>
              <w:tl2br w:val="nil"/>
              <w:tr2bl w:val="nil"/>
            </w:tcBorders>
            <w:shd w:val="clear" w:color="auto" w:fill="auto"/>
            <w:noWrap w:val="0"/>
            <w:vAlign w:val="bottom"/>
          </w:tcPr>
          <w:p w14:paraId="7E91F7C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0.9990</w:t>
            </w:r>
          </w:p>
        </w:tc>
        <w:tc>
          <w:tcPr>
            <w:tcW w:w="644" w:type="pct"/>
            <w:tcBorders>
              <w:tl2br w:val="nil"/>
              <w:tr2bl w:val="nil"/>
            </w:tcBorders>
            <w:shd w:val="clear" w:color="auto" w:fill="auto"/>
            <w:noWrap w:val="0"/>
            <w:vAlign w:val="center"/>
          </w:tcPr>
          <w:p w14:paraId="7CFA15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9.0098</w:t>
            </w:r>
          </w:p>
        </w:tc>
        <w:tc>
          <w:tcPr>
            <w:tcW w:w="650" w:type="pct"/>
            <w:tcBorders>
              <w:tl2br w:val="nil"/>
              <w:tr2bl w:val="nil"/>
            </w:tcBorders>
            <w:shd w:val="clear" w:color="auto" w:fill="auto"/>
            <w:noWrap w:val="0"/>
            <w:vAlign w:val="center"/>
          </w:tcPr>
          <w:p w14:paraId="5B6D335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8.7704</w:t>
            </w:r>
          </w:p>
        </w:tc>
        <w:tc>
          <w:tcPr>
            <w:tcW w:w="730" w:type="pct"/>
            <w:tcBorders>
              <w:tl2br w:val="nil"/>
              <w:tr2bl w:val="nil"/>
            </w:tcBorders>
            <w:shd w:val="clear" w:color="auto" w:fill="auto"/>
            <w:noWrap w:val="0"/>
            <w:vAlign w:val="bottom"/>
          </w:tcPr>
          <w:p w14:paraId="6B48EC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7.8307</w:t>
            </w:r>
          </w:p>
        </w:tc>
      </w:tr>
      <w:tr w14:paraId="47582A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421CF53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-23.0000</w:t>
            </w:r>
          </w:p>
        </w:tc>
        <w:tc>
          <w:tcPr>
            <w:tcW w:w="668" w:type="pct"/>
            <w:tcBorders>
              <w:tl2br w:val="nil"/>
              <w:tr2bl w:val="nil"/>
            </w:tcBorders>
            <w:shd w:val="clear" w:color="auto" w:fill="auto"/>
            <w:noWrap w:val="0"/>
            <w:vAlign w:val="center"/>
          </w:tcPr>
          <w:p w14:paraId="2AF200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0.9393</w:t>
            </w:r>
          </w:p>
        </w:tc>
        <w:tc>
          <w:tcPr>
            <w:tcW w:w="743" w:type="pct"/>
            <w:tcBorders>
              <w:tl2br w:val="nil"/>
              <w:tr2bl w:val="nil"/>
            </w:tcBorders>
            <w:shd w:val="clear" w:color="auto" w:fill="auto"/>
            <w:noWrap w:val="0"/>
            <w:vAlign w:val="center"/>
          </w:tcPr>
          <w:p w14:paraId="180471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1.0009</w:t>
            </w:r>
          </w:p>
        </w:tc>
        <w:tc>
          <w:tcPr>
            <w:tcW w:w="641" w:type="pct"/>
            <w:tcBorders>
              <w:tl2br w:val="nil"/>
              <w:tr2bl w:val="nil"/>
            </w:tcBorders>
            <w:shd w:val="clear" w:color="auto" w:fill="auto"/>
            <w:noWrap w:val="0"/>
            <w:vAlign w:val="bottom"/>
          </w:tcPr>
          <w:p w14:paraId="007EEE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1.1087</w:t>
            </w:r>
          </w:p>
        </w:tc>
        <w:tc>
          <w:tcPr>
            <w:tcW w:w="644" w:type="pct"/>
            <w:tcBorders>
              <w:tl2br w:val="nil"/>
              <w:tr2bl w:val="nil"/>
            </w:tcBorders>
            <w:shd w:val="clear" w:color="auto" w:fill="auto"/>
            <w:noWrap w:val="0"/>
            <w:vAlign w:val="center"/>
          </w:tcPr>
          <w:p w14:paraId="0A63FA7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9.8401</w:t>
            </w:r>
          </w:p>
        </w:tc>
        <w:tc>
          <w:tcPr>
            <w:tcW w:w="650" w:type="pct"/>
            <w:tcBorders>
              <w:tl2br w:val="nil"/>
              <w:tr2bl w:val="nil"/>
            </w:tcBorders>
            <w:shd w:val="clear" w:color="auto" w:fill="auto"/>
            <w:noWrap w:val="0"/>
            <w:vAlign w:val="center"/>
          </w:tcPr>
          <w:p w14:paraId="16E714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9.5533</w:t>
            </w:r>
          </w:p>
        </w:tc>
        <w:tc>
          <w:tcPr>
            <w:tcW w:w="730" w:type="pct"/>
            <w:tcBorders>
              <w:tl2br w:val="nil"/>
              <w:tr2bl w:val="nil"/>
            </w:tcBorders>
            <w:shd w:val="clear" w:color="auto" w:fill="auto"/>
            <w:noWrap w:val="0"/>
            <w:vAlign w:val="bottom"/>
          </w:tcPr>
          <w:p w14:paraId="62C5EAF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8.4429</w:t>
            </w:r>
          </w:p>
        </w:tc>
      </w:tr>
      <w:tr w14:paraId="369207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24DA380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-22.0000</w:t>
            </w:r>
          </w:p>
        </w:tc>
        <w:tc>
          <w:tcPr>
            <w:tcW w:w="668" w:type="pct"/>
            <w:tcBorders>
              <w:tl2br w:val="nil"/>
              <w:tr2bl w:val="nil"/>
            </w:tcBorders>
            <w:shd w:val="clear" w:color="auto" w:fill="auto"/>
            <w:noWrap w:val="0"/>
            <w:vAlign w:val="center"/>
          </w:tcPr>
          <w:p w14:paraId="3BE03E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1.0698</w:t>
            </w:r>
          </w:p>
        </w:tc>
        <w:tc>
          <w:tcPr>
            <w:tcW w:w="743" w:type="pct"/>
            <w:tcBorders>
              <w:tl2br w:val="nil"/>
              <w:tr2bl w:val="nil"/>
            </w:tcBorders>
            <w:shd w:val="clear" w:color="auto" w:fill="auto"/>
            <w:noWrap w:val="0"/>
            <w:vAlign w:val="center"/>
          </w:tcPr>
          <w:p w14:paraId="7A08A3C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1.1355</w:t>
            </w:r>
          </w:p>
        </w:tc>
        <w:tc>
          <w:tcPr>
            <w:tcW w:w="641" w:type="pct"/>
            <w:tcBorders>
              <w:tl2br w:val="nil"/>
              <w:tr2bl w:val="nil"/>
            </w:tcBorders>
            <w:shd w:val="clear" w:color="auto" w:fill="auto"/>
            <w:noWrap w:val="0"/>
            <w:vAlign w:val="bottom"/>
          </w:tcPr>
          <w:p w14:paraId="0B3F010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1.2331</w:t>
            </w:r>
          </w:p>
        </w:tc>
        <w:tc>
          <w:tcPr>
            <w:tcW w:w="644" w:type="pct"/>
            <w:tcBorders>
              <w:tl2br w:val="nil"/>
              <w:tr2bl w:val="nil"/>
            </w:tcBorders>
            <w:shd w:val="clear" w:color="auto" w:fill="auto"/>
            <w:noWrap w:val="0"/>
            <w:vAlign w:val="center"/>
          </w:tcPr>
          <w:p w14:paraId="66E0369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10.7894</w:t>
            </w:r>
          </w:p>
        </w:tc>
        <w:tc>
          <w:tcPr>
            <w:tcW w:w="650" w:type="pct"/>
            <w:tcBorders>
              <w:tl2br w:val="nil"/>
              <w:tr2bl w:val="nil"/>
            </w:tcBorders>
            <w:shd w:val="clear" w:color="auto" w:fill="auto"/>
            <w:noWrap w:val="0"/>
            <w:vAlign w:val="center"/>
          </w:tcPr>
          <w:p w14:paraId="25E9C69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10.4430</w:t>
            </w:r>
          </w:p>
        </w:tc>
        <w:tc>
          <w:tcPr>
            <w:tcW w:w="730" w:type="pct"/>
            <w:tcBorders>
              <w:tl2br w:val="nil"/>
              <w:tr2bl w:val="nil"/>
            </w:tcBorders>
            <w:shd w:val="clear" w:color="auto" w:fill="auto"/>
            <w:noWrap w:val="0"/>
            <w:vAlign w:val="bottom"/>
          </w:tcPr>
          <w:p w14:paraId="3943A7E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9.1225</w:t>
            </w:r>
          </w:p>
        </w:tc>
      </w:tr>
      <w:tr w14:paraId="0FDEB8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17E7C99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-21.0000</w:t>
            </w:r>
          </w:p>
        </w:tc>
        <w:tc>
          <w:tcPr>
            <w:tcW w:w="668" w:type="pct"/>
            <w:tcBorders>
              <w:tl2br w:val="nil"/>
              <w:tr2bl w:val="nil"/>
            </w:tcBorders>
            <w:shd w:val="clear" w:color="auto" w:fill="auto"/>
            <w:noWrap w:val="0"/>
            <w:vAlign w:val="center"/>
          </w:tcPr>
          <w:p w14:paraId="0926AE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1.2268</w:t>
            </w:r>
          </w:p>
        </w:tc>
        <w:tc>
          <w:tcPr>
            <w:tcW w:w="743" w:type="pct"/>
            <w:tcBorders>
              <w:tl2br w:val="nil"/>
              <w:tr2bl w:val="nil"/>
            </w:tcBorders>
            <w:shd w:val="clear" w:color="auto" w:fill="auto"/>
            <w:noWrap w:val="0"/>
            <w:vAlign w:val="center"/>
          </w:tcPr>
          <w:p w14:paraId="4D100D1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1.2954</w:t>
            </w:r>
          </w:p>
        </w:tc>
        <w:tc>
          <w:tcPr>
            <w:tcW w:w="641" w:type="pct"/>
            <w:tcBorders>
              <w:tl2br w:val="nil"/>
              <w:tr2bl w:val="nil"/>
            </w:tcBorders>
            <w:shd w:val="clear" w:color="auto" w:fill="auto"/>
            <w:noWrap w:val="0"/>
            <w:vAlign w:val="bottom"/>
          </w:tcPr>
          <w:p w14:paraId="6EEB763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1.3741</w:t>
            </w:r>
          </w:p>
        </w:tc>
        <w:tc>
          <w:tcPr>
            <w:tcW w:w="644" w:type="pct"/>
            <w:tcBorders>
              <w:tl2br w:val="nil"/>
              <w:tr2bl w:val="nil"/>
            </w:tcBorders>
            <w:shd w:val="clear" w:color="auto" w:fill="auto"/>
            <w:noWrap w:val="0"/>
            <w:vAlign w:val="center"/>
          </w:tcPr>
          <w:p w14:paraId="7DBF8D9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11.8811</w:t>
            </w:r>
          </w:p>
        </w:tc>
        <w:tc>
          <w:tcPr>
            <w:tcW w:w="650" w:type="pct"/>
            <w:tcBorders>
              <w:tl2br w:val="nil"/>
              <w:tr2bl w:val="nil"/>
            </w:tcBorders>
            <w:shd w:val="clear" w:color="auto" w:fill="auto"/>
            <w:noWrap w:val="0"/>
            <w:vAlign w:val="center"/>
          </w:tcPr>
          <w:p w14:paraId="33BEB2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11.4586</w:t>
            </w:r>
          </w:p>
        </w:tc>
        <w:tc>
          <w:tcPr>
            <w:tcW w:w="730" w:type="pct"/>
            <w:tcBorders>
              <w:tl2br w:val="nil"/>
              <w:tr2bl w:val="nil"/>
            </w:tcBorders>
            <w:shd w:val="clear" w:color="auto" w:fill="auto"/>
            <w:noWrap w:val="0"/>
            <w:vAlign w:val="bottom"/>
          </w:tcPr>
          <w:p w14:paraId="73560CC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9.8779</w:t>
            </w:r>
          </w:p>
        </w:tc>
      </w:tr>
      <w:tr w14:paraId="663CEF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268C50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-20.0000</w:t>
            </w:r>
          </w:p>
        </w:tc>
        <w:tc>
          <w:tcPr>
            <w:tcW w:w="668" w:type="pct"/>
            <w:tcBorders>
              <w:tl2br w:val="nil"/>
              <w:tr2bl w:val="nil"/>
            </w:tcBorders>
            <w:shd w:val="clear" w:color="auto" w:fill="auto"/>
            <w:noWrap w:val="0"/>
            <w:vAlign w:val="center"/>
          </w:tcPr>
          <w:p w14:paraId="41CD48C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1.4170</w:t>
            </w:r>
          </w:p>
        </w:tc>
        <w:tc>
          <w:tcPr>
            <w:tcW w:w="743" w:type="pct"/>
            <w:tcBorders>
              <w:tl2br w:val="nil"/>
              <w:tr2bl w:val="nil"/>
            </w:tcBorders>
            <w:shd w:val="clear" w:color="auto" w:fill="auto"/>
            <w:noWrap w:val="0"/>
            <w:vAlign w:val="center"/>
          </w:tcPr>
          <w:p w14:paraId="1CE464B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1.4861</w:t>
            </w:r>
          </w:p>
        </w:tc>
        <w:tc>
          <w:tcPr>
            <w:tcW w:w="641" w:type="pct"/>
            <w:tcBorders>
              <w:tl2br w:val="nil"/>
              <w:tr2bl w:val="nil"/>
            </w:tcBorders>
            <w:shd w:val="clear" w:color="auto" w:fill="auto"/>
            <w:noWrap w:val="0"/>
            <w:vAlign w:val="bottom"/>
          </w:tcPr>
          <w:p w14:paraId="618C8F0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1.5335</w:t>
            </w:r>
          </w:p>
        </w:tc>
        <w:tc>
          <w:tcPr>
            <w:tcW w:w="644" w:type="pct"/>
            <w:tcBorders>
              <w:tl2br w:val="nil"/>
              <w:tr2bl w:val="nil"/>
            </w:tcBorders>
            <w:shd w:val="clear" w:color="auto" w:fill="auto"/>
            <w:noWrap w:val="0"/>
            <w:vAlign w:val="center"/>
          </w:tcPr>
          <w:p w14:paraId="102683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13.1441</w:t>
            </w:r>
          </w:p>
        </w:tc>
        <w:tc>
          <w:tcPr>
            <w:tcW w:w="650" w:type="pct"/>
            <w:tcBorders>
              <w:tl2br w:val="nil"/>
              <w:tr2bl w:val="nil"/>
            </w:tcBorders>
            <w:shd w:val="clear" w:color="auto" w:fill="auto"/>
            <w:noWrap w:val="0"/>
            <w:vAlign w:val="center"/>
          </w:tcPr>
          <w:p w14:paraId="45B5F44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12.6238</w:t>
            </w:r>
          </w:p>
        </w:tc>
        <w:tc>
          <w:tcPr>
            <w:tcW w:w="730" w:type="pct"/>
            <w:tcBorders>
              <w:tl2br w:val="nil"/>
              <w:tr2bl w:val="nil"/>
            </w:tcBorders>
            <w:shd w:val="clear" w:color="auto" w:fill="auto"/>
            <w:noWrap w:val="0"/>
            <w:vAlign w:val="bottom"/>
          </w:tcPr>
          <w:p w14:paraId="3426629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10.7185</w:t>
            </w:r>
          </w:p>
        </w:tc>
      </w:tr>
      <w:tr w14:paraId="68E63D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DD43C1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-19.0000</w:t>
            </w:r>
          </w:p>
        </w:tc>
        <w:tc>
          <w:tcPr>
            <w:tcW w:w="668" w:type="pct"/>
            <w:tcBorders>
              <w:tl2br w:val="nil"/>
              <w:tr2bl w:val="nil"/>
            </w:tcBorders>
            <w:shd w:val="clear" w:color="auto" w:fill="auto"/>
            <w:noWrap w:val="0"/>
            <w:vAlign w:val="center"/>
          </w:tcPr>
          <w:p w14:paraId="6B82566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1.6488</w:t>
            </w:r>
          </w:p>
        </w:tc>
        <w:tc>
          <w:tcPr>
            <w:tcW w:w="743" w:type="pct"/>
            <w:tcBorders>
              <w:tl2br w:val="nil"/>
              <w:tr2bl w:val="nil"/>
            </w:tcBorders>
            <w:shd w:val="clear" w:color="auto" w:fill="auto"/>
            <w:noWrap w:val="0"/>
            <w:vAlign w:val="center"/>
          </w:tcPr>
          <w:p w14:paraId="16271E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1.7142</w:t>
            </w:r>
          </w:p>
        </w:tc>
        <w:tc>
          <w:tcPr>
            <w:tcW w:w="641" w:type="pct"/>
            <w:tcBorders>
              <w:tl2br w:val="nil"/>
              <w:tr2bl w:val="nil"/>
            </w:tcBorders>
            <w:shd w:val="clear" w:color="auto" w:fill="auto"/>
            <w:noWrap w:val="0"/>
            <w:vAlign w:val="bottom"/>
          </w:tcPr>
          <w:p w14:paraId="6360820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1.7130</w:t>
            </w:r>
          </w:p>
        </w:tc>
        <w:tc>
          <w:tcPr>
            <w:tcW w:w="644" w:type="pct"/>
            <w:tcBorders>
              <w:tl2br w:val="nil"/>
              <w:tr2bl w:val="nil"/>
            </w:tcBorders>
            <w:shd w:val="clear" w:color="auto" w:fill="auto"/>
            <w:noWrap w:val="0"/>
            <w:vAlign w:val="center"/>
          </w:tcPr>
          <w:p w14:paraId="54C0C3A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14.6148</w:t>
            </w:r>
          </w:p>
        </w:tc>
        <w:tc>
          <w:tcPr>
            <w:tcW w:w="650" w:type="pct"/>
            <w:tcBorders>
              <w:tl2br w:val="nil"/>
              <w:tr2bl w:val="nil"/>
            </w:tcBorders>
            <w:shd w:val="clear" w:color="auto" w:fill="auto"/>
            <w:noWrap w:val="0"/>
            <w:vAlign w:val="center"/>
          </w:tcPr>
          <w:p w14:paraId="68C2C61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13.9670</w:t>
            </w:r>
          </w:p>
        </w:tc>
        <w:tc>
          <w:tcPr>
            <w:tcW w:w="730" w:type="pct"/>
            <w:tcBorders>
              <w:tl2br w:val="nil"/>
              <w:tr2bl w:val="nil"/>
            </w:tcBorders>
            <w:shd w:val="clear" w:color="auto" w:fill="auto"/>
            <w:noWrap w:val="0"/>
            <w:vAlign w:val="bottom"/>
          </w:tcPr>
          <w:p w14:paraId="2CC5A5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11.6539</w:t>
            </w:r>
          </w:p>
        </w:tc>
      </w:tr>
      <w:tr w14:paraId="0B1AE64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1E6C206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-18.0000</w:t>
            </w:r>
          </w:p>
        </w:tc>
        <w:tc>
          <w:tcPr>
            <w:tcW w:w="668" w:type="pct"/>
            <w:tcBorders>
              <w:tl2br w:val="nil"/>
              <w:tr2bl w:val="nil"/>
            </w:tcBorders>
            <w:shd w:val="clear" w:color="auto" w:fill="auto"/>
            <w:noWrap w:val="0"/>
            <w:vAlign w:val="center"/>
          </w:tcPr>
          <w:p w14:paraId="0EB525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1.9325</w:t>
            </w:r>
          </w:p>
        </w:tc>
        <w:tc>
          <w:tcPr>
            <w:tcW w:w="743" w:type="pct"/>
            <w:tcBorders>
              <w:tl2br w:val="nil"/>
              <w:tr2bl w:val="nil"/>
            </w:tcBorders>
            <w:shd w:val="clear" w:color="auto" w:fill="auto"/>
            <w:noWrap w:val="0"/>
            <w:vAlign w:val="center"/>
          </w:tcPr>
          <w:p w14:paraId="40780B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1.9877</w:t>
            </w:r>
          </w:p>
        </w:tc>
        <w:tc>
          <w:tcPr>
            <w:tcW w:w="641" w:type="pct"/>
            <w:tcBorders>
              <w:tl2br w:val="nil"/>
              <w:tr2bl w:val="nil"/>
            </w:tcBorders>
            <w:shd w:val="clear" w:color="auto" w:fill="auto"/>
            <w:noWrap w:val="0"/>
            <w:vAlign w:val="bottom"/>
          </w:tcPr>
          <w:p w14:paraId="78266DF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1.9138</w:t>
            </w:r>
          </w:p>
        </w:tc>
        <w:tc>
          <w:tcPr>
            <w:tcW w:w="644" w:type="pct"/>
            <w:tcBorders>
              <w:tl2br w:val="nil"/>
              <w:tr2bl w:val="nil"/>
            </w:tcBorders>
            <w:shd w:val="clear" w:color="auto" w:fill="auto"/>
            <w:noWrap w:val="0"/>
            <w:vAlign w:val="center"/>
          </w:tcPr>
          <w:p w14:paraId="0FD564C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16.3389</w:t>
            </w:r>
          </w:p>
        </w:tc>
        <w:tc>
          <w:tcPr>
            <w:tcW w:w="650" w:type="pct"/>
            <w:tcBorders>
              <w:tl2br w:val="nil"/>
              <w:tr2bl w:val="nil"/>
            </w:tcBorders>
            <w:shd w:val="clear" w:color="auto" w:fill="auto"/>
            <w:noWrap w:val="0"/>
            <w:vAlign w:val="center"/>
          </w:tcPr>
          <w:p w14:paraId="6958B15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15.5229</w:t>
            </w:r>
          </w:p>
        </w:tc>
        <w:tc>
          <w:tcPr>
            <w:tcW w:w="730" w:type="pct"/>
            <w:tcBorders>
              <w:tl2br w:val="nil"/>
              <w:tr2bl w:val="nil"/>
            </w:tcBorders>
            <w:shd w:val="clear" w:color="auto" w:fill="auto"/>
            <w:noWrap w:val="0"/>
            <w:vAlign w:val="bottom"/>
          </w:tcPr>
          <w:p w14:paraId="462CB4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12.6945</w:t>
            </w:r>
          </w:p>
        </w:tc>
      </w:tr>
      <w:tr w14:paraId="2D59D4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F7F1E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-17.0000</w:t>
            </w:r>
          </w:p>
        </w:tc>
        <w:tc>
          <w:tcPr>
            <w:tcW w:w="668" w:type="pct"/>
            <w:tcBorders>
              <w:tl2br w:val="nil"/>
              <w:tr2bl w:val="nil"/>
            </w:tcBorders>
            <w:shd w:val="clear" w:color="auto" w:fill="auto"/>
            <w:noWrap w:val="0"/>
            <w:vAlign w:val="center"/>
          </w:tcPr>
          <w:p w14:paraId="3D2E5B0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2.2812</w:t>
            </w:r>
          </w:p>
        </w:tc>
        <w:tc>
          <w:tcPr>
            <w:tcW w:w="743" w:type="pct"/>
            <w:tcBorders>
              <w:tl2br w:val="nil"/>
              <w:tr2bl w:val="nil"/>
            </w:tcBorders>
            <w:shd w:val="clear" w:color="auto" w:fill="auto"/>
            <w:noWrap w:val="0"/>
            <w:vAlign w:val="center"/>
          </w:tcPr>
          <w:p w14:paraId="064DF0F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2.3157</w:t>
            </w:r>
          </w:p>
        </w:tc>
        <w:tc>
          <w:tcPr>
            <w:tcW w:w="641" w:type="pct"/>
            <w:tcBorders>
              <w:tl2br w:val="nil"/>
              <w:tr2bl w:val="nil"/>
            </w:tcBorders>
            <w:shd w:val="clear" w:color="auto" w:fill="auto"/>
            <w:noWrap w:val="0"/>
            <w:vAlign w:val="bottom"/>
          </w:tcPr>
          <w:p w14:paraId="566C146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2.1362</w:t>
            </w:r>
          </w:p>
        </w:tc>
        <w:tc>
          <w:tcPr>
            <w:tcW w:w="644" w:type="pct"/>
            <w:tcBorders>
              <w:tl2br w:val="nil"/>
              <w:tr2bl w:val="nil"/>
            </w:tcBorders>
            <w:shd w:val="clear" w:color="auto" w:fill="auto"/>
            <w:noWrap w:val="0"/>
            <w:vAlign w:val="center"/>
          </w:tcPr>
          <w:p w14:paraId="7B3082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18.3738</w:t>
            </w:r>
          </w:p>
        </w:tc>
        <w:tc>
          <w:tcPr>
            <w:tcW w:w="650" w:type="pct"/>
            <w:tcBorders>
              <w:tl2br w:val="nil"/>
              <w:tr2bl w:val="nil"/>
            </w:tcBorders>
            <w:shd w:val="clear" w:color="auto" w:fill="auto"/>
            <w:noWrap w:val="0"/>
            <w:vAlign w:val="center"/>
          </w:tcPr>
          <w:p w14:paraId="463E0A7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17.3327</w:t>
            </w:r>
          </w:p>
        </w:tc>
        <w:tc>
          <w:tcPr>
            <w:tcW w:w="730" w:type="pct"/>
            <w:tcBorders>
              <w:tl2br w:val="nil"/>
              <w:tr2bl w:val="nil"/>
            </w:tcBorders>
            <w:shd w:val="clear" w:color="auto" w:fill="auto"/>
            <w:noWrap w:val="0"/>
            <w:vAlign w:val="bottom"/>
          </w:tcPr>
          <w:p w14:paraId="7AAD2F5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13.8499</w:t>
            </w:r>
          </w:p>
        </w:tc>
      </w:tr>
      <w:tr w14:paraId="5890C5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6D6EFD8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-16.0000</w:t>
            </w:r>
          </w:p>
        </w:tc>
        <w:tc>
          <w:tcPr>
            <w:tcW w:w="668" w:type="pct"/>
            <w:tcBorders>
              <w:tl2br w:val="nil"/>
              <w:tr2bl w:val="nil"/>
            </w:tcBorders>
            <w:shd w:val="clear" w:color="auto" w:fill="auto"/>
            <w:noWrap w:val="0"/>
            <w:vAlign w:val="center"/>
          </w:tcPr>
          <w:p w14:paraId="7256DF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2.7108</w:t>
            </w:r>
          </w:p>
        </w:tc>
        <w:tc>
          <w:tcPr>
            <w:tcW w:w="743" w:type="pct"/>
            <w:tcBorders>
              <w:tl2br w:val="nil"/>
              <w:tr2bl w:val="nil"/>
            </w:tcBorders>
            <w:shd w:val="clear" w:color="auto" w:fill="auto"/>
            <w:noWrap w:val="0"/>
            <w:vAlign w:val="center"/>
          </w:tcPr>
          <w:p w14:paraId="5F2CCCA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2.7082</w:t>
            </w:r>
          </w:p>
        </w:tc>
        <w:tc>
          <w:tcPr>
            <w:tcW w:w="641" w:type="pct"/>
            <w:tcBorders>
              <w:tl2br w:val="nil"/>
              <w:tr2bl w:val="nil"/>
            </w:tcBorders>
            <w:shd w:val="clear" w:color="auto" w:fill="auto"/>
            <w:noWrap w:val="0"/>
            <w:vAlign w:val="bottom"/>
          </w:tcPr>
          <w:p w14:paraId="1577CB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2.3795</w:t>
            </w:r>
          </w:p>
        </w:tc>
        <w:tc>
          <w:tcPr>
            <w:tcW w:w="644" w:type="pct"/>
            <w:tcBorders>
              <w:tl2br w:val="nil"/>
              <w:tr2bl w:val="nil"/>
            </w:tcBorders>
            <w:shd w:val="clear" w:color="auto" w:fill="auto"/>
            <w:noWrap w:val="0"/>
            <w:vAlign w:val="center"/>
          </w:tcPr>
          <w:p w14:paraId="7B39CDC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20.7912</w:t>
            </w:r>
          </w:p>
        </w:tc>
        <w:tc>
          <w:tcPr>
            <w:tcW w:w="650" w:type="pct"/>
            <w:tcBorders>
              <w:tl2br w:val="nil"/>
              <w:tr2bl w:val="nil"/>
            </w:tcBorders>
            <w:shd w:val="clear" w:color="auto" w:fill="auto"/>
            <w:noWrap w:val="0"/>
            <w:vAlign w:val="center"/>
          </w:tcPr>
          <w:p w14:paraId="4ABEF45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19.4454</w:t>
            </w:r>
          </w:p>
        </w:tc>
        <w:tc>
          <w:tcPr>
            <w:tcW w:w="730" w:type="pct"/>
            <w:tcBorders>
              <w:tl2br w:val="nil"/>
              <w:tr2bl w:val="nil"/>
            </w:tcBorders>
            <w:shd w:val="clear" w:color="auto" w:fill="auto"/>
            <w:noWrap w:val="0"/>
            <w:vAlign w:val="bottom"/>
          </w:tcPr>
          <w:p w14:paraId="5FAC1B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15.1282</w:t>
            </w:r>
          </w:p>
        </w:tc>
      </w:tr>
      <w:tr w14:paraId="7C0FDE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22" w:type="pct"/>
            <w:tcBorders>
              <w:tl2br w:val="nil"/>
              <w:tr2bl w:val="nil"/>
            </w:tcBorders>
            <w:shd w:val="clear" w:color="auto" w:fill="auto"/>
            <w:noWrap w:val="0"/>
            <w:vAlign w:val="center"/>
          </w:tcPr>
          <w:p w14:paraId="7A6499B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-15.0000</w:t>
            </w:r>
          </w:p>
        </w:tc>
        <w:tc>
          <w:tcPr>
            <w:tcW w:w="668" w:type="pct"/>
            <w:tcBorders>
              <w:tl2br w:val="nil"/>
              <w:tr2bl w:val="nil"/>
            </w:tcBorders>
            <w:shd w:val="clear" w:color="auto" w:fill="auto"/>
            <w:noWrap w:val="0"/>
            <w:vAlign w:val="center"/>
          </w:tcPr>
          <w:p w14:paraId="0BA284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3.2397</w:t>
            </w:r>
          </w:p>
        </w:tc>
        <w:tc>
          <w:tcPr>
            <w:tcW w:w="743" w:type="pct"/>
            <w:tcBorders>
              <w:tl2br w:val="nil"/>
              <w:tr2bl w:val="nil"/>
            </w:tcBorders>
            <w:shd w:val="clear" w:color="auto" w:fill="auto"/>
            <w:noWrap w:val="0"/>
            <w:vAlign w:val="center"/>
          </w:tcPr>
          <w:p w14:paraId="117E46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3.1750</w:t>
            </w:r>
          </w:p>
        </w:tc>
        <w:tc>
          <w:tcPr>
            <w:tcW w:w="641" w:type="pct"/>
            <w:tcBorders>
              <w:tl2br w:val="nil"/>
              <w:tr2bl w:val="nil"/>
            </w:tcBorders>
            <w:shd w:val="clear" w:color="auto" w:fill="auto"/>
            <w:noWrap w:val="0"/>
            <w:vAlign w:val="bottom"/>
          </w:tcPr>
          <w:p w14:paraId="0B77CBD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2.6406</w:t>
            </w:r>
          </w:p>
        </w:tc>
        <w:tc>
          <w:tcPr>
            <w:tcW w:w="644" w:type="pct"/>
            <w:tcBorders>
              <w:tl2br w:val="nil"/>
              <w:tr2bl w:val="nil"/>
            </w:tcBorders>
            <w:shd w:val="clear" w:color="auto" w:fill="auto"/>
            <w:noWrap w:val="0"/>
            <w:vAlign w:val="center"/>
          </w:tcPr>
          <w:p w14:paraId="74FD34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23.6796</w:t>
            </w:r>
          </w:p>
        </w:tc>
        <w:tc>
          <w:tcPr>
            <w:tcW w:w="650" w:type="pct"/>
            <w:tcBorders>
              <w:tl2br w:val="nil"/>
              <w:tr2bl w:val="nil"/>
            </w:tcBorders>
            <w:shd w:val="clear" w:color="auto" w:fill="auto"/>
            <w:noWrap w:val="0"/>
            <w:vAlign w:val="center"/>
          </w:tcPr>
          <w:p w14:paraId="4DDF04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21.9164</w:t>
            </w:r>
          </w:p>
        </w:tc>
        <w:tc>
          <w:tcPr>
            <w:tcW w:w="730" w:type="pct"/>
            <w:tcBorders>
              <w:tl2br w:val="nil"/>
              <w:tr2bl w:val="nil"/>
            </w:tcBorders>
            <w:shd w:val="clear" w:color="auto" w:fill="auto"/>
            <w:noWrap w:val="0"/>
            <w:vAlign w:val="bottom"/>
          </w:tcPr>
          <w:p w14:paraId="1D6CC0F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16.5347</w:t>
            </w:r>
          </w:p>
        </w:tc>
      </w:tr>
      <w:tr w14:paraId="17050A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00B888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-14.0000</w:t>
            </w:r>
          </w:p>
        </w:tc>
        <w:tc>
          <w:tcPr>
            <w:tcW w:w="668" w:type="pct"/>
            <w:tcBorders>
              <w:tl2br w:val="nil"/>
              <w:tr2bl w:val="nil"/>
            </w:tcBorders>
            <w:shd w:val="clear" w:color="auto" w:fill="auto"/>
            <w:noWrap w:val="0"/>
            <w:vAlign w:val="center"/>
          </w:tcPr>
          <w:p w14:paraId="17068D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3.8873</w:t>
            </w:r>
          </w:p>
        </w:tc>
        <w:tc>
          <w:tcPr>
            <w:tcW w:w="743" w:type="pct"/>
            <w:tcBorders>
              <w:tl2br w:val="nil"/>
              <w:tr2bl w:val="nil"/>
            </w:tcBorders>
            <w:shd w:val="clear" w:color="auto" w:fill="auto"/>
            <w:noWrap w:val="0"/>
            <w:vAlign w:val="center"/>
          </w:tcPr>
          <w:p w14:paraId="5C9FC5A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3.7238</w:t>
            </w:r>
          </w:p>
        </w:tc>
        <w:tc>
          <w:tcPr>
            <w:tcW w:w="641" w:type="pct"/>
            <w:tcBorders>
              <w:tl2br w:val="nil"/>
              <w:tr2bl w:val="nil"/>
            </w:tcBorders>
            <w:shd w:val="clear" w:color="auto" w:fill="auto"/>
            <w:noWrap w:val="0"/>
            <w:vAlign w:val="bottom"/>
          </w:tcPr>
          <w:p w14:paraId="4D296F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2.9134</w:t>
            </w:r>
          </w:p>
        </w:tc>
        <w:tc>
          <w:tcPr>
            <w:tcW w:w="644" w:type="pct"/>
            <w:tcBorders>
              <w:tl2br w:val="nil"/>
              <w:tr2bl w:val="nil"/>
            </w:tcBorders>
            <w:shd w:val="clear" w:color="auto" w:fill="auto"/>
            <w:noWrap w:val="0"/>
            <w:vAlign w:val="center"/>
          </w:tcPr>
          <w:p w14:paraId="6DDEB38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27.1445</w:t>
            </w:r>
          </w:p>
        </w:tc>
        <w:tc>
          <w:tcPr>
            <w:tcW w:w="650" w:type="pct"/>
            <w:tcBorders>
              <w:tl2br w:val="nil"/>
              <w:tr2bl w:val="nil"/>
            </w:tcBorders>
            <w:shd w:val="clear" w:color="auto" w:fill="auto"/>
            <w:noWrap w:val="0"/>
            <w:vAlign w:val="center"/>
          </w:tcPr>
          <w:p w14:paraId="6A7165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24.8040</w:t>
            </w:r>
          </w:p>
        </w:tc>
        <w:tc>
          <w:tcPr>
            <w:tcW w:w="730" w:type="pct"/>
            <w:tcBorders>
              <w:tl2br w:val="nil"/>
              <w:tr2bl w:val="nil"/>
            </w:tcBorders>
            <w:shd w:val="clear" w:color="auto" w:fill="auto"/>
            <w:noWrap w:val="0"/>
            <w:vAlign w:val="bottom"/>
          </w:tcPr>
          <w:p w14:paraId="6961FD5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18.0689</w:t>
            </w:r>
          </w:p>
        </w:tc>
      </w:tr>
      <w:tr w14:paraId="7B577B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3D9AD7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-13.0000</w:t>
            </w:r>
          </w:p>
        </w:tc>
        <w:tc>
          <w:tcPr>
            <w:tcW w:w="668" w:type="pct"/>
            <w:tcBorders>
              <w:tl2br w:val="nil"/>
              <w:tr2bl w:val="nil"/>
            </w:tcBorders>
            <w:shd w:val="clear" w:color="auto" w:fill="auto"/>
            <w:noWrap w:val="0"/>
            <w:vAlign w:val="center"/>
          </w:tcPr>
          <w:p w14:paraId="0C4E74C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4.6704</w:t>
            </w:r>
          </w:p>
        </w:tc>
        <w:tc>
          <w:tcPr>
            <w:tcW w:w="743" w:type="pct"/>
            <w:tcBorders>
              <w:tl2br w:val="nil"/>
              <w:tr2bl w:val="nil"/>
            </w:tcBorders>
            <w:shd w:val="clear" w:color="auto" w:fill="auto"/>
            <w:noWrap w:val="0"/>
            <w:vAlign w:val="center"/>
          </w:tcPr>
          <w:p w14:paraId="326B694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4.3559</w:t>
            </w:r>
          </w:p>
        </w:tc>
        <w:tc>
          <w:tcPr>
            <w:tcW w:w="641" w:type="pct"/>
            <w:tcBorders>
              <w:tl2br w:val="nil"/>
              <w:tr2bl w:val="nil"/>
            </w:tcBorders>
            <w:shd w:val="clear" w:color="auto" w:fill="auto"/>
            <w:noWrap w:val="0"/>
            <w:vAlign w:val="bottom"/>
          </w:tcPr>
          <w:p w14:paraId="3062E8E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3.1879</w:t>
            </w:r>
          </w:p>
        </w:tc>
        <w:tc>
          <w:tcPr>
            <w:tcW w:w="644" w:type="pct"/>
            <w:tcBorders>
              <w:tl2br w:val="nil"/>
              <w:tr2bl w:val="nil"/>
            </w:tcBorders>
            <w:shd w:val="clear" w:color="auto" w:fill="auto"/>
            <w:noWrap w:val="0"/>
            <w:vAlign w:val="center"/>
          </w:tcPr>
          <w:p w14:paraId="402DE41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31.3021</w:t>
            </w:r>
          </w:p>
        </w:tc>
        <w:tc>
          <w:tcPr>
            <w:tcW w:w="650" w:type="pct"/>
            <w:tcBorders>
              <w:tl2br w:val="nil"/>
              <w:tr2bl w:val="nil"/>
            </w:tcBorders>
            <w:shd w:val="clear" w:color="auto" w:fill="auto"/>
            <w:noWrap w:val="0"/>
            <w:vAlign w:val="center"/>
          </w:tcPr>
          <w:p w14:paraId="58A4B8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28.1610</w:t>
            </w:r>
          </w:p>
        </w:tc>
        <w:tc>
          <w:tcPr>
            <w:tcW w:w="730" w:type="pct"/>
            <w:tcBorders>
              <w:tl2br w:val="nil"/>
              <w:tr2bl w:val="nil"/>
            </w:tcBorders>
            <w:shd w:val="clear" w:color="auto" w:fill="auto"/>
            <w:noWrap w:val="0"/>
            <w:vAlign w:val="bottom"/>
          </w:tcPr>
          <w:p w14:paraId="7C9889F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19.7219</w:t>
            </w:r>
          </w:p>
        </w:tc>
      </w:tr>
      <w:tr w14:paraId="3ED9E2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540CDDE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-12.0000</w:t>
            </w:r>
          </w:p>
        </w:tc>
        <w:tc>
          <w:tcPr>
            <w:tcW w:w="668" w:type="pct"/>
            <w:tcBorders>
              <w:tl2br w:val="nil"/>
              <w:tr2bl w:val="nil"/>
            </w:tcBorders>
            <w:shd w:val="clear" w:color="auto" w:fill="auto"/>
            <w:noWrap w:val="0"/>
            <w:vAlign w:val="center"/>
          </w:tcPr>
          <w:p w14:paraId="03EA8F9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5.5937</w:t>
            </w:r>
          </w:p>
        </w:tc>
        <w:tc>
          <w:tcPr>
            <w:tcW w:w="743" w:type="pct"/>
            <w:tcBorders>
              <w:tl2br w:val="nil"/>
              <w:tr2bl w:val="nil"/>
            </w:tcBorders>
            <w:shd w:val="clear" w:color="auto" w:fill="auto"/>
            <w:noWrap w:val="0"/>
            <w:vAlign w:val="center"/>
          </w:tcPr>
          <w:p w14:paraId="48B553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5.0596</w:t>
            </w:r>
          </w:p>
        </w:tc>
        <w:tc>
          <w:tcPr>
            <w:tcW w:w="641" w:type="pct"/>
            <w:tcBorders>
              <w:tl2br w:val="nil"/>
              <w:tr2bl w:val="nil"/>
            </w:tcBorders>
            <w:shd w:val="clear" w:color="auto" w:fill="auto"/>
            <w:noWrap w:val="0"/>
            <w:vAlign w:val="bottom"/>
          </w:tcPr>
          <w:p w14:paraId="5C02E35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3.4493</w:t>
            </w:r>
          </w:p>
        </w:tc>
        <w:tc>
          <w:tcPr>
            <w:tcW w:w="644" w:type="pct"/>
            <w:tcBorders>
              <w:tl2br w:val="nil"/>
              <w:tr2bl w:val="nil"/>
            </w:tcBorders>
            <w:shd w:val="clear" w:color="auto" w:fill="auto"/>
            <w:noWrap w:val="0"/>
            <w:vAlign w:val="center"/>
          </w:tcPr>
          <w:p w14:paraId="2575C8B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36.2590</w:t>
            </w:r>
          </w:p>
        </w:tc>
        <w:tc>
          <w:tcPr>
            <w:tcW w:w="650" w:type="pct"/>
            <w:tcBorders>
              <w:tl2br w:val="nil"/>
              <w:tr2bl w:val="nil"/>
            </w:tcBorders>
            <w:shd w:val="clear" w:color="auto" w:fill="auto"/>
            <w:noWrap w:val="0"/>
            <w:vAlign w:val="center"/>
          </w:tcPr>
          <w:p w14:paraId="4CCF2B5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32.0155</w:t>
            </w:r>
          </w:p>
        </w:tc>
        <w:tc>
          <w:tcPr>
            <w:tcW w:w="730" w:type="pct"/>
            <w:tcBorders>
              <w:tl2br w:val="nil"/>
              <w:tr2bl w:val="nil"/>
            </w:tcBorders>
            <w:shd w:val="clear" w:color="auto" w:fill="auto"/>
            <w:noWrap w:val="0"/>
            <w:vAlign w:val="bottom"/>
          </w:tcPr>
          <w:p w14:paraId="62ABB71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21.4730</w:t>
            </w:r>
          </w:p>
        </w:tc>
      </w:tr>
      <w:tr w14:paraId="1D26AA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464BE3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-11.0000</w:t>
            </w:r>
          </w:p>
        </w:tc>
        <w:tc>
          <w:tcPr>
            <w:tcW w:w="668" w:type="pct"/>
            <w:tcBorders>
              <w:tl2br w:val="nil"/>
              <w:tr2bl w:val="nil"/>
            </w:tcBorders>
            <w:shd w:val="clear" w:color="auto" w:fill="auto"/>
            <w:noWrap w:val="0"/>
            <w:vAlign w:val="center"/>
          </w:tcPr>
          <w:p w14:paraId="2C539AC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6.6337</w:t>
            </w:r>
          </w:p>
        </w:tc>
        <w:tc>
          <w:tcPr>
            <w:tcW w:w="743" w:type="pct"/>
            <w:tcBorders>
              <w:tl2br w:val="nil"/>
              <w:tr2bl w:val="nil"/>
            </w:tcBorders>
            <w:shd w:val="clear" w:color="auto" w:fill="auto"/>
            <w:noWrap w:val="0"/>
            <w:vAlign w:val="center"/>
          </w:tcPr>
          <w:p w14:paraId="57A4988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5.8002</w:t>
            </w:r>
          </w:p>
        </w:tc>
        <w:tc>
          <w:tcPr>
            <w:tcW w:w="641" w:type="pct"/>
            <w:tcBorders>
              <w:tl2br w:val="nil"/>
              <w:tr2bl w:val="nil"/>
            </w:tcBorders>
            <w:shd w:val="clear" w:color="auto" w:fill="auto"/>
            <w:noWrap w:val="0"/>
            <w:vAlign w:val="bottom"/>
          </w:tcPr>
          <w:p w14:paraId="26AA194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3.6778</w:t>
            </w:r>
          </w:p>
        </w:tc>
        <w:tc>
          <w:tcPr>
            <w:tcW w:w="644" w:type="pct"/>
            <w:tcBorders>
              <w:tl2br w:val="nil"/>
              <w:tr2bl w:val="nil"/>
            </w:tcBorders>
            <w:shd w:val="clear" w:color="auto" w:fill="auto"/>
            <w:noWrap w:val="0"/>
            <w:vAlign w:val="center"/>
          </w:tcPr>
          <w:p w14:paraId="4D8E7FA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42.0606</w:t>
            </w:r>
          </w:p>
        </w:tc>
        <w:tc>
          <w:tcPr>
            <w:tcW w:w="650" w:type="pct"/>
            <w:tcBorders>
              <w:tl2br w:val="nil"/>
              <w:tr2bl w:val="nil"/>
            </w:tcBorders>
            <w:shd w:val="clear" w:color="auto" w:fill="auto"/>
            <w:noWrap w:val="0"/>
            <w:vAlign w:val="center"/>
          </w:tcPr>
          <w:p w14:paraId="6FADDE8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36.3383</w:t>
            </w:r>
          </w:p>
        </w:tc>
        <w:tc>
          <w:tcPr>
            <w:tcW w:w="730" w:type="pct"/>
            <w:tcBorders>
              <w:tl2br w:val="nil"/>
              <w:tr2bl w:val="nil"/>
            </w:tcBorders>
            <w:shd w:val="clear" w:color="auto" w:fill="auto"/>
            <w:noWrap w:val="0"/>
            <w:vAlign w:val="bottom"/>
          </w:tcPr>
          <w:p w14:paraId="6524DB1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23.2866</w:t>
            </w:r>
          </w:p>
        </w:tc>
      </w:tr>
      <w:tr w14:paraId="351D12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09B1C6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-10.0000</w:t>
            </w:r>
          </w:p>
        </w:tc>
        <w:tc>
          <w:tcPr>
            <w:tcW w:w="668" w:type="pct"/>
            <w:tcBorders>
              <w:tl2br w:val="nil"/>
              <w:tr2bl w:val="nil"/>
            </w:tcBorders>
            <w:shd w:val="clear" w:color="auto" w:fill="auto"/>
            <w:noWrap w:val="0"/>
            <w:vAlign w:val="center"/>
          </w:tcPr>
          <w:p w14:paraId="7D3CDC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7.7121</w:t>
            </w:r>
          </w:p>
        </w:tc>
        <w:tc>
          <w:tcPr>
            <w:tcW w:w="743" w:type="pct"/>
            <w:tcBorders>
              <w:tl2br w:val="nil"/>
              <w:tr2bl w:val="nil"/>
            </w:tcBorders>
            <w:shd w:val="clear" w:color="auto" w:fill="auto"/>
            <w:noWrap w:val="0"/>
            <w:vAlign w:val="center"/>
          </w:tcPr>
          <w:p w14:paraId="0119154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6.5091</w:t>
            </w:r>
          </w:p>
        </w:tc>
        <w:tc>
          <w:tcPr>
            <w:tcW w:w="641" w:type="pct"/>
            <w:tcBorders>
              <w:tl2br w:val="nil"/>
              <w:tr2bl w:val="nil"/>
            </w:tcBorders>
            <w:shd w:val="clear" w:color="auto" w:fill="auto"/>
            <w:noWrap w:val="0"/>
            <w:vAlign w:val="bottom"/>
          </w:tcPr>
          <w:p w14:paraId="18FFE4E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3.8494</w:t>
            </w:r>
          </w:p>
        </w:tc>
        <w:tc>
          <w:tcPr>
            <w:tcW w:w="644" w:type="pct"/>
            <w:tcBorders>
              <w:tl2br w:val="nil"/>
              <w:tr2bl w:val="nil"/>
            </w:tcBorders>
            <w:shd w:val="clear" w:color="auto" w:fill="auto"/>
            <w:noWrap w:val="0"/>
            <w:vAlign w:val="center"/>
          </w:tcPr>
          <w:p w14:paraId="1378EF3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48.5920</w:t>
            </w:r>
          </w:p>
        </w:tc>
        <w:tc>
          <w:tcPr>
            <w:tcW w:w="650" w:type="pct"/>
            <w:tcBorders>
              <w:tl2br w:val="nil"/>
              <w:tr2bl w:val="nil"/>
            </w:tcBorders>
            <w:shd w:val="clear" w:color="auto" w:fill="auto"/>
            <w:noWrap w:val="0"/>
            <w:vAlign w:val="center"/>
          </w:tcPr>
          <w:p w14:paraId="427358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40.9955</w:t>
            </w:r>
          </w:p>
        </w:tc>
        <w:tc>
          <w:tcPr>
            <w:tcW w:w="730" w:type="pct"/>
            <w:tcBorders>
              <w:tl2br w:val="nil"/>
              <w:tr2bl w:val="nil"/>
            </w:tcBorders>
            <w:shd w:val="clear" w:color="auto" w:fill="auto"/>
            <w:noWrap w:val="0"/>
            <w:vAlign w:val="bottom"/>
          </w:tcPr>
          <w:p w14:paraId="10C9103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25.1111</w:t>
            </w:r>
          </w:p>
        </w:tc>
      </w:tr>
      <w:tr w14:paraId="51136E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6602C02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-9.0000</w:t>
            </w:r>
          </w:p>
        </w:tc>
        <w:tc>
          <w:tcPr>
            <w:tcW w:w="668" w:type="pct"/>
            <w:tcBorders>
              <w:tl2br w:val="nil"/>
              <w:tr2bl w:val="nil"/>
            </w:tcBorders>
            <w:shd w:val="clear" w:color="auto" w:fill="auto"/>
            <w:noWrap w:val="0"/>
            <w:vAlign w:val="center"/>
          </w:tcPr>
          <w:p w14:paraId="26FCBE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8.6698</w:t>
            </w:r>
          </w:p>
        </w:tc>
        <w:tc>
          <w:tcPr>
            <w:tcW w:w="743" w:type="pct"/>
            <w:tcBorders>
              <w:tl2br w:val="nil"/>
              <w:tr2bl w:val="nil"/>
            </w:tcBorders>
            <w:shd w:val="clear" w:color="auto" w:fill="auto"/>
            <w:noWrap w:val="0"/>
            <w:vAlign w:val="center"/>
          </w:tcPr>
          <w:p w14:paraId="5A14E2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7.0799</w:t>
            </w:r>
          </w:p>
        </w:tc>
        <w:tc>
          <w:tcPr>
            <w:tcW w:w="641" w:type="pct"/>
            <w:tcBorders>
              <w:tl2br w:val="nil"/>
              <w:tr2bl w:val="nil"/>
            </w:tcBorders>
            <w:shd w:val="clear" w:color="auto" w:fill="auto"/>
            <w:noWrap w:val="0"/>
            <w:vAlign w:val="bottom"/>
          </w:tcPr>
          <w:p w14:paraId="062F110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3.9390</w:t>
            </w:r>
          </w:p>
        </w:tc>
        <w:tc>
          <w:tcPr>
            <w:tcW w:w="644" w:type="pct"/>
            <w:tcBorders>
              <w:tl2br w:val="nil"/>
              <w:tr2bl w:val="nil"/>
            </w:tcBorders>
            <w:shd w:val="clear" w:color="auto" w:fill="auto"/>
            <w:noWrap w:val="0"/>
            <w:vAlign w:val="center"/>
          </w:tcPr>
          <w:p w14:paraId="1A5BF79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55.4351</w:t>
            </w:r>
          </w:p>
        </w:tc>
        <w:tc>
          <w:tcPr>
            <w:tcW w:w="650" w:type="pct"/>
            <w:tcBorders>
              <w:tl2br w:val="nil"/>
              <w:tr2bl w:val="nil"/>
            </w:tcBorders>
            <w:shd w:val="clear" w:color="auto" w:fill="auto"/>
            <w:noWrap w:val="0"/>
            <w:vAlign w:val="center"/>
          </w:tcPr>
          <w:p w14:paraId="72F8B38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45.7044</w:t>
            </w:r>
          </w:p>
        </w:tc>
        <w:tc>
          <w:tcPr>
            <w:tcW w:w="730" w:type="pct"/>
            <w:tcBorders>
              <w:tl2br w:val="nil"/>
              <w:tr2bl w:val="nil"/>
            </w:tcBorders>
            <w:shd w:val="clear" w:color="auto" w:fill="auto"/>
            <w:noWrap w:val="0"/>
            <w:vAlign w:val="bottom"/>
          </w:tcPr>
          <w:p w14:paraId="2A49D5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26.8815</w:t>
            </w:r>
          </w:p>
        </w:tc>
      </w:tr>
      <w:tr w14:paraId="398C3B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09CB659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-8.0000</w:t>
            </w:r>
          </w:p>
        </w:tc>
        <w:tc>
          <w:tcPr>
            <w:tcW w:w="668" w:type="pct"/>
            <w:tcBorders>
              <w:tl2br w:val="nil"/>
              <w:tr2bl w:val="nil"/>
            </w:tcBorders>
            <w:shd w:val="clear" w:color="auto" w:fill="auto"/>
            <w:noWrap w:val="0"/>
            <w:vAlign w:val="center"/>
          </w:tcPr>
          <w:p w14:paraId="4A5536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9.2726</w:t>
            </w:r>
          </w:p>
        </w:tc>
        <w:tc>
          <w:tcPr>
            <w:tcW w:w="743" w:type="pct"/>
            <w:tcBorders>
              <w:tl2br w:val="nil"/>
              <w:tr2bl w:val="nil"/>
            </w:tcBorders>
            <w:shd w:val="clear" w:color="auto" w:fill="auto"/>
            <w:noWrap w:val="0"/>
            <w:vAlign w:val="center"/>
          </w:tcPr>
          <w:p w14:paraId="35EE7F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7.3838</w:t>
            </w:r>
          </w:p>
        </w:tc>
        <w:tc>
          <w:tcPr>
            <w:tcW w:w="641" w:type="pct"/>
            <w:tcBorders>
              <w:tl2br w:val="nil"/>
              <w:tr2bl w:val="nil"/>
            </w:tcBorders>
            <w:shd w:val="clear" w:color="auto" w:fill="auto"/>
            <w:noWrap w:val="0"/>
            <w:vAlign w:val="bottom"/>
          </w:tcPr>
          <w:p w14:paraId="7BBAADF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3.9243</w:t>
            </w:r>
          </w:p>
        </w:tc>
        <w:tc>
          <w:tcPr>
            <w:tcW w:w="644" w:type="pct"/>
            <w:tcBorders>
              <w:tl2br w:val="nil"/>
              <w:tr2bl w:val="nil"/>
            </w:tcBorders>
            <w:shd w:val="clear" w:color="auto" w:fill="auto"/>
            <w:noWrap w:val="0"/>
            <w:vAlign w:val="center"/>
          </w:tcPr>
          <w:p w14:paraId="1E6A8D2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61.7878</w:t>
            </w:r>
          </w:p>
        </w:tc>
        <w:tc>
          <w:tcPr>
            <w:tcW w:w="650" w:type="pct"/>
            <w:tcBorders>
              <w:tl2br w:val="nil"/>
              <w:tr2bl w:val="nil"/>
            </w:tcBorders>
            <w:shd w:val="clear" w:color="auto" w:fill="auto"/>
            <w:noWrap w:val="0"/>
            <w:vAlign w:val="center"/>
          </w:tcPr>
          <w:p w14:paraId="3FB162B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50.0400</w:t>
            </w:r>
          </w:p>
        </w:tc>
        <w:tc>
          <w:tcPr>
            <w:tcW w:w="730" w:type="pct"/>
            <w:tcBorders>
              <w:tl2br w:val="nil"/>
              <w:tr2bl w:val="nil"/>
            </w:tcBorders>
            <w:shd w:val="clear" w:color="auto" w:fill="auto"/>
            <w:noWrap w:val="0"/>
            <w:vAlign w:val="bottom"/>
          </w:tcPr>
          <w:p w14:paraId="452BEDA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28.5267</w:t>
            </w:r>
          </w:p>
        </w:tc>
      </w:tr>
      <w:tr w14:paraId="480007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22" w:type="pct"/>
            <w:tcBorders>
              <w:tl2br w:val="nil"/>
              <w:tr2bl w:val="nil"/>
            </w:tcBorders>
            <w:shd w:val="clear" w:color="auto" w:fill="auto"/>
            <w:noWrap w:val="0"/>
            <w:vAlign w:val="center"/>
          </w:tcPr>
          <w:p w14:paraId="6520385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-7.0000</w:t>
            </w:r>
          </w:p>
        </w:tc>
        <w:tc>
          <w:tcPr>
            <w:tcW w:w="668" w:type="pct"/>
            <w:tcBorders>
              <w:tl2br w:val="nil"/>
              <w:tr2bl w:val="nil"/>
            </w:tcBorders>
            <w:shd w:val="clear" w:color="auto" w:fill="auto"/>
            <w:noWrap w:val="0"/>
            <w:vAlign w:val="center"/>
          </w:tcPr>
          <w:p w14:paraId="5A3524A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9.2944</w:t>
            </w:r>
          </w:p>
        </w:tc>
        <w:tc>
          <w:tcPr>
            <w:tcW w:w="743" w:type="pct"/>
            <w:tcBorders>
              <w:tl2br w:val="nil"/>
              <w:tr2bl w:val="nil"/>
            </w:tcBorders>
            <w:shd w:val="clear" w:color="auto" w:fill="auto"/>
            <w:noWrap w:val="0"/>
            <w:vAlign w:val="center"/>
          </w:tcPr>
          <w:p w14:paraId="3F6D9A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7.3127</w:t>
            </w:r>
          </w:p>
        </w:tc>
        <w:tc>
          <w:tcPr>
            <w:tcW w:w="641" w:type="pct"/>
            <w:tcBorders>
              <w:tl2br w:val="nil"/>
              <w:tr2bl w:val="nil"/>
            </w:tcBorders>
            <w:shd w:val="clear" w:color="auto" w:fill="auto"/>
            <w:noWrap w:val="0"/>
            <w:vAlign w:val="bottom"/>
          </w:tcPr>
          <w:p w14:paraId="1242596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3.7912</w:t>
            </w:r>
          </w:p>
        </w:tc>
        <w:tc>
          <w:tcPr>
            <w:tcW w:w="644" w:type="pct"/>
            <w:tcBorders>
              <w:tl2br w:val="nil"/>
              <w:tr2bl w:val="nil"/>
            </w:tcBorders>
            <w:shd w:val="clear" w:color="auto" w:fill="auto"/>
            <w:noWrap w:val="0"/>
            <w:vAlign w:val="center"/>
          </w:tcPr>
          <w:p w14:paraId="57CAF0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66.6612</w:t>
            </w:r>
          </w:p>
        </w:tc>
        <w:tc>
          <w:tcPr>
            <w:tcW w:w="650" w:type="pct"/>
            <w:tcBorders>
              <w:tl2br w:val="nil"/>
              <w:tr2bl w:val="nil"/>
            </w:tcBorders>
            <w:shd w:val="clear" w:color="auto" w:fill="auto"/>
            <w:noWrap w:val="0"/>
            <w:vAlign w:val="center"/>
          </w:tcPr>
          <w:p w14:paraId="31E54BE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53.5439</w:t>
            </w:r>
          </w:p>
        </w:tc>
        <w:tc>
          <w:tcPr>
            <w:tcW w:w="730" w:type="pct"/>
            <w:tcBorders>
              <w:tl2br w:val="nil"/>
              <w:tr2bl w:val="nil"/>
            </w:tcBorders>
            <w:shd w:val="clear" w:color="auto" w:fill="auto"/>
            <w:noWrap w:val="0"/>
            <w:vAlign w:val="bottom"/>
          </w:tcPr>
          <w:p w14:paraId="029CE27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29.9806</w:t>
            </w:r>
          </w:p>
        </w:tc>
      </w:tr>
      <w:tr w14:paraId="62C374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364DB00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-6.0000</w:t>
            </w:r>
          </w:p>
        </w:tc>
        <w:tc>
          <w:tcPr>
            <w:tcW w:w="668" w:type="pct"/>
            <w:tcBorders>
              <w:tl2br w:val="nil"/>
              <w:tr2bl w:val="nil"/>
            </w:tcBorders>
            <w:shd w:val="clear" w:color="auto" w:fill="auto"/>
            <w:noWrap w:val="0"/>
            <w:vAlign w:val="center"/>
          </w:tcPr>
          <w:p w14:paraId="286DB8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8.6553</w:t>
            </w:r>
          </w:p>
        </w:tc>
        <w:tc>
          <w:tcPr>
            <w:tcW w:w="743" w:type="pct"/>
            <w:tcBorders>
              <w:tl2br w:val="nil"/>
              <w:tr2bl w:val="nil"/>
            </w:tcBorders>
            <w:shd w:val="clear" w:color="auto" w:fill="auto"/>
            <w:noWrap w:val="0"/>
            <w:vAlign w:val="center"/>
          </w:tcPr>
          <w:p w14:paraId="6657126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6.8320</w:t>
            </w:r>
          </w:p>
        </w:tc>
        <w:tc>
          <w:tcPr>
            <w:tcW w:w="641" w:type="pct"/>
            <w:tcBorders>
              <w:tl2br w:val="nil"/>
              <w:tr2bl w:val="nil"/>
            </w:tcBorders>
            <w:shd w:val="clear" w:color="auto" w:fill="auto"/>
            <w:noWrap w:val="0"/>
            <w:vAlign w:val="bottom"/>
          </w:tcPr>
          <w:p w14:paraId="55939B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3.5385</w:t>
            </w:r>
          </w:p>
        </w:tc>
        <w:tc>
          <w:tcPr>
            <w:tcW w:w="644" w:type="pct"/>
            <w:tcBorders>
              <w:tl2br w:val="nil"/>
              <w:tr2bl w:val="nil"/>
            </w:tcBorders>
            <w:shd w:val="clear" w:color="auto" w:fill="auto"/>
            <w:noWrap w:val="0"/>
            <w:vAlign w:val="center"/>
          </w:tcPr>
          <w:p w14:paraId="73D5B9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69.4094</w:t>
            </w:r>
          </w:p>
        </w:tc>
        <w:tc>
          <w:tcPr>
            <w:tcW w:w="650" w:type="pct"/>
            <w:tcBorders>
              <w:tl2br w:val="nil"/>
              <w:tr2bl w:val="nil"/>
            </w:tcBorders>
            <w:shd w:val="clear" w:color="auto" w:fill="auto"/>
            <w:noWrap w:val="0"/>
            <w:vAlign w:val="center"/>
          </w:tcPr>
          <w:p w14:paraId="557BE9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55.9171</w:t>
            </w:r>
          </w:p>
        </w:tc>
        <w:tc>
          <w:tcPr>
            <w:tcW w:w="730" w:type="pct"/>
            <w:tcBorders>
              <w:tl2br w:val="nil"/>
              <w:tr2bl w:val="nil"/>
            </w:tcBorders>
            <w:shd w:val="clear" w:color="auto" w:fill="auto"/>
            <w:noWrap w:val="0"/>
            <w:vAlign w:val="bottom"/>
          </w:tcPr>
          <w:p w14:paraId="302DBCE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31.1951</w:t>
            </w:r>
          </w:p>
        </w:tc>
      </w:tr>
      <w:tr w14:paraId="64857F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34A2F2C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-5.0000</w:t>
            </w:r>
          </w:p>
        </w:tc>
        <w:tc>
          <w:tcPr>
            <w:tcW w:w="668" w:type="pct"/>
            <w:tcBorders>
              <w:tl2br w:val="nil"/>
              <w:tr2bl w:val="nil"/>
            </w:tcBorders>
            <w:shd w:val="clear" w:color="auto" w:fill="auto"/>
            <w:noWrap w:val="0"/>
            <w:vAlign w:val="center"/>
          </w:tcPr>
          <w:p w14:paraId="242ACE5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7.4829</w:t>
            </w:r>
          </w:p>
        </w:tc>
        <w:tc>
          <w:tcPr>
            <w:tcW w:w="743" w:type="pct"/>
            <w:tcBorders>
              <w:tl2br w:val="nil"/>
              <w:tr2bl w:val="nil"/>
            </w:tcBorders>
            <w:shd w:val="clear" w:color="auto" w:fill="auto"/>
            <w:noWrap w:val="0"/>
            <w:vAlign w:val="center"/>
          </w:tcPr>
          <w:p w14:paraId="59CDDF9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6.0017</w:t>
            </w:r>
          </w:p>
        </w:tc>
        <w:tc>
          <w:tcPr>
            <w:tcW w:w="641" w:type="pct"/>
            <w:tcBorders>
              <w:tl2br w:val="nil"/>
              <w:tr2bl w:val="nil"/>
            </w:tcBorders>
            <w:shd w:val="clear" w:color="auto" w:fill="auto"/>
            <w:noWrap w:val="0"/>
            <w:vAlign w:val="bottom"/>
          </w:tcPr>
          <w:p w14:paraId="127DF8D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3.1807</w:t>
            </w:r>
          </w:p>
        </w:tc>
        <w:tc>
          <w:tcPr>
            <w:tcW w:w="644" w:type="pct"/>
            <w:tcBorders>
              <w:tl2br w:val="nil"/>
              <w:tr2bl w:val="nil"/>
            </w:tcBorders>
            <w:shd w:val="clear" w:color="auto" w:fill="auto"/>
            <w:noWrap w:val="0"/>
            <w:vAlign w:val="center"/>
          </w:tcPr>
          <w:p w14:paraId="1D2C99C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70.1407</w:t>
            </w:r>
          </w:p>
        </w:tc>
        <w:tc>
          <w:tcPr>
            <w:tcW w:w="650" w:type="pct"/>
            <w:tcBorders>
              <w:tl2br w:val="nil"/>
              <w:tr2bl w:val="nil"/>
            </w:tcBorders>
            <w:shd w:val="clear" w:color="auto" w:fill="auto"/>
            <w:noWrap w:val="0"/>
            <w:vAlign w:val="center"/>
          </w:tcPr>
          <w:p w14:paraId="11B08C6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57.1584</w:t>
            </w:r>
          </w:p>
        </w:tc>
        <w:tc>
          <w:tcPr>
            <w:tcW w:w="730" w:type="pct"/>
            <w:tcBorders>
              <w:tl2br w:val="nil"/>
              <w:tr2bl w:val="nil"/>
            </w:tcBorders>
            <w:shd w:val="clear" w:color="auto" w:fill="auto"/>
            <w:noWrap w:val="0"/>
            <w:vAlign w:val="bottom"/>
          </w:tcPr>
          <w:p w14:paraId="1EAA15D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32.1472</w:t>
            </w:r>
          </w:p>
        </w:tc>
      </w:tr>
      <w:tr w14:paraId="0164C4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1A575C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w:t>
            </w:r>
          </w:p>
        </w:tc>
        <w:tc>
          <w:tcPr>
            <w:tcW w:w="668" w:type="pct"/>
            <w:tcBorders>
              <w:tl2br w:val="nil"/>
              <w:tr2bl w:val="nil"/>
            </w:tcBorders>
            <w:shd w:val="clear" w:color="auto" w:fill="auto"/>
            <w:noWrap w:val="0"/>
            <w:vAlign w:val="center"/>
          </w:tcPr>
          <w:p w14:paraId="69DCB1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6.0250</w:t>
            </w:r>
          </w:p>
        </w:tc>
        <w:tc>
          <w:tcPr>
            <w:tcW w:w="743" w:type="pct"/>
            <w:tcBorders>
              <w:tl2br w:val="nil"/>
              <w:tr2bl w:val="nil"/>
            </w:tcBorders>
            <w:shd w:val="clear" w:color="auto" w:fill="auto"/>
            <w:noWrap w:val="0"/>
            <w:vAlign w:val="center"/>
          </w:tcPr>
          <w:p w14:paraId="1EE90D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4.9496</w:t>
            </w:r>
          </w:p>
        </w:tc>
        <w:tc>
          <w:tcPr>
            <w:tcW w:w="641" w:type="pct"/>
            <w:tcBorders>
              <w:tl2br w:val="nil"/>
              <w:tr2bl w:val="nil"/>
            </w:tcBorders>
            <w:shd w:val="clear" w:color="auto" w:fill="auto"/>
            <w:noWrap w:val="0"/>
            <w:vAlign w:val="bottom"/>
          </w:tcPr>
          <w:p w14:paraId="44B8EF6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2.7492</w:t>
            </w:r>
          </w:p>
        </w:tc>
        <w:tc>
          <w:tcPr>
            <w:tcW w:w="644" w:type="pct"/>
            <w:tcBorders>
              <w:tl2br w:val="nil"/>
              <w:tr2bl w:val="nil"/>
            </w:tcBorders>
            <w:shd w:val="clear" w:color="auto" w:fill="auto"/>
            <w:noWrap w:val="0"/>
            <w:vAlign w:val="center"/>
          </w:tcPr>
          <w:p w14:paraId="1C061AD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69.5537</w:t>
            </w:r>
          </w:p>
        </w:tc>
        <w:tc>
          <w:tcPr>
            <w:tcW w:w="650" w:type="pct"/>
            <w:tcBorders>
              <w:tl2br w:val="nil"/>
              <w:tr2bl w:val="nil"/>
            </w:tcBorders>
            <w:shd w:val="clear" w:color="auto" w:fill="auto"/>
            <w:noWrap w:val="0"/>
            <w:vAlign w:val="center"/>
          </w:tcPr>
          <w:p w14:paraId="329828F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57.5320</w:t>
            </w:r>
          </w:p>
        </w:tc>
        <w:tc>
          <w:tcPr>
            <w:tcW w:w="730" w:type="pct"/>
            <w:tcBorders>
              <w:tl2br w:val="nil"/>
              <w:tr2bl w:val="nil"/>
            </w:tcBorders>
            <w:shd w:val="clear" w:color="auto" w:fill="auto"/>
            <w:noWrap w:val="0"/>
            <w:vAlign w:val="bottom"/>
          </w:tcPr>
          <w:p w14:paraId="5E1B2E5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32.8406</w:t>
            </w:r>
          </w:p>
        </w:tc>
      </w:tr>
      <w:tr w14:paraId="27FB97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8AF0A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w:t>
            </w:r>
          </w:p>
        </w:tc>
        <w:tc>
          <w:tcPr>
            <w:tcW w:w="668" w:type="pct"/>
            <w:tcBorders>
              <w:tl2br w:val="nil"/>
              <w:tr2bl w:val="nil"/>
            </w:tcBorders>
            <w:shd w:val="clear" w:color="auto" w:fill="auto"/>
            <w:noWrap w:val="0"/>
            <w:vAlign w:val="center"/>
          </w:tcPr>
          <w:p w14:paraId="48A46E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4.5302</w:t>
            </w:r>
          </w:p>
        </w:tc>
        <w:tc>
          <w:tcPr>
            <w:tcW w:w="743" w:type="pct"/>
            <w:tcBorders>
              <w:tl2br w:val="nil"/>
              <w:tr2bl w:val="nil"/>
            </w:tcBorders>
            <w:shd w:val="clear" w:color="auto" w:fill="auto"/>
            <w:noWrap w:val="0"/>
            <w:vAlign w:val="center"/>
          </w:tcPr>
          <w:p w14:paraId="22B53E8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3.8311</w:t>
            </w:r>
          </w:p>
        </w:tc>
        <w:tc>
          <w:tcPr>
            <w:tcW w:w="641" w:type="pct"/>
            <w:tcBorders>
              <w:tl2br w:val="nil"/>
              <w:tr2bl w:val="nil"/>
            </w:tcBorders>
            <w:shd w:val="clear" w:color="auto" w:fill="auto"/>
            <w:noWrap w:val="0"/>
            <w:vAlign w:val="bottom"/>
          </w:tcPr>
          <w:p w14:paraId="1AC8FBF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2.2963</w:t>
            </w:r>
          </w:p>
        </w:tc>
        <w:tc>
          <w:tcPr>
            <w:tcW w:w="644" w:type="pct"/>
            <w:tcBorders>
              <w:tl2br w:val="nil"/>
              <w:tr2bl w:val="nil"/>
            </w:tcBorders>
            <w:shd w:val="clear" w:color="auto" w:fill="auto"/>
            <w:noWrap w:val="0"/>
            <w:vAlign w:val="center"/>
          </w:tcPr>
          <w:p w14:paraId="1F717AF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68.4587</w:t>
            </w:r>
          </w:p>
        </w:tc>
        <w:tc>
          <w:tcPr>
            <w:tcW w:w="650" w:type="pct"/>
            <w:tcBorders>
              <w:tl2br w:val="nil"/>
              <w:tr2bl w:val="nil"/>
            </w:tcBorders>
            <w:shd w:val="clear" w:color="auto" w:fill="auto"/>
            <w:noWrap w:val="0"/>
            <w:vAlign w:val="center"/>
          </w:tcPr>
          <w:p w14:paraId="3FBD551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57.4108</w:t>
            </w:r>
          </w:p>
        </w:tc>
        <w:tc>
          <w:tcPr>
            <w:tcW w:w="730" w:type="pct"/>
            <w:tcBorders>
              <w:tl2br w:val="nil"/>
              <w:tr2bl w:val="nil"/>
            </w:tcBorders>
            <w:shd w:val="clear" w:color="auto" w:fill="auto"/>
            <w:noWrap w:val="0"/>
            <w:vAlign w:val="bottom"/>
          </w:tcPr>
          <w:p w14:paraId="10F1B20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33.2974</w:t>
            </w:r>
          </w:p>
        </w:tc>
      </w:tr>
      <w:tr w14:paraId="10CBB1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6C92B10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-2.0000</w:t>
            </w:r>
          </w:p>
        </w:tc>
        <w:tc>
          <w:tcPr>
            <w:tcW w:w="668" w:type="pct"/>
            <w:tcBorders>
              <w:tl2br w:val="nil"/>
              <w:tr2bl w:val="nil"/>
            </w:tcBorders>
            <w:shd w:val="clear" w:color="auto" w:fill="auto"/>
            <w:noWrap w:val="0"/>
            <w:vAlign w:val="center"/>
          </w:tcPr>
          <w:p w14:paraId="19079C8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3.2351</w:t>
            </w:r>
          </w:p>
        </w:tc>
        <w:tc>
          <w:tcPr>
            <w:tcW w:w="743" w:type="pct"/>
            <w:tcBorders>
              <w:tl2br w:val="nil"/>
              <w:tr2bl w:val="nil"/>
            </w:tcBorders>
            <w:shd w:val="clear" w:color="auto" w:fill="auto"/>
            <w:noWrap w:val="0"/>
            <w:vAlign w:val="center"/>
          </w:tcPr>
          <w:p w14:paraId="38A3687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2.8356</w:t>
            </w:r>
          </w:p>
        </w:tc>
        <w:tc>
          <w:tcPr>
            <w:tcW w:w="641" w:type="pct"/>
            <w:tcBorders>
              <w:tl2br w:val="nil"/>
              <w:tr2bl w:val="nil"/>
            </w:tcBorders>
            <w:shd w:val="clear" w:color="auto" w:fill="auto"/>
            <w:noWrap w:val="0"/>
            <w:vAlign w:val="bottom"/>
          </w:tcPr>
          <w:p w14:paraId="1E19409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1.9046</w:t>
            </w:r>
          </w:p>
        </w:tc>
        <w:tc>
          <w:tcPr>
            <w:tcW w:w="644" w:type="pct"/>
            <w:tcBorders>
              <w:tl2br w:val="nil"/>
              <w:tr2bl w:val="nil"/>
            </w:tcBorders>
            <w:shd w:val="clear" w:color="auto" w:fill="auto"/>
            <w:noWrap w:val="0"/>
            <w:vAlign w:val="center"/>
          </w:tcPr>
          <w:p w14:paraId="1DACAF6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67.4661</w:t>
            </w:r>
          </w:p>
        </w:tc>
        <w:tc>
          <w:tcPr>
            <w:tcW w:w="650" w:type="pct"/>
            <w:tcBorders>
              <w:tl2br w:val="nil"/>
              <w:tr2bl w:val="nil"/>
            </w:tcBorders>
            <w:shd w:val="clear" w:color="auto" w:fill="auto"/>
            <w:noWrap w:val="0"/>
            <w:vAlign w:val="center"/>
          </w:tcPr>
          <w:p w14:paraId="7985CD4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57.1296</w:t>
            </w:r>
          </w:p>
        </w:tc>
        <w:tc>
          <w:tcPr>
            <w:tcW w:w="730" w:type="pct"/>
            <w:tcBorders>
              <w:tl2br w:val="nil"/>
              <w:tr2bl w:val="nil"/>
            </w:tcBorders>
            <w:shd w:val="clear" w:color="auto" w:fill="auto"/>
            <w:noWrap w:val="0"/>
            <w:vAlign w:val="bottom"/>
          </w:tcPr>
          <w:p w14:paraId="6174D75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33.5475</w:t>
            </w:r>
          </w:p>
        </w:tc>
      </w:tr>
      <w:tr w14:paraId="3BA81E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35BC0B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-1.0000</w:t>
            </w:r>
          </w:p>
        </w:tc>
        <w:tc>
          <w:tcPr>
            <w:tcW w:w="668" w:type="pct"/>
            <w:tcBorders>
              <w:tl2br w:val="nil"/>
              <w:tr2bl w:val="nil"/>
            </w:tcBorders>
            <w:shd w:val="clear" w:color="auto" w:fill="auto"/>
            <w:noWrap w:val="0"/>
            <w:vAlign w:val="center"/>
          </w:tcPr>
          <w:p w14:paraId="0541AEB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2.5126</w:t>
            </w:r>
          </w:p>
        </w:tc>
        <w:tc>
          <w:tcPr>
            <w:tcW w:w="743" w:type="pct"/>
            <w:tcBorders>
              <w:tl2br w:val="nil"/>
              <w:tr2bl w:val="nil"/>
            </w:tcBorders>
            <w:shd w:val="clear" w:color="auto" w:fill="auto"/>
            <w:noWrap w:val="0"/>
            <w:vAlign w:val="center"/>
          </w:tcPr>
          <w:p w14:paraId="4FB43C5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2.2766</w:t>
            </w:r>
          </w:p>
        </w:tc>
        <w:tc>
          <w:tcPr>
            <w:tcW w:w="641" w:type="pct"/>
            <w:tcBorders>
              <w:tl2br w:val="nil"/>
              <w:tr2bl w:val="nil"/>
            </w:tcBorders>
            <w:shd w:val="clear" w:color="auto" w:fill="auto"/>
            <w:noWrap w:val="0"/>
            <w:vAlign w:val="bottom"/>
          </w:tcPr>
          <w:p w14:paraId="3714B34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1.6938</w:t>
            </w:r>
          </w:p>
        </w:tc>
        <w:tc>
          <w:tcPr>
            <w:tcW w:w="644" w:type="pct"/>
            <w:tcBorders>
              <w:tl2br w:val="nil"/>
              <w:tr2bl w:val="nil"/>
            </w:tcBorders>
            <w:shd w:val="clear" w:color="auto" w:fill="auto"/>
            <w:noWrap w:val="0"/>
            <w:vAlign w:val="center"/>
          </w:tcPr>
          <w:p w14:paraId="7FD2037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66.9271</w:t>
            </w:r>
          </w:p>
        </w:tc>
        <w:tc>
          <w:tcPr>
            <w:tcW w:w="650" w:type="pct"/>
            <w:tcBorders>
              <w:tl2br w:val="nil"/>
              <w:tr2bl w:val="nil"/>
            </w:tcBorders>
            <w:shd w:val="clear" w:color="auto" w:fill="auto"/>
            <w:noWrap w:val="0"/>
            <w:vAlign w:val="center"/>
          </w:tcPr>
          <w:p w14:paraId="01469B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56.9123</w:t>
            </w:r>
          </w:p>
        </w:tc>
        <w:tc>
          <w:tcPr>
            <w:tcW w:w="730" w:type="pct"/>
            <w:tcBorders>
              <w:tl2br w:val="nil"/>
              <w:tr2bl w:val="nil"/>
            </w:tcBorders>
            <w:shd w:val="clear" w:color="auto" w:fill="auto"/>
            <w:noWrap w:val="0"/>
            <w:vAlign w:val="bottom"/>
          </w:tcPr>
          <w:p w14:paraId="4ACC1E7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33.6165</w:t>
            </w:r>
          </w:p>
        </w:tc>
      </w:tr>
      <w:tr w14:paraId="4CB9DB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3888261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0.0000</w:t>
            </w:r>
          </w:p>
        </w:tc>
        <w:tc>
          <w:tcPr>
            <w:tcW w:w="668" w:type="pct"/>
            <w:tcBorders>
              <w:tl2br w:val="nil"/>
              <w:tr2bl w:val="nil"/>
            </w:tcBorders>
            <w:shd w:val="clear" w:color="auto" w:fill="auto"/>
            <w:noWrap w:val="0"/>
            <w:vAlign w:val="center"/>
          </w:tcPr>
          <w:p w14:paraId="13E391C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2.8134</w:t>
            </w:r>
          </w:p>
        </w:tc>
        <w:tc>
          <w:tcPr>
            <w:tcW w:w="743" w:type="pct"/>
            <w:tcBorders>
              <w:tl2br w:val="nil"/>
              <w:tr2bl w:val="nil"/>
            </w:tcBorders>
            <w:shd w:val="clear" w:color="auto" w:fill="auto"/>
            <w:noWrap w:val="0"/>
            <w:vAlign w:val="center"/>
          </w:tcPr>
          <w:p w14:paraId="7EBC130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2.5000</w:t>
            </w:r>
          </w:p>
        </w:tc>
        <w:tc>
          <w:tcPr>
            <w:tcW w:w="641" w:type="pct"/>
            <w:tcBorders>
              <w:tl2br w:val="nil"/>
              <w:tr2bl w:val="nil"/>
            </w:tcBorders>
            <w:shd w:val="clear" w:color="auto" w:fill="auto"/>
            <w:noWrap w:val="0"/>
            <w:vAlign w:val="bottom"/>
          </w:tcPr>
          <w:p w14:paraId="16A8466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1.7608</w:t>
            </w:r>
          </w:p>
        </w:tc>
        <w:tc>
          <w:tcPr>
            <w:tcW w:w="644" w:type="pct"/>
            <w:tcBorders>
              <w:tl2br w:val="nil"/>
              <w:tr2bl w:val="nil"/>
            </w:tcBorders>
            <w:shd w:val="clear" w:color="auto" w:fill="auto"/>
            <w:noWrap w:val="0"/>
            <w:vAlign w:val="center"/>
          </w:tcPr>
          <w:p w14:paraId="3D3C1F1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66.9766</w:t>
            </w:r>
          </w:p>
        </w:tc>
        <w:tc>
          <w:tcPr>
            <w:tcW w:w="650" w:type="pct"/>
            <w:tcBorders>
              <w:tl2br w:val="nil"/>
              <w:tr2bl w:val="nil"/>
            </w:tcBorders>
            <w:shd w:val="clear" w:color="auto" w:fill="auto"/>
            <w:noWrap w:val="0"/>
            <w:vAlign w:val="center"/>
          </w:tcPr>
          <w:p w14:paraId="00CC4B1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56.8532</w:t>
            </w:r>
          </w:p>
        </w:tc>
        <w:tc>
          <w:tcPr>
            <w:tcW w:w="730" w:type="pct"/>
            <w:tcBorders>
              <w:tl2br w:val="nil"/>
              <w:tr2bl w:val="nil"/>
            </w:tcBorders>
            <w:shd w:val="clear" w:color="auto" w:fill="auto"/>
            <w:noWrap w:val="0"/>
            <w:vAlign w:val="bottom"/>
          </w:tcPr>
          <w:p w14:paraId="5E214F2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33.5178</w:t>
            </w:r>
          </w:p>
        </w:tc>
      </w:tr>
      <w:tr w14:paraId="2990B63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344F83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1.0000</w:t>
            </w:r>
          </w:p>
        </w:tc>
        <w:tc>
          <w:tcPr>
            <w:tcW w:w="668" w:type="pct"/>
            <w:tcBorders>
              <w:tl2br w:val="nil"/>
              <w:tr2bl w:val="nil"/>
            </w:tcBorders>
            <w:shd w:val="clear" w:color="auto" w:fill="auto"/>
            <w:noWrap w:val="0"/>
            <w:vAlign w:val="center"/>
          </w:tcPr>
          <w:p w14:paraId="3590B55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3.9187</w:t>
            </w:r>
          </w:p>
        </w:tc>
        <w:tc>
          <w:tcPr>
            <w:tcW w:w="743" w:type="pct"/>
            <w:tcBorders>
              <w:tl2br w:val="nil"/>
              <w:tr2bl w:val="nil"/>
            </w:tcBorders>
            <w:shd w:val="clear" w:color="auto" w:fill="auto"/>
            <w:noWrap w:val="0"/>
            <w:vAlign w:val="center"/>
          </w:tcPr>
          <w:p w14:paraId="0360B29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3.3436</w:t>
            </w:r>
          </w:p>
        </w:tc>
        <w:tc>
          <w:tcPr>
            <w:tcW w:w="641" w:type="pct"/>
            <w:tcBorders>
              <w:tl2br w:val="nil"/>
              <w:tr2bl w:val="nil"/>
            </w:tcBorders>
            <w:shd w:val="clear" w:color="auto" w:fill="auto"/>
            <w:noWrap w:val="0"/>
            <w:vAlign w:val="bottom"/>
          </w:tcPr>
          <w:p w14:paraId="653670C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2.0676</w:t>
            </w:r>
          </w:p>
        </w:tc>
        <w:tc>
          <w:tcPr>
            <w:tcW w:w="644" w:type="pct"/>
            <w:tcBorders>
              <w:tl2br w:val="nil"/>
              <w:tr2bl w:val="nil"/>
            </w:tcBorders>
            <w:shd w:val="clear" w:color="auto" w:fill="auto"/>
            <w:noWrap w:val="0"/>
            <w:vAlign w:val="center"/>
          </w:tcPr>
          <w:p w14:paraId="3AA4845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67.5624</w:t>
            </w:r>
          </w:p>
        </w:tc>
        <w:tc>
          <w:tcPr>
            <w:tcW w:w="650" w:type="pct"/>
            <w:tcBorders>
              <w:tl2br w:val="nil"/>
              <w:tr2bl w:val="nil"/>
            </w:tcBorders>
            <w:shd w:val="clear" w:color="auto" w:fill="auto"/>
            <w:noWrap w:val="0"/>
            <w:vAlign w:val="center"/>
          </w:tcPr>
          <w:p w14:paraId="3F18B63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56.9160</w:t>
            </w:r>
          </w:p>
        </w:tc>
        <w:tc>
          <w:tcPr>
            <w:tcW w:w="730" w:type="pct"/>
            <w:tcBorders>
              <w:tl2br w:val="nil"/>
              <w:tr2bl w:val="nil"/>
            </w:tcBorders>
            <w:shd w:val="clear" w:color="auto" w:fill="auto"/>
            <w:noWrap w:val="0"/>
            <w:vAlign w:val="bottom"/>
          </w:tcPr>
          <w:p w14:paraId="0428F4D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33.2483</w:t>
            </w:r>
          </w:p>
        </w:tc>
      </w:tr>
      <w:tr w14:paraId="3B6244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252B6C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2.0000</w:t>
            </w:r>
          </w:p>
        </w:tc>
        <w:tc>
          <w:tcPr>
            <w:tcW w:w="668" w:type="pct"/>
            <w:tcBorders>
              <w:tl2br w:val="nil"/>
              <w:tr2bl w:val="nil"/>
            </w:tcBorders>
            <w:shd w:val="clear" w:color="auto" w:fill="auto"/>
            <w:noWrap w:val="0"/>
            <w:vAlign w:val="center"/>
          </w:tcPr>
          <w:p w14:paraId="5403A0C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5.3559</w:t>
            </w:r>
          </w:p>
        </w:tc>
        <w:tc>
          <w:tcPr>
            <w:tcW w:w="743" w:type="pct"/>
            <w:tcBorders>
              <w:tl2br w:val="nil"/>
              <w:tr2bl w:val="nil"/>
            </w:tcBorders>
            <w:shd w:val="clear" w:color="auto" w:fill="auto"/>
            <w:noWrap w:val="0"/>
            <w:vAlign w:val="center"/>
          </w:tcPr>
          <w:p w14:paraId="7386B86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4.4252</w:t>
            </w:r>
          </w:p>
        </w:tc>
        <w:tc>
          <w:tcPr>
            <w:tcW w:w="641" w:type="pct"/>
            <w:tcBorders>
              <w:tl2br w:val="nil"/>
              <w:tr2bl w:val="nil"/>
            </w:tcBorders>
            <w:shd w:val="clear" w:color="auto" w:fill="auto"/>
            <w:noWrap w:val="0"/>
            <w:vAlign w:val="bottom"/>
          </w:tcPr>
          <w:p w14:paraId="5B2C543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2.4896</w:t>
            </w:r>
          </w:p>
        </w:tc>
        <w:tc>
          <w:tcPr>
            <w:tcW w:w="644" w:type="pct"/>
            <w:tcBorders>
              <w:tl2br w:val="nil"/>
              <w:tr2bl w:val="nil"/>
            </w:tcBorders>
            <w:shd w:val="clear" w:color="auto" w:fill="auto"/>
            <w:noWrap w:val="0"/>
            <w:vAlign w:val="center"/>
          </w:tcPr>
          <w:p w14:paraId="245C4B9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68.4274</w:t>
            </w:r>
          </w:p>
        </w:tc>
        <w:tc>
          <w:tcPr>
            <w:tcW w:w="650" w:type="pct"/>
            <w:tcBorders>
              <w:tl2br w:val="nil"/>
              <w:tr2bl w:val="nil"/>
            </w:tcBorders>
            <w:shd w:val="clear" w:color="auto" w:fill="auto"/>
            <w:noWrap w:val="0"/>
            <w:vAlign w:val="center"/>
          </w:tcPr>
          <w:p w14:paraId="2DA1AEB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56.9329</w:t>
            </w:r>
          </w:p>
        </w:tc>
        <w:tc>
          <w:tcPr>
            <w:tcW w:w="730" w:type="pct"/>
            <w:tcBorders>
              <w:tl2br w:val="nil"/>
              <w:tr2bl w:val="nil"/>
            </w:tcBorders>
            <w:shd w:val="clear" w:color="auto" w:fill="auto"/>
            <w:noWrap w:val="0"/>
            <w:vAlign w:val="bottom"/>
          </w:tcPr>
          <w:p w14:paraId="6EB47B4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32.7904</w:t>
            </w:r>
          </w:p>
        </w:tc>
      </w:tr>
      <w:tr w14:paraId="3318DEB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88D24A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w:t>
            </w:r>
          </w:p>
        </w:tc>
        <w:tc>
          <w:tcPr>
            <w:tcW w:w="668" w:type="pct"/>
            <w:tcBorders>
              <w:tl2br w:val="nil"/>
              <w:tr2bl w:val="nil"/>
            </w:tcBorders>
            <w:shd w:val="clear" w:color="auto" w:fill="auto"/>
            <w:noWrap w:val="0"/>
            <w:vAlign w:val="center"/>
          </w:tcPr>
          <w:p w14:paraId="34FE2A6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6.8437</w:t>
            </w:r>
          </w:p>
        </w:tc>
        <w:tc>
          <w:tcPr>
            <w:tcW w:w="743" w:type="pct"/>
            <w:tcBorders>
              <w:tl2br w:val="nil"/>
              <w:tr2bl w:val="nil"/>
            </w:tcBorders>
            <w:shd w:val="clear" w:color="auto" w:fill="auto"/>
            <w:noWrap w:val="0"/>
            <w:vAlign w:val="center"/>
          </w:tcPr>
          <w:p w14:paraId="17CCFEB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5.5077</w:t>
            </w:r>
          </w:p>
        </w:tc>
        <w:tc>
          <w:tcPr>
            <w:tcW w:w="641" w:type="pct"/>
            <w:tcBorders>
              <w:tl2br w:val="nil"/>
              <w:tr2bl w:val="nil"/>
            </w:tcBorders>
            <w:shd w:val="clear" w:color="auto" w:fill="auto"/>
            <w:noWrap w:val="0"/>
            <w:vAlign w:val="bottom"/>
          </w:tcPr>
          <w:p w14:paraId="08167C0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2.9231</w:t>
            </w:r>
          </w:p>
        </w:tc>
        <w:tc>
          <w:tcPr>
            <w:tcW w:w="644" w:type="pct"/>
            <w:tcBorders>
              <w:tl2br w:val="nil"/>
              <w:tr2bl w:val="nil"/>
            </w:tcBorders>
            <w:shd w:val="clear" w:color="auto" w:fill="auto"/>
            <w:noWrap w:val="0"/>
            <w:vAlign w:val="center"/>
          </w:tcPr>
          <w:p w14:paraId="784EA6A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69.0617</w:t>
            </w:r>
          </w:p>
        </w:tc>
        <w:tc>
          <w:tcPr>
            <w:tcW w:w="650" w:type="pct"/>
            <w:tcBorders>
              <w:tl2br w:val="nil"/>
              <w:tr2bl w:val="nil"/>
            </w:tcBorders>
            <w:shd w:val="clear" w:color="auto" w:fill="auto"/>
            <w:noWrap w:val="0"/>
            <w:vAlign w:val="center"/>
          </w:tcPr>
          <w:p w14:paraId="65DE464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56.6123</w:t>
            </w:r>
          </w:p>
        </w:tc>
        <w:tc>
          <w:tcPr>
            <w:tcW w:w="730" w:type="pct"/>
            <w:tcBorders>
              <w:tl2br w:val="nil"/>
              <w:tr2bl w:val="nil"/>
            </w:tcBorders>
            <w:shd w:val="clear" w:color="auto" w:fill="auto"/>
            <w:noWrap w:val="0"/>
            <w:vAlign w:val="bottom"/>
          </w:tcPr>
          <w:p w14:paraId="06AFF83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32.1182</w:t>
            </w:r>
          </w:p>
        </w:tc>
      </w:tr>
      <w:tr w14:paraId="7F8919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11231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w:t>
            </w:r>
          </w:p>
        </w:tc>
        <w:tc>
          <w:tcPr>
            <w:tcW w:w="668" w:type="pct"/>
            <w:tcBorders>
              <w:tl2br w:val="nil"/>
              <w:tr2bl w:val="nil"/>
            </w:tcBorders>
            <w:shd w:val="clear" w:color="auto" w:fill="auto"/>
            <w:noWrap w:val="0"/>
            <w:vAlign w:val="center"/>
          </w:tcPr>
          <w:p w14:paraId="14EB110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8.1338</w:t>
            </w:r>
          </w:p>
        </w:tc>
        <w:tc>
          <w:tcPr>
            <w:tcW w:w="743" w:type="pct"/>
            <w:tcBorders>
              <w:tl2br w:val="nil"/>
              <w:tr2bl w:val="nil"/>
            </w:tcBorders>
            <w:shd w:val="clear" w:color="auto" w:fill="auto"/>
            <w:noWrap w:val="0"/>
            <w:vAlign w:val="center"/>
          </w:tcPr>
          <w:p w14:paraId="73C03B7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6.4209</w:t>
            </w:r>
          </w:p>
        </w:tc>
        <w:tc>
          <w:tcPr>
            <w:tcW w:w="641" w:type="pct"/>
            <w:tcBorders>
              <w:tl2br w:val="nil"/>
              <w:tr2bl w:val="nil"/>
            </w:tcBorders>
            <w:shd w:val="clear" w:color="auto" w:fill="auto"/>
            <w:noWrap w:val="0"/>
            <w:vAlign w:val="bottom"/>
          </w:tcPr>
          <w:p w14:paraId="0693E00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3.3025</w:t>
            </w:r>
          </w:p>
        </w:tc>
        <w:tc>
          <w:tcPr>
            <w:tcW w:w="644" w:type="pct"/>
            <w:tcBorders>
              <w:tl2br w:val="nil"/>
              <w:tr2bl w:val="nil"/>
            </w:tcBorders>
            <w:shd w:val="clear" w:color="auto" w:fill="auto"/>
            <w:noWrap w:val="0"/>
            <w:vAlign w:val="center"/>
          </w:tcPr>
          <w:p w14:paraId="4AA5C08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68.7126</w:t>
            </w:r>
          </w:p>
        </w:tc>
        <w:tc>
          <w:tcPr>
            <w:tcW w:w="650" w:type="pct"/>
            <w:tcBorders>
              <w:tl2br w:val="nil"/>
              <w:tr2bl w:val="nil"/>
            </w:tcBorders>
            <w:shd w:val="clear" w:color="auto" w:fill="auto"/>
            <w:noWrap w:val="0"/>
            <w:vAlign w:val="center"/>
          </w:tcPr>
          <w:p w14:paraId="7AB8AC7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55.5901</w:t>
            </w:r>
          </w:p>
        </w:tc>
        <w:tc>
          <w:tcPr>
            <w:tcW w:w="730" w:type="pct"/>
            <w:tcBorders>
              <w:tl2br w:val="nil"/>
              <w:tr2bl w:val="nil"/>
            </w:tcBorders>
            <w:shd w:val="clear" w:color="auto" w:fill="auto"/>
            <w:noWrap w:val="0"/>
            <w:vAlign w:val="bottom"/>
          </w:tcPr>
          <w:p w14:paraId="7D49A6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31.2083</w:t>
            </w:r>
          </w:p>
        </w:tc>
      </w:tr>
      <w:tr w14:paraId="7D9325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02CA34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5.0000</w:t>
            </w:r>
          </w:p>
        </w:tc>
        <w:tc>
          <w:tcPr>
            <w:tcW w:w="668" w:type="pct"/>
            <w:tcBorders>
              <w:tl2br w:val="nil"/>
              <w:tr2bl w:val="nil"/>
            </w:tcBorders>
            <w:shd w:val="clear" w:color="auto" w:fill="auto"/>
            <w:noWrap w:val="0"/>
            <w:vAlign w:val="center"/>
          </w:tcPr>
          <w:p w14:paraId="253D680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8.9629</w:t>
            </w:r>
          </w:p>
        </w:tc>
        <w:tc>
          <w:tcPr>
            <w:tcW w:w="743" w:type="pct"/>
            <w:tcBorders>
              <w:tl2br w:val="nil"/>
              <w:tr2bl w:val="nil"/>
            </w:tcBorders>
            <w:shd w:val="clear" w:color="auto" w:fill="auto"/>
            <w:noWrap w:val="0"/>
            <w:vAlign w:val="center"/>
          </w:tcPr>
          <w:p w14:paraId="0D00D5E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7.0214</w:t>
            </w:r>
          </w:p>
        </w:tc>
        <w:tc>
          <w:tcPr>
            <w:tcW w:w="641" w:type="pct"/>
            <w:tcBorders>
              <w:tl2br w:val="nil"/>
              <w:tr2bl w:val="nil"/>
            </w:tcBorders>
            <w:shd w:val="clear" w:color="auto" w:fill="auto"/>
            <w:noWrap w:val="0"/>
            <w:vAlign w:val="bottom"/>
          </w:tcPr>
          <w:p w14:paraId="3145F82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3.5876</w:t>
            </w:r>
          </w:p>
        </w:tc>
        <w:tc>
          <w:tcPr>
            <w:tcW w:w="644" w:type="pct"/>
            <w:tcBorders>
              <w:tl2br w:val="nil"/>
              <w:tr2bl w:val="nil"/>
            </w:tcBorders>
            <w:shd w:val="clear" w:color="auto" w:fill="auto"/>
            <w:noWrap w:val="0"/>
            <w:vAlign w:val="center"/>
          </w:tcPr>
          <w:p w14:paraId="33A960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66.6064</w:t>
            </w:r>
          </w:p>
        </w:tc>
        <w:tc>
          <w:tcPr>
            <w:tcW w:w="650" w:type="pct"/>
            <w:tcBorders>
              <w:tl2br w:val="nil"/>
              <w:tr2bl w:val="nil"/>
            </w:tcBorders>
            <w:shd w:val="clear" w:color="auto" w:fill="auto"/>
            <w:noWrap w:val="0"/>
            <w:vAlign w:val="center"/>
          </w:tcPr>
          <w:p w14:paraId="73BBD8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53.5536</w:t>
            </w:r>
          </w:p>
        </w:tc>
        <w:tc>
          <w:tcPr>
            <w:tcW w:w="730" w:type="pct"/>
            <w:tcBorders>
              <w:tl2br w:val="nil"/>
              <w:tr2bl w:val="nil"/>
            </w:tcBorders>
            <w:shd w:val="clear" w:color="auto" w:fill="auto"/>
            <w:noWrap w:val="0"/>
            <w:vAlign w:val="bottom"/>
          </w:tcPr>
          <w:p w14:paraId="4D71A1E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30.0510</w:t>
            </w:r>
          </w:p>
        </w:tc>
      </w:tr>
      <w:tr w14:paraId="6E57044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0BDF539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6.0000</w:t>
            </w:r>
          </w:p>
        </w:tc>
        <w:tc>
          <w:tcPr>
            <w:tcW w:w="668" w:type="pct"/>
            <w:tcBorders>
              <w:tl2br w:val="nil"/>
              <w:tr2bl w:val="nil"/>
            </w:tcBorders>
            <w:shd w:val="clear" w:color="auto" w:fill="auto"/>
            <w:noWrap w:val="0"/>
            <w:vAlign w:val="center"/>
          </w:tcPr>
          <w:p w14:paraId="180781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9.1490</w:t>
            </w:r>
          </w:p>
        </w:tc>
        <w:tc>
          <w:tcPr>
            <w:tcW w:w="743" w:type="pct"/>
            <w:tcBorders>
              <w:tl2br w:val="nil"/>
              <w:tr2bl w:val="nil"/>
            </w:tcBorders>
            <w:shd w:val="clear" w:color="auto" w:fill="auto"/>
            <w:noWrap w:val="0"/>
            <w:vAlign w:val="center"/>
          </w:tcPr>
          <w:p w14:paraId="017376C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7.2216</w:t>
            </w:r>
          </w:p>
        </w:tc>
        <w:tc>
          <w:tcPr>
            <w:tcW w:w="641" w:type="pct"/>
            <w:tcBorders>
              <w:tl2br w:val="nil"/>
              <w:tr2bl w:val="nil"/>
            </w:tcBorders>
            <w:shd w:val="clear" w:color="auto" w:fill="auto"/>
            <w:noWrap w:val="0"/>
            <w:vAlign w:val="bottom"/>
          </w:tcPr>
          <w:p w14:paraId="39EBBF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3.7575</w:t>
            </w:r>
          </w:p>
        </w:tc>
        <w:tc>
          <w:tcPr>
            <w:tcW w:w="644" w:type="pct"/>
            <w:tcBorders>
              <w:tl2br w:val="nil"/>
              <w:tr2bl w:val="nil"/>
            </w:tcBorders>
            <w:shd w:val="clear" w:color="auto" w:fill="auto"/>
            <w:noWrap w:val="0"/>
            <w:vAlign w:val="center"/>
          </w:tcPr>
          <w:p w14:paraId="41773D9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62.4060</w:t>
            </w:r>
          </w:p>
        </w:tc>
        <w:tc>
          <w:tcPr>
            <w:tcW w:w="650" w:type="pct"/>
            <w:tcBorders>
              <w:tl2br w:val="nil"/>
              <w:tr2bl w:val="nil"/>
            </w:tcBorders>
            <w:shd w:val="clear" w:color="auto" w:fill="auto"/>
            <w:noWrap w:val="0"/>
            <w:vAlign w:val="center"/>
          </w:tcPr>
          <w:p w14:paraId="4D0D2D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50.4056</w:t>
            </w:r>
          </w:p>
        </w:tc>
        <w:tc>
          <w:tcPr>
            <w:tcW w:w="730" w:type="pct"/>
            <w:tcBorders>
              <w:tl2br w:val="nil"/>
              <w:tr2bl w:val="nil"/>
            </w:tcBorders>
            <w:shd w:val="clear" w:color="auto" w:fill="auto"/>
            <w:noWrap w:val="0"/>
            <w:vAlign w:val="bottom"/>
          </w:tcPr>
          <w:p w14:paraId="0A1861C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28.6598</w:t>
            </w:r>
          </w:p>
        </w:tc>
      </w:tr>
      <w:tr w14:paraId="0DCC72E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64552F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7.0000</w:t>
            </w:r>
          </w:p>
        </w:tc>
        <w:tc>
          <w:tcPr>
            <w:tcW w:w="668" w:type="pct"/>
            <w:tcBorders>
              <w:tl2br w:val="nil"/>
              <w:tr2bl w:val="nil"/>
            </w:tcBorders>
            <w:shd w:val="clear" w:color="auto" w:fill="auto"/>
            <w:noWrap w:val="0"/>
            <w:vAlign w:val="center"/>
          </w:tcPr>
          <w:p w14:paraId="25052AB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8.7073</w:t>
            </w:r>
          </w:p>
        </w:tc>
        <w:tc>
          <w:tcPr>
            <w:tcW w:w="743" w:type="pct"/>
            <w:tcBorders>
              <w:tl2br w:val="nil"/>
              <w:tr2bl w:val="nil"/>
            </w:tcBorders>
            <w:shd w:val="clear" w:color="auto" w:fill="auto"/>
            <w:noWrap w:val="0"/>
            <w:vAlign w:val="center"/>
          </w:tcPr>
          <w:p w14:paraId="14F747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7.0264</w:t>
            </w:r>
          </w:p>
        </w:tc>
        <w:tc>
          <w:tcPr>
            <w:tcW w:w="641" w:type="pct"/>
            <w:tcBorders>
              <w:tl2br w:val="nil"/>
              <w:tr2bl w:val="nil"/>
            </w:tcBorders>
            <w:shd w:val="clear" w:color="auto" w:fill="auto"/>
            <w:noWrap w:val="0"/>
            <w:vAlign w:val="bottom"/>
          </w:tcPr>
          <w:p w14:paraId="18DD7A0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3.8083</w:t>
            </w:r>
          </w:p>
        </w:tc>
        <w:tc>
          <w:tcPr>
            <w:tcW w:w="644" w:type="pct"/>
            <w:tcBorders>
              <w:tl2br w:val="nil"/>
              <w:tr2bl w:val="nil"/>
            </w:tcBorders>
            <w:shd w:val="clear" w:color="auto" w:fill="auto"/>
            <w:noWrap w:val="0"/>
            <w:vAlign w:val="center"/>
          </w:tcPr>
          <w:p w14:paraId="7AAC02C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56.5241</w:t>
            </w:r>
          </w:p>
        </w:tc>
        <w:tc>
          <w:tcPr>
            <w:tcW w:w="650" w:type="pct"/>
            <w:tcBorders>
              <w:tl2br w:val="nil"/>
              <w:tr2bl w:val="nil"/>
            </w:tcBorders>
            <w:shd w:val="clear" w:color="auto" w:fill="auto"/>
            <w:noWrap w:val="0"/>
            <w:vAlign w:val="center"/>
          </w:tcPr>
          <w:p w14:paraId="1FB630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46.3485</w:t>
            </w:r>
          </w:p>
        </w:tc>
        <w:tc>
          <w:tcPr>
            <w:tcW w:w="730" w:type="pct"/>
            <w:tcBorders>
              <w:tl2br w:val="nil"/>
              <w:tr2bl w:val="nil"/>
            </w:tcBorders>
            <w:shd w:val="clear" w:color="auto" w:fill="auto"/>
            <w:noWrap w:val="0"/>
            <w:vAlign w:val="bottom"/>
          </w:tcPr>
          <w:p w14:paraId="52781E0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27.0735</w:t>
            </w:r>
          </w:p>
        </w:tc>
      </w:tr>
      <w:tr w14:paraId="05A55B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ED270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8.0000</w:t>
            </w:r>
          </w:p>
        </w:tc>
        <w:tc>
          <w:tcPr>
            <w:tcW w:w="668" w:type="pct"/>
            <w:tcBorders>
              <w:tl2br w:val="nil"/>
              <w:tr2bl w:val="nil"/>
            </w:tcBorders>
            <w:shd w:val="clear" w:color="auto" w:fill="auto"/>
            <w:noWrap w:val="0"/>
            <w:vAlign w:val="center"/>
          </w:tcPr>
          <w:p w14:paraId="006019C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7.8347</w:t>
            </w:r>
          </w:p>
        </w:tc>
        <w:tc>
          <w:tcPr>
            <w:tcW w:w="743" w:type="pct"/>
            <w:tcBorders>
              <w:tl2br w:val="nil"/>
              <w:tr2bl w:val="nil"/>
            </w:tcBorders>
            <w:shd w:val="clear" w:color="auto" w:fill="auto"/>
            <w:noWrap w:val="0"/>
            <w:vAlign w:val="center"/>
          </w:tcPr>
          <w:p w14:paraId="13BA993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6.5270</w:t>
            </w:r>
          </w:p>
        </w:tc>
        <w:tc>
          <w:tcPr>
            <w:tcW w:w="641" w:type="pct"/>
            <w:tcBorders>
              <w:tl2br w:val="nil"/>
              <w:tr2bl w:val="nil"/>
            </w:tcBorders>
            <w:shd w:val="clear" w:color="auto" w:fill="auto"/>
            <w:noWrap w:val="0"/>
            <w:vAlign w:val="bottom"/>
          </w:tcPr>
          <w:p w14:paraId="509DAFD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3.7502</w:t>
            </w:r>
          </w:p>
        </w:tc>
        <w:tc>
          <w:tcPr>
            <w:tcW w:w="644" w:type="pct"/>
            <w:tcBorders>
              <w:tl2br w:val="nil"/>
              <w:tr2bl w:val="nil"/>
            </w:tcBorders>
            <w:shd w:val="clear" w:color="auto" w:fill="auto"/>
            <w:noWrap w:val="0"/>
            <w:vAlign w:val="center"/>
          </w:tcPr>
          <w:p w14:paraId="4CF2494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49.8761</w:t>
            </w:r>
          </w:p>
        </w:tc>
        <w:tc>
          <w:tcPr>
            <w:tcW w:w="650" w:type="pct"/>
            <w:tcBorders>
              <w:tl2br w:val="nil"/>
              <w:tr2bl w:val="nil"/>
            </w:tcBorders>
            <w:shd w:val="clear" w:color="auto" w:fill="auto"/>
            <w:noWrap w:val="0"/>
            <w:vAlign w:val="center"/>
          </w:tcPr>
          <w:p w14:paraId="722275B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41.7954</w:t>
            </w:r>
          </w:p>
        </w:tc>
        <w:tc>
          <w:tcPr>
            <w:tcW w:w="730" w:type="pct"/>
            <w:tcBorders>
              <w:tl2br w:val="nil"/>
              <w:tr2bl w:val="nil"/>
            </w:tcBorders>
            <w:shd w:val="clear" w:color="auto" w:fill="auto"/>
            <w:noWrap w:val="0"/>
            <w:vAlign w:val="bottom"/>
          </w:tcPr>
          <w:p w14:paraId="6713962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25.3506</w:t>
            </w:r>
          </w:p>
        </w:tc>
      </w:tr>
      <w:tr w14:paraId="3789EC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3C11609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9.0000</w:t>
            </w:r>
          </w:p>
        </w:tc>
        <w:tc>
          <w:tcPr>
            <w:tcW w:w="668" w:type="pct"/>
            <w:tcBorders>
              <w:tl2br w:val="nil"/>
              <w:tr2bl w:val="nil"/>
            </w:tcBorders>
            <w:shd w:val="clear" w:color="auto" w:fill="auto"/>
            <w:noWrap w:val="0"/>
            <w:vAlign w:val="center"/>
          </w:tcPr>
          <w:p w14:paraId="07F1C6C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6.7777</w:t>
            </w:r>
          </w:p>
        </w:tc>
        <w:tc>
          <w:tcPr>
            <w:tcW w:w="743" w:type="pct"/>
            <w:tcBorders>
              <w:tl2br w:val="nil"/>
              <w:tr2bl w:val="nil"/>
            </w:tcBorders>
            <w:shd w:val="clear" w:color="auto" w:fill="auto"/>
            <w:noWrap w:val="0"/>
            <w:vAlign w:val="center"/>
          </w:tcPr>
          <w:p w14:paraId="68FF192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5.8522</w:t>
            </w:r>
          </w:p>
        </w:tc>
        <w:tc>
          <w:tcPr>
            <w:tcW w:w="641" w:type="pct"/>
            <w:tcBorders>
              <w:tl2br w:val="nil"/>
              <w:tr2bl w:val="nil"/>
            </w:tcBorders>
            <w:shd w:val="clear" w:color="auto" w:fill="auto"/>
            <w:noWrap w:val="0"/>
            <w:vAlign w:val="bottom"/>
          </w:tcPr>
          <w:p w14:paraId="08D549D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3.6036</w:t>
            </w:r>
          </w:p>
        </w:tc>
        <w:tc>
          <w:tcPr>
            <w:tcW w:w="644" w:type="pct"/>
            <w:tcBorders>
              <w:tl2br w:val="nil"/>
              <w:tr2bl w:val="nil"/>
            </w:tcBorders>
            <w:shd w:val="clear" w:color="auto" w:fill="auto"/>
            <w:noWrap w:val="0"/>
            <w:vAlign w:val="center"/>
          </w:tcPr>
          <w:p w14:paraId="2CBB5B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43.3324</w:t>
            </w:r>
          </w:p>
        </w:tc>
        <w:tc>
          <w:tcPr>
            <w:tcW w:w="650" w:type="pct"/>
            <w:tcBorders>
              <w:tl2br w:val="nil"/>
              <w:tr2bl w:val="nil"/>
            </w:tcBorders>
            <w:shd w:val="clear" w:color="auto" w:fill="auto"/>
            <w:noWrap w:val="0"/>
            <w:vAlign w:val="center"/>
          </w:tcPr>
          <w:p w14:paraId="7028DC1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37.1822</w:t>
            </w:r>
          </w:p>
        </w:tc>
        <w:tc>
          <w:tcPr>
            <w:tcW w:w="730" w:type="pct"/>
            <w:tcBorders>
              <w:tl2br w:val="nil"/>
              <w:tr2bl w:val="nil"/>
            </w:tcBorders>
            <w:shd w:val="clear" w:color="auto" w:fill="auto"/>
            <w:noWrap w:val="0"/>
            <w:vAlign w:val="bottom"/>
          </w:tcPr>
          <w:p w14:paraId="368640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23.5586</w:t>
            </w:r>
          </w:p>
        </w:tc>
      </w:tr>
      <w:tr w14:paraId="6AE2A9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44C467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10.0000</w:t>
            </w:r>
          </w:p>
        </w:tc>
        <w:tc>
          <w:tcPr>
            <w:tcW w:w="668" w:type="pct"/>
            <w:tcBorders>
              <w:tl2br w:val="nil"/>
              <w:tr2bl w:val="nil"/>
            </w:tcBorders>
            <w:shd w:val="clear" w:color="auto" w:fill="auto"/>
            <w:noWrap w:val="0"/>
            <w:vAlign w:val="center"/>
          </w:tcPr>
          <w:p w14:paraId="5B56FFD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5.7227</w:t>
            </w:r>
          </w:p>
        </w:tc>
        <w:tc>
          <w:tcPr>
            <w:tcW w:w="743" w:type="pct"/>
            <w:tcBorders>
              <w:tl2br w:val="nil"/>
              <w:tr2bl w:val="nil"/>
            </w:tcBorders>
            <w:shd w:val="clear" w:color="auto" w:fill="auto"/>
            <w:noWrap w:val="0"/>
            <w:vAlign w:val="center"/>
          </w:tcPr>
          <w:p w14:paraId="6677417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5.1189</w:t>
            </w:r>
          </w:p>
        </w:tc>
        <w:tc>
          <w:tcPr>
            <w:tcW w:w="641" w:type="pct"/>
            <w:tcBorders>
              <w:tl2br w:val="nil"/>
              <w:tr2bl w:val="nil"/>
            </w:tcBorders>
            <w:shd w:val="clear" w:color="auto" w:fill="auto"/>
            <w:noWrap w:val="0"/>
            <w:vAlign w:val="bottom"/>
          </w:tcPr>
          <w:p w14:paraId="7C3587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3.3932</w:t>
            </w:r>
          </w:p>
        </w:tc>
        <w:tc>
          <w:tcPr>
            <w:tcW w:w="644" w:type="pct"/>
            <w:tcBorders>
              <w:tl2br w:val="nil"/>
              <w:tr2bl w:val="nil"/>
            </w:tcBorders>
            <w:shd w:val="clear" w:color="auto" w:fill="auto"/>
            <w:noWrap w:val="0"/>
            <w:vAlign w:val="center"/>
          </w:tcPr>
          <w:p w14:paraId="3D3FCCB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37.4124</w:t>
            </w:r>
          </w:p>
        </w:tc>
        <w:tc>
          <w:tcPr>
            <w:tcW w:w="650" w:type="pct"/>
            <w:tcBorders>
              <w:tl2br w:val="nil"/>
              <w:tr2bl w:val="nil"/>
            </w:tcBorders>
            <w:shd w:val="clear" w:color="auto" w:fill="auto"/>
            <w:noWrap w:val="0"/>
            <w:vAlign w:val="center"/>
          </w:tcPr>
          <w:p w14:paraId="6B867F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32.8286</w:t>
            </w:r>
          </w:p>
        </w:tc>
        <w:tc>
          <w:tcPr>
            <w:tcW w:w="730" w:type="pct"/>
            <w:tcBorders>
              <w:tl2br w:val="nil"/>
              <w:tr2bl w:val="nil"/>
            </w:tcBorders>
            <w:shd w:val="clear" w:color="auto" w:fill="auto"/>
            <w:noWrap w:val="0"/>
            <w:vAlign w:val="bottom"/>
          </w:tcPr>
          <w:p w14:paraId="5BFD099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21.7624</w:t>
            </w:r>
          </w:p>
        </w:tc>
      </w:tr>
      <w:tr w14:paraId="09F7D6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C3A965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11.0000</w:t>
            </w:r>
          </w:p>
        </w:tc>
        <w:tc>
          <w:tcPr>
            <w:tcW w:w="668" w:type="pct"/>
            <w:tcBorders>
              <w:tl2br w:val="nil"/>
              <w:tr2bl w:val="nil"/>
            </w:tcBorders>
            <w:shd w:val="clear" w:color="auto" w:fill="auto"/>
            <w:noWrap w:val="0"/>
            <w:vAlign w:val="center"/>
          </w:tcPr>
          <w:p w14:paraId="0AA9DB5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4.7704</w:t>
            </w:r>
          </w:p>
        </w:tc>
        <w:tc>
          <w:tcPr>
            <w:tcW w:w="743" w:type="pct"/>
            <w:tcBorders>
              <w:tl2br w:val="nil"/>
              <w:tr2bl w:val="nil"/>
            </w:tcBorders>
            <w:shd w:val="clear" w:color="auto" w:fill="auto"/>
            <w:noWrap w:val="0"/>
            <w:vAlign w:val="center"/>
          </w:tcPr>
          <w:p w14:paraId="6CB50F8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4.4074</w:t>
            </w:r>
          </w:p>
        </w:tc>
        <w:tc>
          <w:tcPr>
            <w:tcW w:w="641" w:type="pct"/>
            <w:tcBorders>
              <w:tl2br w:val="nil"/>
              <w:tr2bl w:val="nil"/>
            </w:tcBorders>
            <w:shd w:val="clear" w:color="auto" w:fill="auto"/>
            <w:noWrap w:val="0"/>
            <w:vAlign w:val="bottom"/>
          </w:tcPr>
          <w:p w14:paraId="232AF2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3.1438</w:t>
            </w:r>
          </w:p>
        </w:tc>
        <w:tc>
          <w:tcPr>
            <w:tcW w:w="644" w:type="pct"/>
            <w:tcBorders>
              <w:tl2br w:val="nil"/>
              <w:tr2bl w:val="nil"/>
            </w:tcBorders>
            <w:shd w:val="clear" w:color="auto" w:fill="auto"/>
            <w:noWrap w:val="0"/>
            <w:vAlign w:val="center"/>
          </w:tcPr>
          <w:p w14:paraId="1AEC43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32.3032</w:t>
            </w:r>
          </w:p>
        </w:tc>
        <w:tc>
          <w:tcPr>
            <w:tcW w:w="650" w:type="pct"/>
            <w:tcBorders>
              <w:tl2br w:val="nil"/>
              <w:tr2bl w:val="nil"/>
            </w:tcBorders>
            <w:shd w:val="clear" w:color="auto" w:fill="auto"/>
            <w:noWrap w:val="0"/>
            <w:vAlign w:val="center"/>
          </w:tcPr>
          <w:p w14:paraId="1E560BC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28.9048</w:t>
            </w:r>
          </w:p>
        </w:tc>
        <w:tc>
          <w:tcPr>
            <w:tcW w:w="730" w:type="pct"/>
            <w:tcBorders>
              <w:tl2br w:val="nil"/>
              <w:tr2bl w:val="nil"/>
            </w:tcBorders>
            <w:shd w:val="clear" w:color="auto" w:fill="auto"/>
            <w:noWrap w:val="0"/>
            <w:vAlign w:val="bottom"/>
          </w:tcPr>
          <w:p w14:paraId="507D9A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20.0156</w:t>
            </w:r>
          </w:p>
        </w:tc>
      </w:tr>
      <w:tr w14:paraId="217748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EBA62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12.0000</w:t>
            </w:r>
          </w:p>
        </w:tc>
        <w:tc>
          <w:tcPr>
            <w:tcW w:w="668" w:type="pct"/>
            <w:tcBorders>
              <w:tl2br w:val="nil"/>
              <w:tr2bl w:val="nil"/>
            </w:tcBorders>
            <w:shd w:val="clear" w:color="auto" w:fill="auto"/>
            <w:noWrap w:val="0"/>
            <w:vAlign w:val="center"/>
          </w:tcPr>
          <w:p w14:paraId="2EBF429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3.9575</w:t>
            </w:r>
          </w:p>
        </w:tc>
        <w:tc>
          <w:tcPr>
            <w:tcW w:w="743" w:type="pct"/>
            <w:tcBorders>
              <w:tl2br w:val="nil"/>
              <w:tr2bl w:val="nil"/>
            </w:tcBorders>
            <w:shd w:val="clear" w:color="auto" w:fill="auto"/>
            <w:noWrap w:val="0"/>
            <w:vAlign w:val="center"/>
          </w:tcPr>
          <w:p w14:paraId="6C6A7BE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3.7616</w:t>
            </w:r>
          </w:p>
        </w:tc>
        <w:tc>
          <w:tcPr>
            <w:tcW w:w="641" w:type="pct"/>
            <w:tcBorders>
              <w:tl2br w:val="nil"/>
              <w:tr2bl w:val="nil"/>
            </w:tcBorders>
            <w:shd w:val="clear" w:color="auto" w:fill="auto"/>
            <w:noWrap w:val="0"/>
            <w:vAlign w:val="bottom"/>
          </w:tcPr>
          <w:p w14:paraId="516C3CD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2.8765</w:t>
            </w:r>
          </w:p>
        </w:tc>
        <w:tc>
          <w:tcPr>
            <w:tcW w:w="644" w:type="pct"/>
            <w:tcBorders>
              <w:tl2br w:val="nil"/>
              <w:tr2bl w:val="nil"/>
            </w:tcBorders>
            <w:shd w:val="clear" w:color="auto" w:fill="auto"/>
            <w:noWrap w:val="0"/>
            <w:vAlign w:val="center"/>
          </w:tcPr>
          <w:p w14:paraId="33D65B5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27.9959</w:t>
            </w:r>
          </w:p>
        </w:tc>
        <w:tc>
          <w:tcPr>
            <w:tcW w:w="650" w:type="pct"/>
            <w:tcBorders>
              <w:tl2br w:val="nil"/>
              <w:tr2bl w:val="nil"/>
            </w:tcBorders>
            <w:shd w:val="clear" w:color="auto" w:fill="auto"/>
            <w:noWrap w:val="0"/>
            <w:vAlign w:val="center"/>
          </w:tcPr>
          <w:p w14:paraId="0AD262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25.4650</w:t>
            </w:r>
          </w:p>
        </w:tc>
        <w:tc>
          <w:tcPr>
            <w:tcW w:w="730" w:type="pct"/>
            <w:tcBorders>
              <w:tl2br w:val="nil"/>
              <w:tr2bl w:val="nil"/>
            </w:tcBorders>
            <w:shd w:val="clear" w:color="auto" w:fill="auto"/>
            <w:noWrap w:val="0"/>
            <w:vAlign w:val="bottom"/>
          </w:tcPr>
          <w:p w14:paraId="4EB1519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18.3570</w:t>
            </w:r>
          </w:p>
        </w:tc>
      </w:tr>
      <w:tr w14:paraId="5B32C36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2" w:type="pct"/>
            <w:tcBorders>
              <w:tl2br w:val="nil"/>
              <w:tr2bl w:val="nil"/>
            </w:tcBorders>
            <w:shd w:val="clear" w:color="auto" w:fill="auto"/>
            <w:noWrap w:val="0"/>
            <w:vAlign w:val="center"/>
          </w:tcPr>
          <w:p w14:paraId="6B8C435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13.0000</w:t>
            </w:r>
          </w:p>
        </w:tc>
        <w:tc>
          <w:tcPr>
            <w:tcW w:w="668" w:type="pct"/>
            <w:tcBorders>
              <w:tl2br w:val="nil"/>
              <w:tr2bl w:val="nil"/>
            </w:tcBorders>
            <w:shd w:val="clear" w:color="auto" w:fill="auto"/>
            <w:noWrap w:val="0"/>
            <w:vAlign w:val="center"/>
          </w:tcPr>
          <w:p w14:paraId="065B478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3.2848</w:t>
            </w:r>
          </w:p>
        </w:tc>
        <w:tc>
          <w:tcPr>
            <w:tcW w:w="743" w:type="pct"/>
            <w:tcBorders>
              <w:tl2br w:val="nil"/>
              <w:tr2bl w:val="nil"/>
            </w:tcBorders>
            <w:shd w:val="clear" w:color="auto" w:fill="auto"/>
            <w:noWrap w:val="0"/>
            <w:vAlign w:val="center"/>
          </w:tcPr>
          <w:p w14:paraId="50A631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3.1986</w:t>
            </w:r>
          </w:p>
        </w:tc>
        <w:tc>
          <w:tcPr>
            <w:tcW w:w="641" w:type="pct"/>
            <w:tcBorders>
              <w:tl2br w:val="nil"/>
              <w:tr2bl w:val="nil"/>
            </w:tcBorders>
            <w:shd w:val="clear" w:color="auto" w:fill="auto"/>
            <w:noWrap w:val="0"/>
            <w:vAlign w:val="bottom"/>
          </w:tcPr>
          <w:p w14:paraId="0D4C55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2.6076</w:t>
            </w:r>
          </w:p>
        </w:tc>
        <w:tc>
          <w:tcPr>
            <w:tcW w:w="644" w:type="pct"/>
            <w:tcBorders>
              <w:tl2br w:val="nil"/>
              <w:tr2bl w:val="nil"/>
            </w:tcBorders>
            <w:shd w:val="clear" w:color="auto" w:fill="auto"/>
            <w:noWrap w:val="0"/>
            <w:vAlign w:val="center"/>
          </w:tcPr>
          <w:p w14:paraId="62B4D76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24.3986</w:t>
            </w:r>
          </w:p>
        </w:tc>
        <w:tc>
          <w:tcPr>
            <w:tcW w:w="650" w:type="pct"/>
            <w:tcBorders>
              <w:tl2br w:val="nil"/>
              <w:tr2bl w:val="nil"/>
            </w:tcBorders>
            <w:shd w:val="clear" w:color="auto" w:fill="auto"/>
            <w:noWrap w:val="0"/>
            <w:vAlign w:val="center"/>
          </w:tcPr>
          <w:p w14:paraId="74D406E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22.4948</w:t>
            </w:r>
          </w:p>
        </w:tc>
        <w:tc>
          <w:tcPr>
            <w:tcW w:w="730" w:type="pct"/>
            <w:tcBorders>
              <w:tl2br w:val="nil"/>
              <w:tr2bl w:val="nil"/>
            </w:tcBorders>
            <w:shd w:val="clear" w:color="auto" w:fill="auto"/>
            <w:noWrap w:val="0"/>
            <w:vAlign w:val="bottom"/>
          </w:tcPr>
          <w:p w14:paraId="4F667B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16.8105</w:t>
            </w:r>
          </w:p>
        </w:tc>
      </w:tr>
      <w:tr w14:paraId="5BBF34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0984D8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14.0000</w:t>
            </w:r>
          </w:p>
        </w:tc>
        <w:tc>
          <w:tcPr>
            <w:tcW w:w="668" w:type="pct"/>
            <w:tcBorders>
              <w:tl2br w:val="nil"/>
              <w:tr2bl w:val="nil"/>
            </w:tcBorders>
            <w:shd w:val="clear" w:color="auto" w:fill="auto"/>
            <w:noWrap w:val="0"/>
            <w:vAlign w:val="center"/>
          </w:tcPr>
          <w:p w14:paraId="027218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2.7371</w:t>
            </w:r>
          </w:p>
        </w:tc>
        <w:tc>
          <w:tcPr>
            <w:tcW w:w="743" w:type="pct"/>
            <w:tcBorders>
              <w:tl2br w:val="nil"/>
              <w:tr2bl w:val="nil"/>
            </w:tcBorders>
            <w:shd w:val="clear" w:color="auto" w:fill="auto"/>
            <w:noWrap w:val="0"/>
            <w:vAlign w:val="center"/>
          </w:tcPr>
          <w:p w14:paraId="45EAD3A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2.7197</w:t>
            </w:r>
          </w:p>
        </w:tc>
        <w:tc>
          <w:tcPr>
            <w:tcW w:w="641" w:type="pct"/>
            <w:tcBorders>
              <w:tl2br w:val="nil"/>
              <w:tr2bl w:val="nil"/>
            </w:tcBorders>
            <w:shd w:val="clear" w:color="auto" w:fill="auto"/>
            <w:noWrap w:val="0"/>
            <w:vAlign w:val="bottom"/>
          </w:tcPr>
          <w:p w14:paraId="49821FD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2.3484</w:t>
            </w:r>
          </w:p>
        </w:tc>
        <w:tc>
          <w:tcPr>
            <w:tcW w:w="644" w:type="pct"/>
            <w:tcBorders>
              <w:tl2br w:val="nil"/>
              <w:tr2bl w:val="nil"/>
            </w:tcBorders>
            <w:shd w:val="clear" w:color="auto" w:fill="auto"/>
            <w:noWrap w:val="0"/>
            <w:vAlign w:val="center"/>
          </w:tcPr>
          <w:p w14:paraId="2B89F3C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21.3981</w:t>
            </w:r>
          </w:p>
        </w:tc>
        <w:tc>
          <w:tcPr>
            <w:tcW w:w="650" w:type="pct"/>
            <w:tcBorders>
              <w:tl2br w:val="nil"/>
              <w:tr2bl w:val="nil"/>
            </w:tcBorders>
            <w:shd w:val="clear" w:color="auto" w:fill="auto"/>
            <w:noWrap w:val="0"/>
            <w:vAlign w:val="center"/>
          </w:tcPr>
          <w:p w14:paraId="37CB310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19.9481</w:t>
            </w:r>
          </w:p>
        </w:tc>
        <w:tc>
          <w:tcPr>
            <w:tcW w:w="730" w:type="pct"/>
            <w:tcBorders>
              <w:tl2br w:val="nil"/>
              <w:tr2bl w:val="nil"/>
            </w:tcBorders>
            <w:shd w:val="clear" w:color="auto" w:fill="auto"/>
            <w:noWrap w:val="0"/>
            <w:vAlign w:val="bottom"/>
          </w:tcPr>
          <w:p w14:paraId="5EF8DAC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15.3877</w:t>
            </w:r>
          </w:p>
        </w:tc>
      </w:tr>
      <w:tr w14:paraId="01D449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2D2EC33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15.0000</w:t>
            </w:r>
          </w:p>
        </w:tc>
        <w:tc>
          <w:tcPr>
            <w:tcW w:w="668" w:type="pct"/>
            <w:tcBorders>
              <w:tl2br w:val="nil"/>
              <w:tr2bl w:val="nil"/>
            </w:tcBorders>
            <w:shd w:val="clear" w:color="auto" w:fill="auto"/>
            <w:noWrap w:val="0"/>
            <w:vAlign w:val="center"/>
          </w:tcPr>
          <w:p w14:paraId="5584B02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2.2945</w:t>
            </w:r>
          </w:p>
        </w:tc>
        <w:tc>
          <w:tcPr>
            <w:tcW w:w="743" w:type="pct"/>
            <w:tcBorders>
              <w:tl2br w:val="nil"/>
              <w:tr2bl w:val="nil"/>
            </w:tcBorders>
            <w:shd w:val="clear" w:color="auto" w:fill="auto"/>
            <w:noWrap w:val="0"/>
            <w:vAlign w:val="center"/>
          </w:tcPr>
          <w:p w14:paraId="47CA6DC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2.3181</w:t>
            </w:r>
          </w:p>
        </w:tc>
        <w:tc>
          <w:tcPr>
            <w:tcW w:w="641" w:type="pct"/>
            <w:tcBorders>
              <w:tl2br w:val="nil"/>
              <w:tr2bl w:val="nil"/>
            </w:tcBorders>
            <w:shd w:val="clear" w:color="auto" w:fill="auto"/>
            <w:noWrap w:val="0"/>
            <w:vAlign w:val="bottom"/>
          </w:tcPr>
          <w:p w14:paraId="416B13B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2.1060</w:t>
            </w:r>
          </w:p>
        </w:tc>
        <w:tc>
          <w:tcPr>
            <w:tcW w:w="644" w:type="pct"/>
            <w:tcBorders>
              <w:tl2br w:val="nil"/>
              <w:tr2bl w:val="nil"/>
            </w:tcBorders>
            <w:shd w:val="clear" w:color="auto" w:fill="auto"/>
            <w:noWrap w:val="0"/>
            <w:vAlign w:val="center"/>
          </w:tcPr>
          <w:p w14:paraId="09D0245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18.8878</w:t>
            </w:r>
          </w:p>
        </w:tc>
        <w:tc>
          <w:tcPr>
            <w:tcW w:w="650" w:type="pct"/>
            <w:tcBorders>
              <w:tl2br w:val="nil"/>
              <w:tr2bl w:val="nil"/>
            </w:tcBorders>
            <w:shd w:val="clear" w:color="auto" w:fill="auto"/>
            <w:noWrap w:val="0"/>
            <w:vAlign w:val="center"/>
          </w:tcPr>
          <w:p w14:paraId="077150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17.7687</w:t>
            </w:r>
          </w:p>
        </w:tc>
        <w:tc>
          <w:tcPr>
            <w:tcW w:w="730" w:type="pct"/>
            <w:tcBorders>
              <w:tl2br w:val="nil"/>
              <w:tr2bl w:val="nil"/>
            </w:tcBorders>
            <w:shd w:val="clear" w:color="auto" w:fill="auto"/>
            <w:noWrap w:val="0"/>
            <w:vAlign w:val="bottom"/>
          </w:tcPr>
          <w:p w14:paraId="74B6520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14.0911</w:t>
            </w:r>
          </w:p>
        </w:tc>
      </w:tr>
      <w:tr w14:paraId="18D735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06F4605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16.0000</w:t>
            </w:r>
          </w:p>
        </w:tc>
        <w:tc>
          <w:tcPr>
            <w:tcW w:w="668" w:type="pct"/>
            <w:tcBorders>
              <w:tl2br w:val="nil"/>
              <w:tr2bl w:val="nil"/>
            </w:tcBorders>
            <w:shd w:val="clear" w:color="auto" w:fill="auto"/>
            <w:noWrap w:val="0"/>
            <w:vAlign w:val="center"/>
          </w:tcPr>
          <w:p w14:paraId="5943E0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1.9375</w:t>
            </w:r>
          </w:p>
        </w:tc>
        <w:tc>
          <w:tcPr>
            <w:tcW w:w="743" w:type="pct"/>
            <w:tcBorders>
              <w:tl2br w:val="nil"/>
              <w:tr2bl w:val="nil"/>
            </w:tcBorders>
            <w:shd w:val="clear" w:color="auto" w:fill="auto"/>
            <w:noWrap w:val="0"/>
            <w:vAlign w:val="center"/>
          </w:tcPr>
          <w:p w14:paraId="010745C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1.9838</w:t>
            </w:r>
          </w:p>
        </w:tc>
        <w:tc>
          <w:tcPr>
            <w:tcW w:w="641" w:type="pct"/>
            <w:tcBorders>
              <w:tl2br w:val="nil"/>
              <w:tr2bl w:val="nil"/>
            </w:tcBorders>
            <w:shd w:val="clear" w:color="auto" w:fill="auto"/>
            <w:noWrap w:val="0"/>
            <w:vAlign w:val="bottom"/>
          </w:tcPr>
          <w:p w14:paraId="21FC81E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1.8839</w:t>
            </w:r>
          </w:p>
        </w:tc>
        <w:tc>
          <w:tcPr>
            <w:tcW w:w="644" w:type="pct"/>
            <w:tcBorders>
              <w:tl2br w:val="nil"/>
              <w:tr2bl w:val="nil"/>
            </w:tcBorders>
            <w:shd w:val="clear" w:color="auto" w:fill="auto"/>
            <w:noWrap w:val="0"/>
            <w:vAlign w:val="center"/>
          </w:tcPr>
          <w:p w14:paraId="0F02075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16.7766</w:t>
            </w:r>
          </w:p>
        </w:tc>
        <w:tc>
          <w:tcPr>
            <w:tcW w:w="650" w:type="pct"/>
            <w:tcBorders>
              <w:tl2br w:val="nil"/>
              <w:tr2bl w:val="nil"/>
            </w:tcBorders>
            <w:shd w:val="clear" w:color="auto" w:fill="auto"/>
            <w:noWrap w:val="0"/>
            <w:vAlign w:val="center"/>
          </w:tcPr>
          <w:p w14:paraId="5A4BFB4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15.9014</w:t>
            </w:r>
          </w:p>
        </w:tc>
        <w:tc>
          <w:tcPr>
            <w:tcW w:w="730" w:type="pct"/>
            <w:tcBorders>
              <w:tl2br w:val="nil"/>
              <w:tr2bl w:val="nil"/>
            </w:tcBorders>
            <w:shd w:val="clear" w:color="auto" w:fill="auto"/>
            <w:noWrap w:val="0"/>
            <w:vAlign w:val="bottom"/>
          </w:tcPr>
          <w:p w14:paraId="3E3ECEB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12.9169</w:t>
            </w:r>
          </w:p>
        </w:tc>
      </w:tr>
      <w:tr w14:paraId="4B46F6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39A4E9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17.0000</w:t>
            </w:r>
          </w:p>
        </w:tc>
        <w:tc>
          <w:tcPr>
            <w:tcW w:w="668" w:type="pct"/>
            <w:tcBorders>
              <w:tl2br w:val="nil"/>
              <w:tr2bl w:val="nil"/>
            </w:tcBorders>
            <w:shd w:val="clear" w:color="auto" w:fill="auto"/>
            <w:noWrap w:val="0"/>
            <w:vAlign w:val="center"/>
          </w:tcPr>
          <w:p w14:paraId="4D579F3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1.6492</w:t>
            </w:r>
          </w:p>
        </w:tc>
        <w:tc>
          <w:tcPr>
            <w:tcW w:w="743" w:type="pct"/>
            <w:tcBorders>
              <w:tl2br w:val="nil"/>
              <w:tr2bl w:val="nil"/>
            </w:tcBorders>
            <w:shd w:val="clear" w:color="auto" w:fill="auto"/>
            <w:noWrap w:val="0"/>
            <w:vAlign w:val="center"/>
          </w:tcPr>
          <w:p w14:paraId="55B6BC9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1.7065</w:t>
            </w:r>
          </w:p>
        </w:tc>
        <w:tc>
          <w:tcPr>
            <w:tcW w:w="641" w:type="pct"/>
            <w:tcBorders>
              <w:tl2br w:val="nil"/>
              <w:tr2bl w:val="nil"/>
            </w:tcBorders>
            <w:shd w:val="clear" w:color="auto" w:fill="auto"/>
            <w:noWrap w:val="0"/>
            <w:vAlign w:val="bottom"/>
          </w:tcPr>
          <w:p w14:paraId="268E01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1.6835</w:t>
            </w:r>
          </w:p>
        </w:tc>
        <w:tc>
          <w:tcPr>
            <w:tcW w:w="644" w:type="pct"/>
            <w:tcBorders>
              <w:tl2br w:val="nil"/>
              <w:tr2bl w:val="nil"/>
            </w:tcBorders>
            <w:shd w:val="clear" w:color="auto" w:fill="auto"/>
            <w:noWrap w:val="0"/>
            <w:vAlign w:val="center"/>
          </w:tcPr>
          <w:p w14:paraId="5B12B1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14.9897</w:t>
            </w:r>
          </w:p>
        </w:tc>
        <w:tc>
          <w:tcPr>
            <w:tcW w:w="650" w:type="pct"/>
            <w:tcBorders>
              <w:tl2br w:val="nil"/>
              <w:tr2bl w:val="nil"/>
            </w:tcBorders>
            <w:shd w:val="clear" w:color="auto" w:fill="auto"/>
            <w:noWrap w:val="0"/>
            <w:vAlign w:val="center"/>
          </w:tcPr>
          <w:p w14:paraId="00F2C2A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14.2965</w:t>
            </w:r>
          </w:p>
        </w:tc>
        <w:tc>
          <w:tcPr>
            <w:tcW w:w="730" w:type="pct"/>
            <w:tcBorders>
              <w:tl2br w:val="nil"/>
              <w:tr2bl w:val="nil"/>
            </w:tcBorders>
            <w:shd w:val="clear" w:color="auto" w:fill="auto"/>
            <w:noWrap w:val="0"/>
            <w:vAlign w:val="bottom"/>
          </w:tcPr>
          <w:p w14:paraId="01984D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11.8578</w:t>
            </w:r>
          </w:p>
        </w:tc>
      </w:tr>
      <w:tr w14:paraId="29FBC4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5880D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18.0000</w:t>
            </w:r>
          </w:p>
        </w:tc>
        <w:tc>
          <w:tcPr>
            <w:tcW w:w="668" w:type="pct"/>
            <w:tcBorders>
              <w:tl2br w:val="nil"/>
              <w:tr2bl w:val="nil"/>
            </w:tcBorders>
            <w:shd w:val="clear" w:color="auto" w:fill="auto"/>
            <w:noWrap w:val="0"/>
            <w:vAlign w:val="center"/>
          </w:tcPr>
          <w:p w14:paraId="6E4A436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1.4154</w:t>
            </w:r>
          </w:p>
        </w:tc>
        <w:tc>
          <w:tcPr>
            <w:tcW w:w="743" w:type="pct"/>
            <w:tcBorders>
              <w:tl2br w:val="nil"/>
              <w:tr2bl w:val="nil"/>
            </w:tcBorders>
            <w:shd w:val="clear" w:color="auto" w:fill="auto"/>
            <w:noWrap w:val="0"/>
            <w:vAlign w:val="center"/>
          </w:tcPr>
          <w:p w14:paraId="5B6DAE1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1.4764</w:t>
            </w:r>
          </w:p>
        </w:tc>
        <w:tc>
          <w:tcPr>
            <w:tcW w:w="641" w:type="pct"/>
            <w:tcBorders>
              <w:tl2br w:val="nil"/>
              <w:tr2bl w:val="nil"/>
            </w:tcBorders>
            <w:shd w:val="clear" w:color="auto" w:fill="auto"/>
            <w:noWrap w:val="0"/>
            <w:vAlign w:val="bottom"/>
          </w:tcPr>
          <w:p w14:paraId="34BA00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1.5046</w:t>
            </w:r>
          </w:p>
        </w:tc>
        <w:tc>
          <w:tcPr>
            <w:tcW w:w="644" w:type="pct"/>
            <w:tcBorders>
              <w:tl2br w:val="nil"/>
              <w:tr2bl w:val="nil"/>
            </w:tcBorders>
            <w:shd w:val="clear" w:color="auto" w:fill="auto"/>
            <w:noWrap w:val="0"/>
            <w:vAlign w:val="center"/>
          </w:tcPr>
          <w:p w14:paraId="3D42B9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13.4671</w:t>
            </w:r>
          </w:p>
        </w:tc>
        <w:tc>
          <w:tcPr>
            <w:tcW w:w="650" w:type="pct"/>
            <w:tcBorders>
              <w:tl2br w:val="nil"/>
              <w:tr2bl w:val="nil"/>
            </w:tcBorders>
            <w:shd w:val="clear" w:color="auto" w:fill="auto"/>
            <w:noWrap w:val="0"/>
            <w:vAlign w:val="center"/>
          </w:tcPr>
          <w:p w14:paraId="483725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12.9115</w:t>
            </w:r>
          </w:p>
        </w:tc>
        <w:tc>
          <w:tcPr>
            <w:tcW w:w="730" w:type="pct"/>
            <w:tcBorders>
              <w:tl2br w:val="nil"/>
              <w:tr2bl w:val="nil"/>
            </w:tcBorders>
            <w:shd w:val="clear" w:color="auto" w:fill="auto"/>
            <w:noWrap w:val="0"/>
            <w:vAlign w:val="bottom"/>
          </w:tcPr>
          <w:p w14:paraId="7D40A55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10.9047</w:t>
            </w:r>
          </w:p>
        </w:tc>
      </w:tr>
      <w:tr w14:paraId="5A8CE88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02E334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19.0000</w:t>
            </w:r>
          </w:p>
        </w:tc>
        <w:tc>
          <w:tcPr>
            <w:tcW w:w="668" w:type="pct"/>
            <w:tcBorders>
              <w:tl2br w:val="nil"/>
              <w:tr2bl w:val="nil"/>
            </w:tcBorders>
            <w:shd w:val="clear" w:color="auto" w:fill="auto"/>
            <w:noWrap w:val="0"/>
            <w:vAlign w:val="center"/>
          </w:tcPr>
          <w:p w14:paraId="508DC6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1.2248</w:t>
            </w:r>
          </w:p>
        </w:tc>
        <w:tc>
          <w:tcPr>
            <w:tcW w:w="743" w:type="pct"/>
            <w:tcBorders>
              <w:tl2br w:val="nil"/>
              <w:tr2bl w:val="nil"/>
            </w:tcBorders>
            <w:shd w:val="clear" w:color="auto" w:fill="auto"/>
            <w:noWrap w:val="0"/>
            <w:vAlign w:val="center"/>
          </w:tcPr>
          <w:p w14:paraId="6335EE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1.2853</w:t>
            </w:r>
          </w:p>
        </w:tc>
        <w:tc>
          <w:tcPr>
            <w:tcW w:w="641" w:type="pct"/>
            <w:tcBorders>
              <w:tl2br w:val="nil"/>
              <w:tr2bl w:val="nil"/>
            </w:tcBorders>
            <w:shd w:val="clear" w:color="auto" w:fill="auto"/>
            <w:noWrap w:val="0"/>
            <w:vAlign w:val="bottom"/>
          </w:tcPr>
          <w:p w14:paraId="7D55CD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1.3460</w:t>
            </w:r>
          </w:p>
        </w:tc>
        <w:tc>
          <w:tcPr>
            <w:tcW w:w="644" w:type="pct"/>
            <w:tcBorders>
              <w:tl2br w:val="nil"/>
              <w:tr2bl w:val="nil"/>
            </w:tcBorders>
            <w:shd w:val="clear" w:color="auto" w:fill="auto"/>
            <w:noWrap w:val="0"/>
            <w:vAlign w:val="center"/>
          </w:tcPr>
          <w:p w14:paraId="2C8067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12.1611</w:t>
            </w:r>
          </w:p>
        </w:tc>
        <w:tc>
          <w:tcPr>
            <w:tcW w:w="650" w:type="pct"/>
            <w:tcBorders>
              <w:tl2br w:val="nil"/>
              <w:tr2bl w:val="nil"/>
            </w:tcBorders>
            <w:shd w:val="clear" w:color="auto" w:fill="auto"/>
            <w:noWrap w:val="0"/>
            <w:vAlign w:val="center"/>
          </w:tcPr>
          <w:p w14:paraId="2DC9E16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11.7109</w:t>
            </w:r>
          </w:p>
        </w:tc>
        <w:tc>
          <w:tcPr>
            <w:tcW w:w="730" w:type="pct"/>
            <w:tcBorders>
              <w:tl2br w:val="nil"/>
              <w:tr2bl w:val="nil"/>
            </w:tcBorders>
            <w:shd w:val="clear" w:color="auto" w:fill="auto"/>
            <w:noWrap w:val="0"/>
            <w:vAlign w:val="bottom"/>
          </w:tcPr>
          <w:p w14:paraId="0F6A06B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10.0478</w:t>
            </w:r>
          </w:p>
        </w:tc>
      </w:tr>
      <w:tr w14:paraId="4F1E35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4EB805C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20.0000</w:t>
            </w:r>
          </w:p>
        </w:tc>
        <w:tc>
          <w:tcPr>
            <w:tcW w:w="668" w:type="pct"/>
            <w:tcBorders>
              <w:tl2br w:val="nil"/>
              <w:tr2bl w:val="nil"/>
            </w:tcBorders>
            <w:shd w:val="clear" w:color="auto" w:fill="auto"/>
            <w:noWrap w:val="0"/>
            <w:vAlign w:val="center"/>
          </w:tcPr>
          <w:p w14:paraId="3753F7A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1.0684</w:t>
            </w:r>
          </w:p>
        </w:tc>
        <w:tc>
          <w:tcPr>
            <w:tcW w:w="743" w:type="pct"/>
            <w:tcBorders>
              <w:tl2br w:val="nil"/>
              <w:tr2bl w:val="nil"/>
            </w:tcBorders>
            <w:shd w:val="clear" w:color="auto" w:fill="auto"/>
            <w:noWrap w:val="0"/>
            <w:vAlign w:val="center"/>
          </w:tcPr>
          <w:p w14:paraId="6E50FE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1.1259</w:t>
            </w:r>
          </w:p>
        </w:tc>
        <w:tc>
          <w:tcPr>
            <w:tcW w:w="641" w:type="pct"/>
            <w:tcBorders>
              <w:tl2br w:val="nil"/>
              <w:tr2bl w:val="nil"/>
            </w:tcBorders>
            <w:shd w:val="clear" w:color="auto" w:fill="auto"/>
            <w:noWrap w:val="0"/>
            <w:vAlign w:val="bottom"/>
          </w:tcPr>
          <w:p w14:paraId="433A720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1.2061</w:t>
            </w:r>
          </w:p>
        </w:tc>
        <w:tc>
          <w:tcPr>
            <w:tcW w:w="644" w:type="pct"/>
            <w:tcBorders>
              <w:tl2br w:val="nil"/>
              <w:tr2bl w:val="nil"/>
            </w:tcBorders>
            <w:shd w:val="clear" w:color="auto" w:fill="auto"/>
            <w:noWrap w:val="0"/>
            <w:vAlign w:val="center"/>
          </w:tcPr>
          <w:p w14:paraId="382C9D2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11.0336</w:t>
            </w:r>
          </w:p>
        </w:tc>
        <w:tc>
          <w:tcPr>
            <w:tcW w:w="650" w:type="pct"/>
            <w:tcBorders>
              <w:tl2br w:val="nil"/>
              <w:tr2bl w:val="nil"/>
            </w:tcBorders>
            <w:shd w:val="clear" w:color="auto" w:fill="auto"/>
            <w:noWrap w:val="0"/>
            <w:vAlign w:val="center"/>
          </w:tcPr>
          <w:p w14:paraId="5FA5F89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10.6651</w:t>
            </w:r>
          </w:p>
        </w:tc>
        <w:tc>
          <w:tcPr>
            <w:tcW w:w="730" w:type="pct"/>
            <w:tcBorders>
              <w:tl2br w:val="nil"/>
              <w:tr2bl w:val="nil"/>
            </w:tcBorders>
            <w:shd w:val="clear" w:color="auto" w:fill="auto"/>
            <w:noWrap w:val="0"/>
            <w:vAlign w:val="bottom"/>
          </w:tcPr>
          <w:p w14:paraId="03AC32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9.2773</w:t>
            </w:r>
          </w:p>
        </w:tc>
      </w:tr>
      <w:tr w14:paraId="507B19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414D46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21.0000</w:t>
            </w:r>
          </w:p>
        </w:tc>
        <w:tc>
          <w:tcPr>
            <w:tcW w:w="668" w:type="pct"/>
            <w:tcBorders>
              <w:tl2br w:val="nil"/>
              <w:tr2bl w:val="nil"/>
            </w:tcBorders>
            <w:shd w:val="clear" w:color="auto" w:fill="auto"/>
            <w:noWrap w:val="0"/>
            <w:vAlign w:val="center"/>
          </w:tcPr>
          <w:p w14:paraId="653286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0.9393</w:t>
            </w:r>
          </w:p>
        </w:tc>
        <w:tc>
          <w:tcPr>
            <w:tcW w:w="743" w:type="pct"/>
            <w:tcBorders>
              <w:tl2br w:val="nil"/>
              <w:tr2bl w:val="nil"/>
            </w:tcBorders>
            <w:shd w:val="clear" w:color="auto" w:fill="auto"/>
            <w:noWrap w:val="0"/>
            <w:vAlign w:val="center"/>
          </w:tcPr>
          <w:p w14:paraId="6901DDA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0.9925</w:t>
            </w:r>
          </w:p>
        </w:tc>
        <w:tc>
          <w:tcPr>
            <w:tcW w:w="641" w:type="pct"/>
            <w:tcBorders>
              <w:tl2br w:val="nil"/>
              <w:tr2bl w:val="nil"/>
            </w:tcBorders>
            <w:shd w:val="clear" w:color="auto" w:fill="auto"/>
            <w:noWrap w:val="0"/>
            <w:vAlign w:val="bottom"/>
          </w:tcPr>
          <w:p w14:paraId="2D5157D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1.0830</w:t>
            </w:r>
          </w:p>
        </w:tc>
        <w:tc>
          <w:tcPr>
            <w:tcW w:w="644" w:type="pct"/>
            <w:tcBorders>
              <w:tl2br w:val="nil"/>
              <w:tr2bl w:val="nil"/>
            </w:tcBorders>
            <w:shd w:val="clear" w:color="auto" w:fill="auto"/>
            <w:noWrap w:val="0"/>
            <w:vAlign w:val="center"/>
          </w:tcPr>
          <w:p w14:paraId="40E33A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10.0542</w:t>
            </w:r>
          </w:p>
        </w:tc>
        <w:tc>
          <w:tcPr>
            <w:tcW w:w="650" w:type="pct"/>
            <w:tcBorders>
              <w:tl2br w:val="nil"/>
              <w:tr2bl w:val="nil"/>
            </w:tcBorders>
            <w:shd w:val="clear" w:color="auto" w:fill="auto"/>
            <w:noWrap w:val="0"/>
            <w:vAlign w:val="center"/>
          </w:tcPr>
          <w:p w14:paraId="62EDBE6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9.7498</w:t>
            </w:r>
          </w:p>
        </w:tc>
        <w:tc>
          <w:tcPr>
            <w:tcW w:w="730" w:type="pct"/>
            <w:tcBorders>
              <w:tl2br w:val="nil"/>
              <w:tr2bl w:val="nil"/>
            </w:tcBorders>
            <w:shd w:val="clear" w:color="auto" w:fill="auto"/>
            <w:noWrap w:val="0"/>
            <w:vAlign w:val="bottom"/>
          </w:tcPr>
          <w:p w14:paraId="3DCD66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8.5839</w:t>
            </w:r>
          </w:p>
        </w:tc>
      </w:tr>
      <w:tr w14:paraId="50AA37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42CC421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22.0000</w:t>
            </w:r>
          </w:p>
        </w:tc>
        <w:tc>
          <w:tcPr>
            <w:tcW w:w="668" w:type="pct"/>
            <w:tcBorders>
              <w:tl2br w:val="nil"/>
              <w:tr2bl w:val="nil"/>
            </w:tcBorders>
            <w:shd w:val="clear" w:color="auto" w:fill="auto"/>
            <w:noWrap w:val="0"/>
            <w:vAlign w:val="center"/>
          </w:tcPr>
          <w:p w14:paraId="13E29C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0.8318</w:t>
            </w:r>
          </w:p>
        </w:tc>
        <w:tc>
          <w:tcPr>
            <w:tcW w:w="743" w:type="pct"/>
            <w:tcBorders>
              <w:tl2br w:val="nil"/>
              <w:tr2bl w:val="nil"/>
            </w:tcBorders>
            <w:shd w:val="clear" w:color="auto" w:fill="auto"/>
            <w:noWrap w:val="0"/>
            <w:vAlign w:val="center"/>
          </w:tcPr>
          <w:p w14:paraId="55E433C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0.8802</w:t>
            </w:r>
          </w:p>
        </w:tc>
        <w:tc>
          <w:tcPr>
            <w:tcW w:w="641" w:type="pct"/>
            <w:tcBorders>
              <w:tl2br w:val="nil"/>
              <w:tr2bl w:val="nil"/>
            </w:tcBorders>
            <w:shd w:val="clear" w:color="auto" w:fill="auto"/>
            <w:noWrap w:val="0"/>
            <w:vAlign w:val="bottom"/>
          </w:tcPr>
          <w:p w14:paraId="5D298AA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0.9748</w:t>
            </w:r>
          </w:p>
        </w:tc>
        <w:tc>
          <w:tcPr>
            <w:tcW w:w="644" w:type="pct"/>
            <w:tcBorders>
              <w:tl2br w:val="nil"/>
              <w:tr2bl w:val="nil"/>
            </w:tcBorders>
            <w:shd w:val="clear" w:color="auto" w:fill="auto"/>
            <w:noWrap w:val="0"/>
            <w:vAlign w:val="center"/>
          </w:tcPr>
          <w:p w14:paraId="5207DE9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9.1985</w:t>
            </w:r>
          </w:p>
        </w:tc>
        <w:tc>
          <w:tcPr>
            <w:tcW w:w="650" w:type="pct"/>
            <w:tcBorders>
              <w:tl2br w:val="nil"/>
              <w:tr2bl w:val="nil"/>
            </w:tcBorders>
            <w:shd w:val="clear" w:color="auto" w:fill="auto"/>
            <w:noWrap w:val="0"/>
            <w:vAlign w:val="center"/>
          </w:tcPr>
          <w:p w14:paraId="6DD6E7C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8.9448</w:t>
            </w:r>
          </w:p>
        </w:tc>
        <w:tc>
          <w:tcPr>
            <w:tcW w:w="730" w:type="pct"/>
            <w:tcBorders>
              <w:tl2br w:val="nil"/>
              <w:tr2bl w:val="nil"/>
            </w:tcBorders>
            <w:shd w:val="clear" w:color="auto" w:fill="auto"/>
            <w:noWrap w:val="0"/>
            <w:vAlign w:val="bottom"/>
          </w:tcPr>
          <w:p w14:paraId="4CDD09A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7.9592</w:t>
            </w:r>
          </w:p>
        </w:tc>
      </w:tr>
      <w:tr w14:paraId="177C18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350593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23.0000</w:t>
            </w:r>
          </w:p>
        </w:tc>
        <w:tc>
          <w:tcPr>
            <w:tcW w:w="668" w:type="pct"/>
            <w:tcBorders>
              <w:tl2br w:val="nil"/>
              <w:tr2bl w:val="nil"/>
            </w:tcBorders>
            <w:shd w:val="clear" w:color="auto" w:fill="auto"/>
            <w:noWrap w:val="0"/>
            <w:vAlign w:val="center"/>
          </w:tcPr>
          <w:p w14:paraId="14B9BE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0.7418</w:t>
            </w:r>
          </w:p>
        </w:tc>
        <w:tc>
          <w:tcPr>
            <w:tcW w:w="743" w:type="pct"/>
            <w:tcBorders>
              <w:tl2br w:val="nil"/>
              <w:tr2bl w:val="nil"/>
            </w:tcBorders>
            <w:shd w:val="clear" w:color="auto" w:fill="auto"/>
            <w:noWrap w:val="0"/>
            <w:vAlign w:val="center"/>
          </w:tcPr>
          <w:p w14:paraId="0DD578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0.7852</w:t>
            </w:r>
          </w:p>
        </w:tc>
        <w:tc>
          <w:tcPr>
            <w:tcW w:w="641" w:type="pct"/>
            <w:tcBorders>
              <w:tl2br w:val="nil"/>
              <w:tr2bl w:val="nil"/>
            </w:tcBorders>
            <w:shd w:val="clear" w:color="auto" w:fill="auto"/>
            <w:noWrap w:val="0"/>
            <w:vAlign w:val="bottom"/>
          </w:tcPr>
          <w:p w14:paraId="638A5EB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0.8798</w:t>
            </w:r>
          </w:p>
        </w:tc>
        <w:tc>
          <w:tcPr>
            <w:tcW w:w="644" w:type="pct"/>
            <w:tcBorders>
              <w:tl2br w:val="nil"/>
              <w:tr2bl w:val="nil"/>
            </w:tcBorders>
            <w:shd w:val="clear" w:color="auto" w:fill="auto"/>
            <w:noWrap w:val="0"/>
            <w:vAlign w:val="center"/>
          </w:tcPr>
          <w:p w14:paraId="2553A28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8.4468</w:t>
            </w:r>
          </w:p>
        </w:tc>
        <w:tc>
          <w:tcPr>
            <w:tcW w:w="650" w:type="pct"/>
            <w:tcBorders>
              <w:tl2br w:val="nil"/>
              <w:tr2bl w:val="nil"/>
            </w:tcBorders>
            <w:shd w:val="clear" w:color="auto" w:fill="auto"/>
            <w:noWrap w:val="0"/>
            <w:vAlign w:val="center"/>
          </w:tcPr>
          <w:p w14:paraId="363304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8.2337</w:t>
            </w:r>
          </w:p>
        </w:tc>
        <w:tc>
          <w:tcPr>
            <w:tcW w:w="730" w:type="pct"/>
            <w:tcBorders>
              <w:tl2br w:val="nil"/>
              <w:tr2bl w:val="nil"/>
            </w:tcBorders>
            <w:shd w:val="clear" w:color="auto" w:fill="auto"/>
            <w:noWrap w:val="0"/>
            <w:vAlign w:val="bottom"/>
          </w:tcPr>
          <w:p w14:paraId="17B94B9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7.3955</w:t>
            </w:r>
          </w:p>
        </w:tc>
      </w:tr>
      <w:tr w14:paraId="63F932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FF848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24.0000</w:t>
            </w:r>
          </w:p>
        </w:tc>
        <w:tc>
          <w:tcPr>
            <w:tcW w:w="668" w:type="pct"/>
            <w:tcBorders>
              <w:tl2br w:val="nil"/>
              <w:tr2bl w:val="nil"/>
            </w:tcBorders>
            <w:shd w:val="clear" w:color="auto" w:fill="auto"/>
            <w:noWrap w:val="0"/>
            <w:vAlign w:val="center"/>
          </w:tcPr>
          <w:p w14:paraId="359CE72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0.6657</w:t>
            </w:r>
          </w:p>
        </w:tc>
        <w:tc>
          <w:tcPr>
            <w:tcW w:w="743" w:type="pct"/>
            <w:tcBorders>
              <w:tl2br w:val="nil"/>
              <w:tr2bl w:val="nil"/>
            </w:tcBorders>
            <w:shd w:val="clear" w:color="auto" w:fill="auto"/>
            <w:noWrap w:val="0"/>
            <w:vAlign w:val="center"/>
          </w:tcPr>
          <w:p w14:paraId="1AE9598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0.7045</w:t>
            </w:r>
          </w:p>
        </w:tc>
        <w:tc>
          <w:tcPr>
            <w:tcW w:w="641" w:type="pct"/>
            <w:tcBorders>
              <w:tl2br w:val="nil"/>
              <w:tr2bl w:val="nil"/>
            </w:tcBorders>
            <w:shd w:val="clear" w:color="auto" w:fill="auto"/>
            <w:noWrap w:val="0"/>
            <w:vAlign w:val="bottom"/>
          </w:tcPr>
          <w:p w14:paraId="1BA376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0.7964</w:t>
            </w:r>
          </w:p>
        </w:tc>
        <w:tc>
          <w:tcPr>
            <w:tcW w:w="644" w:type="pct"/>
            <w:tcBorders>
              <w:tl2br w:val="nil"/>
              <w:tr2bl w:val="nil"/>
            </w:tcBorders>
            <w:shd w:val="clear" w:color="auto" w:fill="auto"/>
            <w:noWrap w:val="0"/>
            <w:vAlign w:val="center"/>
          </w:tcPr>
          <w:p w14:paraId="0B02B54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7.7831</w:t>
            </w:r>
          </w:p>
        </w:tc>
        <w:tc>
          <w:tcPr>
            <w:tcW w:w="650" w:type="pct"/>
            <w:tcBorders>
              <w:tl2br w:val="nil"/>
              <w:tr2bl w:val="nil"/>
            </w:tcBorders>
            <w:shd w:val="clear" w:color="auto" w:fill="auto"/>
            <w:noWrap w:val="0"/>
            <w:vAlign w:val="center"/>
          </w:tcPr>
          <w:p w14:paraId="1B0E649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7.6028</w:t>
            </w:r>
          </w:p>
        </w:tc>
        <w:tc>
          <w:tcPr>
            <w:tcW w:w="730" w:type="pct"/>
            <w:tcBorders>
              <w:tl2br w:val="nil"/>
              <w:tr2bl w:val="nil"/>
            </w:tcBorders>
            <w:shd w:val="clear" w:color="auto" w:fill="auto"/>
            <w:noWrap w:val="0"/>
            <w:vAlign w:val="bottom"/>
          </w:tcPr>
          <w:p w14:paraId="347B85D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6.8858</w:t>
            </w:r>
          </w:p>
        </w:tc>
      </w:tr>
      <w:tr w14:paraId="2CB5F2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0DA294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25.0000</w:t>
            </w:r>
          </w:p>
        </w:tc>
        <w:tc>
          <w:tcPr>
            <w:tcW w:w="668" w:type="pct"/>
            <w:tcBorders>
              <w:tl2br w:val="nil"/>
              <w:tr2bl w:val="nil"/>
            </w:tcBorders>
            <w:shd w:val="clear" w:color="auto" w:fill="auto"/>
            <w:noWrap w:val="0"/>
            <w:vAlign w:val="center"/>
          </w:tcPr>
          <w:p w14:paraId="5BDEDA2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0.6010</w:t>
            </w:r>
          </w:p>
        </w:tc>
        <w:tc>
          <w:tcPr>
            <w:tcW w:w="743" w:type="pct"/>
            <w:tcBorders>
              <w:tl2br w:val="nil"/>
              <w:tr2bl w:val="nil"/>
            </w:tcBorders>
            <w:shd w:val="clear" w:color="auto" w:fill="auto"/>
            <w:noWrap w:val="0"/>
            <w:vAlign w:val="center"/>
          </w:tcPr>
          <w:p w14:paraId="2311A5C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0.6354</w:t>
            </w:r>
          </w:p>
        </w:tc>
        <w:tc>
          <w:tcPr>
            <w:tcW w:w="641" w:type="pct"/>
            <w:tcBorders>
              <w:tl2br w:val="nil"/>
              <w:tr2bl w:val="nil"/>
            </w:tcBorders>
            <w:shd w:val="clear" w:color="auto" w:fill="auto"/>
            <w:noWrap w:val="0"/>
            <w:vAlign w:val="bottom"/>
          </w:tcPr>
          <w:p w14:paraId="3A1FAE4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0.7230</w:t>
            </w:r>
          </w:p>
        </w:tc>
        <w:tc>
          <w:tcPr>
            <w:tcW w:w="644" w:type="pct"/>
            <w:tcBorders>
              <w:tl2br w:val="nil"/>
              <w:tr2bl w:val="nil"/>
            </w:tcBorders>
            <w:shd w:val="clear" w:color="auto" w:fill="auto"/>
            <w:noWrap w:val="0"/>
            <w:vAlign w:val="center"/>
          </w:tcPr>
          <w:p w14:paraId="2BA1C62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7.1943</w:t>
            </w:r>
          </w:p>
        </w:tc>
        <w:tc>
          <w:tcPr>
            <w:tcW w:w="650" w:type="pct"/>
            <w:tcBorders>
              <w:tl2br w:val="nil"/>
              <w:tr2bl w:val="nil"/>
            </w:tcBorders>
            <w:shd w:val="clear" w:color="auto" w:fill="auto"/>
            <w:noWrap w:val="0"/>
            <w:vAlign w:val="center"/>
          </w:tcPr>
          <w:p w14:paraId="029B27A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7.0407</w:t>
            </w:r>
          </w:p>
        </w:tc>
        <w:tc>
          <w:tcPr>
            <w:tcW w:w="730" w:type="pct"/>
            <w:tcBorders>
              <w:tl2br w:val="nil"/>
              <w:tr2bl w:val="nil"/>
            </w:tcBorders>
            <w:shd w:val="clear" w:color="auto" w:fill="auto"/>
            <w:noWrap w:val="0"/>
            <w:vAlign w:val="bottom"/>
          </w:tcPr>
          <w:p w14:paraId="364310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6.4241</w:t>
            </w:r>
          </w:p>
        </w:tc>
      </w:tr>
      <w:tr w14:paraId="67E2B7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CAA1A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26.0000</w:t>
            </w:r>
          </w:p>
        </w:tc>
        <w:tc>
          <w:tcPr>
            <w:tcW w:w="668" w:type="pct"/>
            <w:tcBorders>
              <w:tl2br w:val="nil"/>
              <w:tr2bl w:val="nil"/>
            </w:tcBorders>
            <w:shd w:val="clear" w:color="auto" w:fill="auto"/>
            <w:noWrap w:val="0"/>
            <w:vAlign w:val="center"/>
          </w:tcPr>
          <w:p w14:paraId="68A5AF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0.5456</w:t>
            </w:r>
          </w:p>
        </w:tc>
        <w:tc>
          <w:tcPr>
            <w:tcW w:w="743" w:type="pct"/>
            <w:tcBorders>
              <w:tl2br w:val="nil"/>
              <w:tr2bl w:val="nil"/>
            </w:tcBorders>
            <w:shd w:val="clear" w:color="auto" w:fill="auto"/>
            <w:noWrap w:val="0"/>
            <w:vAlign w:val="center"/>
          </w:tcPr>
          <w:p w14:paraId="63B7B8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0.5759</w:t>
            </w:r>
          </w:p>
        </w:tc>
        <w:tc>
          <w:tcPr>
            <w:tcW w:w="641" w:type="pct"/>
            <w:tcBorders>
              <w:tl2br w:val="nil"/>
              <w:tr2bl w:val="nil"/>
            </w:tcBorders>
            <w:shd w:val="clear" w:color="auto" w:fill="auto"/>
            <w:noWrap w:val="0"/>
            <w:vAlign w:val="bottom"/>
          </w:tcPr>
          <w:p w14:paraId="6506B7F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0.6583</w:t>
            </w:r>
          </w:p>
        </w:tc>
        <w:tc>
          <w:tcPr>
            <w:tcW w:w="644" w:type="pct"/>
            <w:tcBorders>
              <w:tl2br w:val="nil"/>
              <w:tr2bl w:val="nil"/>
            </w:tcBorders>
            <w:shd w:val="clear" w:color="auto" w:fill="auto"/>
            <w:noWrap w:val="0"/>
            <w:vAlign w:val="center"/>
          </w:tcPr>
          <w:p w14:paraId="42F6117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6.6696</w:t>
            </w:r>
          </w:p>
        </w:tc>
        <w:tc>
          <w:tcPr>
            <w:tcW w:w="650" w:type="pct"/>
            <w:tcBorders>
              <w:tl2br w:val="nil"/>
              <w:tr2bl w:val="nil"/>
            </w:tcBorders>
            <w:shd w:val="clear" w:color="auto" w:fill="auto"/>
            <w:noWrap w:val="0"/>
            <w:vAlign w:val="center"/>
          </w:tcPr>
          <w:p w14:paraId="5300D19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6.5380</w:t>
            </w:r>
          </w:p>
        </w:tc>
        <w:tc>
          <w:tcPr>
            <w:tcW w:w="730" w:type="pct"/>
            <w:tcBorders>
              <w:tl2br w:val="nil"/>
              <w:tr2bl w:val="nil"/>
            </w:tcBorders>
            <w:shd w:val="clear" w:color="auto" w:fill="auto"/>
            <w:noWrap w:val="0"/>
            <w:vAlign w:val="bottom"/>
          </w:tcPr>
          <w:p w14:paraId="5FAF1CE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6.0050</w:t>
            </w:r>
          </w:p>
        </w:tc>
      </w:tr>
      <w:tr w14:paraId="24BF4C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2511D8F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27.0000</w:t>
            </w:r>
          </w:p>
        </w:tc>
        <w:tc>
          <w:tcPr>
            <w:tcW w:w="668" w:type="pct"/>
            <w:tcBorders>
              <w:tl2br w:val="nil"/>
              <w:tr2bl w:val="nil"/>
            </w:tcBorders>
            <w:shd w:val="clear" w:color="auto" w:fill="auto"/>
            <w:noWrap w:val="0"/>
            <w:vAlign w:val="center"/>
          </w:tcPr>
          <w:p w14:paraId="28BBBB7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0.4978</w:t>
            </w:r>
          </w:p>
        </w:tc>
        <w:tc>
          <w:tcPr>
            <w:tcW w:w="743" w:type="pct"/>
            <w:tcBorders>
              <w:tl2br w:val="nil"/>
              <w:tr2bl w:val="nil"/>
            </w:tcBorders>
            <w:shd w:val="clear" w:color="auto" w:fill="auto"/>
            <w:noWrap w:val="0"/>
            <w:vAlign w:val="center"/>
          </w:tcPr>
          <w:p w14:paraId="318DA06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0.5245</w:t>
            </w:r>
          </w:p>
        </w:tc>
        <w:tc>
          <w:tcPr>
            <w:tcW w:w="641" w:type="pct"/>
            <w:tcBorders>
              <w:tl2br w:val="nil"/>
              <w:tr2bl w:val="nil"/>
            </w:tcBorders>
            <w:shd w:val="clear" w:color="auto" w:fill="auto"/>
            <w:noWrap w:val="0"/>
            <w:vAlign w:val="bottom"/>
          </w:tcPr>
          <w:p w14:paraId="0B16E09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0.6012</w:t>
            </w:r>
          </w:p>
        </w:tc>
        <w:tc>
          <w:tcPr>
            <w:tcW w:w="644" w:type="pct"/>
            <w:tcBorders>
              <w:tl2br w:val="nil"/>
              <w:tr2bl w:val="nil"/>
            </w:tcBorders>
            <w:shd w:val="clear" w:color="auto" w:fill="auto"/>
            <w:noWrap w:val="0"/>
            <w:vAlign w:val="center"/>
          </w:tcPr>
          <w:p w14:paraId="4D18184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6.2001</w:t>
            </w:r>
          </w:p>
        </w:tc>
        <w:tc>
          <w:tcPr>
            <w:tcW w:w="650" w:type="pct"/>
            <w:tcBorders>
              <w:tl2br w:val="nil"/>
              <w:tr2bl w:val="nil"/>
            </w:tcBorders>
            <w:shd w:val="clear" w:color="auto" w:fill="auto"/>
            <w:noWrap w:val="0"/>
            <w:vAlign w:val="center"/>
          </w:tcPr>
          <w:p w14:paraId="291F672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6.0866</w:t>
            </w:r>
          </w:p>
        </w:tc>
        <w:tc>
          <w:tcPr>
            <w:tcW w:w="730" w:type="pct"/>
            <w:tcBorders>
              <w:tl2br w:val="nil"/>
              <w:tr2bl w:val="nil"/>
            </w:tcBorders>
            <w:shd w:val="clear" w:color="auto" w:fill="auto"/>
            <w:noWrap w:val="0"/>
            <w:vAlign w:val="bottom"/>
          </w:tcPr>
          <w:p w14:paraId="74E854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5.6237</w:t>
            </w:r>
          </w:p>
        </w:tc>
      </w:tr>
      <w:tr w14:paraId="58A14C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0D65A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28.0000</w:t>
            </w:r>
          </w:p>
        </w:tc>
        <w:tc>
          <w:tcPr>
            <w:tcW w:w="668" w:type="pct"/>
            <w:tcBorders>
              <w:tl2br w:val="nil"/>
              <w:tr2bl w:val="nil"/>
            </w:tcBorders>
            <w:shd w:val="clear" w:color="auto" w:fill="auto"/>
            <w:noWrap w:val="0"/>
            <w:vAlign w:val="center"/>
          </w:tcPr>
          <w:p w14:paraId="38108DB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0.4563</w:t>
            </w:r>
          </w:p>
        </w:tc>
        <w:tc>
          <w:tcPr>
            <w:tcW w:w="743" w:type="pct"/>
            <w:tcBorders>
              <w:tl2br w:val="nil"/>
              <w:tr2bl w:val="nil"/>
            </w:tcBorders>
            <w:shd w:val="clear" w:color="auto" w:fill="auto"/>
            <w:noWrap w:val="0"/>
            <w:vAlign w:val="center"/>
          </w:tcPr>
          <w:p w14:paraId="5784E1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0.4798</w:t>
            </w:r>
          </w:p>
        </w:tc>
        <w:tc>
          <w:tcPr>
            <w:tcW w:w="641" w:type="pct"/>
            <w:tcBorders>
              <w:tl2br w:val="nil"/>
              <w:tr2bl w:val="nil"/>
            </w:tcBorders>
            <w:shd w:val="clear" w:color="auto" w:fill="auto"/>
            <w:noWrap w:val="0"/>
            <w:vAlign w:val="bottom"/>
          </w:tcPr>
          <w:p w14:paraId="4FA3D7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0.5506</w:t>
            </w:r>
          </w:p>
        </w:tc>
        <w:tc>
          <w:tcPr>
            <w:tcW w:w="644" w:type="pct"/>
            <w:tcBorders>
              <w:tl2br w:val="nil"/>
              <w:tr2bl w:val="nil"/>
            </w:tcBorders>
            <w:shd w:val="clear" w:color="auto" w:fill="auto"/>
            <w:noWrap w:val="0"/>
            <w:vAlign w:val="center"/>
          </w:tcPr>
          <w:p w14:paraId="5111D4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5.7783</w:t>
            </w:r>
          </w:p>
        </w:tc>
        <w:tc>
          <w:tcPr>
            <w:tcW w:w="650" w:type="pct"/>
            <w:tcBorders>
              <w:tl2br w:val="nil"/>
              <w:tr2bl w:val="nil"/>
            </w:tcBorders>
            <w:shd w:val="clear" w:color="auto" w:fill="auto"/>
            <w:noWrap w:val="0"/>
            <w:vAlign w:val="center"/>
          </w:tcPr>
          <w:p w14:paraId="4AB062B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5.6800</w:t>
            </w:r>
          </w:p>
        </w:tc>
        <w:tc>
          <w:tcPr>
            <w:tcW w:w="730" w:type="pct"/>
            <w:tcBorders>
              <w:tl2br w:val="nil"/>
              <w:tr2bl w:val="nil"/>
            </w:tcBorders>
            <w:shd w:val="clear" w:color="auto" w:fill="auto"/>
            <w:noWrap w:val="0"/>
            <w:vAlign w:val="bottom"/>
          </w:tcPr>
          <w:p w14:paraId="1A3281F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5.2761</w:t>
            </w:r>
          </w:p>
        </w:tc>
      </w:tr>
      <w:tr w14:paraId="3C97BF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792A05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29.0000</w:t>
            </w:r>
          </w:p>
        </w:tc>
        <w:tc>
          <w:tcPr>
            <w:tcW w:w="668" w:type="pct"/>
            <w:tcBorders>
              <w:tl2br w:val="nil"/>
              <w:tr2bl w:val="nil"/>
            </w:tcBorders>
            <w:shd w:val="clear" w:color="auto" w:fill="auto"/>
            <w:noWrap w:val="0"/>
            <w:vAlign w:val="center"/>
          </w:tcPr>
          <w:p w14:paraId="3F37B6D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0.4200</w:t>
            </w:r>
          </w:p>
        </w:tc>
        <w:tc>
          <w:tcPr>
            <w:tcW w:w="743" w:type="pct"/>
            <w:tcBorders>
              <w:tl2br w:val="nil"/>
              <w:tr2bl w:val="nil"/>
            </w:tcBorders>
            <w:shd w:val="clear" w:color="auto" w:fill="auto"/>
            <w:noWrap w:val="0"/>
            <w:vAlign w:val="center"/>
          </w:tcPr>
          <w:p w14:paraId="08C9719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0.4407</w:t>
            </w:r>
          </w:p>
        </w:tc>
        <w:tc>
          <w:tcPr>
            <w:tcW w:w="641" w:type="pct"/>
            <w:tcBorders>
              <w:tl2br w:val="nil"/>
              <w:tr2bl w:val="nil"/>
            </w:tcBorders>
            <w:shd w:val="clear" w:color="auto" w:fill="auto"/>
            <w:noWrap w:val="0"/>
            <w:vAlign w:val="bottom"/>
          </w:tcPr>
          <w:p w14:paraId="52C2C8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0.5058</w:t>
            </w:r>
          </w:p>
        </w:tc>
        <w:tc>
          <w:tcPr>
            <w:tcW w:w="644" w:type="pct"/>
            <w:tcBorders>
              <w:tl2br w:val="nil"/>
              <w:tr2bl w:val="nil"/>
            </w:tcBorders>
            <w:shd w:val="clear" w:color="auto" w:fill="auto"/>
            <w:noWrap w:val="0"/>
            <w:vAlign w:val="center"/>
          </w:tcPr>
          <w:p w14:paraId="30F3CB6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5.3981</w:t>
            </w:r>
          </w:p>
        </w:tc>
        <w:tc>
          <w:tcPr>
            <w:tcW w:w="650" w:type="pct"/>
            <w:tcBorders>
              <w:tl2br w:val="nil"/>
              <w:tr2bl w:val="nil"/>
            </w:tcBorders>
            <w:shd w:val="clear" w:color="auto" w:fill="auto"/>
            <w:noWrap w:val="0"/>
            <w:vAlign w:val="center"/>
          </w:tcPr>
          <w:p w14:paraId="458794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5.3125</w:t>
            </w:r>
          </w:p>
        </w:tc>
        <w:tc>
          <w:tcPr>
            <w:tcW w:w="730" w:type="pct"/>
            <w:tcBorders>
              <w:tl2br w:val="nil"/>
              <w:tr2bl w:val="nil"/>
            </w:tcBorders>
            <w:shd w:val="clear" w:color="auto" w:fill="auto"/>
            <w:noWrap w:val="0"/>
            <w:vAlign w:val="bottom"/>
          </w:tcPr>
          <w:p w14:paraId="15FC146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4.9586</w:t>
            </w:r>
          </w:p>
        </w:tc>
      </w:tr>
      <w:tr w14:paraId="267610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1FFAE6B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30.0000</w:t>
            </w:r>
          </w:p>
        </w:tc>
        <w:tc>
          <w:tcPr>
            <w:tcW w:w="668" w:type="pct"/>
            <w:tcBorders>
              <w:tl2br w:val="nil"/>
              <w:tr2bl w:val="nil"/>
            </w:tcBorders>
            <w:shd w:val="clear" w:color="auto" w:fill="auto"/>
            <w:noWrap w:val="0"/>
            <w:vAlign w:val="center"/>
          </w:tcPr>
          <w:p w14:paraId="42844A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0.3882</w:t>
            </w:r>
          </w:p>
        </w:tc>
        <w:tc>
          <w:tcPr>
            <w:tcW w:w="743" w:type="pct"/>
            <w:tcBorders>
              <w:tl2br w:val="nil"/>
              <w:tr2bl w:val="nil"/>
            </w:tcBorders>
            <w:shd w:val="clear" w:color="auto" w:fill="auto"/>
            <w:noWrap w:val="0"/>
            <w:vAlign w:val="center"/>
          </w:tcPr>
          <w:p w14:paraId="2183DA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0.4063</w:t>
            </w:r>
          </w:p>
        </w:tc>
        <w:tc>
          <w:tcPr>
            <w:tcW w:w="641" w:type="pct"/>
            <w:tcBorders>
              <w:tl2br w:val="nil"/>
              <w:tr2bl w:val="nil"/>
            </w:tcBorders>
            <w:shd w:val="clear" w:color="auto" w:fill="auto"/>
            <w:noWrap w:val="0"/>
            <w:vAlign w:val="bottom"/>
          </w:tcPr>
          <w:p w14:paraId="2FC62A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0.4659</w:t>
            </w:r>
          </w:p>
        </w:tc>
        <w:tc>
          <w:tcPr>
            <w:tcW w:w="644" w:type="pct"/>
            <w:tcBorders>
              <w:tl2br w:val="nil"/>
              <w:tr2bl w:val="nil"/>
            </w:tcBorders>
            <w:shd w:val="clear" w:color="auto" w:fill="auto"/>
            <w:noWrap w:val="0"/>
            <w:vAlign w:val="center"/>
          </w:tcPr>
          <w:p w14:paraId="5C38F28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5.0541</w:t>
            </w:r>
          </w:p>
        </w:tc>
        <w:tc>
          <w:tcPr>
            <w:tcW w:w="650" w:type="pct"/>
            <w:tcBorders>
              <w:tl2br w:val="nil"/>
              <w:tr2bl w:val="nil"/>
            </w:tcBorders>
            <w:shd w:val="clear" w:color="auto" w:fill="auto"/>
            <w:noWrap w:val="0"/>
            <w:vAlign w:val="center"/>
          </w:tcPr>
          <w:p w14:paraId="6FD7950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4.9792</w:t>
            </w:r>
          </w:p>
        </w:tc>
        <w:tc>
          <w:tcPr>
            <w:tcW w:w="730" w:type="pct"/>
            <w:tcBorders>
              <w:tl2br w:val="nil"/>
              <w:tr2bl w:val="nil"/>
            </w:tcBorders>
            <w:shd w:val="clear" w:color="auto" w:fill="auto"/>
            <w:noWrap w:val="0"/>
            <w:vAlign w:val="bottom"/>
          </w:tcPr>
          <w:p w14:paraId="5B9BB85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4.6678</w:t>
            </w:r>
          </w:p>
        </w:tc>
      </w:tr>
      <w:tr w14:paraId="06EAC2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0BA24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31.0000</w:t>
            </w:r>
          </w:p>
        </w:tc>
        <w:tc>
          <w:tcPr>
            <w:tcW w:w="668" w:type="pct"/>
            <w:tcBorders>
              <w:tl2br w:val="nil"/>
              <w:tr2bl w:val="nil"/>
            </w:tcBorders>
            <w:shd w:val="clear" w:color="auto" w:fill="auto"/>
            <w:noWrap w:val="0"/>
            <w:vAlign w:val="center"/>
          </w:tcPr>
          <w:p w14:paraId="43D8200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0.3600</w:t>
            </w:r>
          </w:p>
        </w:tc>
        <w:tc>
          <w:tcPr>
            <w:tcW w:w="743" w:type="pct"/>
            <w:tcBorders>
              <w:tl2br w:val="nil"/>
              <w:tr2bl w:val="nil"/>
            </w:tcBorders>
            <w:shd w:val="clear" w:color="auto" w:fill="auto"/>
            <w:noWrap w:val="0"/>
            <w:vAlign w:val="center"/>
          </w:tcPr>
          <w:p w14:paraId="388612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0.3759</w:t>
            </w:r>
          </w:p>
        </w:tc>
        <w:tc>
          <w:tcPr>
            <w:tcW w:w="641" w:type="pct"/>
            <w:tcBorders>
              <w:tl2br w:val="nil"/>
              <w:tr2bl w:val="nil"/>
            </w:tcBorders>
            <w:shd w:val="clear" w:color="auto" w:fill="auto"/>
            <w:noWrap w:val="0"/>
            <w:vAlign w:val="bottom"/>
          </w:tcPr>
          <w:p w14:paraId="1DBDDC3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0.4303</w:t>
            </w:r>
          </w:p>
        </w:tc>
        <w:tc>
          <w:tcPr>
            <w:tcW w:w="644" w:type="pct"/>
            <w:tcBorders>
              <w:tl2br w:val="nil"/>
              <w:tr2bl w:val="nil"/>
            </w:tcBorders>
            <w:shd w:val="clear" w:color="auto" w:fill="auto"/>
            <w:noWrap w:val="0"/>
            <w:vAlign w:val="center"/>
          </w:tcPr>
          <w:p w14:paraId="0476952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4.7419</w:t>
            </w:r>
          </w:p>
        </w:tc>
        <w:tc>
          <w:tcPr>
            <w:tcW w:w="650" w:type="pct"/>
            <w:tcBorders>
              <w:tl2br w:val="nil"/>
              <w:tr2bl w:val="nil"/>
            </w:tcBorders>
            <w:shd w:val="clear" w:color="auto" w:fill="auto"/>
            <w:noWrap w:val="0"/>
            <w:vAlign w:val="center"/>
          </w:tcPr>
          <w:p w14:paraId="5B10ADE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4.6761</w:t>
            </w:r>
          </w:p>
        </w:tc>
        <w:tc>
          <w:tcPr>
            <w:tcW w:w="730" w:type="pct"/>
            <w:tcBorders>
              <w:tl2br w:val="nil"/>
              <w:tr2bl w:val="nil"/>
            </w:tcBorders>
            <w:shd w:val="clear" w:color="auto" w:fill="auto"/>
            <w:noWrap w:val="0"/>
            <w:vAlign w:val="bottom"/>
          </w:tcPr>
          <w:p w14:paraId="171EDB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4.4011</w:t>
            </w:r>
          </w:p>
        </w:tc>
      </w:tr>
      <w:tr w14:paraId="4255ED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178100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32.0000</w:t>
            </w:r>
          </w:p>
        </w:tc>
        <w:tc>
          <w:tcPr>
            <w:tcW w:w="668" w:type="pct"/>
            <w:tcBorders>
              <w:tl2br w:val="nil"/>
              <w:tr2bl w:val="nil"/>
            </w:tcBorders>
            <w:shd w:val="clear" w:color="auto" w:fill="auto"/>
            <w:noWrap w:val="0"/>
            <w:vAlign w:val="center"/>
          </w:tcPr>
          <w:p w14:paraId="7BE9828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0.3350</w:t>
            </w:r>
          </w:p>
        </w:tc>
        <w:tc>
          <w:tcPr>
            <w:tcW w:w="743" w:type="pct"/>
            <w:tcBorders>
              <w:tl2br w:val="nil"/>
              <w:tr2bl w:val="nil"/>
            </w:tcBorders>
            <w:shd w:val="clear" w:color="auto" w:fill="auto"/>
            <w:noWrap w:val="0"/>
            <w:vAlign w:val="center"/>
          </w:tcPr>
          <w:p w14:paraId="0FA3DB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0.3490</w:t>
            </w:r>
          </w:p>
        </w:tc>
        <w:tc>
          <w:tcPr>
            <w:tcW w:w="641" w:type="pct"/>
            <w:tcBorders>
              <w:tl2br w:val="nil"/>
              <w:tr2bl w:val="nil"/>
            </w:tcBorders>
            <w:shd w:val="clear" w:color="auto" w:fill="auto"/>
            <w:noWrap w:val="0"/>
            <w:vAlign w:val="bottom"/>
          </w:tcPr>
          <w:p w14:paraId="02A2A04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0.3985</w:t>
            </w:r>
          </w:p>
        </w:tc>
        <w:tc>
          <w:tcPr>
            <w:tcW w:w="644" w:type="pct"/>
            <w:tcBorders>
              <w:tl2br w:val="nil"/>
              <w:tr2bl w:val="nil"/>
            </w:tcBorders>
            <w:shd w:val="clear" w:color="auto" w:fill="auto"/>
            <w:noWrap w:val="0"/>
            <w:vAlign w:val="center"/>
          </w:tcPr>
          <w:p w14:paraId="21697C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4.4578</w:t>
            </w:r>
          </w:p>
        </w:tc>
        <w:tc>
          <w:tcPr>
            <w:tcW w:w="650" w:type="pct"/>
            <w:tcBorders>
              <w:tl2br w:val="nil"/>
              <w:tr2bl w:val="nil"/>
            </w:tcBorders>
            <w:shd w:val="clear" w:color="auto" w:fill="auto"/>
            <w:noWrap w:val="0"/>
            <w:vAlign w:val="center"/>
          </w:tcPr>
          <w:p w14:paraId="007D65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4.3997</w:t>
            </w:r>
          </w:p>
        </w:tc>
        <w:tc>
          <w:tcPr>
            <w:tcW w:w="730" w:type="pct"/>
            <w:tcBorders>
              <w:tl2br w:val="nil"/>
              <w:tr2bl w:val="nil"/>
            </w:tcBorders>
            <w:shd w:val="clear" w:color="auto" w:fill="auto"/>
            <w:noWrap w:val="0"/>
            <w:vAlign w:val="bottom"/>
          </w:tcPr>
          <w:p w14:paraId="43FB610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4.1560</w:t>
            </w:r>
          </w:p>
        </w:tc>
      </w:tr>
      <w:tr w14:paraId="0E0BF6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1057180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33.0000</w:t>
            </w:r>
          </w:p>
        </w:tc>
        <w:tc>
          <w:tcPr>
            <w:tcW w:w="668" w:type="pct"/>
            <w:tcBorders>
              <w:tl2br w:val="nil"/>
              <w:tr2bl w:val="nil"/>
            </w:tcBorders>
            <w:shd w:val="clear" w:color="auto" w:fill="auto"/>
            <w:noWrap w:val="0"/>
            <w:vAlign w:val="center"/>
          </w:tcPr>
          <w:p w14:paraId="2A58FB2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0.3126</w:t>
            </w:r>
          </w:p>
        </w:tc>
        <w:tc>
          <w:tcPr>
            <w:tcW w:w="743" w:type="pct"/>
            <w:tcBorders>
              <w:tl2br w:val="nil"/>
              <w:tr2bl w:val="nil"/>
            </w:tcBorders>
            <w:shd w:val="clear" w:color="auto" w:fill="auto"/>
            <w:noWrap w:val="0"/>
            <w:vAlign w:val="center"/>
          </w:tcPr>
          <w:p w14:paraId="775C29A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0.3249</w:t>
            </w:r>
          </w:p>
        </w:tc>
        <w:tc>
          <w:tcPr>
            <w:tcW w:w="641" w:type="pct"/>
            <w:tcBorders>
              <w:tl2br w:val="nil"/>
              <w:tr2bl w:val="nil"/>
            </w:tcBorders>
            <w:shd w:val="clear" w:color="auto" w:fill="auto"/>
            <w:noWrap w:val="0"/>
            <w:vAlign w:val="bottom"/>
          </w:tcPr>
          <w:p w14:paraId="1C1533F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0.3700</w:t>
            </w:r>
          </w:p>
        </w:tc>
        <w:tc>
          <w:tcPr>
            <w:tcW w:w="644" w:type="pct"/>
            <w:tcBorders>
              <w:tl2br w:val="nil"/>
              <w:tr2bl w:val="nil"/>
            </w:tcBorders>
            <w:shd w:val="clear" w:color="auto" w:fill="auto"/>
            <w:noWrap w:val="0"/>
            <w:vAlign w:val="center"/>
          </w:tcPr>
          <w:p w14:paraId="0BBCEE2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4.1984</w:t>
            </w:r>
          </w:p>
        </w:tc>
        <w:tc>
          <w:tcPr>
            <w:tcW w:w="650" w:type="pct"/>
            <w:tcBorders>
              <w:tl2br w:val="nil"/>
              <w:tr2bl w:val="nil"/>
            </w:tcBorders>
            <w:shd w:val="clear" w:color="auto" w:fill="auto"/>
            <w:noWrap w:val="0"/>
            <w:vAlign w:val="center"/>
          </w:tcPr>
          <w:p w14:paraId="5BCCE1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4.1470</w:t>
            </w:r>
          </w:p>
        </w:tc>
        <w:tc>
          <w:tcPr>
            <w:tcW w:w="730" w:type="pct"/>
            <w:tcBorders>
              <w:tl2br w:val="nil"/>
              <w:tr2bl w:val="nil"/>
            </w:tcBorders>
            <w:shd w:val="clear" w:color="auto" w:fill="auto"/>
            <w:noWrap w:val="0"/>
            <w:vAlign w:val="bottom"/>
          </w:tcPr>
          <w:p w14:paraId="0AD783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3.9302</w:t>
            </w:r>
          </w:p>
        </w:tc>
      </w:tr>
      <w:tr w14:paraId="00649C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62985A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34.0000</w:t>
            </w:r>
          </w:p>
        </w:tc>
        <w:tc>
          <w:tcPr>
            <w:tcW w:w="668" w:type="pct"/>
            <w:tcBorders>
              <w:tl2br w:val="nil"/>
              <w:tr2bl w:val="nil"/>
            </w:tcBorders>
            <w:shd w:val="clear" w:color="auto" w:fill="auto"/>
            <w:noWrap w:val="0"/>
            <w:vAlign w:val="center"/>
          </w:tcPr>
          <w:p w14:paraId="233226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0.2925</w:t>
            </w:r>
          </w:p>
        </w:tc>
        <w:tc>
          <w:tcPr>
            <w:tcW w:w="743" w:type="pct"/>
            <w:tcBorders>
              <w:tl2br w:val="nil"/>
              <w:tr2bl w:val="nil"/>
            </w:tcBorders>
            <w:shd w:val="clear" w:color="auto" w:fill="auto"/>
            <w:noWrap w:val="0"/>
            <w:vAlign w:val="center"/>
          </w:tcPr>
          <w:p w14:paraId="0ADAF74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0.3033</w:t>
            </w:r>
          </w:p>
        </w:tc>
        <w:tc>
          <w:tcPr>
            <w:tcW w:w="641" w:type="pct"/>
            <w:tcBorders>
              <w:tl2br w:val="nil"/>
              <w:tr2bl w:val="nil"/>
            </w:tcBorders>
            <w:shd w:val="clear" w:color="auto" w:fill="auto"/>
            <w:noWrap w:val="0"/>
            <w:vAlign w:val="bottom"/>
          </w:tcPr>
          <w:p w14:paraId="4CDE70C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0.3443</w:t>
            </w:r>
          </w:p>
        </w:tc>
        <w:tc>
          <w:tcPr>
            <w:tcW w:w="644" w:type="pct"/>
            <w:tcBorders>
              <w:tl2br w:val="nil"/>
              <w:tr2bl w:val="nil"/>
            </w:tcBorders>
            <w:shd w:val="clear" w:color="auto" w:fill="auto"/>
            <w:noWrap w:val="0"/>
            <w:vAlign w:val="center"/>
          </w:tcPr>
          <w:p w14:paraId="05509A4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3.9610</w:t>
            </w:r>
          </w:p>
        </w:tc>
        <w:tc>
          <w:tcPr>
            <w:tcW w:w="650" w:type="pct"/>
            <w:tcBorders>
              <w:tl2br w:val="nil"/>
              <w:tr2bl w:val="nil"/>
            </w:tcBorders>
            <w:shd w:val="clear" w:color="auto" w:fill="auto"/>
            <w:noWrap w:val="0"/>
            <w:vAlign w:val="center"/>
          </w:tcPr>
          <w:p w14:paraId="0FE8B1D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3.9153</w:t>
            </w:r>
          </w:p>
        </w:tc>
        <w:tc>
          <w:tcPr>
            <w:tcW w:w="730" w:type="pct"/>
            <w:tcBorders>
              <w:tl2br w:val="nil"/>
              <w:tr2bl w:val="nil"/>
            </w:tcBorders>
            <w:shd w:val="clear" w:color="auto" w:fill="auto"/>
            <w:noWrap w:val="0"/>
            <w:vAlign w:val="bottom"/>
          </w:tcPr>
          <w:p w14:paraId="519892D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3.7219</w:t>
            </w:r>
          </w:p>
        </w:tc>
      </w:tr>
      <w:tr w14:paraId="0BCCBC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B251B7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35.0000</w:t>
            </w:r>
          </w:p>
        </w:tc>
        <w:tc>
          <w:tcPr>
            <w:tcW w:w="668" w:type="pct"/>
            <w:tcBorders>
              <w:tl2br w:val="nil"/>
              <w:tr2bl w:val="nil"/>
            </w:tcBorders>
            <w:shd w:val="clear" w:color="auto" w:fill="auto"/>
            <w:noWrap w:val="0"/>
            <w:vAlign w:val="center"/>
          </w:tcPr>
          <w:p w14:paraId="125C1E8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0.2744</w:t>
            </w:r>
          </w:p>
        </w:tc>
        <w:tc>
          <w:tcPr>
            <w:tcW w:w="743" w:type="pct"/>
            <w:tcBorders>
              <w:tl2br w:val="nil"/>
              <w:tr2bl w:val="nil"/>
            </w:tcBorders>
            <w:shd w:val="clear" w:color="auto" w:fill="auto"/>
            <w:noWrap w:val="0"/>
            <w:vAlign w:val="center"/>
          </w:tcPr>
          <w:p w14:paraId="0040C2D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0.2840</w:t>
            </w:r>
          </w:p>
        </w:tc>
        <w:tc>
          <w:tcPr>
            <w:tcW w:w="641" w:type="pct"/>
            <w:tcBorders>
              <w:tl2br w:val="nil"/>
              <w:tr2bl w:val="nil"/>
            </w:tcBorders>
            <w:shd w:val="clear" w:color="auto" w:fill="auto"/>
            <w:noWrap w:val="0"/>
            <w:vAlign w:val="bottom"/>
          </w:tcPr>
          <w:p w14:paraId="287F395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0.3212</w:t>
            </w:r>
          </w:p>
        </w:tc>
        <w:tc>
          <w:tcPr>
            <w:tcW w:w="644" w:type="pct"/>
            <w:tcBorders>
              <w:tl2br w:val="nil"/>
              <w:tr2bl w:val="nil"/>
            </w:tcBorders>
            <w:shd w:val="clear" w:color="auto" w:fill="auto"/>
            <w:noWrap w:val="0"/>
            <w:vAlign w:val="center"/>
          </w:tcPr>
          <w:p w14:paraId="5209313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3.7432</w:t>
            </w:r>
          </w:p>
        </w:tc>
        <w:tc>
          <w:tcPr>
            <w:tcW w:w="650" w:type="pct"/>
            <w:tcBorders>
              <w:tl2br w:val="nil"/>
              <w:tr2bl w:val="nil"/>
            </w:tcBorders>
            <w:shd w:val="clear" w:color="auto" w:fill="auto"/>
            <w:noWrap w:val="0"/>
            <w:vAlign w:val="center"/>
          </w:tcPr>
          <w:p w14:paraId="5C6AB66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3.7024</w:t>
            </w:r>
          </w:p>
        </w:tc>
        <w:tc>
          <w:tcPr>
            <w:tcW w:w="730" w:type="pct"/>
            <w:tcBorders>
              <w:tl2br w:val="nil"/>
              <w:tr2bl w:val="nil"/>
            </w:tcBorders>
            <w:shd w:val="clear" w:color="auto" w:fill="auto"/>
            <w:noWrap w:val="0"/>
            <w:vAlign w:val="bottom"/>
          </w:tcPr>
          <w:p w14:paraId="37FD93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3.5293</w:t>
            </w:r>
          </w:p>
        </w:tc>
      </w:tr>
      <w:tr w14:paraId="19EEDE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FB3A1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36.0000</w:t>
            </w:r>
          </w:p>
        </w:tc>
        <w:tc>
          <w:tcPr>
            <w:tcW w:w="668" w:type="pct"/>
            <w:tcBorders>
              <w:tl2br w:val="nil"/>
              <w:tr2bl w:val="nil"/>
            </w:tcBorders>
            <w:shd w:val="clear" w:color="auto" w:fill="auto"/>
            <w:noWrap w:val="0"/>
            <w:vAlign w:val="center"/>
          </w:tcPr>
          <w:p w14:paraId="0AE0720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0.2581</w:t>
            </w:r>
          </w:p>
        </w:tc>
        <w:tc>
          <w:tcPr>
            <w:tcW w:w="743" w:type="pct"/>
            <w:tcBorders>
              <w:tl2br w:val="nil"/>
              <w:tr2bl w:val="nil"/>
            </w:tcBorders>
            <w:shd w:val="clear" w:color="auto" w:fill="auto"/>
            <w:noWrap w:val="0"/>
            <w:vAlign w:val="center"/>
          </w:tcPr>
          <w:p w14:paraId="0ADD16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0.2665</w:t>
            </w:r>
          </w:p>
        </w:tc>
        <w:tc>
          <w:tcPr>
            <w:tcW w:w="641" w:type="pct"/>
            <w:tcBorders>
              <w:tl2br w:val="nil"/>
              <w:tr2bl w:val="nil"/>
            </w:tcBorders>
            <w:shd w:val="clear" w:color="auto" w:fill="auto"/>
            <w:noWrap w:val="0"/>
            <w:vAlign w:val="bottom"/>
          </w:tcPr>
          <w:p w14:paraId="78EEDA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0.3002</w:t>
            </w:r>
          </w:p>
        </w:tc>
        <w:tc>
          <w:tcPr>
            <w:tcW w:w="644" w:type="pct"/>
            <w:tcBorders>
              <w:tl2br w:val="nil"/>
              <w:tr2bl w:val="nil"/>
            </w:tcBorders>
            <w:shd w:val="clear" w:color="auto" w:fill="auto"/>
            <w:noWrap w:val="0"/>
            <w:vAlign w:val="center"/>
          </w:tcPr>
          <w:p w14:paraId="63A090C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3.5428</w:t>
            </w:r>
          </w:p>
        </w:tc>
        <w:tc>
          <w:tcPr>
            <w:tcW w:w="650" w:type="pct"/>
            <w:tcBorders>
              <w:tl2br w:val="nil"/>
              <w:tr2bl w:val="nil"/>
            </w:tcBorders>
            <w:shd w:val="clear" w:color="auto" w:fill="auto"/>
            <w:noWrap w:val="0"/>
            <w:vAlign w:val="center"/>
          </w:tcPr>
          <w:p w14:paraId="2211F4F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3.5063</w:t>
            </w:r>
          </w:p>
        </w:tc>
        <w:tc>
          <w:tcPr>
            <w:tcW w:w="730" w:type="pct"/>
            <w:tcBorders>
              <w:tl2br w:val="nil"/>
              <w:tr2bl w:val="nil"/>
            </w:tcBorders>
            <w:shd w:val="clear" w:color="auto" w:fill="auto"/>
            <w:noWrap w:val="0"/>
            <w:vAlign w:val="bottom"/>
          </w:tcPr>
          <w:p w14:paraId="29277F1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3.3509</w:t>
            </w:r>
          </w:p>
        </w:tc>
      </w:tr>
      <w:tr w14:paraId="08F890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218889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37.0000</w:t>
            </w:r>
          </w:p>
        </w:tc>
        <w:tc>
          <w:tcPr>
            <w:tcW w:w="668" w:type="pct"/>
            <w:tcBorders>
              <w:tl2br w:val="nil"/>
              <w:tr2bl w:val="nil"/>
            </w:tcBorders>
            <w:shd w:val="clear" w:color="auto" w:fill="auto"/>
            <w:noWrap w:val="0"/>
            <w:vAlign w:val="center"/>
          </w:tcPr>
          <w:p w14:paraId="7BD8346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0.2432</w:t>
            </w:r>
          </w:p>
        </w:tc>
        <w:tc>
          <w:tcPr>
            <w:tcW w:w="743" w:type="pct"/>
            <w:tcBorders>
              <w:tl2br w:val="nil"/>
              <w:tr2bl w:val="nil"/>
            </w:tcBorders>
            <w:shd w:val="clear" w:color="auto" w:fill="auto"/>
            <w:noWrap w:val="0"/>
            <w:vAlign w:val="center"/>
          </w:tcPr>
          <w:p w14:paraId="147A64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0.2506</w:t>
            </w:r>
          </w:p>
        </w:tc>
        <w:tc>
          <w:tcPr>
            <w:tcW w:w="641" w:type="pct"/>
            <w:tcBorders>
              <w:tl2br w:val="nil"/>
              <w:tr2bl w:val="nil"/>
            </w:tcBorders>
            <w:shd w:val="clear" w:color="auto" w:fill="auto"/>
            <w:noWrap w:val="0"/>
            <w:vAlign w:val="bottom"/>
          </w:tcPr>
          <w:p w14:paraId="2474417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0.2813</w:t>
            </w:r>
          </w:p>
        </w:tc>
        <w:tc>
          <w:tcPr>
            <w:tcW w:w="644" w:type="pct"/>
            <w:tcBorders>
              <w:tl2br w:val="nil"/>
              <w:tr2bl w:val="nil"/>
            </w:tcBorders>
            <w:shd w:val="clear" w:color="auto" w:fill="auto"/>
            <w:noWrap w:val="0"/>
            <w:vAlign w:val="center"/>
          </w:tcPr>
          <w:p w14:paraId="69B7C30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3.3581</w:t>
            </w:r>
          </w:p>
        </w:tc>
        <w:tc>
          <w:tcPr>
            <w:tcW w:w="650" w:type="pct"/>
            <w:tcBorders>
              <w:tl2br w:val="nil"/>
              <w:tr2bl w:val="nil"/>
            </w:tcBorders>
            <w:shd w:val="clear" w:color="auto" w:fill="auto"/>
            <w:noWrap w:val="0"/>
            <w:vAlign w:val="center"/>
          </w:tcPr>
          <w:p w14:paraId="340FD4B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3.3253</w:t>
            </w:r>
          </w:p>
        </w:tc>
        <w:tc>
          <w:tcPr>
            <w:tcW w:w="730" w:type="pct"/>
            <w:tcBorders>
              <w:tl2br w:val="nil"/>
              <w:tr2bl w:val="nil"/>
            </w:tcBorders>
            <w:shd w:val="clear" w:color="auto" w:fill="auto"/>
            <w:noWrap w:val="0"/>
            <w:vAlign w:val="bottom"/>
          </w:tcPr>
          <w:p w14:paraId="7E29333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3.1855</w:t>
            </w:r>
          </w:p>
        </w:tc>
      </w:tr>
      <w:tr w14:paraId="477324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76231B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38.0000</w:t>
            </w:r>
          </w:p>
        </w:tc>
        <w:tc>
          <w:tcPr>
            <w:tcW w:w="668" w:type="pct"/>
            <w:tcBorders>
              <w:tl2br w:val="nil"/>
              <w:tr2bl w:val="nil"/>
            </w:tcBorders>
            <w:shd w:val="clear" w:color="auto" w:fill="auto"/>
            <w:noWrap w:val="0"/>
            <w:vAlign w:val="center"/>
          </w:tcPr>
          <w:p w14:paraId="4622002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0.2296</w:t>
            </w:r>
          </w:p>
        </w:tc>
        <w:tc>
          <w:tcPr>
            <w:tcW w:w="743" w:type="pct"/>
            <w:tcBorders>
              <w:tl2br w:val="nil"/>
              <w:tr2bl w:val="nil"/>
            </w:tcBorders>
            <w:shd w:val="clear" w:color="auto" w:fill="auto"/>
            <w:noWrap w:val="0"/>
            <w:vAlign w:val="center"/>
          </w:tcPr>
          <w:p w14:paraId="672C879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0.2362</w:t>
            </w:r>
          </w:p>
        </w:tc>
        <w:tc>
          <w:tcPr>
            <w:tcW w:w="641" w:type="pct"/>
            <w:tcBorders>
              <w:tl2br w:val="nil"/>
              <w:tr2bl w:val="nil"/>
            </w:tcBorders>
            <w:shd w:val="clear" w:color="auto" w:fill="auto"/>
            <w:noWrap w:val="0"/>
            <w:vAlign w:val="bottom"/>
          </w:tcPr>
          <w:p w14:paraId="379EAF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0.2641</w:t>
            </w:r>
          </w:p>
        </w:tc>
        <w:tc>
          <w:tcPr>
            <w:tcW w:w="644" w:type="pct"/>
            <w:tcBorders>
              <w:tl2br w:val="nil"/>
              <w:tr2bl w:val="nil"/>
            </w:tcBorders>
            <w:shd w:val="clear" w:color="auto" w:fill="auto"/>
            <w:noWrap w:val="0"/>
            <w:vAlign w:val="center"/>
          </w:tcPr>
          <w:p w14:paraId="7FFAFCF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3.1875</w:t>
            </w:r>
          </w:p>
        </w:tc>
        <w:tc>
          <w:tcPr>
            <w:tcW w:w="650" w:type="pct"/>
            <w:tcBorders>
              <w:tl2br w:val="nil"/>
              <w:tr2bl w:val="nil"/>
            </w:tcBorders>
            <w:shd w:val="clear" w:color="auto" w:fill="auto"/>
            <w:noWrap w:val="0"/>
            <w:vAlign w:val="center"/>
          </w:tcPr>
          <w:p w14:paraId="272267E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3.1580</w:t>
            </w:r>
          </w:p>
        </w:tc>
        <w:tc>
          <w:tcPr>
            <w:tcW w:w="730" w:type="pct"/>
            <w:tcBorders>
              <w:tl2br w:val="nil"/>
              <w:tr2bl w:val="nil"/>
            </w:tcBorders>
            <w:shd w:val="clear" w:color="auto" w:fill="auto"/>
            <w:noWrap w:val="0"/>
            <w:vAlign w:val="bottom"/>
          </w:tcPr>
          <w:p w14:paraId="0D5B088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3.0318</w:t>
            </w:r>
          </w:p>
        </w:tc>
      </w:tr>
      <w:tr w14:paraId="385058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32BE33C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39.0000</w:t>
            </w:r>
          </w:p>
        </w:tc>
        <w:tc>
          <w:tcPr>
            <w:tcW w:w="668" w:type="pct"/>
            <w:tcBorders>
              <w:tl2br w:val="nil"/>
              <w:tr2bl w:val="nil"/>
            </w:tcBorders>
            <w:shd w:val="clear" w:color="auto" w:fill="auto"/>
            <w:noWrap w:val="0"/>
            <w:vAlign w:val="center"/>
          </w:tcPr>
          <w:p w14:paraId="204F7AB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0.2172</w:t>
            </w:r>
          </w:p>
        </w:tc>
        <w:tc>
          <w:tcPr>
            <w:tcW w:w="743" w:type="pct"/>
            <w:tcBorders>
              <w:tl2br w:val="nil"/>
              <w:tr2bl w:val="nil"/>
            </w:tcBorders>
            <w:shd w:val="clear" w:color="auto" w:fill="auto"/>
            <w:noWrap w:val="0"/>
            <w:vAlign w:val="center"/>
          </w:tcPr>
          <w:p w14:paraId="0D43C1D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0.2230</w:t>
            </w:r>
          </w:p>
        </w:tc>
        <w:tc>
          <w:tcPr>
            <w:tcW w:w="641" w:type="pct"/>
            <w:tcBorders>
              <w:tl2br w:val="nil"/>
              <w:tr2bl w:val="nil"/>
            </w:tcBorders>
            <w:shd w:val="clear" w:color="auto" w:fill="auto"/>
            <w:noWrap w:val="0"/>
            <w:vAlign w:val="bottom"/>
          </w:tcPr>
          <w:p w14:paraId="470C5E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0.2483</w:t>
            </w:r>
          </w:p>
        </w:tc>
        <w:tc>
          <w:tcPr>
            <w:tcW w:w="644" w:type="pct"/>
            <w:tcBorders>
              <w:tl2br w:val="nil"/>
              <w:tr2bl w:val="nil"/>
            </w:tcBorders>
            <w:shd w:val="clear" w:color="auto" w:fill="auto"/>
            <w:noWrap w:val="0"/>
            <w:vAlign w:val="center"/>
          </w:tcPr>
          <w:p w14:paraId="6BF4EB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3.0295</w:t>
            </w:r>
          </w:p>
        </w:tc>
        <w:tc>
          <w:tcPr>
            <w:tcW w:w="650" w:type="pct"/>
            <w:tcBorders>
              <w:tl2br w:val="nil"/>
              <w:tr2bl w:val="nil"/>
            </w:tcBorders>
            <w:shd w:val="clear" w:color="auto" w:fill="auto"/>
            <w:noWrap w:val="0"/>
            <w:vAlign w:val="center"/>
          </w:tcPr>
          <w:p w14:paraId="7D00ED2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3.0029</w:t>
            </w:r>
          </w:p>
        </w:tc>
        <w:tc>
          <w:tcPr>
            <w:tcW w:w="730" w:type="pct"/>
            <w:tcBorders>
              <w:tl2br w:val="nil"/>
              <w:tr2bl w:val="nil"/>
            </w:tcBorders>
            <w:shd w:val="clear" w:color="auto" w:fill="auto"/>
            <w:noWrap w:val="0"/>
            <w:vAlign w:val="bottom"/>
          </w:tcPr>
          <w:p w14:paraId="5E3DD7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2.8887</w:t>
            </w:r>
          </w:p>
        </w:tc>
      </w:tr>
      <w:tr w14:paraId="5C5567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FBAE8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40.0000</w:t>
            </w:r>
          </w:p>
        </w:tc>
        <w:tc>
          <w:tcPr>
            <w:tcW w:w="668" w:type="pct"/>
            <w:tcBorders>
              <w:tl2br w:val="nil"/>
              <w:tr2bl w:val="nil"/>
            </w:tcBorders>
            <w:shd w:val="clear" w:color="auto" w:fill="auto"/>
            <w:noWrap w:val="0"/>
            <w:vAlign w:val="center"/>
          </w:tcPr>
          <w:p w14:paraId="7262422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0.2059</w:t>
            </w:r>
          </w:p>
        </w:tc>
        <w:tc>
          <w:tcPr>
            <w:tcW w:w="743" w:type="pct"/>
            <w:tcBorders>
              <w:tl2br w:val="nil"/>
              <w:tr2bl w:val="nil"/>
            </w:tcBorders>
            <w:shd w:val="clear" w:color="auto" w:fill="auto"/>
            <w:noWrap w:val="0"/>
            <w:vAlign w:val="center"/>
          </w:tcPr>
          <w:p w14:paraId="750E4C4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0.2110</w:t>
            </w:r>
          </w:p>
        </w:tc>
        <w:tc>
          <w:tcPr>
            <w:tcW w:w="641" w:type="pct"/>
            <w:tcBorders>
              <w:tl2br w:val="nil"/>
              <w:tr2bl w:val="nil"/>
            </w:tcBorders>
            <w:shd w:val="clear" w:color="auto" w:fill="auto"/>
            <w:noWrap w:val="0"/>
            <w:vAlign w:val="bottom"/>
          </w:tcPr>
          <w:p w14:paraId="77686E7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0.2340</w:t>
            </w:r>
          </w:p>
        </w:tc>
        <w:tc>
          <w:tcPr>
            <w:tcW w:w="644" w:type="pct"/>
            <w:tcBorders>
              <w:tl2br w:val="nil"/>
              <w:tr2bl w:val="nil"/>
            </w:tcBorders>
            <w:shd w:val="clear" w:color="auto" w:fill="auto"/>
            <w:noWrap w:val="0"/>
            <w:vAlign w:val="center"/>
          </w:tcPr>
          <w:p w14:paraId="173896D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2.8830</w:t>
            </w:r>
          </w:p>
        </w:tc>
        <w:tc>
          <w:tcPr>
            <w:tcW w:w="650" w:type="pct"/>
            <w:tcBorders>
              <w:tl2br w:val="nil"/>
              <w:tr2bl w:val="nil"/>
            </w:tcBorders>
            <w:shd w:val="clear" w:color="auto" w:fill="auto"/>
            <w:noWrap w:val="0"/>
            <w:vAlign w:val="center"/>
          </w:tcPr>
          <w:p w14:paraId="5ABB603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2.8589</w:t>
            </w:r>
          </w:p>
        </w:tc>
        <w:tc>
          <w:tcPr>
            <w:tcW w:w="730" w:type="pct"/>
            <w:tcBorders>
              <w:tl2br w:val="nil"/>
              <w:tr2bl w:val="nil"/>
            </w:tcBorders>
            <w:shd w:val="clear" w:color="auto" w:fill="auto"/>
            <w:noWrap w:val="0"/>
            <w:vAlign w:val="bottom"/>
          </w:tcPr>
          <w:p w14:paraId="5D440E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2.7553</w:t>
            </w:r>
          </w:p>
        </w:tc>
      </w:tr>
      <w:tr w14:paraId="65519F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6116051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41.0000</w:t>
            </w:r>
          </w:p>
        </w:tc>
        <w:tc>
          <w:tcPr>
            <w:tcW w:w="668" w:type="pct"/>
            <w:tcBorders>
              <w:tl2br w:val="nil"/>
              <w:tr2bl w:val="nil"/>
            </w:tcBorders>
            <w:shd w:val="clear" w:color="auto" w:fill="auto"/>
            <w:noWrap w:val="0"/>
            <w:vAlign w:val="center"/>
          </w:tcPr>
          <w:p w14:paraId="6CEB1A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0.1954</w:t>
            </w:r>
          </w:p>
        </w:tc>
        <w:tc>
          <w:tcPr>
            <w:tcW w:w="743" w:type="pct"/>
            <w:tcBorders>
              <w:tl2br w:val="nil"/>
              <w:tr2bl w:val="nil"/>
            </w:tcBorders>
            <w:shd w:val="clear" w:color="auto" w:fill="auto"/>
            <w:noWrap w:val="0"/>
            <w:vAlign w:val="center"/>
          </w:tcPr>
          <w:p w14:paraId="3EB569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0.2000</w:t>
            </w:r>
          </w:p>
        </w:tc>
        <w:tc>
          <w:tcPr>
            <w:tcW w:w="641" w:type="pct"/>
            <w:tcBorders>
              <w:tl2br w:val="nil"/>
              <w:tr2bl w:val="nil"/>
            </w:tcBorders>
            <w:shd w:val="clear" w:color="auto" w:fill="auto"/>
            <w:noWrap w:val="0"/>
            <w:vAlign w:val="bottom"/>
          </w:tcPr>
          <w:p w14:paraId="7F19B9B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0.2209</w:t>
            </w:r>
          </w:p>
        </w:tc>
        <w:tc>
          <w:tcPr>
            <w:tcW w:w="644" w:type="pct"/>
            <w:tcBorders>
              <w:tl2br w:val="nil"/>
              <w:tr2bl w:val="nil"/>
            </w:tcBorders>
            <w:shd w:val="clear" w:color="auto" w:fill="auto"/>
            <w:noWrap w:val="0"/>
            <w:vAlign w:val="center"/>
          </w:tcPr>
          <w:p w14:paraId="7741DC7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2.7469</w:t>
            </w:r>
          </w:p>
        </w:tc>
        <w:tc>
          <w:tcPr>
            <w:tcW w:w="650" w:type="pct"/>
            <w:tcBorders>
              <w:tl2br w:val="nil"/>
              <w:tr2bl w:val="nil"/>
            </w:tcBorders>
            <w:shd w:val="clear" w:color="auto" w:fill="auto"/>
            <w:noWrap w:val="0"/>
            <w:vAlign w:val="center"/>
          </w:tcPr>
          <w:p w14:paraId="2EDF157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2.7250</w:t>
            </w:r>
          </w:p>
        </w:tc>
        <w:tc>
          <w:tcPr>
            <w:tcW w:w="730" w:type="pct"/>
            <w:tcBorders>
              <w:tl2br w:val="nil"/>
              <w:tr2bl w:val="nil"/>
            </w:tcBorders>
            <w:shd w:val="clear" w:color="auto" w:fill="auto"/>
            <w:noWrap w:val="0"/>
            <w:vAlign w:val="bottom"/>
          </w:tcPr>
          <w:p w14:paraId="5DB2C55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2.6309</w:t>
            </w:r>
          </w:p>
        </w:tc>
      </w:tr>
      <w:tr w14:paraId="398448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5263EC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42.0000</w:t>
            </w:r>
          </w:p>
        </w:tc>
        <w:tc>
          <w:tcPr>
            <w:tcW w:w="668" w:type="pct"/>
            <w:tcBorders>
              <w:tl2br w:val="nil"/>
              <w:tr2bl w:val="nil"/>
            </w:tcBorders>
            <w:shd w:val="clear" w:color="auto" w:fill="auto"/>
            <w:noWrap w:val="0"/>
            <w:vAlign w:val="center"/>
          </w:tcPr>
          <w:p w14:paraId="4613115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0.1858</w:t>
            </w:r>
          </w:p>
        </w:tc>
        <w:tc>
          <w:tcPr>
            <w:tcW w:w="743" w:type="pct"/>
            <w:tcBorders>
              <w:tl2br w:val="nil"/>
              <w:tr2bl w:val="nil"/>
            </w:tcBorders>
            <w:shd w:val="clear" w:color="auto" w:fill="auto"/>
            <w:noWrap w:val="0"/>
            <w:vAlign w:val="center"/>
          </w:tcPr>
          <w:p w14:paraId="628DB50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0.1898</w:t>
            </w:r>
          </w:p>
        </w:tc>
        <w:tc>
          <w:tcPr>
            <w:tcW w:w="641" w:type="pct"/>
            <w:tcBorders>
              <w:tl2br w:val="nil"/>
              <w:tr2bl w:val="nil"/>
            </w:tcBorders>
            <w:shd w:val="clear" w:color="auto" w:fill="auto"/>
            <w:noWrap w:val="0"/>
            <w:vAlign w:val="bottom"/>
          </w:tcPr>
          <w:p w14:paraId="09A1D8A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0.2088</w:t>
            </w:r>
          </w:p>
        </w:tc>
        <w:tc>
          <w:tcPr>
            <w:tcW w:w="644" w:type="pct"/>
            <w:tcBorders>
              <w:tl2br w:val="nil"/>
              <w:tr2bl w:val="nil"/>
            </w:tcBorders>
            <w:shd w:val="clear" w:color="auto" w:fill="auto"/>
            <w:noWrap w:val="0"/>
            <w:vAlign w:val="center"/>
          </w:tcPr>
          <w:p w14:paraId="03EC6E8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2.6201</w:t>
            </w:r>
          </w:p>
        </w:tc>
        <w:tc>
          <w:tcPr>
            <w:tcW w:w="650" w:type="pct"/>
            <w:tcBorders>
              <w:tl2br w:val="nil"/>
              <w:tr2bl w:val="nil"/>
            </w:tcBorders>
            <w:shd w:val="clear" w:color="auto" w:fill="auto"/>
            <w:noWrap w:val="0"/>
            <w:vAlign w:val="center"/>
          </w:tcPr>
          <w:p w14:paraId="446E713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2.6003</w:t>
            </w:r>
          </w:p>
        </w:tc>
        <w:tc>
          <w:tcPr>
            <w:tcW w:w="730" w:type="pct"/>
            <w:tcBorders>
              <w:tl2br w:val="nil"/>
              <w:tr2bl w:val="nil"/>
            </w:tcBorders>
            <w:shd w:val="clear" w:color="auto" w:fill="auto"/>
            <w:noWrap w:val="0"/>
            <w:vAlign w:val="bottom"/>
          </w:tcPr>
          <w:p w14:paraId="53999B1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2.5145</w:t>
            </w:r>
          </w:p>
        </w:tc>
      </w:tr>
      <w:tr w14:paraId="5ED8D9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264C14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43.0000</w:t>
            </w:r>
          </w:p>
        </w:tc>
        <w:tc>
          <w:tcPr>
            <w:tcW w:w="668" w:type="pct"/>
            <w:tcBorders>
              <w:tl2br w:val="nil"/>
              <w:tr2bl w:val="nil"/>
            </w:tcBorders>
            <w:shd w:val="clear" w:color="auto" w:fill="auto"/>
            <w:noWrap w:val="0"/>
            <w:vAlign w:val="center"/>
          </w:tcPr>
          <w:p w14:paraId="1C1DCAF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0.1768</w:t>
            </w:r>
          </w:p>
        </w:tc>
        <w:tc>
          <w:tcPr>
            <w:tcW w:w="743" w:type="pct"/>
            <w:tcBorders>
              <w:tl2br w:val="nil"/>
              <w:tr2bl w:val="nil"/>
            </w:tcBorders>
            <w:shd w:val="clear" w:color="auto" w:fill="auto"/>
            <w:noWrap w:val="0"/>
            <w:vAlign w:val="center"/>
          </w:tcPr>
          <w:p w14:paraId="1AE4469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0.1804</w:t>
            </w:r>
          </w:p>
        </w:tc>
        <w:tc>
          <w:tcPr>
            <w:tcW w:w="641" w:type="pct"/>
            <w:tcBorders>
              <w:tl2br w:val="nil"/>
              <w:tr2bl w:val="nil"/>
            </w:tcBorders>
            <w:shd w:val="clear" w:color="auto" w:fill="auto"/>
            <w:noWrap w:val="0"/>
            <w:vAlign w:val="bottom"/>
          </w:tcPr>
          <w:p w14:paraId="662408A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0.1977</w:t>
            </w:r>
          </w:p>
        </w:tc>
        <w:tc>
          <w:tcPr>
            <w:tcW w:w="644" w:type="pct"/>
            <w:tcBorders>
              <w:tl2br w:val="nil"/>
              <w:tr2bl w:val="nil"/>
            </w:tcBorders>
            <w:shd w:val="clear" w:color="auto" w:fill="auto"/>
            <w:noWrap w:val="0"/>
            <w:vAlign w:val="center"/>
          </w:tcPr>
          <w:p w14:paraId="762D8A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2.5020</w:t>
            </w:r>
          </w:p>
        </w:tc>
        <w:tc>
          <w:tcPr>
            <w:tcW w:w="650" w:type="pct"/>
            <w:tcBorders>
              <w:tl2br w:val="nil"/>
              <w:tr2bl w:val="nil"/>
            </w:tcBorders>
            <w:shd w:val="clear" w:color="auto" w:fill="auto"/>
            <w:noWrap w:val="0"/>
            <w:vAlign w:val="center"/>
          </w:tcPr>
          <w:p w14:paraId="05BBF98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2.4839</w:t>
            </w:r>
          </w:p>
        </w:tc>
        <w:tc>
          <w:tcPr>
            <w:tcW w:w="730" w:type="pct"/>
            <w:tcBorders>
              <w:tl2br w:val="nil"/>
              <w:tr2bl w:val="nil"/>
            </w:tcBorders>
            <w:shd w:val="clear" w:color="auto" w:fill="auto"/>
            <w:noWrap w:val="0"/>
            <w:vAlign w:val="bottom"/>
          </w:tcPr>
          <w:p w14:paraId="79A576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2.4056</w:t>
            </w:r>
          </w:p>
        </w:tc>
      </w:tr>
      <w:tr w14:paraId="2B684B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585517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44.0000</w:t>
            </w:r>
          </w:p>
        </w:tc>
        <w:tc>
          <w:tcPr>
            <w:tcW w:w="668" w:type="pct"/>
            <w:tcBorders>
              <w:tl2br w:val="nil"/>
              <w:tr2bl w:val="nil"/>
            </w:tcBorders>
            <w:shd w:val="clear" w:color="auto" w:fill="auto"/>
            <w:noWrap w:val="0"/>
            <w:vAlign w:val="center"/>
          </w:tcPr>
          <w:p w14:paraId="31322A3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0.1686</w:t>
            </w:r>
          </w:p>
        </w:tc>
        <w:tc>
          <w:tcPr>
            <w:tcW w:w="743" w:type="pct"/>
            <w:tcBorders>
              <w:tl2br w:val="nil"/>
              <w:tr2bl w:val="nil"/>
            </w:tcBorders>
            <w:shd w:val="clear" w:color="auto" w:fill="auto"/>
            <w:noWrap w:val="0"/>
            <w:vAlign w:val="center"/>
          </w:tcPr>
          <w:p w14:paraId="227C18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0.1718</w:t>
            </w:r>
          </w:p>
        </w:tc>
        <w:tc>
          <w:tcPr>
            <w:tcW w:w="641" w:type="pct"/>
            <w:tcBorders>
              <w:tl2br w:val="nil"/>
              <w:tr2bl w:val="nil"/>
            </w:tcBorders>
            <w:shd w:val="clear" w:color="auto" w:fill="auto"/>
            <w:noWrap w:val="0"/>
            <w:vAlign w:val="bottom"/>
          </w:tcPr>
          <w:p w14:paraId="3BB5EA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0.1875</w:t>
            </w:r>
          </w:p>
        </w:tc>
        <w:tc>
          <w:tcPr>
            <w:tcW w:w="644" w:type="pct"/>
            <w:tcBorders>
              <w:tl2br w:val="nil"/>
              <w:tr2bl w:val="nil"/>
            </w:tcBorders>
            <w:shd w:val="clear" w:color="auto" w:fill="auto"/>
            <w:noWrap w:val="0"/>
            <w:vAlign w:val="center"/>
          </w:tcPr>
          <w:p w14:paraId="504ED29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2.3917</w:t>
            </w:r>
          </w:p>
        </w:tc>
        <w:tc>
          <w:tcPr>
            <w:tcW w:w="650" w:type="pct"/>
            <w:tcBorders>
              <w:tl2br w:val="nil"/>
              <w:tr2bl w:val="nil"/>
            </w:tcBorders>
            <w:shd w:val="clear" w:color="auto" w:fill="auto"/>
            <w:noWrap w:val="0"/>
            <w:vAlign w:val="center"/>
          </w:tcPr>
          <w:p w14:paraId="4E60DC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2.3751</w:t>
            </w:r>
          </w:p>
        </w:tc>
        <w:tc>
          <w:tcPr>
            <w:tcW w:w="730" w:type="pct"/>
            <w:tcBorders>
              <w:tl2br w:val="nil"/>
              <w:tr2bl w:val="nil"/>
            </w:tcBorders>
            <w:shd w:val="clear" w:color="auto" w:fill="auto"/>
            <w:noWrap w:val="0"/>
            <w:vAlign w:val="bottom"/>
          </w:tcPr>
          <w:p w14:paraId="6A1CC87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2.3035</w:t>
            </w:r>
          </w:p>
        </w:tc>
      </w:tr>
      <w:tr w14:paraId="6C1FA5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7CCACC8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45.0000</w:t>
            </w:r>
          </w:p>
        </w:tc>
        <w:tc>
          <w:tcPr>
            <w:tcW w:w="668" w:type="pct"/>
            <w:tcBorders>
              <w:tl2br w:val="nil"/>
              <w:tr2bl w:val="nil"/>
            </w:tcBorders>
            <w:shd w:val="clear" w:color="auto" w:fill="auto"/>
            <w:noWrap w:val="0"/>
            <w:vAlign w:val="center"/>
          </w:tcPr>
          <w:p w14:paraId="2EDCD59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0.1609</w:t>
            </w:r>
          </w:p>
        </w:tc>
        <w:tc>
          <w:tcPr>
            <w:tcW w:w="743" w:type="pct"/>
            <w:tcBorders>
              <w:tl2br w:val="nil"/>
              <w:tr2bl w:val="nil"/>
            </w:tcBorders>
            <w:shd w:val="clear" w:color="auto" w:fill="auto"/>
            <w:noWrap w:val="0"/>
            <w:vAlign w:val="center"/>
          </w:tcPr>
          <w:p w14:paraId="3DC59BB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0.1637</w:t>
            </w:r>
          </w:p>
        </w:tc>
        <w:tc>
          <w:tcPr>
            <w:tcW w:w="641" w:type="pct"/>
            <w:tcBorders>
              <w:tl2br w:val="nil"/>
              <w:tr2bl w:val="nil"/>
            </w:tcBorders>
            <w:shd w:val="clear" w:color="auto" w:fill="auto"/>
            <w:noWrap w:val="0"/>
            <w:vAlign w:val="bottom"/>
          </w:tcPr>
          <w:p w14:paraId="11FC22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0.1781</w:t>
            </w:r>
          </w:p>
        </w:tc>
        <w:tc>
          <w:tcPr>
            <w:tcW w:w="644" w:type="pct"/>
            <w:tcBorders>
              <w:tl2br w:val="nil"/>
              <w:tr2bl w:val="nil"/>
            </w:tcBorders>
            <w:shd w:val="clear" w:color="auto" w:fill="auto"/>
            <w:noWrap w:val="0"/>
            <w:vAlign w:val="center"/>
          </w:tcPr>
          <w:p w14:paraId="1DA0FF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2.2885</w:t>
            </w:r>
          </w:p>
        </w:tc>
        <w:tc>
          <w:tcPr>
            <w:tcW w:w="650" w:type="pct"/>
            <w:tcBorders>
              <w:tl2br w:val="nil"/>
              <w:tr2bl w:val="nil"/>
            </w:tcBorders>
            <w:shd w:val="clear" w:color="auto" w:fill="auto"/>
            <w:noWrap w:val="0"/>
            <w:vAlign w:val="center"/>
          </w:tcPr>
          <w:p w14:paraId="6ADF248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2.2733</w:t>
            </w:r>
          </w:p>
        </w:tc>
        <w:tc>
          <w:tcPr>
            <w:tcW w:w="730" w:type="pct"/>
            <w:tcBorders>
              <w:tl2br w:val="nil"/>
              <w:tr2bl w:val="nil"/>
            </w:tcBorders>
            <w:shd w:val="clear" w:color="auto" w:fill="auto"/>
            <w:noWrap w:val="0"/>
            <w:vAlign w:val="bottom"/>
          </w:tcPr>
          <w:p w14:paraId="477FA0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2.2077</w:t>
            </w:r>
          </w:p>
        </w:tc>
      </w:tr>
      <w:tr w14:paraId="33DCEE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shd w:val="clear" w:color="auto" w:fill="auto"/>
            <w:noWrap w:val="0"/>
            <w:vAlign w:val="center"/>
          </w:tcPr>
          <w:p w14:paraId="44828F6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46.0000</w:t>
            </w:r>
          </w:p>
        </w:tc>
        <w:tc>
          <w:tcPr>
            <w:tcW w:w="668" w:type="pct"/>
            <w:tcBorders>
              <w:tl2br w:val="nil"/>
              <w:tr2bl w:val="nil"/>
            </w:tcBorders>
            <w:shd w:val="clear" w:color="auto" w:fill="auto"/>
            <w:noWrap w:val="0"/>
            <w:vAlign w:val="bottom"/>
          </w:tcPr>
          <w:p w14:paraId="1763701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0.1537</w:t>
            </w:r>
          </w:p>
        </w:tc>
        <w:tc>
          <w:tcPr>
            <w:tcW w:w="743" w:type="pct"/>
            <w:tcBorders>
              <w:tl2br w:val="nil"/>
              <w:tr2bl w:val="nil"/>
            </w:tcBorders>
            <w:shd w:val="clear" w:color="auto" w:fill="auto"/>
            <w:noWrap w:val="0"/>
            <w:vAlign w:val="bottom"/>
          </w:tcPr>
          <w:p w14:paraId="40FB7E8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0.1562</w:t>
            </w:r>
          </w:p>
        </w:tc>
        <w:tc>
          <w:tcPr>
            <w:tcW w:w="641" w:type="pct"/>
            <w:tcBorders>
              <w:tl2br w:val="nil"/>
              <w:tr2bl w:val="nil"/>
            </w:tcBorders>
            <w:shd w:val="clear" w:color="auto" w:fill="auto"/>
            <w:noWrap w:val="0"/>
            <w:vAlign w:val="bottom"/>
          </w:tcPr>
          <w:p w14:paraId="58DD3F5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0.1694</w:t>
            </w:r>
          </w:p>
        </w:tc>
        <w:tc>
          <w:tcPr>
            <w:tcW w:w="644" w:type="pct"/>
            <w:tcBorders>
              <w:tl2br w:val="nil"/>
              <w:tr2bl w:val="nil"/>
            </w:tcBorders>
            <w:shd w:val="clear" w:color="auto" w:fill="auto"/>
            <w:noWrap w:val="0"/>
            <w:vAlign w:val="bottom"/>
          </w:tcPr>
          <w:p w14:paraId="4300027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2.1918</w:t>
            </w:r>
          </w:p>
        </w:tc>
        <w:tc>
          <w:tcPr>
            <w:tcW w:w="650" w:type="pct"/>
            <w:tcBorders>
              <w:tl2br w:val="nil"/>
              <w:tr2bl w:val="nil"/>
            </w:tcBorders>
            <w:shd w:val="clear" w:color="auto" w:fill="auto"/>
            <w:noWrap w:val="0"/>
            <w:vAlign w:val="bottom"/>
          </w:tcPr>
          <w:p w14:paraId="1ACEF3F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2.1779</w:t>
            </w:r>
          </w:p>
        </w:tc>
        <w:tc>
          <w:tcPr>
            <w:tcW w:w="730" w:type="pct"/>
            <w:tcBorders>
              <w:tl2br w:val="nil"/>
              <w:tr2bl w:val="nil"/>
            </w:tcBorders>
            <w:shd w:val="clear" w:color="auto" w:fill="auto"/>
            <w:noWrap w:val="0"/>
            <w:vAlign w:val="bottom"/>
          </w:tcPr>
          <w:p w14:paraId="6D71EB1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2.1177</w:t>
            </w:r>
          </w:p>
        </w:tc>
      </w:tr>
      <w:tr w14:paraId="580CFD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noWrap w:val="0"/>
            <w:vAlign w:val="center"/>
          </w:tcPr>
          <w:p w14:paraId="70FFCC89">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最大值</w:t>
            </w:r>
          </w:p>
        </w:tc>
        <w:tc>
          <w:tcPr>
            <w:tcW w:w="668" w:type="pct"/>
            <w:tcBorders>
              <w:tl2br w:val="nil"/>
              <w:tr2bl w:val="nil"/>
            </w:tcBorders>
            <w:noWrap w:val="0"/>
            <w:vAlign w:val="center"/>
          </w:tcPr>
          <w:p w14:paraId="4F2EECC4">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9.2944</w:t>
            </w:r>
          </w:p>
        </w:tc>
        <w:tc>
          <w:tcPr>
            <w:tcW w:w="743" w:type="pct"/>
            <w:tcBorders>
              <w:tl2br w:val="nil"/>
              <w:tr2bl w:val="nil"/>
            </w:tcBorders>
            <w:noWrap w:val="0"/>
            <w:vAlign w:val="center"/>
          </w:tcPr>
          <w:p w14:paraId="1CD8FE22">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7.3838</w:t>
            </w:r>
          </w:p>
        </w:tc>
        <w:tc>
          <w:tcPr>
            <w:tcW w:w="641" w:type="pct"/>
            <w:tcBorders>
              <w:tl2br w:val="nil"/>
              <w:tr2bl w:val="nil"/>
            </w:tcBorders>
            <w:noWrap w:val="0"/>
            <w:vAlign w:val="center"/>
          </w:tcPr>
          <w:p w14:paraId="4C08FC62">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3.9390</w:t>
            </w:r>
          </w:p>
        </w:tc>
        <w:tc>
          <w:tcPr>
            <w:tcW w:w="644" w:type="pct"/>
            <w:tcBorders>
              <w:tl2br w:val="nil"/>
              <w:tr2bl w:val="nil"/>
            </w:tcBorders>
            <w:noWrap w:val="0"/>
            <w:vAlign w:val="center"/>
          </w:tcPr>
          <w:p w14:paraId="6E12F6CC">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69.0617</w:t>
            </w:r>
          </w:p>
        </w:tc>
        <w:tc>
          <w:tcPr>
            <w:tcW w:w="650" w:type="pct"/>
            <w:tcBorders>
              <w:tl2br w:val="nil"/>
              <w:tr2bl w:val="nil"/>
            </w:tcBorders>
            <w:noWrap w:val="0"/>
            <w:vAlign w:val="center"/>
          </w:tcPr>
          <w:p w14:paraId="33F8EC34">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56.9329</w:t>
            </w:r>
          </w:p>
        </w:tc>
        <w:tc>
          <w:tcPr>
            <w:tcW w:w="730" w:type="pct"/>
            <w:tcBorders>
              <w:tl2br w:val="nil"/>
              <w:tr2bl w:val="nil"/>
            </w:tcBorders>
            <w:noWrap w:val="0"/>
            <w:vAlign w:val="center"/>
          </w:tcPr>
          <w:p w14:paraId="4AFB505A">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33.6165</w:t>
            </w:r>
          </w:p>
        </w:tc>
      </w:tr>
      <w:tr w14:paraId="63B8C4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2" w:type="pct"/>
            <w:tcBorders>
              <w:tl2br w:val="nil"/>
              <w:tr2bl w:val="nil"/>
            </w:tcBorders>
            <w:noWrap w:val="0"/>
            <w:vAlign w:val="center"/>
          </w:tcPr>
          <w:p w14:paraId="500EF559">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标准限值</w:t>
            </w:r>
          </w:p>
        </w:tc>
        <w:tc>
          <w:tcPr>
            <w:tcW w:w="668" w:type="pct"/>
            <w:tcBorders>
              <w:tl2br w:val="nil"/>
              <w:tr2bl w:val="nil"/>
            </w:tcBorders>
            <w:noWrap w:val="0"/>
            <w:vAlign w:val="center"/>
          </w:tcPr>
          <w:p w14:paraId="2BED7DE5">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eastAsia" w:cs="Times New Roman" w:eastAsiaTheme="minorEastAsia"/>
                <w:color w:val="000000" w:themeColor="text1"/>
                <w:kern w:val="0"/>
                <w:sz w:val="21"/>
                <w:szCs w:val="21"/>
                <w:lang w:val="en-US" w:eastAsia="zh-CN"/>
                <w14:textFill>
                  <w14:solidFill>
                    <w14:schemeClr w14:val="tx1"/>
                  </w14:solidFill>
                </w14:textFill>
              </w:rPr>
              <w:t>10</w:t>
            </w:r>
          </w:p>
        </w:tc>
        <w:tc>
          <w:tcPr>
            <w:tcW w:w="743" w:type="pct"/>
            <w:tcBorders>
              <w:tl2br w:val="nil"/>
              <w:tr2bl w:val="nil"/>
            </w:tcBorders>
            <w:noWrap w:val="0"/>
            <w:vAlign w:val="center"/>
          </w:tcPr>
          <w:p w14:paraId="40A3A52D">
            <w:pPr>
              <w:widowControl/>
              <w:spacing w:line="0" w:lineRule="atLeast"/>
              <w:jc w:val="cente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4</w:t>
            </w:r>
          </w:p>
        </w:tc>
        <w:tc>
          <w:tcPr>
            <w:tcW w:w="641" w:type="pct"/>
            <w:tcBorders>
              <w:tl2br w:val="nil"/>
              <w:tr2bl w:val="nil"/>
            </w:tcBorders>
            <w:noWrap w:val="0"/>
            <w:vAlign w:val="center"/>
          </w:tcPr>
          <w:p w14:paraId="42403B36">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4</w:t>
            </w:r>
          </w:p>
        </w:tc>
        <w:tc>
          <w:tcPr>
            <w:tcW w:w="2024" w:type="pct"/>
            <w:gridSpan w:val="3"/>
            <w:tcBorders>
              <w:tl2br w:val="nil"/>
              <w:tr2bl w:val="nil"/>
            </w:tcBorders>
            <w:noWrap w:val="0"/>
            <w:vAlign w:val="center"/>
          </w:tcPr>
          <w:p w14:paraId="77DCB6DA">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100</w:t>
            </w:r>
          </w:p>
        </w:tc>
      </w:tr>
    </w:tbl>
    <w:p w14:paraId="7ABD3563">
      <w:pPr>
        <w:keepNext w:val="0"/>
        <w:keepLines w:val="0"/>
        <w:pageBreakBefore w:val="0"/>
        <w:widowControl w:val="0"/>
        <w:kinsoku/>
        <w:wordWrap/>
        <w:overflowPunct/>
        <w:topLinePunct w:val="0"/>
        <w:bidi w:val="0"/>
        <w:spacing w:line="500" w:lineRule="exact"/>
        <w:ind w:firstLine="480" w:firstLineChars="200"/>
        <w:textAlignment w:val="auto"/>
        <w:rPr>
          <w:b w:val="0"/>
          <w:bCs w:val="0"/>
          <w:color w:val="000000" w:themeColor="text1"/>
          <w:lang w:val="zh-CN"/>
          <w14:textFill>
            <w14:solidFill>
              <w14:schemeClr w14:val="tx1"/>
            </w14:solidFill>
          </w14:textFill>
        </w:rPr>
      </w:pPr>
      <w:bookmarkStart w:id="91" w:name="_Toc13372"/>
      <w:r>
        <w:rPr>
          <w:rFonts w:hint="default" w:ascii="Times New Roman" w:hAnsi="Times New Roman" w:cs="Times New Roman"/>
          <w:color w:val="000000" w:themeColor="text1"/>
          <w:sz w:val="24"/>
          <w:lang w:val="en-US" w:eastAsia="zh-CN"/>
          <w14:textFill>
            <w14:solidFill>
              <w14:schemeClr w14:val="tx1"/>
            </w14:solidFill>
          </w14:textFill>
        </w:rPr>
        <w:t>本项目220-KD21D-ZB2</w:t>
      </w:r>
      <w:r>
        <w:rPr>
          <w:rFonts w:hint="eastAsia" w:ascii="Times New Roman" w:hAnsi="Times New Roman" w:cs="Times New Roman"/>
          <w:color w:val="000000" w:themeColor="text1"/>
          <w:sz w:val="24"/>
          <w:lang w:val="en-US" w:eastAsia="zh-CN"/>
          <w14:textFill>
            <w14:solidFill>
              <w14:schemeClr w14:val="tx1"/>
            </w14:solidFill>
          </w14:textFill>
        </w:rPr>
        <w:t>线路</w:t>
      </w:r>
      <w:r>
        <w:rPr>
          <w:rFonts w:hint="default" w:ascii="Times New Roman" w:hAnsi="Times New Roman" w:cs="Times New Roman"/>
          <w:color w:val="000000" w:themeColor="text1"/>
          <w:sz w:val="24"/>
          <w14:textFill>
            <w14:solidFill>
              <w14:schemeClr w14:val="tx1"/>
            </w14:solidFill>
          </w14:textFill>
        </w:rPr>
        <w:t>计算结果</w:t>
      </w:r>
      <w:r>
        <w:rPr>
          <w:rFonts w:hint="eastAsia" w:ascii="Times New Roman" w:hAnsi="Times New Roman" w:eastAsia="宋体" w:cs="Times New Roman"/>
          <w:b w:val="0"/>
          <w:bCs w:val="0"/>
          <w:color w:val="000000" w:themeColor="text1"/>
          <w:sz w:val="24"/>
          <w:lang w:val="en-US" w:eastAsia="zh-CN"/>
          <w14:textFill>
            <w14:solidFill>
              <w14:schemeClr w14:val="tx1"/>
            </w14:solidFill>
          </w14:textFill>
        </w:rPr>
        <w:t>详见表9</w:t>
      </w:r>
      <w:r>
        <w:rPr>
          <w:rFonts w:hint="eastAsia" w:ascii="Times New Roman" w:hAnsi="Times New Roman" w:cs="Times New Roman"/>
          <w:b w:val="0"/>
          <w:bCs w:val="0"/>
          <w:color w:val="000000" w:themeColor="text1"/>
          <w:sz w:val="24"/>
          <w:lang w:val="en-US" w:eastAsia="zh-CN"/>
          <w14:textFill>
            <w14:solidFill>
              <w14:schemeClr w14:val="tx1"/>
            </w14:solidFill>
          </w14:textFill>
        </w:rPr>
        <w:t>。</w:t>
      </w:r>
    </w:p>
    <w:p w14:paraId="1C659ED6">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hint="default" w:ascii="Times New Roman" w:hAnsi="Times New Roman" w:eastAsia="黑体" w:cs="Times New Roman"/>
          <w:color w:val="000000" w:themeColor="text1"/>
          <w:sz w:val="21"/>
          <w:szCs w:val="21"/>
          <w:lang w:val="en-US" w:eastAsia="zh-CN"/>
          <w14:textFill>
            <w14:solidFill>
              <w14:schemeClr w14:val="tx1"/>
            </w14:solidFill>
          </w14:textFill>
        </w:rPr>
      </w:pPr>
      <w:r>
        <w:rPr>
          <w:rFonts w:hint="eastAsia" w:ascii="Times New Roman" w:hAnsi="Times New Roman" w:eastAsia="黑体" w:cs="Times New Roman"/>
          <w:color w:val="000000" w:themeColor="text1"/>
          <w:sz w:val="21"/>
          <w:szCs w:val="21"/>
          <w:lang w:val="en-US" w:eastAsia="zh-CN"/>
          <w14:textFill>
            <w14:solidFill>
              <w14:schemeClr w14:val="tx1"/>
            </w14:solidFill>
          </w14:textFill>
        </w:rPr>
        <w:t>表9    本项目220kV单回路线路电磁环境预测值（220-KD21D-ZB2）</w:t>
      </w:r>
    </w:p>
    <w:tbl>
      <w:tblPr>
        <w:tblStyle w:val="27"/>
        <w:tblW w:w="4999"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629"/>
        <w:gridCol w:w="1180"/>
        <w:gridCol w:w="1314"/>
        <w:gridCol w:w="1139"/>
        <w:gridCol w:w="1139"/>
        <w:gridCol w:w="1148"/>
        <w:gridCol w:w="1293"/>
      </w:tblGrid>
      <w:tr w14:paraId="35CEF2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vMerge w:val="restart"/>
            <w:tcBorders>
              <w:tl2br w:val="nil"/>
              <w:tr2bl w:val="nil"/>
            </w:tcBorders>
            <w:noWrap w:val="0"/>
            <w:vAlign w:val="center"/>
          </w:tcPr>
          <w:p w14:paraId="63DFB129">
            <w:pPr>
              <w:widowControl/>
              <w:spacing w:line="0" w:lineRule="atLeast"/>
              <w:jc w:val="cente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距线路走廊中心距离</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kern w:val="0"/>
                <w:sz w:val="21"/>
                <w:szCs w:val="21"/>
                <w14:textFill>
                  <w14:solidFill>
                    <w14:schemeClr w14:val="tx1"/>
                  </w14:solidFill>
                </w14:textFill>
              </w:rPr>
              <w:t>m</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p>
        </w:tc>
        <w:tc>
          <w:tcPr>
            <w:tcW w:w="2054" w:type="pct"/>
            <w:gridSpan w:val="3"/>
            <w:tcBorders>
              <w:tl2br w:val="nil"/>
              <w:tr2bl w:val="nil"/>
            </w:tcBorders>
            <w:noWrap w:val="0"/>
            <w:vAlign w:val="center"/>
          </w:tcPr>
          <w:p w14:paraId="3EF58D3D">
            <w:pPr>
              <w:widowControl/>
              <w:spacing w:line="0" w:lineRule="atLeast"/>
              <w:jc w:val="cente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工频电场强度：E</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kern w:val="0"/>
                <w:sz w:val="21"/>
                <w:szCs w:val="21"/>
                <w14:textFill>
                  <w14:solidFill>
                    <w14:schemeClr w14:val="tx1"/>
                  </w14:solidFill>
                </w14:textFill>
              </w:rPr>
              <w:t>kV/m</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p>
        </w:tc>
        <w:tc>
          <w:tcPr>
            <w:tcW w:w="2024" w:type="pct"/>
            <w:gridSpan w:val="3"/>
            <w:tcBorders>
              <w:tl2br w:val="nil"/>
              <w:tr2bl w:val="nil"/>
            </w:tcBorders>
            <w:noWrap w:val="0"/>
            <w:vAlign w:val="center"/>
          </w:tcPr>
          <w:p w14:paraId="2AE9A207">
            <w:pPr>
              <w:widowControl/>
              <w:spacing w:line="0" w:lineRule="atLeast"/>
              <w:jc w:val="cente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工频磁感应强度：B</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r>
              <w:rPr>
                <w:rFonts w:hint="default" w:ascii="Times New Roman" w:hAnsi="Times New Roman" w:cs="Times New Roman" w:eastAsiaTheme="minorEastAsia"/>
                <w:color w:val="000000" w:themeColor="text1"/>
                <w:kern w:val="0"/>
                <w:sz w:val="21"/>
                <w:szCs w:val="21"/>
                <w14:textFill>
                  <w14:solidFill>
                    <w14:schemeClr w14:val="tx1"/>
                  </w14:solidFill>
                </w14:textFill>
              </w:rPr>
              <w:t>μT</w:t>
            </w:r>
            <w: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t>）</w:t>
            </w:r>
          </w:p>
        </w:tc>
      </w:tr>
      <w:tr w14:paraId="4F5332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21" w:type="pct"/>
            <w:vMerge w:val="continue"/>
            <w:tcBorders>
              <w:tl2br w:val="nil"/>
              <w:tr2bl w:val="nil"/>
            </w:tcBorders>
            <w:noWrap w:val="0"/>
            <w:vAlign w:val="center"/>
          </w:tcPr>
          <w:p w14:paraId="17E7D16C">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p>
        </w:tc>
        <w:tc>
          <w:tcPr>
            <w:tcW w:w="667" w:type="pct"/>
            <w:tcBorders>
              <w:tl2br w:val="nil"/>
              <w:tr2bl w:val="nil"/>
            </w:tcBorders>
            <w:noWrap w:val="0"/>
            <w:vAlign w:val="center"/>
          </w:tcPr>
          <w:p w14:paraId="219E8FCA">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6</w:t>
            </w:r>
            <w:r>
              <w:rPr>
                <w:rFonts w:hint="default" w:ascii="Times New Roman" w:hAnsi="Times New Roman" w:cs="Times New Roman" w:eastAsiaTheme="minorEastAsia"/>
                <w:color w:val="000000" w:themeColor="text1"/>
                <w:kern w:val="0"/>
                <w:sz w:val="21"/>
                <w:szCs w:val="21"/>
                <w14:textFill>
                  <w14:solidFill>
                    <w14:schemeClr w14:val="tx1"/>
                  </w14:solidFill>
                </w14:textFill>
              </w:rPr>
              <w:t>.5m</w:t>
            </w:r>
          </w:p>
        </w:tc>
        <w:tc>
          <w:tcPr>
            <w:tcW w:w="743" w:type="pct"/>
            <w:tcBorders>
              <w:tl2br w:val="nil"/>
              <w:tr2bl w:val="nil"/>
            </w:tcBorders>
            <w:noWrap w:val="0"/>
            <w:vAlign w:val="center"/>
          </w:tcPr>
          <w:p w14:paraId="61986EBD">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w:t>
            </w: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地7</w:t>
            </w:r>
            <w:r>
              <w:rPr>
                <w:rFonts w:hint="default" w:ascii="Times New Roman" w:hAnsi="Times New Roman" w:cs="Times New Roman" w:eastAsiaTheme="minorEastAsia"/>
                <w:color w:val="000000" w:themeColor="text1"/>
                <w:kern w:val="0"/>
                <w:sz w:val="21"/>
                <w:szCs w:val="21"/>
                <w14:textFill>
                  <w14:solidFill>
                    <w14:schemeClr w14:val="tx1"/>
                  </w14:solidFill>
                </w14:textFill>
              </w:rPr>
              <w:t>.5m</w:t>
            </w:r>
          </w:p>
        </w:tc>
        <w:tc>
          <w:tcPr>
            <w:tcW w:w="642" w:type="pct"/>
            <w:tcBorders>
              <w:tl2br w:val="nil"/>
              <w:tr2bl w:val="nil"/>
            </w:tcBorders>
            <w:noWrap w:val="0"/>
            <w:vAlign w:val="center"/>
          </w:tcPr>
          <w:p w14:paraId="28BF5F9B">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eastAsia" w:cs="Times New Roman" w:eastAsiaTheme="minorEastAsia"/>
                <w:color w:val="000000" w:themeColor="text1"/>
                <w:kern w:val="0"/>
                <w:sz w:val="21"/>
                <w:szCs w:val="21"/>
                <w:lang w:val="en-US" w:eastAsia="zh-CN"/>
                <w14:textFill>
                  <w14:solidFill>
                    <w14:schemeClr w14:val="tx1"/>
                  </w14:solidFill>
                </w14:textFill>
              </w:rPr>
              <w:t>11.2</w:t>
            </w:r>
            <w:r>
              <w:rPr>
                <w:rFonts w:hint="default" w:ascii="Times New Roman" w:hAnsi="Times New Roman" w:cs="Times New Roman" w:eastAsiaTheme="minorEastAsia"/>
                <w:color w:val="000000" w:themeColor="text1"/>
                <w:kern w:val="0"/>
                <w:sz w:val="21"/>
                <w:szCs w:val="21"/>
                <w14:textFill>
                  <w14:solidFill>
                    <w14:schemeClr w14:val="tx1"/>
                  </w14:solidFill>
                </w14:textFill>
              </w:rPr>
              <w:t>m</w:t>
            </w:r>
          </w:p>
        </w:tc>
        <w:tc>
          <w:tcPr>
            <w:tcW w:w="644" w:type="pct"/>
            <w:tcBorders>
              <w:tl2br w:val="nil"/>
              <w:tr2bl w:val="nil"/>
            </w:tcBorders>
            <w:noWrap w:val="0"/>
            <w:vAlign w:val="center"/>
          </w:tcPr>
          <w:p w14:paraId="385A62B7">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6</w:t>
            </w:r>
            <w:r>
              <w:rPr>
                <w:rFonts w:hint="default" w:ascii="Times New Roman" w:hAnsi="Times New Roman" w:cs="Times New Roman" w:eastAsiaTheme="minorEastAsia"/>
                <w:color w:val="000000" w:themeColor="text1"/>
                <w:kern w:val="0"/>
                <w:sz w:val="21"/>
                <w:szCs w:val="21"/>
                <w14:textFill>
                  <w14:solidFill>
                    <w14:schemeClr w14:val="tx1"/>
                  </w14:solidFill>
                </w14:textFill>
              </w:rPr>
              <w:t>.5m</w:t>
            </w:r>
          </w:p>
        </w:tc>
        <w:tc>
          <w:tcPr>
            <w:tcW w:w="649" w:type="pct"/>
            <w:tcBorders>
              <w:tl2br w:val="nil"/>
              <w:tr2bl w:val="nil"/>
            </w:tcBorders>
            <w:noWrap w:val="0"/>
            <w:vAlign w:val="center"/>
          </w:tcPr>
          <w:p w14:paraId="0959F14D">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7</w:t>
            </w:r>
            <w:r>
              <w:rPr>
                <w:rFonts w:hint="default" w:ascii="Times New Roman" w:hAnsi="Times New Roman" w:cs="Times New Roman" w:eastAsiaTheme="minorEastAsia"/>
                <w:color w:val="000000" w:themeColor="text1"/>
                <w:kern w:val="0"/>
                <w:sz w:val="21"/>
                <w:szCs w:val="21"/>
                <w14:textFill>
                  <w14:solidFill>
                    <w14:schemeClr w14:val="tx1"/>
                  </w14:solidFill>
                </w14:textFill>
              </w:rPr>
              <w:t>.5m</w:t>
            </w:r>
          </w:p>
        </w:tc>
        <w:tc>
          <w:tcPr>
            <w:tcW w:w="731" w:type="pct"/>
            <w:tcBorders>
              <w:tl2br w:val="nil"/>
              <w:tr2bl w:val="nil"/>
            </w:tcBorders>
            <w:noWrap w:val="0"/>
            <w:vAlign w:val="center"/>
          </w:tcPr>
          <w:p w14:paraId="0993F783">
            <w:pPr>
              <w:keepNext w:val="0"/>
              <w:keepLines w:val="0"/>
              <w:pageBreakBefore w:val="0"/>
              <w:widowControl/>
              <w:kinsoku/>
              <w:wordWrap/>
              <w:overflowPunct/>
              <w:topLinePunct w:val="0"/>
              <w:autoSpaceDE/>
              <w:autoSpaceDN/>
              <w:bidi w:val="0"/>
              <w:adjustRightInd/>
              <w:snapToGrid/>
              <w:spacing w:line="0" w:lineRule="atLeast"/>
              <w:ind w:left="-120" w:leftChars="-50" w:right="-120" w:rightChars="-50"/>
              <w:jc w:val="center"/>
              <w:textAlignment w:val="auto"/>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对地</w:t>
            </w:r>
            <w:r>
              <w:rPr>
                <w:rFonts w:hint="eastAsia" w:cs="Times New Roman" w:eastAsiaTheme="minorEastAsia"/>
                <w:color w:val="000000" w:themeColor="text1"/>
                <w:kern w:val="0"/>
                <w:sz w:val="21"/>
                <w:szCs w:val="21"/>
                <w:lang w:val="en-US" w:eastAsia="zh-CN"/>
                <w14:textFill>
                  <w14:solidFill>
                    <w14:schemeClr w14:val="tx1"/>
                  </w14:solidFill>
                </w14:textFill>
              </w:rPr>
              <w:t>11.2</w:t>
            </w:r>
            <w:r>
              <w:rPr>
                <w:rFonts w:hint="default" w:ascii="Times New Roman" w:hAnsi="Times New Roman" w:cs="Times New Roman" w:eastAsiaTheme="minorEastAsia"/>
                <w:color w:val="000000" w:themeColor="text1"/>
                <w:kern w:val="0"/>
                <w:sz w:val="21"/>
                <w:szCs w:val="21"/>
                <w14:textFill>
                  <w14:solidFill>
                    <w14:schemeClr w14:val="tx1"/>
                  </w14:solidFill>
                </w14:textFill>
              </w:rPr>
              <w:t>m</w:t>
            </w:r>
          </w:p>
        </w:tc>
      </w:tr>
      <w:tr w14:paraId="775221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21" w:type="pct"/>
            <w:tcBorders>
              <w:tl2br w:val="nil"/>
              <w:tr2bl w:val="nil"/>
            </w:tcBorders>
            <w:shd w:val="clear" w:color="auto" w:fill="auto"/>
            <w:noWrap w:val="0"/>
            <w:vAlign w:val="bottom"/>
          </w:tcPr>
          <w:p w14:paraId="51B6BCF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-49.0000</w:t>
            </w:r>
          </w:p>
        </w:tc>
        <w:tc>
          <w:tcPr>
            <w:tcW w:w="667" w:type="pct"/>
            <w:tcBorders>
              <w:tl2br w:val="nil"/>
              <w:tr2bl w:val="nil"/>
            </w:tcBorders>
            <w:shd w:val="clear" w:color="auto" w:fill="auto"/>
            <w:noWrap w:val="0"/>
            <w:vAlign w:val="bottom"/>
          </w:tcPr>
          <w:p w14:paraId="373FFE0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0.1230</w:t>
            </w:r>
          </w:p>
        </w:tc>
        <w:tc>
          <w:tcPr>
            <w:tcW w:w="743" w:type="pct"/>
            <w:tcBorders>
              <w:tl2br w:val="nil"/>
              <w:tr2bl w:val="nil"/>
            </w:tcBorders>
            <w:shd w:val="clear" w:color="auto" w:fill="auto"/>
            <w:noWrap w:val="0"/>
            <w:vAlign w:val="bottom"/>
          </w:tcPr>
          <w:p w14:paraId="2ADE18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0.1373</w:t>
            </w:r>
          </w:p>
        </w:tc>
        <w:tc>
          <w:tcPr>
            <w:tcW w:w="642" w:type="pct"/>
            <w:tcBorders>
              <w:tl2br w:val="nil"/>
              <w:tr2bl w:val="nil"/>
            </w:tcBorders>
            <w:shd w:val="clear" w:color="auto" w:fill="auto"/>
            <w:noWrap w:val="0"/>
            <w:vAlign w:val="bottom"/>
          </w:tcPr>
          <w:p w14:paraId="7FDC05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0.1862</w:t>
            </w:r>
          </w:p>
        </w:tc>
        <w:tc>
          <w:tcPr>
            <w:tcW w:w="644" w:type="pct"/>
            <w:tcBorders>
              <w:tl2br w:val="nil"/>
              <w:tr2bl w:val="nil"/>
            </w:tcBorders>
            <w:shd w:val="clear" w:color="auto" w:fill="auto"/>
            <w:noWrap w:val="0"/>
            <w:vAlign w:val="bottom"/>
          </w:tcPr>
          <w:p w14:paraId="5AB11F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2.5785</w:t>
            </w:r>
          </w:p>
        </w:tc>
        <w:tc>
          <w:tcPr>
            <w:tcW w:w="649" w:type="pct"/>
            <w:tcBorders>
              <w:tl2br w:val="nil"/>
              <w:tr2bl w:val="nil"/>
            </w:tcBorders>
            <w:shd w:val="clear" w:color="auto" w:fill="auto"/>
            <w:noWrap w:val="0"/>
            <w:vAlign w:val="bottom"/>
          </w:tcPr>
          <w:p w14:paraId="408262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2.5651</w:t>
            </w:r>
          </w:p>
        </w:tc>
        <w:tc>
          <w:tcPr>
            <w:tcW w:w="731" w:type="pct"/>
            <w:tcBorders>
              <w:tl2br w:val="nil"/>
              <w:tr2bl w:val="nil"/>
            </w:tcBorders>
            <w:shd w:val="clear" w:color="auto" w:fill="auto"/>
            <w:noWrap w:val="0"/>
            <w:vAlign w:val="bottom"/>
          </w:tcPr>
          <w:p w14:paraId="7943E05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2.4975</w:t>
            </w:r>
          </w:p>
        </w:tc>
      </w:tr>
      <w:tr w14:paraId="23ED79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763BD96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-48.0000</w:t>
            </w:r>
          </w:p>
        </w:tc>
        <w:tc>
          <w:tcPr>
            <w:tcW w:w="667" w:type="pct"/>
            <w:tcBorders>
              <w:tl2br w:val="nil"/>
              <w:tr2bl w:val="nil"/>
            </w:tcBorders>
            <w:shd w:val="clear" w:color="auto" w:fill="auto"/>
            <w:noWrap w:val="0"/>
            <w:vAlign w:val="bottom"/>
          </w:tcPr>
          <w:p w14:paraId="377F822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0.1310</w:t>
            </w:r>
          </w:p>
        </w:tc>
        <w:tc>
          <w:tcPr>
            <w:tcW w:w="743" w:type="pct"/>
            <w:tcBorders>
              <w:tl2br w:val="nil"/>
              <w:tr2bl w:val="nil"/>
            </w:tcBorders>
            <w:shd w:val="clear" w:color="auto" w:fill="auto"/>
            <w:noWrap w:val="0"/>
            <w:vAlign w:val="bottom"/>
          </w:tcPr>
          <w:p w14:paraId="28D492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0.1462</w:t>
            </w:r>
          </w:p>
        </w:tc>
        <w:tc>
          <w:tcPr>
            <w:tcW w:w="642" w:type="pct"/>
            <w:tcBorders>
              <w:tl2br w:val="nil"/>
              <w:tr2bl w:val="nil"/>
            </w:tcBorders>
            <w:shd w:val="clear" w:color="auto" w:fill="auto"/>
            <w:noWrap w:val="0"/>
            <w:vAlign w:val="bottom"/>
          </w:tcPr>
          <w:p w14:paraId="4F4578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0.1978</w:t>
            </w:r>
          </w:p>
        </w:tc>
        <w:tc>
          <w:tcPr>
            <w:tcW w:w="644" w:type="pct"/>
            <w:tcBorders>
              <w:tl2br w:val="nil"/>
              <w:tr2bl w:val="nil"/>
            </w:tcBorders>
            <w:shd w:val="clear" w:color="auto" w:fill="auto"/>
            <w:noWrap w:val="0"/>
            <w:vAlign w:val="bottom"/>
          </w:tcPr>
          <w:p w14:paraId="5D54820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2.6899</w:t>
            </w:r>
          </w:p>
        </w:tc>
        <w:tc>
          <w:tcPr>
            <w:tcW w:w="649" w:type="pct"/>
            <w:tcBorders>
              <w:tl2br w:val="nil"/>
              <w:tr2bl w:val="nil"/>
            </w:tcBorders>
            <w:shd w:val="clear" w:color="auto" w:fill="auto"/>
            <w:noWrap w:val="0"/>
            <w:vAlign w:val="bottom"/>
          </w:tcPr>
          <w:p w14:paraId="34E5FE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2.6752</w:t>
            </w:r>
          </w:p>
        </w:tc>
        <w:tc>
          <w:tcPr>
            <w:tcW w:w="731" w:type="pct"/>
            <w:tcBorders>
              <w:tl2br w:val="nil"/>
              <w:tr2bl w:val="nil"/>
            </w:tcBorders>
            <w:shd w:val="clear" w:color="auto" w:fill="auto"/>
            <w:noWrap w:val="0"/>
            <w:vAlign w:val="bottom"/>
          </w:tcPr>
          <w:p w14:paraId="3F9750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2.6016</w:t>
            </w:r>
          </w:p>
        </w:tc>
      </w:tr>
      <w:tr w14:paraId="44966B5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3C19AD1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-47.0000</w:t>
            </w:r>
          </w:p>
        </w:tc>
        <w:tc>
          <w:tcPr>
            <w:tcW w:w="667" w:type="pct"/>
            <w:tcBorders>
              <w:tl2br w:val="nil"/>
              <w:tr2bl w:val="nil"/>
            </w:tcBorders>
            <w:shd w:val="clear" w:color="auto" w:fill="auto"/>
            <w:noWrap w:val="0"/>
            <w:vAlign w:val="bottom"/>
          </w:tcPr>
          <w:p w14:paraId="723EFD8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0.1397</w:t>
            </w:r>
          </w:p>
        </w:tc>
        <w:tc>
          <w:tcPr>
            <w:tcW w:w="743" w:type="pct"/>
            <w:tcBorders>
              <w:tl2br w:val="nil"/>
              <w:tr2bl w:val="nil"/>
            </w:tcBorders>
            <w:shd w:val="clear" w:color="auto" w:fill="auto"/>
            <w:noWrap w:val="0"/>
            <w:vAlign w:val="bottom"/>
          </w:tcPr>
          <w:p w14:paraId="79D24FC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0.1558</w:t>
            </w:r>
          </w:p>
        </w:tc>
        <w:tc>
          <w:tcPr>
            <w:tcW w:w="642" w:type="pct"/>
            <w:tcBorders>
              <w:tl2br w:val="nil"/>
              <w:tr2bl w:val="nil"/>
            </w:tcBorders>
            <w:shd w:val="clear" w:color="auto" w:fill="auto"/>
            <w:noWrap w:val="0"/>
            <w:vAlign w:val="bottom"/>
          </w:tcPr>
          <w:p w14:paraId="587F45C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0.2104</w:t>
            </w:r>
          </w:p>
        </w:tc>
        <w:tc>
          <w:tcPr>
            <w:tcW w:w="644" w:type="pct"/>
            <w:tcBorders>
              <w:tl2br w:val="nil"/>
              <w:tr2bl w:val="nil"/>
            </w:tcBorders>
            <w:shd w:val="clear" w:color="auto" w:fill="auto"/>
            <w:noWrap w:val="0"/>
            <w:vAlign w:val="bottom"/>
          </w:tcPr>
          <w:p w14:paraId="7988987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2.8087</w:t>
            </w:r>
          </w:p>
        </w:tc>
        <w:tc>
          <w:tcPr>
            <w:tcW w:w="649" w:type="pct"/>
            <w:tcBorders>
              <w:tl2br w:val="nil"/>
              <w:tr2bl w:val="nil"/>
            </w:tcBorders>
            <w:shd w:val="clear" w:color="auto" w:fill="auto"/>
            <w:noWrap w:val="0"/>
            <w:vAlign w:val="bottom"/>
          </w:tcPr>
          <w:p w14:paraId="09A8CDF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2.7927</w:t>
            </w:r>
          </w:p>
        </w:tc>
        <w:tc>
          <w:tcPr>
            <w:tcW w:w="731" w:type="pct"/>
            <w:tcBorders>
              <w:tl2br w:val="nil"/>
              <w:tr2bl w:val="nil"/>
            </w:tcBorders>
            <w:shd w:val="clear" w:color="auto" w:fill="auto"/>
            <w:noWrap w:val="0"/>
            <w:vAlign w:val="bottom"/>
          </w:tcPr>
          <w:p w14:paraId="2425DA7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2.7124</w:t>
            </w:r>
          </w:p>
        </w:tc>
      </w:tr>
      <w:tr w14:paraId="2D666A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270CE07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-46.0000</w:t>
            </w:r>
          </w:p>
        </w:tc>
        <w:tc>
          <w:tcPr>
            <w:tcW w:w="667" w:type="pct"/>
            <w:tcBorders>
              <w:tl2br w:val="nil"/>
              <w:tr2bl w:val="nil"/>
            </w:tcBorders>
            <w:shd w:val="clear" w:color="auto" w:fill="auto"/>
            <w:noWrap w:val="0"/>
            <w:vAlign w:val="bottom"/>
          </w:tcPr>
          <w:p w14:paraId="5F89C86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0.1492</w:t>
            </w:r>
          </w:p>
        </w:tc>
        <w:tc>
          <w:tcPr>
            <w:tcW w:w="743" w:type="pct"/>
            <w:tcBorders>
              <w:tl2br w:val="nil"/>
              <w:tr2bl w:val="nil"/>
            </w:tcBorders>
            <w:shd w:val="clear" w:color="auto" w:fill="auto"/>
            <w:noWrap w:val="0"/>
            <w:vAlign w:val="bottom"/>
          </w:tcPr>
          <w:p w14:paraId="6756F89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0.1664</w:t>
            </w:r>
          </w:p>
        </w:tc>
        <w:tc>
          <w:tcPr>
            <w:tcW w:w="642" w:type="pct"/>
            <w:tcBorders>
              <w:tl2br w:val="nil"/>
              <w:tr2bl w:val="nil"/>
            </w:tcBorders>
            <w:shd w:val="clear" w:color="auto" w:fill="auto"/>
            <w:noWrap w:val="0"/>
            <w:vAlign w:val="bottom"/>
          </w:tcPr>
          <w:p w14:paraId="294F62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0.2240</w:t>
            </w:r>
          </w:p>
        </w:tc>
        <w:tc>
          <w:tcPr>
            <w:tcW w:w="644" w:type="pct"/>
            <w:tcBorders>
              <w:tl2br w:val="nil"/>
              <w:tr2bl w:val="nil"/>
            </w:tcBorders>
            <w:shd w:val="clear" w:color="auto" w:fill="auto"/>
            <w:noWrap w:val="0"/>
            <w:vAlign w:val="bottom"/>
          </w:tcPr>
          <w:p w14:paraId="7F7D8C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2.9356</w:t>
            </w:r>
          </w:p>
        </w:tc>
        <w:tc>
          <w:tcPr>
            <w:tcW w:w="649" w:type="pct"/>
            <w:tcBorders>
              <w:tl2br w:val="nil"/>
              <w:tr2bl w:val="nil"/>
            </w:tcBorders>
            <w:shd w:val="clear" w:color="auto" w:fill="auto"/>
            <w:noWrap w:val="0"/>
            <w:vAlign w:val="bottom"/>
          </w:tcPr>
          <w:p w14:paraId="58C2B84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2.9181</w:t>
            </w:r>
          </w:p>
        </w:tc>
        <w:tc>
          <w:tcPr>
            <w:tcW w:w="731" w:type="pct"/>
            <w:tcBorders>
              <w:tl2br w:val="nil"/>
              <w:tr2bl w:val="nil"/>
            </w:tcBorders>
            <w:shd w:val="clear" w:color="auto" w:fill="auto"/>
            <w:noWrap w:val="0"/>
            <w:vAlign w:val="bottom"/>
          </w:tcPr>
          <w:p w14:paraId="25429D1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2.8303</w:t>
            </w:r>
          </w:p>
        </w:tc>
      </w:tr>
      <w:tr w14:paraId="11D892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46406CD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-45.0000</w:t>
            </w:r>
          </w:p>
        </w:tc>
        <w:tc>
          <w:tcPr>
            <w:tcW w:w="667" w:type="pct"/>
            <w:tcBorders>
              <w:tl2br w:val="nil"/>
              <w:tr2bl w:val="nil"/>
            </w:tcBorders>
            <w:shd w:val="clear" w:color="auto" w:fill="auto"/>
            <w:noWrap w:val="0"/>
            <w:vAlign w:val="bottom"/>
          </w:tcPr>
          <w:p w14:paraId="7B21772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0.1596</w:t>
            </w:r>
          </w:p>
        </w:tc>
        <w:tc>
          <w:tcPr>
            <w:tcW w:w="743" w:type="pct"/>
            <w:tcBorders>
              <w:tl2br w:val="nil"/>
              <w:tr2bl w:val="nil"/>
            </w:tcBorders>
            <w:shd w:val="clear" w:color="auto" w:fill="auto"/>
            <w:noWrap w:val="0"/>
            <w:vAlign w:val="bottom"/>
          </w:tcPr>
          <w:p w14:paraId="455827B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0.1779</w:t>
            </w:r>
          </w:p>
        </w:tc>
        <w:tc>
          <w:tcPr>
            <w:tcW w:w="642" w:type="pct"/>
            <w:tcBorders>
              <w:tl2br w:val="nil"/>
              <w:tr2bl w:val="nil"/>
            </w:tcBorders>
            <w:shd w:val="clear" w:color="auto" w:fill="auto"/>
            <w:noWrap w:val="0"/>
            <w:vAlign w:val="bottom"/>
          </w:tcPr>
          <w:p w14:paraId="14EBA80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0.2388</w:t>
            </w:r>
          </w:p>
        </w:tc>
        <w:tc>
          <w:tcPr>
            <w:tcW w:w="644" w:type="pct"/>
            <w:tcBorders>
              <w:tl2br w:val="nil"/>
              <w:tr2bl w:val="nil"/>
            </w:tcBorders>
            <w:shd w:val="clear" w:color="auto" w:fill="auto"/>
            <w:noWrap w:val="0"/>
            <w:vAlign w:val="bottom"/>
          </w:tcPr>
          <w:p w14:paraId="02F6E65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3.0714</w:t>
            </w:r>
          </w:p>
        </w:tc>
        <w:tc>
          <w:tcPr>
            <w:tcW w:w="649" w:type="pct"/>
            <w:tcBorders>
              <w:tl2br w:val="nil"/>
              <w:tr2bl w:val="nil"/>
            </w:tcBorders>
            <w:shd w:val="clear" w:color="auto" w:fill="auto"/>
            <w:noWrap w:val="0"/>
            <w:vAlign w:val="bottom"/>
          </w:tcPr>
          <w:p w14:paraId="68E55D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3.0522</w:t>
            </w:r>
          </w:p>
        </w:tc>
        <w:tc>
          <w:tcPr>
            <w:tcW w:w="731" w:type="pct"/>
            <w:tcBorders>
              <w:tl2br w:val="nil"/>
              <w:tr2bl w:val="nil"/>
            </w:tcBorders>
            <w:shd w:val="clear" w:color="auto" w:fill="auto"/>
            <w:noWrap w:val="0"/>
            <w:vAlign w:val="bottom"/>
          </w:tcPr>
          <w:p w14:paraId="185025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2.9560</w:t>
            </w:r>
          </w:p>
        </w:tc>
      </w:tr>
      <w:tr w14:paraId="7E7D52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752899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-44.0000</w:t>
            </w:r>
          </w:p>
        </w:tc>
        <w:tc>
          <w:tcPr>
            <w:tcW w:w="667" w:type="pct"/>
            <w:tcBorders>
              <w:tl2br w:val="nil"/>
              <w:tr2bl w:val="nil"/>
            </w:tcBorders>
            <w:shd w:val="clear" w:color="auto" w:fill="auto"/>
            <w:noWrap w:val="0"/>
            <w:vAlign w:val="bottom"/>
          </w:tcPr>
          <w:p w14:paraId="7D2259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0.1710</w:t>
            </w:r>
          </w:p>
        </w:tc>
        <w:tc>
          <w:tcPr>
            <w:tcW w:w="743" w:type="pct"/>
            <w:tcBorders>
              <w:tl2br w:val="nil"/>
              <w:tr2bl w:val="nil"/>
            </w:tcBorders>
            <w:shd w:val="clear" w:color="auto" w:fill="auto"/>
            <w:noWrap w:val="0"/>
            <w:vAlign w:val="bottom"/>
          </w:tcPr>
          <w:p w14:paraId="1416500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0.1906</w:t>
            </w:r>
          </w:p>
        </w:tc>
        <w:tc>
          <w:tcPr>
            <w:tcW w:w="642" w:type="pct"/>
            <w:tcBorders>
              <w:tl2br w:val="nil"/>
              <w:tr2bl w:val="nil"/>
            </w:tcBorders>
            <w:shd w:val="clear" w:color="auto" w:fill="auto"/>
            <w:noWrap w:val="0"/>
            <w:vAlign w:val="bottom"/>
          </w:tcPr>
          <w:p w14:paraId="5918F1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0.2549</w:t>
            </w:r>
          </w:p>
        </w:tc>
        <w:tc>
          <w:tcPr>
            <w:tcW w:w="644" w:type="pct"/>
            <w:tcBorders>
              <w:tl2br w:val="nil"/>
              <w:tr2bl w:val="nil"/>
            </w:tcBorders>
            <w:shd w:val="clear" w:color="auto" w:fill="auto"/>
            <w:noWrap w:val="0"/>
            <w:vAlign w:val="bottom"/>
          </w:tcPr>
          <w:p w14:paraId="46B6921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3.2169</w:t>
            </w:r>
          </w:p>
        </w:tc>
        <w:tc>
          <w:tcPr>
            <w:tcW w:w="649" w:type="pct"/>
            <w:tcBorders>
              <w:tl2br w:val="nil"/>
              <w:tr2bl w:val="nil"/>
            </w:tcBorders>
            <w:shd w:val="clear" w:color="auto" w:fill="auto"/>
            <w:noWrap w:val="0"/>
            <w:vAlign w:val="bottom"/>
          </w:tcPr>
          <w:p w14:paraId="710EDE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3.1957</w:t>
            </w:r>
          </w:p>
        </w:tc>
        <w:tc>
          <w:tcPr>
            <w:tcW w:w="731" w:type="pct"/>
            <w:tcBorders>
              <w:tl2br w:val="nil"/>
              <w:tr2bl w:val="nil"/>
            </w:tcBorders>
            <w:shd w:val="clear" w:color="auto" w:fill="auto"/>
            <w:noWrap w:val="0"/>
            <w:vAlign w:val="bottom"/>
          </w:tcPr>
          <w:p w14:paraId="1379830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3.0902</w:t>
            </w:r>
          </w:p>
        </w:tc>
      </w:tr>
      <w:tr w14:paraId="32B6A3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58C7472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-43.0000</w:t>
            </w:r>
          </w:p>
        </w:tc>
        <w:tc>
          <w:tcPr>
            <w:tcW w:w="667" w:type="pct"/>
            <w:tcBorders>
              <w:tl2br w:val="nil"/>
              <w:tr2bl w:val="nil"/>
            </w:tcBorders>
            <w:shd w:val="clear" w:color="auto" w:fill="auto"/>
            <w:noWrap w:val="0"/>
            <w:vAlign w:val="bottom"/>
          </w:tcPr>
          <w:p w14:paraId="1E287BD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0.1835</w:t>
            </w:r>
          </w:p>
        </w:tc>
        <w:tc>
          <w:tcPr>
            <w:tcW w:w="743" w:type="pct"/>
            <w:tcBorders>
              <w:tl2br w:val="nil"/>
              <w:tr2bl w:val="nil"/>
            </w:tcBorders>
            <w:shd w:val="clear" w:color="auto" w:fill="auto"/>
            <w:noWrap w:val="0"/>
            <w:vAlign w:val="bottom"/>
          </w:tcPr>
          <w:p w14:paraId="6D0C40A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0.2044</w:t>
            </w:r>
          </w:p>
        </w:tc>
        <w:tc>
          <w:tcPr>
            <w:tcW w:w="642" w:type="pct"/>
            <w:tcBorders>
              <w:tl2br w:val="nil"/>
              <w:tr2bl w:val="nil"/>
            </w:tcBorders>
            <w:shd w:val="clear" w:color="auto" w:fill="auto"/>
            <w:noWrap w:val="0"/>
            <w:vAlign w:val="bottom"/>
          </w:tcPr>
          <w:p w14:paraId="03FAF66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0.2725</w:t>
            </w:r>
          </w:p>
        </w:tc>
        <w:tc>
          <w:tcPr>
            <w:tcW w:w="644" w:type="pct"/>
            <w:tcBorders>
              <w:tl2br w:val="nil"/>
              <w:tr2bl w:val="nil"/>
            </w:tcBorders>
            <w:shd w:val="clear" w:color="auto" w:fill="auto"/>
            <w:noWrap w:val="0"/>
            <w:vAlign w:val="bottom"/>
          </w:tcPr>
          <w:p w14:paraId="0E2125F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3.3731</w:t>
            </w:r>
          </w:p>
        </w:tc>
        <w:tc>
          <w:tcPr>
            <w:tcW w:w="649" w:type="pct"/>
            <w:tcBorders>
              <w:tl2br w:val="nil"/>
              <w:tr2bl w:val="nil"/>
            </w:tcBorders>
            <w:shd w:val="clear" w:color="auto" w:fill="auto"/>
            <w:noWrap w:val="0"/>
            <w:vAlign w:val="bottom"/>
          </w:tcPr>
          <w:p w14:paraId="72A6411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3.3498</w:t>
            </w:r>
          </w:p>
        </w:tc>
        <w:tc>
          <w:tcPr>
            <w:tcW w:w="731" w:type="pct"/>
            <w:tcBorders>
              <w:tl2br w:val="nil"/>
              <w:tr2bl w:val="nil"/>
            </w:tcBorders>
            <w:shd w:val="clear" w:color="auto" w:fill="auto"/>
            <w:noWrap w:val="0"/>
            <w:vAlign w:val="bottom"/>
          </w:tcPr>
          <w:p w14:paraId="11A10C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3.2336</w:t>
            </w:r>
          </w:p>
        </w:tc>
      </w:tr>
      <w:tr w14:paraId="3FF627A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72459F0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-42.0000</w:t>
            </w:r>
          </w:p>
        </w:tc>
        <w:tc>
          <w:tcPr>
            <w:tcW w:w="667" w:type="pct"/>
            <w:tcBorders>
              <w:tl2br w:val="nil"/>
              <w:tr2bl w:val="nil"/>
            </w:tcBorders>
            <w:shd w:val="clear" w:color="auto" w:fill="auto"/>
            <w:noWrap w:val="0"/>
            <w:vAlign w:val="bottom"/>
          </w:tcPr>
          <w:p w14:paraId="4C51A8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0.1974</w:t>
            </w:r>
          </w:p>
        </w:tc>
        <w:tc>
          <w:tcPr>
            <w:tcW w:w="743" w:type="pct"/>
            <w:tcBorders>
              <w:tl2br w:val="nil"/>
              <w:tr2bl w:val="nil"/>
            </w:tcBorders>
            <w:shd w:val="clear" w:color="auto" w:fill="auto"/>
            <w:noWrap w:val="0"/>
            <w:vAlign w:val="bottom"/>
          </w:tcPr>
          <w:p w14:paraId="42F2A97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0.2197</w:t>
            </w:r>
          </w:p>
        </w:tc>
        <w:tc>
          <w:tcPr>
            <w:tcW w:w="642" w:type="pct"/>
            <w:tcBorders>
              <w:tl2br w:val="nil"/>
              <w:tr2bl w:val="nil"/>
            </w:tcBorders>
            <w:shd w:val="clear" w:color="auto" w:fill="auto"/>
            <w:noWrap w:val="0"/>
            <w:vAlign w:val="bottom"/>
          </w:tcPr>
          <w:p w14:paraId="1F1D70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0.2917</w:t>
            </w:r>
          </w:p>
        </w:tc>
        <w:tc>
          <w:tcPr>
            <w:tcW w:w="644" w:type="pct"/>
            <w:tcBorders>
              <w:tl2br w:val="nil"/>
              <w:tr2bl w:val="nil"/>
            </w:tcBorders>
            <w:shd w:val="clear" w:color="auto" w:fill="auto"/>
            <w:noWrap w:val="0"/>
            <w:vAlign w:val="bottom"/>
          </w:tcPr>
          <w:p w14:paraId="335A96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3.5410</w:t>
            </w:r>
          </w:p>
        </w:tc>
        <w:tc>
          <w:tcPr>
            <w:tcW w:w="649" w:type="pct"/>
            <w:tcBorders>
              <w:tl2br w:val="nil"/>
              <w:tr2bl w:val="nil"/>
            </w:tcBorders>
            <w:shd w:val="clear" w:color="auto" w:fill="auto"/>
            <w:noWrap w:val="0"/>
            <w:vAlign w:val="bottom"/>
          </w:tcPr>
          <w:p w14:paraId="58D3CAF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3.5153</w:t>
            </w:r>
          </w:p>
        </w:tc>
        <w:tc>
          <w:tcPr>
            <w:tcW w:w="731" w:type="pct"/>
            <w:tcBorders>
              <w:tl2br w:val="nil"/>
              <w:tr2bl w:val="nil"/>
            </w:tcBorders>
            <w:shd w:val="clear" w:color="auto" w:fill="auto"/>
            <w:noWrap w:val="0"/>
            <w:vAlign w:val="bottom"/>
          </w:tcPr>
          <w:p w14:paraId="788C537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3.3872</w:t>
            </w:r>
          </w:p>
        </w:tc>
      </w:tr>
      <w:tr w14:paraId="1C4C8B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2DA564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-41.0000</w:t>
            </w:r>
          </w:p>
        </w:tc>
        <w:tc>
          <w:tcPr>
            <w:tcW w:w="667" w:type="pct"/>
            <w:tcBorders>
              <w:tl2br w:val="nil"/>
              <w:tr2bl w:val="nil"/>
            </w:tcBorders>
            <w:shd w:val="clear" w:color="auto" w:fill="auto"/>
            <w:noWrap w:val="0"/>
            <w:vAlign w:val="bottom"/>
          </w:tcPr>
          <w:p w14:paraId="6348CA0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0.2126</w:t>
            </w:r>
          </w:p>
        </w:tc>
        <w:tc>
          <w:tcPr>
            <w:tcW w:w="743" w:type="pct"/>
            <w:tcBorders>
              <w:tl2br w:val="nil"/>
              <w:tr2bl w:val="nil"/>
            </w:tcBorders>
            <w:shd w:val="clear" w:color="auto" w:fill="auto"/>
            <w:noWrap w:val="0"/>
            <w:vAlign w:val="bottom"/>
          </w:tcPr>
          <w:p w14:paraId="5062AD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0.2365</w:t>
            </w:r>
          </w:p>
        </w:tc>
        <w:tc>
          <w:tcPr>
            <w:tcW w:w="642" w:type="pct"/>
            <w:tcBorders>
              <w:tl2br w:val="nil"/>
              <w:tr2bl w:val="nil"/>
            </w:tcBorders>
            <w:shd w:val="clear" w:color="auto" w:fill="auto"/>
            <w:noWrap w:val="0"/>
            <w:vAlign w:val="bottom"/>
          </w:tcPr>
          <w:p w14:paraId="4FC2189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0.3128</w:t>
            </w:r>
          </w:p>
        </w:tc>
        <w:tc>
          <w:tcPr>
            <w:tcW w:w="644" w:type="pct"/>
            <w:tcBorders>
              <w:tl2br w:val="nil"/>
              <w:tr2bl w:val="nil"/>
            </w:tcBorders>
            <w:shd w:val="clear" w:color="auto" w:fill="auto"/>
            <w:noWrap w:val="0"/>
            <w:vAlign w:val="bottom"/>
          </w:tcPr>
          <w:p w14:paraId="4661B4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3.7220</w:t>
            </w:r>
          </w:p>
        </w:tc>
        <w:tc>
          <w:tcPr>
            <w:tcW w:w="649" w:type="pct"/>
            <w:tcBorders>
              <w:tl2br w:val="nil"/>
              <w:tr2bl w:val="nil"/>
            </w:tcBorders>
            <w:shd w:val="clear" w:color="auto" w:fill="auto"/>
            <w:noWrap w:val="0"/>
            <w:vAlign w:val="bottom"/>
          </w:tcPr>
          <w:p w14:paraId="478685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3.6934</w:t>
            </w:r>
          </w:p>
        </w:tc>
        <w:tc>
          <w:tcPr>
            <w:tcW w:w="731" w:type="pct"/>
            <w:tcBorders>
              <w:tl2br w:val="nil"/>
              <w:tr2bl w:val="nil"/>
            </w:tcBorders>
            <w:shd w:val="clear" w:color="auto" w:fill="auto"/>
            <w:noWrap w:val="0"/>
            <w:vAlign w:val="bottom"/>
          </w:tcPr>
          <w:p w14:paraId="4E8EE9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3.5518</w:t>
            </w:r>
          </w:p>
        </w:tc>
      </w:tr>
      <w:tr w14:paraId="1ADC7A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3F979A1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-40.0000</w:t>
            </w:r>
          </w:p>
        </w:tc>
        <w:tc>
          <w:tcPr>
            <w:tcW w:w="667" w:type="pct"/>
            <w:tcBorders>
              <w:tl2br w:val="nil"/>
              <w:tr2bl w:val="nil"/>
            </w:tcBorders>
            <w:shd w:val="clear" w:color="auto" w:fill="auto"/>
            <w:noWrap w:val="0"/>
            <w:vAlign w:val="bottom"/>
          </w:tcPr>
          <w:p w14:paraId="437367F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0.2295</w:t>
            </w:r>
          </w:p>
        </w:tc>
        <w:tc>
          <w:tcPr>
            <w:tcW w:w="743" w:type="pct"/>
            <w:tcBorders>
              <w:tl2br w:val="nil"/>
              <w:tr2bl w:val="nil"/>
            </w:tcBorders>
            <w:shd w:val="clear" w:color="auto" w:fill="auto"/>
            <w:noWrap w:val="0"/>
            <w:vAlign w:val="bottom"/>
          </w:tcPr>
          <w:p w14:paraId="2552E3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0.2551</w:t>
            </w:r>
          </w:p>
        </w:tc>
        <w:tc>
          <w:tcPr>
            <w:tcW w:w="642" w:type="pct"/>
            <w:tcBorders>
              <w:tl2br w:val="nil"/>
              <w:tr2bl w:val="nil"/>
            </w:tcBorders>
            <w:shd w:val="clear" w:color="auto" w:fill="auto"/>
            <w:noWrap w:val="0"/>
            <w:vAlign w:val="bottom"/>
          </w:tcPr>
          <w:p w14:paraId="1AD932A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0.3358</w:t>
            </w:r>
          </w:p>
        </w:tc>
        <w:tc>
          <w:tcPr>
            <w:tcW w:w="644" w:type="pct"/>
            <w:tcBorders>
              <w:tl2br w:val="nil"/>
              <w:tr2bl w:val="nil"/>
            </w:tcBorders>
            <w:shd w:val="clear" w:color="auto" w:fill="auto"/>
            <w:noWrap w:val="0"/>
            <w:vAlign w:val="bottom"/>
          </w:tcPr>
          <w:p w14:paraId="644A9A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3.9173</w:t>
            </w:r>
          </w:p>
        </w:tc>
        <w:tc>
          <w:tcPr>
            <w:tcW w:w="649" w:type="pct"/>
            <w:tcBorders>
              <w:tl2br w:val="nil"/>
              <w:tr2bl w:val="nil"/>
            </w:tcBorders>
            <w:shd w:val="clear" w:color="auto" w:fill="auto"/>
            <w:noWrap w:val="0"/>
            <w:vAlign w:val="bottom"/>
          </w:tcPr>
          <w:p w14:paraId="5FE37F2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3.8855</w:t>
            </w:r>
          </w:p>
        </w:tc>
        <w:tc>
          <w:tcPr>
            <w:tcW w:w="731" w:type="pct"/>
            <w:tcBorders>
              <w:tl2br w:val="nil"/>
              <w:tr2bl w:val="nil"/>
            </w:tcBorders>
            <w:shd w:val="clear" w:color="auto" w:fill="auto"/>
            <w:noWrap w:val="0"/>
            <w:vAlign w:val="bottom"/>
          </w:tcPr>
          <w:p w14:paraId="08C1F81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3.7286</w:t>
            </w:r>
          </w:p>
        </w:tc>
      </w:tr>
      <w:tr w14:paraId="32EC261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571A202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-39.0000</w:t>
            </w:r>
          </w:p>
        </w:tc>
        <w:tc>
          <w:tcPr>
            <w:tcW w:w="667" w:type="pct"/>
            <w:tcBorders>
              <w:tl2br w:val="nil"/>
              <w:tr2bl w:val="nil"/>
            </w:tcBorders>
            <w:shd w:val="clear" w:color="auto" w:fill="auto"/>
            <w:noWrap w:val="0"/>
            <w:vAlign w:val="bottom"/>
          </w:tcPr>
          <w:p w14:paraId="442D70D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0.2482</w:t>
            </w:r>
          </w:p>
        </w:tc>
        <w:tc>
          <w:tcPr>
            <w:tcW w:w="743" w:type="pct"/>
            <w:tcBorders>
              <w:tl2br w:val="nil"/>
              <w:tr2bl w:val="nil"/>
            </w:tcBorders>
            <w:shd w:val="clear" w:color="auto" w:fill="auto"/>
            <w:noWrap w:val="0"/>
            <w:vAlign w:val="bottom"/>
          </w:tcPr>
          <w:p w14:paraId="399DF7F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0.2757</w:t>
            </w:r>
          </w:p>
        </w:tc>
        <w:tc>
          <w:tcPr>
            <w:tcW w:w="642" w:type="pct"/>
            <w:tcBorders>
              <w:tl2br w:val="nil"/>
              <w:tr2bl w:val="nil"/>
            </w:tcBorders>
            <w:shd w:val="clear" w:color="auto" w:fill="auto"/>
            <w:noWrap w:val="0"/>
            <w:vAlign w:val="bottom"/>
          </w:tcPr>
          <w:p w14:paraId="1684037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0.3611</w:t>
            </w:r>
          </w:p>
        </w:tc>
        <w:tc>
          <w:tcPr>
            <w:tcW w:w="644" w:type="pct"/>
            <w:tcBorders>
              <w:tl2br w:val="nil"/>
              <w:tr2bl w:val="nil"/>
            </w:tcBorders>
            <w:shd w:val="clear" w:color="auto" w:fill="auto"/>
            <w:noWrap w:val="0"/>
            <w:vAlign w:val="bottom"/>
          </w:tcPr>
          <w:p w14:paraId="57BFB19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4.1285</w:t>
            </w:r>
          </w:p>
        </w:tc>
        <w:tc>
          <w:tcPr>
            <w:tcW w:w="649" w:type="pct"/>
            <w:tcBorders>
              <w:tl2br w:val="nil"/>
              <w:tr2bl w:val="nil"/>
            </w:tcBorders>
            <w:shd w:val="clear" w:color="auto" w:fill="auto"/>
            <w:noWrap w:val="0"/>
            <w:vAlign w:val="bottom"/>
          </w:tcPr>
          <w:p w14:paraId="7C2F9D0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4.0931</w:t>
            </w:r>
          </w:p>
        </w:tc>
        <w:tc>
          <w:tcPr>
            <w:tcW w:w="731" w:type="pct"/>
            <w:tcBorders>
              <w:tl2br w:val="nil"/>
              <w:tr2bl w:val="nil"/>
            </w:tcBorders>
            <w:shd w:val="clear" w:color="auto" w:fill="auto"/>
            <w:noWrap w:val="0"/>
            <w:vAlign w:val="bottom"/>
          </w:tcPr>
          <w:p w14:paraId="49E1685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3.9187</w:t>
            </w:r>
          </w:p>
        </w:tc>
      </w:tr>
      <w:tr w14:paraId="60D13E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5D49CFE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-38.0000</w:t>
            </w:r>
          </w:p>
        </w:tc>
        <w:tc>
          <w:tcPr>
            <w:tcW w:w="667" w:type="pct"/>
            <w:tcBorders>
              <w:tl2br w:val="nil"/>
              <w:tr2bl w:val="nil"/>
            </w:tcBorders>
            <w:shd w:val="clear" w:color="auto" w:fill="auto"/>
            <w:noWrap w:val="0"/>
            <w:vAlign w:val="bottom"/>
          </w:tcPr>
          <w:p w14:paraId="5EACFF2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0.2691</w:t>
            </w:r>
          </w:p>
        </w:tc>
        <w:tc>
          <w:tcPr>
            <w:tcW w:w="743" w:type="pct"/>
            <w:tcBorders>
              <w:tl2br w:val="nil"/>
              <w:tr2bl w:val="nil"/>
            </w:tcBorders>
            <w:shd w:val="clear" w:color="auto" w:fill="auto"/>
            <w:noWrap w:val="0"/>
            <w:vAlign w:val="bottom"/>
          </w:tcPr>
          <w:p w14:paraId="556DBF1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0.2985</w:t>
            </w:r>
          </w:p>
        </w:tc>
        <w:tc>
          <w:tcPr>
            <w:tcW w:w="642" w:type="pct"/>
            <w:tcBorders>
              <w:tl2br w:val="nil"/>
              <w:tr2bl w:val="nil"/>
            </w:tcBorders>
            <w:shd w:val="clear" w:color="auto" w:fill="auto"/>
            <w:noWrap w:val="0"/>
            <w:vAlign w:val="bottom"/>
          </w:tcPr>
          <w:p w14:paraId="7745D38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0.3890</w:t>
            </w:r>
          </w:p>
        </w:tc>
        <w:tc>
          <w:tcPr>
            <w:tcW w:w="644" w:type="pct"/>
            <w:tcBorders>
              <w:tl2br w:val="nil"/>
              <w:tr2bl w:val="nil"/>
            </w:tcBorders>
            <w:shd w:val="clear" w:color="auto" w:fill="auto"/>
            <w:noWrap w:val="0"/>
            <w:vAlign w:val="bottom"/>
          </w:tcPr>
          <w:p w14:paraId="49588B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4.3575</w:t>
            </w:r>
          </w:p>
        </w:tc>
        <w:tc>
          <w:tcPr>
            <w:tcW w:w="649" w:type="pct"/>
            <w:tcBorders>
              <w:tl2br w:val="nil"/>
              <w:tr2bl w:val="nil"/>
            </w:tcBorders>
            <w:shd w:val="clear" w:color="auto" w:fill="auto"/>
            <w:noWrap w:val="0"/>
            <w:vAlign w:val="bottom"/>
          </w:tcPr>
          <w:p w14:paraId="68E0C17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4.3179</w:t>
            </w:r>
          </w:p>
        </w:tc>
        <w:tc>
          <w:tcPr>
            <w:tcW w:w="731" w:type="pct"/>
            <w:tcBorders>
              <w:tl2br w:val="nil"/>
              <w:tr2bl w:val="nil"/>
            </w:tcBorders>
            <w:shd w:val="clear" w:color="auto" w:fill="auto"/>
            <w:noWrap w:val="0"/>
            <w:vAlign w:val="bottom"/>
          </w:tcPr>
          <w:p w14:paraId="692E7C4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4.1234</w:t>
            </w:r>
          </w:p>
        </w:tc>
      </w:tr>
      <w:tr w14:paraId="4639AA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293E86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-37.0000</w:t>
            </w:r>
          </w:p>
        </w:tc>
        <w:tc>
          <w:tcPr>
            <w:tcW w:w="667" w:type="pct"/>
            <w:tcBorders>
              <w:tl2br w:val="nil"/>
              <w:tr2bl w:val="nil"/>
            </w:tcBorders>
            <w:shd w:val="clear" w:color="auto" w:fill="auto"/>
            <w:noWrap w:val="0"/>
            <w:vAlign w:val="bottom"/>
          </w:tcPr>
          <w:p w14:paraId="7F249F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0.2924</w:t>
            </w:r>
          </w:p>
        </w:tc>
        <w:tc>
          <w:tcPr>
            <w:tcW w:w="743" w:type="pct"/>
            <w:tcBorders>
              <w:tl2br w:val="nil"/>
              <w:tr2bl w:val="nil"/>
            </w:tcBorders>
            <w:shd w:val="clear" w:color="auto" w:fill="auto"/>
            <w:noWrap w:val="0"/>
            <w:vAlign w:val="bottom"/>
          </w:tcPr>
          <w:p w14:paraId="7272C5C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0.3240</w:t>
            </w:r>
          </w:p>
        </w:tc>
        <w:tc>
          <w:tcPr>
            <w:tcW w:w="642" w:type="pct"/>
            <w:tcBorders>
              <w:tl2br w:val="nil"/>
              <w:tr2bl w:val="nil"/>
            </w:tcBorders>
            <w:shd w:val="clear" w:color="auto" w:fill="auto"/>
            <w:noWrap w:val="0"/>
            <w:vAlign w:val="bottom"/>
          </w:tcPr>
          <w:p w14:paraId="1EAA7B2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0.4196</w:t>
            </w:r>
          </w:p>
        </w:tc>
        <w:tc>
          <w:tcPr>
            <w:tcW w:w="644" w:type="pct"/>
            <w:tcBorders>
              <w:tl2br w:val="nil"/>
              <w:tr2bl w:val="nil"/>
            </w:tcBorders>
            <w:shd w:val="clear" w:color="auto" w:fill="auto"/>
            <w:noWrap w:val="0"/>
            <w:vAlign w:val="bottom"/>
          </w:tcPr>
          <w:p w14:paraId="289A853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4.6063</w:t>
            </w:r>
          </w:p>
        </w:tc>
        <w:tc>
          <w:tcPr>
            <w:tcW w:w="649" w:type="pct"/>
            <w:tcBorders>
              <w:tl2br w:val="nil"/>
              <w:tr2bl w:val="nil"/>
            </w:tcBorders>
            <w:shd w:val="clear" w:color="auto" w:fill="auto"/>
            <w:noWrap w:val="0"/>
            <w:vAlign w:val="bottom"/>
          </w:tcPr>
          <w:p w14:paraId="2905203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4.5619</w:t>
            </w:r>
          </w:p>
        </w:tc>
        <w:tc>
          <w:tcPr>
            <w:tcW w:w="731" w:type="pct"/>
            <w:tcBorders>
              <w:tl2br w:val="nil"/>
              <w:tr2bl w:val="nil"/>
            </w:tcBorders>
            <w:shd w:val="clear" w:color="auto" w:fill="auto"/>
            <w:noWrap w:val="0"/>
            <w:vAlign w:val="bottom"/>
          </w:tcPr>
          <w:p w14:paraId="1A407B5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4.3444</w:t>
            </w:r>
          </w:p>
        </w:tc>
      </w:tr>
      <w:tr w14:paraId="75F45D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61968F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-36.0000</w:t>
            </w:r>
          </w:p>
        </w:tc>
        <w:tc>
          <w:tcPr>
            <w:tcW w:w="667" w:type="pct"/>
            <w:tcBorders>
              <w:tl2br w:val="nil"/>
              <w:tr2bl w:val="nil"/>
            </w:tcBorders>
            <w:shd w:val="clear" w:color="auto" w:fill="auto"/>
            <w:noWrap w:val="0"/>
            <w:vAlign w:val="bottom"/>
          </w:tcPr>
          <w:p w14:paraId="347274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0.3185</w:t>
            </w:r>
          </w:p>
        </w:tc>
        <w:tc>
          <w:tcPr>
            <w:tcW w:w="743" w:type="pct"/>
            <w:tcBorders>
              <w:tl2br w:val="nil"/>
              <w:tr2bl w:val="nil"/>
            </w:tcBorders>
            <w:shd w:val="clear" w:color="auto" w:fill="auto"/>
            <w:noWrap w:val="0"/>
            <w:vAlign w:val="bottom"/>
          </w:tcPr>
          <w:p w14:paraId="15288B7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0.3524</w:t>
            </w:r>
          </w:p>
        </w:tc>
        <w:tc>
          <w:tcPr>
            <w:tcW w:w="642" w:type="pct"/>
            <w:tcBorders>
              <w:tl2br w:val="nil"/>
              <w:tr2bl w:val="nil"/>
            </w:tcBorders>
            <w:shd w:val="clear" w:color="auto" w:fill="auto"/>
            <w:noWrap w:val="0"/>
            <w:vAlign w:val="bottom"/>
          </w:tcPr>
          <w:p w14:paraId="5E13CB7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0.4535</w:t>
            </w:r>
          </w:p>
        </w:tc>
        <w:tc>
          <w:tcPr>
            <w:tcW w:w="644" w:type="pct"/>
            <w:tcBorders>
              <w:tl2br w:val="nil"/>
              <w:tr2bl w:val="nil"/>
            </w:tcBorders>
            <w:shd w:val="clear" w:color="auto" w:fill="auto"/>
            <w:noWrap w:val="0"/>
            <w:vAlign w:val="bottom"/>
          </w:tcPr>
          <w:p w14:paraId="3563DB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4.8772</w:t>
            </w:r>
          </w:p>
        </w:tc>
        <w:tc>
          <w:tcPr>
            <w:tcW w:w="649" w:type="pct"/>
            <w:tcBorders>
              <w:tl2br w:val="nil"/>
              <w:tr2bl w:val="nil"/>
            </w:tcBorders>
            <w:shd w:val="clear" w:color="auto" w:fill="auto"/>
            <w:noWrap w:val="0"/>
            <w:vAlign w:val="bottom"/>
          </w:tcPr>
          <w:p w14:paraId="0F5488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4.8272</w:t>
            </w:r>
          </w:p>
        </w:tc>
        <w:tc>
          <w:tcPr>
            <w:tcW w:w="731" w:type="pct"/>
            <w:tcBorders>
              <w:tl2br w:val="nil"/>
              <w:tr2bl w:val="nil"/>
            </w:tcBorders>
            <w:shd w:val="clear" w:color="auto" w:fill="auto"/>
            <w:noWrap w:val="0"/>
            <w:vAlign w:val="bottom"/>
          </w:tcPr>
          <w:p w14:paraId="3CB325A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4.5832</w:t>
            </w:r>
          </w:p>
        </w:tc>
      </w:tr>
      <w:tr w14:paraId="017290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10C276F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-35.0000</w:t>
            </w:r>
          </w:p>
        </w:tc>
        <w:tc>
          <w:tcPr>
            <w:tcW w:w="667" w:type="pct"/>
            <w:tcBorders>
              <w:tl2br w:val="nil"/>
              <w:tr2bl w:val="nil"/>
            </w:tcBorders>
            <w:shd w:val="clear" w:color="auto" w:fill="auto"/>
            <w:noWrap w:val="0"/>
            <w:vAlign w:val="bottom"/>
          </w:tcPr>
          <w:p w14:paraId="20DE379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0.3478</w:t>
            </w:r>
          </w:p>
        </w:tc>
        <w:tc>
          <w:tcPr>
            <w:tcW w:w="743" w:type="pct"/>
            <w:tcBorders>
              <w:tl2br w:val="nil"/>
              <w:tr2bl w:val="nil"/>
            </w:tcBorders>
            <w:shd w:val="clear" w:color="auto" w:fill="auto"/>
            <w:noWrap w:val="0"/>
            <w:vAlign w:val="bottom"/>
          </w:tcPr>
          <w:p w14:paraId="5C66733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0.3843</w:t>
            </w:r>
          </w:p>
        </w:tc>
        <w:tc>
          <w:tcPr>
            <w:tcW w:w="642" w:type="pct"/>
            <w:tcBorders>
              <w:tl2br w:val="nil"/>
              <w:tr2bl w:val="nil"/>
            </w:tcBorders>
            <w:shd w:val="clear" w:color="auto" w:fill="auto"/>
            <w:noWrap w:val="0"/>
            <w:vAlign w:val="bottom"/>
          </w:tcPr>
          <w:p w14:paraId="683A97A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0.4910</w:t>
            </w:r>
          </w:p>
        </w:tc>
        <w:tc>
          <w:tcPr>
            <w:tcW w:w="644" w:type="pct"/>
            <w:tcBorders>
              <w:tl2br w:val="nil"/>
              <w:tr2bl w:val="nil"/>
            </w:tcBorders>
            <w:shd w:val="clear" w:color="auto" w:fill="auto"/>
            <w:noWrap w:val="0"/>
            <w:vAlign w:val="bottom"/>
          </w:tcPr>
          <w:p w14:paraId="74216F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5.1731</w:t>
            </w:r>
          </w:p>
        </w:tc>
        <w:tc>
          <w:tcPr>
            <w:tcW w:w="649" w:type="pct"/>
            <w:tcBorders>
              <w:tl2br w:val="nil"/>
              <w:tr2bl w:val="nil"/>
            </w:tcBorders>
            <w:shd w:val="clear" w:color="auto" w:fill="auto"/>
            <w:noWrap w:val="0"/>
            <w:vAlign w:val="bottom"/>
          </w:tcPr>
          <w:p w14:paraId="65772A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5.1165</w:t>
            </w:r>
          </w:p>
        </w:tc>
        <w:tc>
          <w:tcPr>
            <w:tcW w:w="731" w:type="pct"/>
            <w:tcBorders>
              <w:tl2br w:val="nil"/>
              <w:tr2bl w:val="nil"/>
            </w:tcBorders>
            <w:shd w:val="clear" w:color="auto" w:fill="auto"/>
            <w:noWrap w:val="0"/>
            <w:vAlign w:val="bottom"/>
          </w:tcPr>
          <w:p w14:paraId="2C08DE8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4.8419</w:t>
            </w:r>
          </w:p>
        </w:tc>
      </w:tr>
      <w:tr w14:paraId="64D069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537043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-34.0000</w:t>
            </w:r>
          </w:p>
        </w:tc>
        <w:tc>
          <w:tcPr>
            <w:tcW w:w="667" w:type="pct"/>
            <w:tcBorders>
              <w:tl2br w:val="nil"/>
              <w:tr2bl w:val="nil"/>
            </w:tcBorders>
            <w:shd w:val="clear" w:color="auto" w:fill="auto"/>
            <w:noWrap w:val="0"/>
            <w:vAlign w:val="bottom"/>
          </w:tcPr>
          <w:p w14:paraId="7162F4B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0.3808</w:t>
            </w:r>
          </w:p>
        </w:tc>
        <w:tc>
          <w:tcPr>
            <w:tcW w:w="743" w:type="pct"/>
            <w:tcBorders>
              <w:tl2br w:val="nil"/>
              <w:tr2bl w:val="nil"/>
            </w:tcBorders>
            <w:shd w:val="clear" w:color="auto" w:fill="auto"/>
            <w:noWrap w:val="0"/>
            <w:vAlign w:val="bottom"/>
          </w:tcPr>
          <w:p w14:paraId="410BC9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0.4202</w:t>
            </w:r>
          </w:p>
        </w:tc>
        <w:tc>
          <w:tcPr>
            <w:tcW w:w="642" w:type="pct"/>
            <w:tcBorders>
              <w:tl2br w:val="nil"/>
              <w:tr2bl w:val="nil"/>
            </w:tcBorders>
            <w:shd w:val="clear" w:color="auto" w:fill="auto"/>
            <w:noWrap w:val="0"/>
            <w:vAlign w:val="bottom"/>
          </w:tcPr>
          <w:p w14:paraId="7685B7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0.5326</w:t>
            </w:r>
          </w:p>
        </w:tc>
        <w:tc>
          <w:tcPr>
            <w:tcW w:w="644" w:type="pct"/>
            <w:tcBorders>
              <w:tl2br w:val="nil"/>
              <w:tr2bl w:val="nil"/>
            </w:tcBorders>
            <w:shd w:val="clear" w:color="auto" w:fill="auto"/>
            <w:noWrap w:val="0"/>
            <w:vAlign w:val="bottom"/>
          </w:tcPr>
          <w:p w14:paraId="5CD024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5.4970</w:t>
            </w:r>
          </w:p>
        </w:tc>
        <w:tc>
          <w:tcPr>
            <w:tcW w:w="649" w:type="pct"/>
            <w:tcBorders>
              <w:tl2br w:val="nil"/>
              <w:tr2bl w:val="nil"/>
            </w:tcBorders>
            <w:shd w:val="clear" w:color="auto" w:fill="auto"/>
            <w:noWrap w:val="0"/>
            <w:vAlign w:val="bottom"/>
          </w:tcPr>
          <w:p w14:paraId="4588D54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5.4328</w:t>
            </w:r>
          </w:p>
        </w:tc>
        <w:tc>
          <w:tcPr>
            <w:tcW w:w="731" w:type="pct"/>
            <w:tcBorders>
              <w:tl2br w:val="nil"/>
              <w:tr2bl w:val="nil"/>
            </w:tcBorders>
            <w:shd w:val="clear" w:color="auto" w:fill="auto"/>
            <w:noWrap w:val="0"/>
            <w:vAlign w:val="bottom"/>
          </w:tcPr>
          <w:p w14:paraId="2C38A3E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5.1226</w:t>
            </w:r>
          </w:p>
        </w:tc>
      </w:tr>
      <w:tr w14:paraId="2173C2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7EA2B1D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-33.0000</w:t>
            </w:r>
          </w:p>
        </w:tc>
        <w:tc>
          <w:tcPr>
            <w:tcW w:w="667" w:type="pct"/>
            <w:tcBorders>
              <w:tl2br w:val="nil"/>
              <w:tr2bl w:val="nil"/>
            </w:tcBorders>
            <w:shd w:val="clear" w:color="auto" w:fill="auto"/>
            <w:noWrap w:val="0"/>
            <w:vAlign w:val="bottom"/>
          </w:tcPr>
          <w:p w14:paraId="4D98A5D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0.4182</w:t>
            </w:r>
          </w:p>
        </w:tc>
        <w:tc>
          <w:tcPr>
            <w:tcW w:w="743" w:type="pct"/>
            <w:tcBorders>
              <w:tl2br w:val="nil"/>
              <w:tr2bl w:val="nil"/>
            </w:tcBorders>
            <w:shd w:val="clear" w:color="auto" w:fill="auto"/>
            <w:noWrap w:val="0"/>
            <w:vAlign w:val="bottom"/>
          </w:tcPr>
          <w:p w14:paraId="33E6C5A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0.4606</w:t>
            </w:r>
          </w:p>
        </w:tc>
        <w:tc>
          <w:tcPr>
            <w:tcW w:w="642" w:type="pct"/>
            <w:tcBorders>
              <w:tl2br w:val="nil"/>
              <w:tr2bl w:val="nil"/>
            </w:tcBorders>
            <w:shd w:val="clear" w:color="auto" w:fill="auto"/>
            <w:noWrap w:val="0"/>
            <w:vAlign w:val="bottom"/>
          </w:tcPr>
          <w:p w14:paraId="595269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0.5787</w:t>
            </w:r>
          </w:p>
        </w:tc>
        <w:tc>
          <w:tcPr>
            <w:tcW w:w="644" w:type="pct"/>
            <w:tcBorders>
              <w:tl2br w:val="nil"/>
              <w:tr2bl w:val="nil"/>
            </w:tcBorders>
            <w:shd w:val="clear" w:color="auto" w:fill="auto"/>
            <w:noWrap w:val="0"/>
            <w:vAlign w:val="bottom"/>
          </w:tcPr>
          <w:p w14:paraId="3381D32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5.8527</w:t>
            </w:r>
          </w:p>
        </w:tc>
        <w:tc>
          <w:tcPr>
            <w:tcW w:w="649" w:type="pct"/>
            <w:tcBorders>
              <w:tl2br w:val="nil"/>
              <w:tr2bl w:val="nil"/>
            </w:tcBorders>
            <w:shd w:val="clear" w:color="auto" w:fill="auto"/>
            <w:noWrap w:val="0"/>
            <w:vAlign w:val="bottom"/>
          </w:tcPr>
          <w:p w14:paraId="6FDD8CF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5.7794</w:t>
            </w:r>
          </w:p>
        </w:tc>
        <w:tc>
          <w:tcPr>
            <w:tcW w:w="731" w:type="pct"/>
            <w:tcBorders>
              <w:tl2br w:val="nil"/>
              <w:tr2bl w:val="nil"/>
            </w:tcBorders>
            <w:shd w:val="clear" w:color="auto" w:fill="auto"/>
            <w:noWrap w:val="0"/>
            <w:vAlign w:val="bottom"/>
          </w:tcPr>
          <w:p w14:paraId="432359A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5.4277</w:t>
            </w:r>
          </w:p>
        </w:tc>
      </w:tr>
      <w:tr w14:paraId="234C94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1B84BA2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-32.0000</w:t>
            </w:r>
          </w:p>
        </w:tc>
        <w:tc>
          <w:tcPr>
            <w:tcW w:w="667" w:type="pct"/>
            <w:tcBorders>
              <w:tl2br w:val="nil"/>
              <w:tr2bl w:val="nil"/>
            </w:tcBorders>
            <w:shd w:val="clear" w:color="auto" w:fill="auto"/>
            <w:noWrap w:val="0"/>
            <w:vAlign w:val="bottom"/>
          </w:tcPr>
          <w:p w14:paraId="2C9405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0.4606</w:t>
            </w:r>
          </w:p>
        </w:tc>
        <w:tc>
          <w:tcPr>
            <w:tcW w:w="743" w:type="pct"/>
            <w:tcBorders>
              <w:tl2br w:val="nil"/>
              <w:tr2bl w:val="nil"/>
            </w:tcBorders>
            <w:shd w:val="clear" w:color="auto" w:fill="auto"/>
            <w:noWrap w:val="0"/>
            <w:vAlign w:val="bottom"/>
          </w:tcPr>
          <w:p w14:paraId="26CD7BC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0.5063</w:t>
            </w:r>
          </w:p>
        </w:tc>
        <w:tc>
          <w:tcPr>
            <w:tcW w:w="642" w:type="pct"/>
            <w:tcBorders>
              <w:tl2br w:val="nil"/>
              <w:tr2bl w:val="nil"/>
            </w:tcBorders>
            <w:shd w:val="clear" w:color="auto" w:fill="auto"/>
            <w:noWrap w:val="0"/>
            <w:vAlign w:val="bottom"/>
          </w:tcPr>
          <w:p w14:paraId="04CD7E5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0.6301</w:t>
            </w:r>
          </w:p>
        </w:tc>
        <w:tc>
          <w:tcPr>
            <w:tcW w:w="644" w:type="pct"/>
            <w:tcBorders>
              <w:tl2br w:val="nil"/>
              <w:tr2bl w:val="nil"/>
            </w:tcBorders>
            <w:shd w:val="clear" w:color="auto" w:fill="auto"/>
            <w:noWrap w:val="0"/>
            <w:vAlign w:val="bottom"/>
          </w:tcPr>
          <w:p w14:paraId="72F9B86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6.2445</w:t>
            </w:r>
          </w:p>
        </w:tc>
        <w:tc>
          <w:tcPr>
            <w:tcW w:w="649" w:type="pct"/>
            <w:tcBorders>
              <w:tl2br w:val="nil"/>
              <w:tr2bl w:val="nil"/>
            </w:tcBorders>
            <w:shd w:val="clear" w:color="auto" w:fill="auto"/>
            <w:noWrap w:val="0"/>
            <w:vAlign w:val="bottom"/>
          </w:tcPr>
          <w:p w14:paraId="5E79BE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6.1606</w:t>
            </w:r>
          </w:p>
        </w:tc>
        <w:tc>
          <w:tcPr>
            <w:tcW w:w="731" w:type="pct"/>
            <w:tcBorders>
              <w:tl2br w:val="nil"/>
              <w:tr2bl w:val="nil"/>
            </w:tcBorders>
            <w:shd w:val="clear" w:color="auto" w:fill="auto"/>
            <w:noWrap w:val="0"/>
            <w:vAlign w:val="bottom"/>
          </w:tcPr>
          <w:p w14:paraId="4ACCBAF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5.7600</w:t>
            </w:r>
          </w:p>
        </w:tc>
      </w:tr>
      <w:tr w14:paraId="4E88DA3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076EFC9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-31.0000</w:t>
            </w:r>
          </w:p>
        </w:tc>
        <w:tc>
          <w:tcPr>
            <w:tcW w:w="667" w:type="pct"/>
            <w:tcBorders>
              <w:tl2br w:val="nil"/>
              <w:tr2bl w:val="nil"/>
            </w:tcBorders>
            <w:shd w:val="clear" w:color="auto" w:fill="auto"/>
            <w:noWrap w:val="0"/>
            <w:vAlign w:val="bottom"/>
          </w:tcPr>
          <w:p w14:paraId="48E235A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0.5091</w:t>
            </w:r>
          </w:p>
        </w:tc>
        <w:tc>
          <w:tcPr>
            <w:tcW w:w="743" w:type="pct"/>
            <w:tcBorders>
              <w:tl2br w:val="nil"/>
              <w:tr2bl w:val="nil"/>
            </w:tcBorders>
            <w:shd w:val="clear" w:color="auto" w:fill="auto"/>
            <w:noWrap w:val="0"/>
            <w:vAlign w:val="bottom"/>
          </w:tcPr>
          <w:p w14:paraId="5FF91C8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0.5583</w:t>
            </w:r>
          </w:p>
        </w:tc>
        <w:tc>
          <w:tcPr>
            <w:tcW w:w="642" w:type="pct"/>
            <w:tcBorders>
              <w:tl2br w:val="nil"/>
              <w:tr2bl w:val="nil"/>
            </w:tcBorders>
            <w:shd w:val="clear" w:color="auto" w:fill="auto"/>
            <w:noWrap w:val="0"/>
            <w:vAlign w:val="bottom"/>
          </w:tcPr>
          <w:p w14:paraId="1FD5DB3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0.6873</w:t>
            </w:r>
          </w:p>
        </w:tc>
        <w:tc>
          <w:tcPr>
            <w:tcW w:w="644" w:type="pct"/>
            <w:tcBorders>
              <w:tl2br w:val="nil"/>
              <w:tr2bl w:val="nil"/>
            </w:tcBorders>
            <w:shd w:val="clear" w:color="auto" w:fill="auto"/>
            <w:noWrap w:val="0"/>
            <w:vAlign w:val="bottom"/>
          </w:tcPr>
          <w:p w14:paraId="607AE8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6.6774</w:t>
            </w:r>
          </w:p>
        </w:tc>
        <w:tc>
          <w:tcPr>
            <w:tcW w:w="649" w:type="pct"/>
            <w:tcBorders>
              <w:tl2br w:val="nil"/>
              <w:tr2bl w:val="nil"/>
            </w:tcBorders>
            <w:shd w:val="clear" w:color="auto" w:fill="auto"/>
            <w:noWrap w:val="0"/>
            <w:vAlign w:val="bottom"/>
          </w:tcPr>
          <w:p w14:paraId="65034E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6.5808</w:t>
            </w:r>
          </w:p>
        </w:tc>
        <w:tc>
          <w:tcPr>
            <w:tcW w:w="731" w:type="pct"/>
            <w:tcBorders>
              <w:tl2br w:val="nil"/>
              <w:tr2bl w:val="nil"/>
            </w:tcBorders>
            <w:shd w:val="clear" w:color="auto" w:fill="auto"/>
            <w:noWrap w:val="0"/>
            <w:vAlign w:val="bottom"/>
          </w:tcPr>
          <w:p w14:paraId="6C38C3A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6.1228</w:t>
            </w:r>
          </w:p>
        </w:tc>
      </w:tr>
      <w:tr w14:paraId="3ABB9B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97" w:hRule="atLeast"/>
        </w:trPr>
        <w:tc>
          <w:tcPr>
            <w:tcW w:w="921" w:type="pct"/>
            <w:tcBorders>
              <w:tl2br w:val="nil"/>
              <w:tr2bl w:val="nil"/>
            </w:tcBorders>
            <w:shd w:val="clear" w:color="auto" w:fill="auto"/>
            <w:noWrap w:val="0"/>
            <w:vAlign w:val="bottom"/>
          </w:tcPr>
          <w:p w14:paraId="06BDA70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-30.0000</w:t>
            </w:r>
          </w:p>
        </w:tc>
        <w:tc>
          <w:tcPr>
            <w:tcW w:w="667" w:type="pct"/>
            <w:tcBorders>
              <w:tl2br w:val="nil"/>
              <w:tr2bl w:val="nil"/>
            </w:tcBorders>
            <w:shd w:val="clear" w:color="auto" w:fill="auto"/>
            <w:noWrap w:val="0"/>
            <w:vAlign w:val="bottom"/>
          </w:tcPr>
          <w:p w14:paraId="676906D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0.5646</w:t>
            </w:r>
          </w:p>
        </w:tc>
        <w:tc>
          <w:tcPr>
            <w:tcW w:w="743" w:type="pct"/>
            <w:tcBorders>
              <w:tl2br w:val="nil"/>
              <w:tr2bl w:val="nil"/>
            </w:tcBorders>
            <w:shd w:val="clear" w:color="auto" w:fill="auto"/>
            <w:noWrap w:val="0"/>
            <w:vAlign w:val="bottom"/>
          </w:tcPr>
          <w:p w14:paraId="2005951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0.6175</w:t>
            </w:r>
          </w:p>
        </w:tc>
        <w:tc>
          <w:tcPr>
            <w:tcW w:w="642" w:type="pct"/>
            <w:tcBorders>
              <w:tl2br w:val="nil"/>
              <w:tr2bl w:val="nil"/>
            </w:tcBorders>
            <w:shd w:val="clear" w:color="auto" w:fill="auto"/>
            <w:noWrap w:val="0"/>
            <w:vAlign w:val="bottom"/>
          </w:tcPr>
          <w:p w14:paraId="0555F7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0.7513</w:t>
            </w:r>
          </w:p>
        </w:tc>
        <w:tc>
          <w:tcPr>
            <w:tcW w:w="644" w:type="pct"/>
            <w:tcBorders>
              <w:tl2br w:val="nil"/>
              <w:tr2bl w:val="nil"/>
            </w:tcBorders>
            <w:shd w:val="clear" w:color="auto" w:fill="auto"/>
            <w:noWrap w:val="0"/>
            <w:vAlign w:val="bottom"/>
          </w:tcPr>
          <w:p w14:paraId="26E34E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7.1576</w:t>
            </w:r>
          </w:p>
        </w:tc>
        <w:tc>
          <w:tcPr>
            <w:tcW w:w="649" w:type="pct"/>
            <w:tcBorders>
              <w:tl2br w:val="nil"/>
              <w:tr2bl w:val="nil"/>
            </w:tcBorders>
            <w:shd w:val="clear" w:color="auto" w:fill="auto"/>
            <w:noWrap w:val="0"/>
            <w:vAlign w:val="bottom"/>
          </w:tcPr>
          <w:p w14:paraId="39A2DBE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7.0457</w:t>
            </w:r>
          </w:p>
        </w:tc>
        <w:tc>
          <w:tcPr>
            <w:tcW w:w="731" w:type="pct"/>
            <w:tcBorders>
              <w:tl2br w:val="nil"/>
              <w:tr2bl w:val="nil"/>
            </w:tcBorders>
            <w:shd w:val="clear" w:color="auto" w:fill="auto"/>
            <w:noWrap w:val="0"/>
            <w:vAlign w:val="bottom"/>
          </w:tcPr>
          <w:p w14:paraId="4DEEE66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6.5196</w:t>
            </w:r>
          </w:p>
        </w:tc>
      </w:tr>
      <w:tr w14:paraId="7794AF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3F2EE4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-29.0000</w:t>
            </w:r>
          </w:p>
        </w:tc>
        <w:tc>
          <w:tcPr>
            <w:tcW w:w="667" w:type="pct"/>
            <w:tcBorders>
              <w:tl2br w:val="nil"/>
              <w:tr2bl w:val="nil"/>
            </w:tcBorders>
            <w:shd w:val="clear" w:color="auto" w:fill="auto"/>
            <w:noWrap w:val="0"/>
            <w:vAlign w:val="bottom"/>
          </w:tcPr>
          <w:p w14:paraId="54FBA1C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0.6284</w:t>
            </w:r>
          </w:p>
        </w:tc>
        <w:tc>
          <w:tcPr>
            <w:tcW w:w="743" w:type="pct"/>
            <w:tcBorders>
              <w:tl2br w:val="nil"/>
              <w:tr2bl w:val="nil"/>
            </w:tcBorders>
            <w:shd w:val="clear" w:color="auto" w:fill="auto"/>
            <w:noWrap w:val="0"/>
            <w:vAlign w:val="bottom"/>
          </w:tcPr>
          <w:p w14:paraId="207271D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0.6853</w:t>
            </w:r>
          </w:p>
        </w:tc>
        <w:tc>
          <w:tcPr>
            <w:tcW w:w="642" w:type="pct"/>
            <w:tcBorders>
              <w:tl2br w:val="nil"/>
              <w:tr2bl w:val="nil"/>
            </w:tcBorders>
            <w:shd w:val="clear" w:color="auto" w:fill="auto"/>
            <w:noWrap w:val="0"/>
            <w:vAlign w:val="bottom"/>
          </w:tcPr>
          <w:p w14:paraId="5D5264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0.8228</w:t>
            </w:r>
          </w:p>
        </w:tc>
        <w:tc>
          <w:tcPr>
            <w:tcW w:w="644" w:type="pct"/>
            <w:tcBorders>
              <w:tl2br w:val="nil"/>
              <w:tr2bl w:val="nil"/>
            </w:tcBorders>
            <w:shd w:val="clear" w:color="auto" w:fill="auto"/>
            <w:noWrap w:val="0"/>
            <w:vAlign w:val="bottom"/>
          </w:tcPr>
          <w:p w14:paraId="27F239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7.6921</w:t>
            </w:r>
          </w:p>
        </w:tc>
        <w:tc>
          <w:tcPr>
            <w:tcW w:w="649" w:type="pct"/>
            <w:tcBorders>
              <w:tl2br w:val="nil"/>
              <w:tr2bl w:val="nil"/>
            </w:tcBorders>
            <w:shd w:val="clear" w:color="auto" w:fill="auto"/>
            <w:noWrap w:val="0"/>
            <w:vAlign w:val="bottom"/>
          </w:tcPr>
          <w:p w14:paraId="238693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7.5618</w:t>
            </w:r>
          </w:p>
        </w:tc>
        <w:tc>
          <w:tcPr>
            <w:tcW w:w="731" w:type="pct"/>
            <w:tcBorders>
              <w:tl2br w:val="nil"/>
              <w:tr2bl w:val="nil"/>
            </w:tcBorders>
            <w:shd w:val="clear" w:color="auto" w:fill="auto"/>
            <w:noWrap w:val="0"/>
            <w:vAlign w:val="bottom"/>
          </w:tcPr>
          <w:p w14:paraId="3B73BA8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6.9546</w:t>
            </w:r>
          </w:p>
        </w:tc>
      </w:tr>
      <w:tr w14:paraId="2F91B6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0CC48BD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-28.0000</w:t>
            </w:r>
          </w:p>
        </w:tc>
        <w:tc>
          <w:tcPr>
            <w:tcW w:w="667" w:type="pct"/>
            <w:tcBorders>
              <w:tl2br w:val="nil"/>
              <w:tr2bl w:val="nil"/>
            </w:tcBorders>
            <w:shd w:val="clear" w:color="auto" w:fill="auto"/>
            <w:noWrap w:val="0"/>
            <w:vAlign w:val="bottom"/>
          </w:tcPr>
          <w:p w14:paraId="6A3E744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0.7022</w:t>
            </w:r>
          </w:p>
        </w:tc>
        <w:tc>
          <w:tcPr>
            <w:tcW w:w="743" w:type="pct"/>
            <w:tcBorders>
              <w:tl2br w:val="nil"/>
              <w:tr2bl w:val="nil"/>
            </w:tcBorders>
            <w:shd w:val="clear" w:color="auto" w:fill="auto"/>
            <w:noWrap w:val="0"/>
            <w:vAlign w:val="bottom"/>
          </w:tcPr>
          <w:p w14:paraId="14B812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0.7631</w:t>
            </w:r>
          </w:p>
        </w:tc>
        <w:tc>
          <w:tcPr>
            <w:tcW w:w="642" w:type="pct"/>
            <w:tcBorders>
              <w:tl2br w:val="nil"/>
              <w:tr2bl w:val="nil"/>
            </w:tcBorders>
            <w:shd w:val="clear" w:color="auto" w:fill="auto"/>
            <w:noWrap w:val="0"/>
            <w:vAlign w:val="bottom"/>
          </w:tcPr>
          <w:p w14:paraId="2830F0B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0.9029</w:t>
            </w:r>
          </w:p>
        </w:tc>
        <w:tc>
          <w:tcPr>
            <w:tcW w:w="644" w:type="pct"/>
            <w:tcBorders>
              <w:tl2br w:val="nil"/>
              <w:tr2bl w:val="nil"/>
            </w:tcBorders>
            <w:shd w:val="clear" w:color="auto" w:fill="auto"/>
            <w:noWrap w:val="0"/>
            <w:vAlign w:val="bottom"/>
          </w:tcPr>
          <w:p w14:paraId="456B39D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8.2895</w:t>
            </w:r>
          </w:p>
        </w:tc>
        <w:tc>
          <w:tcPr>
            <w:tcW w:w="649" w:type="pct"/>
            <w:tcBorders>
              <w:tl2br w:val="nil"/>
              <w:tr2bl w:val="nil"/>
            </w:tcBorders>
            <w:shd w:val="clear" w:color="auto" w:fill="auto"/>
            <w:noWrap w:val="0"/>
            <w:vAlign w:val="bottom"/>
          </w:tcPr>
          <w:p w14:paraId="6A642A4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8.1369</w:t>
            </w:r>
          </w:p>
        </w:tc>
        <w:tc>
          <w:tcPr>
            <w:tcW w:w="731" w:type="pct"/>
            <w:tcBorders>
              <w:tl2br w:val="nil"/>
              <w:tr2bl w:val="nil"/>
            </w:tcBorders>
            <w:shd w:val="clear" w:color="auto" w:fill="auto"/>
            <w:noWrap w:val="0"/>
            <w:vAlign w:val="bottom"/>
          </w:tcPr>
          <w:p w14:paraId="3F8EA8F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7.4324</w:t>
            </w:r>
          </w:p>
        </w:tc>
      </w:tr>
      <w:tr w14:paraId="698D0FA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6065E7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-27.0000</w:t>
            </w:r>
          </w:p>
        </w:tc>
        <w:tc>
          <w:tcPr>
            <w:tcW w:w="667" w:type="pct"/>
            <w:tcBorders>
              <w:tl2br w:val="nil"/>
              <w:tr2bl w:val="nil"/>
            </w:tcBorders>
            <w:shd w:val="clear" w:color="auto" w:fill="auto"/>
            <w:noWrap w:val="0"/>
            <w:vAlign w:val="bottom"/>
          </w:tcPr>
          <w:p w14:paraId="160D529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0.7879</w:t>
            </w:r>
          </w:p>
        </w:tc>
        <w:tc>
          <w:tcPr>
            <w:tcW w:w="743" w:type="pct"/>
            <w:tcBorders>
              <w:tl2br w:val="nil"/>
              <w:tr2bl w:val="nil"/>
            </w:tcBorders>
            <w:shd w:val="clear" w:color="auto" w:fill="auto"/>
            <w:noWrap w:val="0"/>
            <w:vAlign w:val="bottom"/>
          </w:tcPr>
          <w:p w14:paraId="014A4F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0.8530</w:t>
            </w:r>
          </w:p>
        </w:tc>
        <w:tc>
          <w:tcPr>
            <w:tcW w:w="642" w:type="pct"/>
            <w:tcBorders>
              <w:tl2br w:val="nil"/>
              <w:tr2bl w:val="nil"/>
            </w:tcBorders>
            <w:shd w:val="clear" w:color="auto" w:fill="auto"/>
            <w:noWrap w:val="0"/>
            <w:vAlign w:val="bottom"/>
          </w:tcPr>
          <w:p w14:paraId="082D92D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0.9927</w:t>
            </w:r>
          </w:p>
        </w:tc>
        <w:tc>
          <w:tcPr>
            <w:tcW w:w="644" w:type="pct"/>
            <w:tcBorders>
              <w:tl2br w:val="nil"/>
              <w:tr2bl w:val="nil"/>
            </w:tcBorders>
            <w:shd w:val="clear" w:color="auto" w:fill="auto"/>
            <w:noWrap w:val="0"/>
            <w:vAlign w:val="bottom"/>
          </w:tcPr>
          <w:p w14:paraId="12582DB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8.9601</w:t>
            </w:r>
          </w:p>
        </w:tc>
        <w:tc>
          <w:tcPr>
            <w:tcW w:w="649" w:type="pct"/>
            <w:tcBorders>
              <w:tl2br w:val="nil"/>
              <w:tr2bl w:val="nil"/>
            </w:tcBorders>
            <w:shd w:val="clear" w:color="auto" w:fill="auto"/>
            <w:noWrap w:val="0"/>
            <w:vAlign w:val="bottom"/>
          </w:tcPr>
          <w:p w14:paraId="0C8CF48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8.7801</w:t>
            </w:r>
          </w:p>
        </w:tc>
        <w:tc>
          <w:tcPr>
            <w:tcW w:w="731" w:type="pct"/>
            <w:tcBorders>
              <w:tl2br w:val="nil"/>
              <w:tr2bl w:val="nil"/>
            </w:tcBorders>
            <w:shd w:val="clear" w:color="auto" w:fill="auto"/>
            <w:noWrap w:val="0"/>
            <w:vAlign w:val="bottom"/>
          </w:tcPr>
          <w:p w14:paraId="0FB96D9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7.9583</w:t>
            </w:r>
          </w:p>
        </w:tc>
      </w:tr>
      <w:tr w14:paraId="348061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69089D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-26.0000</w:t>
            </w:r>
          </w:p>
        </w:tc>
        <w:tc>
          <w:tcPr>
            <w:tcW w:w="667" w:type="pct"/>
            <w:tcBorders>
              <w:tl2br w:val="nil"/>
              <w:tr2bl w:val="nil"/>
            </w:tcBorders>
            <w:shd w:val="clear" w:color="auto" w:fill="auto"/>
            <w:noWrap w:val="0"/>
            <w:vAlign w:val="bottom"/>
          </w:tcPr>
          <w:p w14:paraId="3FE768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0.8881</w:t>
            </w:r>
          </w:p>
        </w:tc>
        <w:tc>
          <w:tcPr>
            <w:tcW w:w="743" w:type="pct"/>
            <w:tcBorders>
              <w:tl2br w:val="nil"/>
              <w:tr2bl w:val="nil"/>
            </w:tcBorders>
            <w:shd w:val="clear" w:color="auto" w:fill="auto"/>
            <w:noWrap w:val="0"/>
            <w:vAlign w:val="bottom"/>
          </w:tcPr>
          <w:p w14:paraId="0324054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0.9572</w:t>
            </w:r>
          </w:p>
        </w:tc>
        <w:tc>
          <w:tcPr>
            <w:tcW w:w="642" w:type="pct"/>
            <w:tcBorders>
              <w:tl2br w:val="nil"/>
              <w:tr2bl w:val="nil"/>
            </w:tcBorders>
            <w:shd w:val="clear" w:color="auto" w:fill="auto"/>
            <w:noWrap w:val="0"/>
            <w:vAlign w:val="bottom"/>
          </w:tcPr>
          <w:p w14:paraId="3AA326D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1.0935</w:t>
            </w:r>
          </w:p>
        </w:tc>
        <w:tc>
          <w:tcPr>
            <w:tcW w:w="644" w:type="pct"/>
            <w:tcBorders>
              <w:tl2br w:val="nil"/>
              <w:tr2bl w:val="nil"/>
            </w:tcBorders>
            <w:shd w:val="clear" w:color="auto" w:fill="auto"/>
            <w:noWrap w:val="0"/>
            <w:vAlign w:val="bottom"/>
          </w:tcPr>
          <w:p w14:paraId="01E9970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9.7164</w:t>
            </w:r>
          </w:p>
        </w:tc>
        <w:tc>
          <w:tcPr>
            <w:tcW w:w="649" w:type="pct"/>
            <w:tcBorders>
              <w:tl2br w:val="nil"/>
              <w:tr2bl w:val="nil"/>
            </w:tcBorders>
            <w:shd w:val="clear" w:color="auto" w:fill="auto"/>
            <w:noWrap w:val="0"/>
            <w:vAlign w:val="bottom"/>
          </w:tcPr>
          <w:p w14:paraId="72865DA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9.5024</w:t>
            </w:r>
          </w:p>
        </w:tc>
        <w:tc>
          <w:tcPr>
            <w:tcW w:w="731" w:type="pct"/>
            <w:tcBorders>
              <w:tl2br w:val="nil"/>
              <w:tr2bl w:val="nil"/>
            </w:tcBorders>
            <w:shd w:val="clear" w:color="auto" w:fill="auto"/>
            <w:noWrap w:val="0"/>
            <w:vAlign w:val="bottom"/>
          </w:tcPr>
          <w:p w14:paraId="11E8A40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8.5384</w:t>
            </w:r>
          </w:p>
        </w:tc>
      </w:tr>
      <w:tr w14:paraId="33C97E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2348926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-25.0000</w:t>
            </w:r>
          </w:p>
        </w:tc>
        <w:tc>
          <w:tcPr>
            <w:tcW w:w="667" w:type="pct"/>
            <w:tcBorders>
              <w:tl2br w:val="nil"/>
              <w:tr2bl w:val="nil"/>
            </w:tcBorders>
            <w:shd w:val="clear" w:color="auto" w:fill="auto"/>
            <w:noWrap w:val="0"/>
            <w:vAlign w:val="bottom"/>
          </w:tcPr>
          <w:p w14:paraId="1297D7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1.0056</w:t>
            </w:r>
          </w:p>
        </w:tc>
        <w:tc>
          <w:tcPr>
            <w:tcW w:w="743" w:type="pct"/>
            <w:tcBorders>
              <w:tl2br w:val="nil"/>
              <w:tr2bl w:val="nil"/>
            </w:tcBorders>
            <w:shd w:val="clear" w:color="auto" w:fill="auto"/>
            <w:noWrap w:val="0"/>
            <w:vAlign w:val="bottom"/>
          </w:tcPr>
          <w:p w14:paraId="5320DA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1.0784</w:t>
            </w:r>
          </w:p>
        </w:tc>
        <w:tc>
          <w:tcPr>
            <w:tcW w:w="642" w:type="pct"/>
            <w:tcBorders>
              <w:tl2br w:val="nil"/>
              <w:tr2bl w:val="nil"/>
            </w:tcBorders>
            <w:shd w:val="clear" w:color="auto" w:fill="auto"/>
            <w:noWrap w:val="0"/>
            <w:vAlign w:val="bottom"/>
          </w:tcPr>
          <w:p w14:paraId="51AAC9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1.2067</w:t>
            </w:r>
          </w:p>
        </w:tc>
        <w:tc>
          <w:tcPr>
            <w:tcW w:w="644" w:type="pct"/>
            <w:tcBorders>
              <w:tl2br w:val="nil"/>
              <w:tr2bl w:val="nil"/>
            </w:tcBorders>
            <w:shd w:val="clear" w:color="auto" w:fill="auto"/>
            <w:noWrap w:val="0"/>
            <w:vAlign w:val="bottom"/>
          </w:tcPr>
          <w:p w14:paraId="2996C00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10.5737</w:t>
            </w:r>
          </w:p>
        </w:tc>
        <w:tc>
          <w:tcPr>
            <w:tcW w:w="649" w:type="pct"/>
            <w:tcBorders>
              <w:tl2br w:val="nil"/>
              <w:tr2bl w:val="nil"/>
            </w:tcBorders>
            <w:shd w:val="clear" w:color="auto" w:fill="auto"/>
            <w:noWrap w:val="0"/>
            <w:vAlign w:val="bottom"/>
          </w:tcPr>
          <w:p w14:paraId="0C3D2A8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10.3173</w:t>
            </w:r>
          </w:p>
        </w:tc>
        <w:tc>
          <w:tcPr>
            <w:tcW w:w="731" w:type="pct"/>
            <w:tcBorders>
              <w:tl2br w:val="nil"/>
              <w:tr2bl w:val="nil"/>
            </w:tcBorders>
            <w:shd w:val="clear" w:color="auto" w:fill="auto"/>
            <w:noWrap w:val="0"/>
            <w:vAlign w:val="bottom"/>
          </w:tcPr>
          <w:p w14:paraId="65E171E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9.1794</w:t>
            </w:r>
          </w:p>
        </w:tc>
      </w:tr>
      <w:tr w14:paraId="344B4A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5056577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-24.0000</w:t>
            </w:r>
          </w:p>
        </w:tc>
        <w:tc>
          <w:tcPr>
            <w:tcW w:w="667" w:type="pct"/>
            <w:tcBorders>
              <w:tl2br w:val="nil"/>
              <w:tr2bl w:val="nil"/>
            </w:tcBorders>
            <w:shd w:val="clear" w:color="auto" w:fill="auto"/>
            <w:noWrap w:val="0"/>
            <w:vAlign w:val="bottom"/>
          </w:tcPr>
          <w:p w14:paraId="58E31B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1.1445</w:t>
            </w:r>
          </w:p>
        </w:tc>
        <w:tc>
          <w:tcPr>
            <w:tcW w:w="743" w:type="pct"/>
            <w:tcBorders>
              <w:tl2br w:val="nil"/>
              <w:tr2bl w:val="nil"/>
            </w:tcBorders>
            <w:shd w:val="clear" w:color="auto" w:fill="auto"/>
            <w:noWrap w:val="0"/>
            <w:vAlign w:val="bottom"/>
          </w:tcPr>
          <w:p w14:paraId="062ACA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1.2201</w:t>
            </w:r>
          </w:p>
        </w:tc>
        <w:tc>
          <w:tcPr>
            <w:tcW w:w="642" w:type="pct"/>
            <w:tcBorders>
              <w:tl2br w:val="nil"/>
              <w:tr2bl w:val="nil"/>
            </w:tcBorders>
            <w:shd w:val="clear" w:color="auto" w:fill="auto"/>
            <w:noWrap w:val="0"/>
            <w:vAlign w:val="bottom"/>
          </w:tcPr>
          <w:p w14:paraId="191C3A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1.3336</w:t>
            </w:r>
          </w:p>
        </w:tc>
        <w:tc>
          <w:tcPr>
            <w:tcW w:w="644" w:type="pct"/>
            <w:tcBorders>
              <w:tl2br w:val="nil"/>
              <w:tr2bl w:val="nil"/>
            </w:tcBorders>
            <w:shd w:val="clear" w:color="auto" w:fill="auto"/>
            <w:noWrap w:val="0"/>
            <w:vAlign w:val="bottom"/>
          </w:tcPr>
          <w:p w14:paraId="2EC7C7F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11.5505</w:t>
            </w:r>
          </w:p>
        </w:tc>
        <w:tc>
          <w:tcPr>
            <w:tcW w:w="649" w:type="pct"/>
            <w:tcBorders>
              <w:tl2br w:val="nil"/>
              <w:tr2bl w:val="nil"/>
            </w:tcBorders>
            <w:shd w:val="clear" w:color="auto" w:fill="auto"/>
            <w:noWrap w:val="0"/>
            <w:vAlign w:val="bottom"/>
          </w:tcPr>
          <w:p w14:paraId="5DCB3CB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11.2407</w:t>
            </w:r>
          </w:p>
        </w:tc>
        <w:tc>
          <w:tcPr>
            <w:tcW w:w="731" w:type="pct"/>
            <w:tcBorders>
              <w:tl2br w:val="nil"/>
              <w:tr2bl w:val="nil"/>
            </w:tcBorders>
            <w:shd w:val="clear" w:color="auto" w:fill="auto"/>
            <w:noWrap w:val="0"/>
            <w:vAlign w:val="bottom"/>
          </w:tcPr>
          <w:p w14:paraId="4006416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9.8889</w:t>
            </w:r>
          </w:p>
        </w:tc>
      </w:tr>
      <w:tr w14:paraId="4C3053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BEE15C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-23.0000</w:t>
            </w:r>
          </w:p>
        </w:tc>
        <w:tc>
          <w:tcPr>
            <w:tcW w:w="667" w:type="pct"/>
            <w:tcBorders>
              <w:tl2br w:val="nil"/>
              <w:tr2bl w:val="nil"/>
            </w:tcBorders>
            <w:shd w:val="clear" w:color="auto" w:fill="auto"/>
            <w:noWrap w:val="0"/>
            <w:vAlign w:val="bottom"/>
          </w:tcPr>
          <w:p w14:paraId="3E8CFD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1.3094</w:t>
            </w:r>
          </w:p>
        </w:tc>
        <w:tc>
          <w:tcPr>
            <w:tcW w:w="743" w:type="pct"/>
            <w:tcBorders>
              <w:tl2br w:val="nil"/>
              <w:tr2bl w:val="nil"/>
            </w:tcBorders>
            <w:shd w:val="clear" w:color="auto" w:fill="auto"/>
            <w:noWrap w:val="0"/>
            <w:vAlign w:val="bottom"/>
          </w:tcPr>
          <w:p w14:paraId="09989E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1.3865</w:t>
            </w:r>
          </w:p>
        </w:tc>
        <w:tc>
          <w:tcPr>
            <w:tcW w:w="642" w:type="pct"/>
            <w:tcBorders>
              <w:tl2br w:val="nil"/>
              <w:tr2bl w:val="nil"/>
            </w:tcBorders>
            <w:shd w:val="clear" w:color="auto" w:fill="auto"/>
            <w:noWrap w:val="0"/>
            <w:vAlign w:val="bottom"/>
          </w:tcPr>
          <w:p w14:paraId="4D9524F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1.4759</w:t>
            </w:r>
          </w:p>
        </w:tc>
        <w:tc>
          <w:tcPr>
            <w:tcW w:w="644" w:type="pct"/>
            <w:tcBorders>
              <w:tl2br w:val="nil"/>
              <w:tr2bl w:val="nil"/>
            </w:tcBorders>
            <w:shd w:val="clear" w:color="auto" w:fill="auto"/>
            <w:noWrap w:val="0"/>
            <w:vAlign w:val="bottom"/>
          </w:tcPr>
          <w:p w14:paraId="2617BE0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12.6700</w:t>
            </w:r>
          </w:p>
        </w:tc>
        <w:tc>
          <w:tcPr>
            <w:tcW w:w="649" w:type="pct"/>
            <w:tcBorders>
              <w:tl2br w:val="nil"/>
              <w:tr2bl w:val="nil"/>
            </w:tcBorders>
            <w:shd w:val="clear" w:color="auto" w:fill="auto"/>
            <w:noWrap w:val="0"/>
            <w:vAlign w:val="bottom"/>
          </w:tcPr>
          <w:p w14:paraId="51EC9B3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12.2920</w:t>
            </w:r>
          </w:p>
        </w:tc>
        <w:tc>
          <w:tcPr>
            <w:tcW w:w="731" w:type="pct"/>
            <w:tcBorders>
              <w:tl2br w:val="nil"/>
              <w:tr2bl w:val="nil"/>
            </w:tcBorders>
            <w:shd w:val="clear" w:color="auto" w:fill="auto"/>
            <w:noWrap w:val="0"/>
            <w:vAlign w:val="bottom"/>
          </w:tcPr>
          <w:p w14:paraId="26070BA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10.6755</w:t>
            </w:r>
          </w:p>
        </w:tc>
      </w:tr>
      <w:tr w14:paraId="4AF6FB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5A6C529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-22.0000</w:t>
            </w:r>
          </w:p>
        </w:tc>
        <w:tc>
          <w:tcPr>
            <w:tcW w:w="667" w:type="pct"/>
            <w:tcBorders>
              <w:tl2br w:val="nil"/>
              <w:tr2bl w:val="nil"/>
            </w:tcBorders>
            <w:shd w:val="clear" w:color="auto" w:fill="auto"/>
            <w:noWrap w:val="0"/>
            <w:vAlign w:val="bottom"/>
          </w:tcPr>
          <w:p w14:paraId="4A998F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1.5063</w:t>
            </w:r>
          </w:p>
        </w:tc>
        <w:tc>
          <w:tcPr>
            <w:tcW w:w="743" w:type="pct"/>
            <w:tcBorders>
              <w:tl2br w:val="nil"/>
              <w:tr2bl w:val="nil"/>
            </w:tcBorders>
            <w:shd w:val="clear" w:color="auto" w:fill="auto"/>
            <w:noWrap w:val="0"/>
            <w:vAlign w:val="bottom"/>
          </w:tcPr>
          <w:p w14:paraId="1F42F1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1.5825</w:t>
            </w:r>
          </w:p>
        </w:tc>
        <w:tc>
          <w:tcPr>
            <w:tcW w:w="642" w:type="pct"/>
            <w:tcBorders>
              <w:tl2br w:val="nil"/>
              <w:tr2bl w:val="nil"/>
            </w:tcBorders>
            <w:shd w:val="clear" w:color="auto" w:fill="auto"/>
            <w:noWrap w:val="0"/>
            <w:vAlign w:val="bottom"/>
          </w:tcPr>
          <w:p w14:paraId="3A79D6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1.6349</w:t>
            </w:r>
          </w:p>
        </w:tc>
        <w:tc>
          <w:tcPr>
            <w:tcW w:w="644" w:type="pct"/>
            <w:tcBorders>
              <w:tl2br w:val="nil"/>
              <w:tr2bl w:val="nil"/>
            </w:tcBorders>
            <w:shd w:val="clear" w:color="auto" w:fill="auto"/>
            <w:noWrap w:val="0"/>
            <w:vAlign w:val="bottom"/>
          </w:tcPr>
          <w:p w14:paraId="1E0A25B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13.9609</w:t>
            </w:r>
          </w:p>
        </w:tc>
        <w:tc>
          <w:tcPr>
            <w:tcW w:w="649" w:type="pct"/>
            <w:tcBorders>
              <w:tl2br w:val="nil"/>
              <w:tr2bl w:val="nil"/>
            </w:tcBorders>
            <w:shd w:val="clear" w:color="auto" w:fill="auto"/>
            <w:noWrap w:val="0"/>
            <w:vAlign w:val="bottom"/>
          </w:tcPr>
          <w:p w14:paraId="0F3C250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13.4950</w:t>
            </w:r>
          </w:p>
        </w:tc>
        <w:tc>
          <w:tcPr>
            <w:tcW w:w="731" w:type="pct"/>
            <w:tcBorders>
              <w:tl2br w:val="nil"/>
              <w:tr2bl w:val="nil"/>
            </w:tcBorders>
            <w:shd w:val="clear" w:color="auto" w:fill="auto"/>
            <w:noWrap w:val="0"/>
            <w:vAlign w:val="bottom"/>
          </w:tcPr>
          <w:p w14:paraId="49E91DA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11.5482</w:t>
            </w:r>
          </w:p>
        </w:tc>
      </w:tr>
      <w:tr w14:paraId="4D451F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04DBAD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-21.0000</w:t>
            </w:r>
          </w:p>
        </w:tc>
        <w:tc>
          <w:tcPr>
            <w:tcW w:w="667" w:type="pct"/>
            <w:tcBorders>
              <w:tl2br w:val="nil"/>
              <w:tr2bl w:val="nil"/>
            </w:tcBorders>
            <w:shd w:val="clear" w:color="auto" w:fill="auto"/>
            <w:noWrap w:val="0"/>
            <w:vAlign w:val="bottom"/>
          </w:tcPr>
          <w:p w14:paraId="5C43BD5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1.7430</w:t>
            </w:r>
          </w:p>
        </w:tc>
        <w:tc>
          <w:tcPr>
            <w:tcW w:w="743" w:type="pct"/>
            <w:tcBorders>
              <w:tl2br w:val="nil"/>
              <w:tr2bl w:val="nil"/>
            </w:tcBorders>
            <w:shd w:val="clear" w:color="auto" w:fill="auto"/>
            <w:noWrap w:val="0"/>
            <w:vAlign w:val="bottom"/>
          </w:tcPr>
          <w:p w14:paraId="5A542AB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1.8143</w:t>
            </w:r>
          </w:p>
        </w:tc>
        <w:tc>
          <w:tcPr>
            <w:tcW w:w="642" w:type="pct"/>
            <w:tcBorders>
              <w:tl2br w:val="nil"/>
              <w:tr2bl w:val="nil"/>
            </w:tcBorders>
            <w:shd w:val="clear" w:color="auto" w:fill="auto"/>
            <w:noWrap w:val="0"/>
            <w:vAlign w:val="bottom"/>
          </w:tcPr>
          <w:p w14:paraId="607518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1.8121</w:t>
            </w:r>
          </w:p>
        </w:tc>
        <w:tc>
          <w:tcPr>
            <w:tcW w:w="644" w:type="pct"/>
            <w:tcBorders>
              <w:tl2br w:val="nil"/>
              <w:tr2bl w:val="nil"/>
            </w:tcBorders>
            <w:shd w:val="clear" w:color="auto" w:fill="auto"/>
            <w:noWrap w:val="0"/>
            <w:vAlign w:val="bottom"/>
          </w:tcPr>
          <w:p w14:paraId="1ECCC66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15.4591</w:t>
            </w:r>
          </w:p>
        </w:tc>
        <w:tc>
          <w:tcPr>
            <w:tcW w:w="649" w:type="pct"/>
            <w:tcBorders>
              <w:tl2br w:val="nil"/>
              <w:tr2bl w:val="nil"/>
            </w:tcBorders>
            <w:shd w:val="clear" w:color="auto" w:fill="auto"/>
            <w:noWrap w:val="0"/>
            <w:vAlign w:val="bottom"/>
          </w:tcPr>
          <w:p w14:paraId="50492B4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14.8785</w:t>
            </w:r>
          </w:p>
        </w:tc>
        <w:tc>
          <w:tcPr>
            <w:tcW w:w="731" w:type="pct"/>
            <w:tcBorders>
              <w:tl2br w:val="nil"/>
              <w:tr2bl w:val="nil"/>
            </w:tcBorders>
            <w:shd w:val="clear" w:color="auto" w:fill="auto"/>
            <w:noWrap w:val="0"/>
            <w:vAlign w:val="bottom"/>
          </w:tcPr>
          <w:p w14:paraId="32A956D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12.5170</w:t>
            </w:r>
          </w:p>
        </w:tc>
      </w:tr>
      <w:tr w14:paraId="7B4ACA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7A63DB1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-20.0000</w:t>
            </w:r>
          </w:p>
        </w:tc>
        <w:tc>
          <w:tcPr>
            <w:tcW w:w="667" w:type="pct"/>
            <w:tcBorders>
              <w:tl2br w:val="nil"/>
              <w:tr2bl w:val="nil"/>
            </w:tcBorders>
            <w:shd w:val="clear" w:color="auto" w:fill="auto"/>
            <w:noWrap w:val="0"/>
            <w:vAlign w:val="bottom"/>
          </w:tcPr>
          <w:p w14:paraId="567C3F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2.0288</w:t>
            </w:r>
          </w:p>
        </w:tc>
        <w:tc>
          <w:tcPr>
            <w:tcW w:w="743" w:type="pct"/>
            <w:tcBorders>
              <w:tl2br w:val="nil"/>
              <w:tr2bl w:val="nil"/>
            </w:tcBorders>
            <w:shd w:val="clear" w:color="auto" w:fill="auto"/>
            <w:noWrap w:val="0"/>
            <w:vAlign w:val="bottom"/>
          </w:tcPr>
          <w:p w14:paraId="5071598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2.0891</w:t>
            </w:r>
          </w:p>
        </w:tc>
        <w:tc>
          <w:tcPr>
            <w:tcW w:w="642" w:type="pct"/>
            <w:tcBorders>
              <w:tl2br w:val="nil"/>
              <w:tr2bl w:val="nil"/>
            </w:tcBorders>
            <w:shd w:val="clear" w:color="auto" w:fill="auto"/>
            <w:noWrap w:val="0"/>
            <w:vAlign w:val="bottom"/>
          </w:tcPr>
          <w:p w14:paraId="2C041AB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2.0082</w:t>
            </w:r>
          </w:p>
        </w:tc>
        <w:tc>
          <w:tcPr>
            <w:tcW w:w="644" w:type="pct"/>
            <w:tcBorders>
              <w:tl2br w:val="nil"/>
              <w:tr2bl w:val="nil"/>
            </w:tcBorders>
            <w:shd w:val="clear" w:color="auto" w:fill="auto"/>
            <w:noWrap w:val="0"/>
            <w:vAlign w:val="bottom"/>
          </w:tcPr>
          <w:p w14:paraId="35912B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17.2099</w:t>
            </w:r>
          </w:p>
        </w:tc>
        <w:tc>
          <w:tcPr>
            <w:tcW w:w="649" w:type="pct"/>
            <w:tcBorders>
              <w:tl2br w:val="nil"/>
              <w:tr2bl w:val="nil"/>
            </w:tcBorders>
            <w:shd w:val="clear" w:color="auto" w:fill="auto"/>
            <w:noWrap w:val="0"/>
            <w:vAlign w:val="bottom"/>
          </w:tcPr>
          <w:p w14:paraId="1634AC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16.4774</w:t>
            </w:r>
          </w:p>
        </w:tc>
        <w:tc>
          <w:tcPr>
            <w:tcW w:w="731" w:type="pct"/>
            <w:tcBorders>
              <w:tl2br w:val="nil"/>
              <w:tr2bl w:val="nil"/>
            </w:tcBorders>
            <w:shd w:val="clear" w:color="auto" w:fill="auto"/>
            <w:noWrap w:val="0"/>
            <w:vAlign w:val="bottom"/>
          </w:tcPr>
          <w:p w14:paraId="0BA6CB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13.5921</w:t>
            </w:r>
          </w:p>
        </w:tc>
      </w:tr>
      <w:tr w14:paraId="3C8A94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86B687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-19.0000</w:t>
            </w:r>
          </w:p>
        </w:tc>
        <w:tc>
          <w:tcPr>
            <w:tcW w:w="667" w:type="pct"/>
            <w:tcBorders>
              <w:tl2br w:val="nil"/>
              <w:tr2bl w:val="nil"/>
            </w:tcBorders>
            <w:shd w:val="clear" w:color="auto" w:fill="auto"/>
            <w:noWrap w:val="0"/>
            <w:vAlign w:val="bottom"/>
          </w:tcPr>
          <w:p w14:paraId="7C71A0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2.3756</w:t>
            </w:r>
          </w:p>
        </w:tc>
        <w:tc>
          <w:tcPr>
            <w:tcW w:w="743" w:type="pct"/>
            <w:tcBorders>
              <w:tl2br w:val="nil"/>
              <w:tr2bl w:val="nil"/>
            </w:tcBorders>
            <w:shd w:val="clear" w:color="auto" w:fill="auto"/>
            <w:noWrap w:val="0"/>
            <w:vAlign w:val="bottom"/>
          </w:tcPr>
          <w:p w14:paraId="7EF85B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2.4152</w:t>
            </w:r>
          </w:p>
        </w:tc>
        <w:tc>
          <w:tcPr>
            <w:tcW w:w="642" w:type="pct"/>
            <w:tcBorders>
              <w:tl2br w:val="nil"/>
              <w:tr2bl w:val="nil"/>
            </w:tcBorders>
            <w:shd w:val="clear" w:color="auto" w:fill="auto"/>
            <w:noWrap w:val="0"/>
            <w:vAlign w:val="bottom"/>
          </w:tcPr>
          <w:p w14:paraId="4582C16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2.2233</w:t>
            </w:r>
          </w:p>
        </w:tc>
        <w:tc>
          <w:tcPr>
            <w:tcW w:w="644" w:type="pct"/>
            <w:tcBorders>
              <w:tl2br w:val="nil"/>
              <w:tr2bl w:val="nil"/>
            </w:tcBorders>
            <w:shd w:val="clear" w:color="auto" w:fill="auto"/>
            <w:noWrap w:val="0"/>
            <w:vAlign w:val="bottom"/>
          </w:tcPr>
          <w:p w14:paraId="426AB7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19.2701</w:t>
            </w:r>
          </w:p>
        </w:tc>
        <w:tc>
          <w:tcPr>
            <w:tcW w:w="649" w:type="pct"/>
            <w:tcBorders>
              <w:tl2br w:val="nil"/>
              <w:tr2bl w:val="nil"/>
            </w:tcBorders>
            <w:shd w:val="clear" w:color="auto" w:fill="auto"/>
            <w:noWrap w:val="0"/>
            <w:vAlign w:val="bottom"/>
          </w:tcPr>
          <w:p w14:paraId="0FFDE7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18.3341</w:t>
            </w:r>
          </w:p>
        </w:tc>
        <w:tc>
          <w:tcPr>
            <w:tcW w:w="731" w:type="pct"/>
            <w:tcBorders>
              <w:tl2br w:val="nil"/>
              <w:tr2bl w:val="nil"/>
            </w:tcBorders>
            <w:shd w:val="clear" w:color="auto" w:fill="auto"/>
            <w:noWrap w:val="0"/>
            <w:vAlign w:val="bottom"/>
          </w:tcPr>
          <w:p w14:paraId="2662B2D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14.7832</w:t>
            </w:r>
          </w:p>
        </w:tc>
      </w:tr>
      <w:tr w14:paraId="5E9687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16DB3E7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-18.0000</w:t>
            </w:r>
          </w:p>
        </w:tc>
        <w:tc>
          <w:tcPr>
            <w:tcW w:w="667" w:type="pct"/>
            <w:tcBorders>
              <w:tl2br w:val="nil"/>
              <w:tr2bl w:val="nil"/>
            </w:tcBorders>
            <w:shd w:val="clear" w:color="auto" w:fill="auto"/>
            <w:noWrap w:val="0"/>
            <w:vAlign w:val="bottom"/>
          </w:tcPr>
          <w:p w14:paraId="6517FF1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2.7977</w:t>
            </w:r>
          </w:p>
        </w:tc>
        <w:tc>
          <w:tcPr>
            <w:tcW w:w="743" w:type="pct"/>
            <w:tcBorders>
              <w:tl2br w:val="nil"/>
              <w:tr2bl w:val="nil"/>
            </w:tcBorders>
            <w:shd w:val="clear" w:color="auto" w:fill="auto"/>
            <w:noWrap w:val="0"/>
            <w:vAlign w:val="bottom"/>
          </w:tcPr>
          <w:p w14:paraId="7963B86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2.8019</w:t>
            </w:r>
          </w:p>
        </w:tc>
        <w:tc>
          <w:tcPr>
            <w:tcW w:w="642" w:type="pct"/>
            <w:tcBorders>
              <w:tl2br w:val="nil"/>
              <w:tr2bl w:val="nil"/>
            </w:tcBorders>
            <w:shd w:val="clear" w:color="auto" w:fill="auto"/>
            <w:noWrap w:val="0"/>
            <w:vAlign w:val="bottom"/>
          </w:tcPr>
          <w:p w14:paraId="1F23A17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2.4566</w:t>
            </w:r>
          </w:p>
        </w:tc>
        <w:tc>
          <w:tcPr>
            <w:tcW w:w="644" w:type="pct"/>
            <w:tcBorders>
              <w:tl2br w:val="nil"/>
              <w:tr2bl w:val="nil"/>
            </w:tcBorders>
            <w:shd w:val="clear" w:color="auto" w:fill="auto"/>
            <w:noWrap w:val="0"/>
            <w:vAlign w:val="bottom"/>
          </w:tcPr>
          <w:p w14:paraId="0061FD7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21.7113</w:t>
            </w:r>
          </w:p>
        </w:tc>
        <w:tc>
          <w:tcPr>
            <w:tcW w:w="649" w:type="pct"/>
            <w:tcBorders>
              <w:tl2br w:val="nil"/>
              <w:tr2bl w:val="nil"/>
            </w:tcBorders>
            <w:shd w:val="clear" w:color="auto" w:fill="auto"/>
            <w:noWrap w:val="0"/>
            <w:vAlign w:val="bottom"/>
          </w:tcPr>
          <w:p w14:paraId="63FCCA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20.4987</w:t>
            </w:r>
          </w:p>
        </w:tc>
        <w:tc>
          <w:tcPr>
            <w:tcW w:w="731" w:type="pct"/>
            <w:tcBorders>
              <w:tl2br w:val="nil"/>
              <w:tr2bl w:val="nil"/>
            </w:tcBorders>
            <w:shd w:val="clear" w:color="auto" w:fill="auto"/>
            <w:noWrap w:val="0"/>
            <w:vAlign w:val="bottom"/>
          </w:tcPr>
          <w:p w14:paraId="60622E0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16.0989</w:t>
            </w:r>
          </w:p>
        </w:tc>
      </w:tr>
      <w:tr w14:paraId="7DB541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5A63FF3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-17.0000</w:t>
            </w:r>
          </w:p>
        </w:tc>
        <w:tc>
          <w:tcPr>
            <w:tcW w:w="667" w:type="pct"/>
            <w:tcBorders>
              <w:tl2br w:val="nil"/>
              <w:tr2bl w:val="nil"/>
            </w:tcBorders>
            <w:shd w:val="clear" w:color="auto" w:fill="auto"/>
            <w:noWrap w:val="0"/>
            <w:vAlign w:val="bottom"/>
          </w:tcPr>
          <w:p w14:paraId="3A7A77F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3.3120</w:t>
            </w:r>
          </w:p>
        </w:tc>
        <w:tc>
          <w:tcPr>
            <w:tcW w:w="743" w:type="pct"/>
            <w:tcBorders>
              <w:tl2br w:val="nil"/>
              <w:tr2bl w:val="nil"/>
            </w:tcBorders>
            <w:shd w:val="clear" w:color="auto" w:fill="auto"/>
            <w:noWrap w:val="0"/>
            <w:vAlign w:val="bottom"/>
          </w:tcPr>
          <w:p w14:paraId="044D36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3.2587</w:t>
            </w:r>
          </w:p>
        </w:tc>
        <w:tc>
          <w:tcPr>
            <w:tcW w:w="642" w:type="pct"/>
            <w:tcBorders>
              <w:tl2br w:val="nil"/>
              <w:tr2bl w:val="nil"/>
            </w:tcBorders>
            <w:shd w:val="clear" w:color="auto" w:fill="auto"/>
            <w:noWrap w:val="0"/>
            <w:vAlign w:val="bottom"/>
          </w:tcPr>
          <w:p w14:paraId="1956C27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2.7052</w:t>
            </w:r>
          </w:p>
        </w:tc>
        <w:tc>
          <w:tcPr>
            <w:tcW w:w="644" w:type="pct"/>
            <w:tcBorders>
              <w:tl2br w:val="nil"/>
              <w:tr2bl w:val="nil"/>
            </w:tcBorders>
            <w:shd w:val="clear" w:color="auto" w:fill="auto"/>
            <w:noWrap w:val="0"/>
            <w:vAlign w:val="bottom"/>
          </w:tcPr>
          <w:p w14:paraId="138F873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24.6223</w:t>
            </w:r>
          </w:p>
        </w:tc>
        <w:tc>
          <w:tcPr>
            <w:tcW w:w="649" w:type="pct"/>
            <w:tcBorders>
              <w:tl2br w:val="nil"/>
              <w:tr2bl w:val="nil"/>
            </w:tcBorders>
            <w:shd w:val="clear" w:color="auto" w:fill="auto"/>
            <w:noWrap w:val="0"/>
            <w:vAlign w:val="bottom"/>
          </w:tcPr>
          <w:p w14:paraId="67A113C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23.0293</w:t>
            </w:r>
          </w:p>
        </w:tc>
        <w:tc>
          <w:tcPr>
            <w:tcW w:w="731" w:type="pct"/>
            <w:tcBorders>
              <w:tl2br w:val="nil"/>
              <w:tr2bl w:val="nil"/>
            </w:tcBorders>
            <w:shd w:val="clear" w:color="auto" w:fill="auto"/>
            <w:noWrap w:val="0"/>
            <w:vAlign w:val="bottom"/>
          </w:tcPr>
          <w:p w14:paraId="7C02EB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17.5451</w:t>
            </w:r>
          </w:p>
        </w:tc>
      </w:tr>
      <w:tr w14:paraId="5BFAE3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F78EF3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-16.0000</w:t>
            </w:r>
          </w:p>
        </w:tc>
        <w:tc>
          <w:tcPr>
            <w:tcW w:w="667" w:type="pct"/>
            <w:tcBorders>
              <w:tl2br w:val="nil"/>
              <w:tr2bl w:val="nil"/>
            </w:tcBorders>
            <w:shd w:val="clear" w:color="auto" w:fill="auto"/>
            <w:noWrap w:val="0"/>
            <w:vAlign w:val="bottom"/>
          </w:tcPr>
          <w:p w14:paraId="13CF694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3.9369</w:t>
            </w:r>
          </w:p>
        </w:tc>
        <w:tc>
          <w:tcPr>
            <w:tcW w:w="743" w:type="pct"/>
            <w:tcBorders>
              <w:tl2br w:val="nil"/>
              <w:tr2bl w:val="nil"/>
            </w:tcBorders>
            <w:shd w:val="clear" w:color="auto" w:fill="auto"/>
            <w:noWrap w:val="0"/>
            <w:vAlign w:val="bottom"/>
          </w:tcPr>
          <w:p w14:paraId="2D85E1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3.7934</w:t>
            </w:r>
          </w:p>
        </w:tc>
        <w:tc>
          <w:tcPr>
            <w:tcW w:w="642" w:type="pct"/>
            <w:tcBorders>
              <w:tl2br w:val="nil"/>
              <w:tr2bl w:val="nil"/>
            </w:tcBorders>
            <w:shd w:val="clear" w:color="auto" w:fill="auto"/>
            <w:noWrap w:val="0"/>
            <w:vAlign w:val="bottom"/>
          </w:tcPr>
          <w:p w14:paraId="2ECF62D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2.9638</w:t>
            </w:r>
          </w:p>
        </w:tc>
        <w:tc>
          <w:tcPr>
            <w:tcW w:w="644" w:type="pct"/>
            <w:tcBorders>
              <w:tl2br w:val="nil"/>
              <w:tr2bl w:val="nil"/>
            </w:tcBorders>
            <w:shd w:val="clear" w:color="auto" w:fill="auto"/>
            <w:noWrap w:val="0"/>
            <w:vAlign w:val="bottom"/>
          </w:tcPr>
          <w:p w14:paraId="55EA8C1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28.1108</w:t>
            </w:r>
          </w:p>
        </w:tc>
        <w:tc>
          <w:tcPr>
            <w:tcW w:w="649" w:type="pct"/>
            <w:tcBorders>
              <w:tl2br w:val="nil"/>
              <w:tr2bl w:val="nil"/>
            </w:tcBorders>
            <w:shd w:val="clear" w:color="auto" w:fill="auto"/>
            <w:noWrap w:val="0"/>
            <w:vAlign w:val="bottom"/>
          </w:tcPr>
          <w:p w14:paraId="544A99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25.9892</w:t>
            </w:r>
          </w:p>
        </w:tc>
        <w:tc>
          <w:tcPr>
            <w:tcW w:w="731" w:type="pct"/>
            <w:tcBorders>
              <w:tl2br w:val="nil"/>
              <w:tr2bl w:val="nil"/>
            </w:tcBorders>
            <w:shd w:val="clear" w:color="auto" w:fill="auto"/>
            <w:noWrap w:val="0"/>
            <w:vAlign w:val="bottom"/>
          </w:tcPr>
          <w:p w14:paraId="2E534A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19.1229</w:t>
            </w:r>
          </w:p>
        </w:tc>
      </w:tr>
      <w:tr w14:paraId="172A0C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6F61C5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-15.0000</w:t>
            </w:r>
          </w:p>
        </w:tc>
        <w:tc>
          <w:tcPr>
            <w:tcW w:w="667" w:type="pct"/>
            <w:tcBorders>
              <w:tl2br w:val="nil"/>
              <w:tr2bl w:val="nil"/>
            </w:tcBorders>
            <w:shd w:val="clear" w:color="auto" w:fill="auto"/>
            <w:noWrap w:val="0"/>
            <w:vAlign w:val="bottom"/>
          </w:tcPr>
          <w:p w14:paraId="4A347A1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4.6894</w:t>
            </w:r>
          </w:p>
        </w:tc>
        <w:tc>
          <w:tcPr>
            <w:tcW w:w="743" w:type="pct"/>
            <w:tcBorders>
              <w:tl2br w:val="nil"/>
              <w:tr2bl w:val="nil"/>
            </w:tcBorders>
            <w:shd w:val="clear" w:color="auto" w:fill="auto"/>
            <w:noWrap w:val="0"/>
            <w:vAlign w:val="bottom"/>
          </w:tcPr>
          <w:p w14:paraId="7023641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4.4091</w:t>
            </w:r>
          </w:p>
        </w:tc>
        <w:tc>
          <w:tcPr>
            <w:tcW w:w="642" w:type="pct"/>
            <w:tcBorders>
              <w:tl2br w:val="nil"/>
              <w:tr2bl w:val="nil"/>
            </w:tcBorders>
            <w:shd w:val="clear" w:color="auto" w:fill="auto"/>
            <w:noWrap w:val="0"/>
            <w:vAlign w:val="bottom"/>
          </w:tcPr>
          <w:p w14:paraId="2262D5E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3.2239</w:t>
            </w:r>
          </w:p>
        </w:tc>
        <w:tc>
          <w:tcPr>
            <w:tcW w:w="644" w:type="pct"/>
            <w:tcBorders>
              <w:tl2br w:val="nil"/>
              <w:tr2bl w:val="nil"/>
            </w:tcBorders>
            <w:shd w:val="clear" w:color="auto" w:fill="auto"/>
            <w:noWrap w:val="0"/>
            <w:vAlign w:val="bottom"/>
          </w:tcPr>
          <w:p w14:paraId="66AEAD9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32.2998</w:t>
            </w:r>
          </w:p>
        </w:tc>
        <w:tc>
          <w:tcPr>
            <w:tcW w:w="649" w:type="pct"/>
            <w:tcBorders>
              <w:tl2br w:val="nil"/>
              <w:tr2bl w:val="nil"/>
            </w:tcBorders>
            <w:shd w:val="clear" w:color="auto" w:fill="auto"/>
            <w:noWrap w:val="0"/>
            <w:vAlign w:val="bottom"/>
          </w:tcPr>
          <w:p w14:paraId="6D31FF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29.4398</w:t>
            </w:r>
          </w:p>
        </w:tc>
        <w:tc>
          <w:tcPr>
            <w:tcW w:w="731" w:type="pct"/>
            <w:tcBorders>
              <w:tl2br w:val="nil"/>
              <w:tr2bl w:val="nil"/>
            </w:tcBorders>
            <w:shd w:val="clear" w:color="auto" w:fill="auto"/>
            <w:noWrap w:val="0"/>
            <w:vAlign w:val="bottom"/>
          </w:tcPr>
          <w:p w14:paraId="10A549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20.8257</w:t>
            </w:r>
          </w:p>
        </w:tc>
      </w:tr>
      <w:tr w14:paraId="68FD2C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50E0A17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-14.0000</w:t>
            </w:r>
          </w:p>
        </w:tc>
        <w:tc>
          <w:tcPr>
            <w:tcW w:w="667" w:type="pct"/>
            <w:tcBorders>
              <w:tl2br w:val="nil"/>
              <w:tr2bl w:val="nil"/>
            </w:tcBorders>
            <w:shd w:val="clear" w:color="auto" w:fill="auto"/>
            <w:noWrap w:val="0"/>
            <w:vAlign w:val="bottom"/>
          </w:tcPr>
          <w:p w14:paraId="2260870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5.5780</w:t>
            </w:r>
          </w:p>
        </w:tc>
        <w:tc>
          <w:tcPr>
            <w:tcW w:w="743" w:type="pct"/>
            <w:tcBorders>
              <w:tl2br w:val="nil"/>
              <w:tr2bl w:val="nil"/>
            </w:tcBorders>
            <w:shd w:val="clear" w:color="auto" w:fill="auto"/>
            <w:noWrap w:val="0"/>
            <w:vAlign w:val="bottom"/>
          </w:tcPr>
          <w:p w14:paraId="022D5A8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5.0983</w:t>
            </w:r>
          </w:p>
        </w:tc>
        <w:tc>
          <w:tcPr>
            <w:tcW w:w="642" w:type="pct"/>
            <w:tcBorders>
              <w:tl2br w:val="nil"/>
              <w:tr2bl w:val="nil"/>
            </w:tcBorders>
            <w:shd w:val="clear" w:color="auto" w:fill="auto"/>
            <w:noWrap w:val="0"/>
            <w:vAlign w:val="bottom"/>
          </w:tcPr>
          <w:p w14:paraId="7DA7552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3.4729</w:t>
            </w:r>
          </w:p>
        </w:tc>
        <w:tc>
          <w:tcPr>
            <w:tcW w:w="644" w:type="pct"/>
            <w:tcBorders>
              <w:tl2br w:val="nil"/>
              <w:tr2bl w:val="nil"/>
            </w:tcBorders>
            <w:shd w:val="clear" w:color="auto" w:fill="auto"/>
            <w:noWrap w:val="0"/>
            <w:vAlign w:val="bottom"/>
          </w:tcPr>
          <w:p w14:paraId="7C9FB3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37.3124</w:t>
            </w:r>
          </w:p>
        </w:tc>
        <w:tc>
          <w:tcPr>
            <w:tcW w:w="649" w:type="pct"/>
            <w:tcBorders>
              <w:tl2br w:val="nil"/>
              <w:tr2bl w:val="nil"/>
            </w:tcBorders>
            <w:shd w:val="clear" w:color="auto" w:fill="auto"/>
            <w:noWrap w:val="0"/>
            <w:vAlign w:val="bottom"/>
          </w:tcPr>
          <w:p w14:paraId="0DEF638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33.4246</w:t>
            </w:r>
          </w:p>
        </w:tc>
        <w:tc>
          <w:tcPr>
            <w:tcW w:w="731" w:type="pct"/>
            <w:tcBorders>
              <w:tl2br w:val="nil"/>
              <w:tr2bl w:val="nil"/>
            </w:tcBorders>
            <w:shd w:val="clear" w:color="auto" w:fill="auto"/>
            <w:noWrap w:val="0"/>
            <w:vAlign w:val="bottom"/>
          </w:tcPr>
          <w:p w14:paraId="152A8E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22.6363</w:t>
            </w:r>
          </w:p>
        </w:tc>
      </w:tr>
      <w:tr w14:paraId="2351BA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6290672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-13.0000</w:t>
            </w:r>
          </w:p>
        </w:tc>
        <w:tc>
          <w:tcPr>
            <w:tcW w:w="667" w:type="pct"/>
            <w:tcBorders>
              <w:tl2br w:val="nil"/>
              <w:tr2bl w:val="nil"/>
            </w:tcBorders>
            <w:shd w:val="clear" w:color="auto" w:fill="auto"/>
            <w:noWrap w:val="0"/>
            <w:vAlign w:val="bottom"/>
          </w:tcPr>
          <w:p w14:paraId="6B87AE7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6.5893</w:t>
            </w:r>
          </w:p>
        </w:tc>
        <w:tc>
          <w:tcPr>
            <w:tcW w:w="743" w:type="pct"/>
            <w:tcBorders>
              <w:tl2br w:val="nil"/>
              <w:tr2bl w:val="nil"/>
            </w:tcBorders>
            <w:shd w:val="clear" w:color="auto" w:fill="auto"/>
            <w:noWrap w:val="0"/>
            <w:vAlign w:val="bottom"/>
          </w:tcPr>
          <w:p w14:paraId="390FA7C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5.8342</w:t>
            </w:r>
          </w:p>
        </w:tc>
        <w:tc>
          <w:tcPr>
            <w:tcW w:w="642" w:type="pct"/>
            <w:tcBorders>
              <w:tl2br w:val="nil"/>
              <w:tr2bl w:val="nil"/>
            </w:tcBorders>
            <w:shd w:val="clear" w:color="auto" w:fill="auto"/>
            <w:noWrap w:val="0"/>
            <w:vAlign w:val="bottom"/>
          </w:tcPr>
          <w:p w14:paraId="3A6D6F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3.6945</w:t>
            </w:r>
          </w:p>
        </w:tc>
        <w:tc>
          <w:tcPr>
            <w:tcW w:w="644" w:type="pct"/>
            <w:tcBorders>
              <w:tl2br w:val="nil"/>
              <w:tr2bl w:val="nil"/>
            </w:tcBorders>
            <w:shd w:val="clear" w:color="auto" w:fill="auto"/>
            <w:noWrap w:val="0"/>
            <w:vAlign w:val="bottom"/>
          </w:tcPr>
          <w:p w14:paraId="07CD0F0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43.2293</w:t>
            </w:r>
          </w:p>
        </w:tc>
        <w:tc>
          <w:tcPr>
            <w:tcW w:w="649" w:type="pct"/>
            <w:tcBorders>
              <w:tl2br w:val="nil"/>
              <w:tr2bl w:val="nil"/>
            </w:tcBorders>
            <w:shd w:val="clear" w:color="auto" w:fill="auto"/>
            <w:noWrap w:val="0"/>
            <w:vAlign w:val="bottom"/>
          </w:tcPr>
          <w:p w14:paraId="53E8731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37.9387</w:t>
            </w:r>
          </w:p>
        </w:tc>
        <w:tc>
          <w:tcPr>
            <w:tcW w:w="731" w:type="pct"/>
            <w:tcBorders>
              <w:tl2br w:val="nil"/>
              <w:tr2bl w:val="nil"/>
            </w:tcBorders>
            <w:shd w:val="clear" w:color="auto" w:fill="auto"/>
            <w:noWrap w:val="0"/>
            <w:vAlign w:val="bottom"/>
          </w:tcPr>
          <w:p w14:paraId="0544CAE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24.5242</w:t>
            </w:r>
          </w:p>
        </w:tc>
      </w:tr>
      <w:tr w14:paraId="645746A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F88CC1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-12.0000</w:t>
            </w:r>
          </w:p>
        </w:tc>
        <w:tc>
          <w:tcPr>
            <w:tcW w:w="667" w:type="pct"/>
            <w:tcBorders>
              <w:tl2br w:val="nil"/>
              <w:tr2bl w:val="nil"/>
            </w:tcBorders>
            <w:shd w:val="clear" w:color="auto" w:fill="auto"/>
            <w:noWrap w:val="0"/>
            <w:vAlign w:val="bottom"/>
          </w:tcPr>
          <w:p w14:paraId="1DA6D3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7.6649</w:t>
            </w:r>
          </w:p>
        </w:tc>
        <w:tc>
          <w:tcPr>
            <w:tcW w:w="743" w:type="pct"/>
            <w:tcBorders>
              <w:tl2br w:val="nil"/>
              <w:tr2bl w:val="nil"/>
            </w:tcBorders>
            <w:shd w:val="clear" w:color="auto" w:fill="auto"/>
            <w:noWrap w:val="0"/>
            <w:vAlign w:val="bottom"/>
          </w:tcPr>
          <w:p w14:paraId="327557A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6.5606</w:t>
            </w:r>
          </w:p>
        </w:tc>
        <w:tc>
          <w:tcPr>
            <w:tcW w:w="642" w:type="pct"/>
            <w:tcBorders>
              <w:tl2br w:val="nil"/>
              <w:tr2bl w:val="nil"/>
            </w:tcBorders>
            <w:shd w:val="clear" w:color="auto" w:fill="auto"/>
            <w:noWrap w:val="0"/>
            <w:vAlign w:val="bottom"/>
          </w:tcPr>
          <w:p w14:paraId="59E7975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3.8688</w:t>
            </w:r>
          </w:p>
        </w:tc>
        <w:tc>
          <w:tcPr>
            <w:tcW w:w="644" w:type="pct"/>
            <w:tcBorders>
              <w:tl2br w:val="nil"/>
              <w:tr2bl w:val="nil"/>
            </w:tcBorders>
            <w:shd w:val="clear" w:color="auto" w:fill="auto"/>
            <w:noWrap w:val="0"/>
            <w:vAlign w:val="bottom"/>
          </w:tcPr>
          <w:p w14:paraId="6CF039A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50.0009</w:t>
            </w:r>
          </w:p>
        </w:tc>
        <w:tc>
          <w:tcPr>
            <w:tcW w:w="649" w:type="pct"/>
            <w:tcBorders>
              <w:tl2br w:val="nil"/>
              <w:tr2bl w:val="nil"/>
            </w:tcBorders>
            <w:shd w:val="clear" w:color="auto" w:fill="auto"/>
            <w:noWrap w:val="0"/>
            <w:vAlign w:val="bottom"/>
          </w:tcPr>
          <w:p w14:paraId="749AB40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42.8823</w:t>
            </w:r>
          </w:p>
        </w:tc>
        <w:tc>
          <w:tcPr>
            <w:tcW w:w="731" w:type="pct"/>
            <w:tcBorders>
              <w:tl2br w:val="nil"/>
              <w:tr2bl w:val="nil"/>
            </w:tcBorders>
            <w:shd w:val="clear" w:color="auto" w:fill="auto"/>
            <w:noWrap w:val="0"/>
            <w:vAlign w:val="bottom"/>
          </w:tcPr>
          <w:p w14:paraId="32A76F6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26.4434</w:t>
            </w:r>
          </w:p>
        </w:tc>
      </w:tr>
      <w:tr w14:paraId="435194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4C4EC6F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-11.0000</w:t>
            </w:r>
          </w:p>
        </w:tc>
        <w:tc>
          <w:tcPr>
            <w:tcW w:w="667" w:type="pct"/>
            <w:tcBorders>
              <w:tl2br w:val="nil"/>
              <w:tr2bl w:val="nil"/>
            </w:tcBorders>
            <w:shd w:val="clear" w:color="auto" w:fill="auto"/>
            <w:noWrap w:val="0"/>
            <w:vAlign w:val="bottom"/>
          </w:tcPr>
          <w:p w14:paraId="4A5D4A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8.6745</w:t>
            </w:r>
          </w:p>
        </w:tc>
        <w:tc>
          <w:tcPr>
            <w:tcW w:w="743" w:type="pct"/>
            <w:tcBorders>
              <w:tl2br w:val="nil"/>
              <w:tr2bl w:val="nil"/>
            </w:tcBorders>
            <w:shd w:val="clear" w:color="auto" w:fill="auto"/>
            <w:noWrap w:val="0"/>
            <w:vAlign w:val="bottom"/>
          </w:tcPr>
          <w:p w14:paraId="7AEE065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7.1847</w:t>
            </w:r>
          </w:p>
        </w:tc>
        <w:tc>
          <w:tcPr>
            <w:tcW w:w="642" w:type="pct"/>
            <w:tcBorders>
              <w:tl2br w:val="nil"/>
              <w:tr2bl w:val="nil"/>
            </w:tcBorders>
            <w:shd w:val="clear" w:color="auto" w:fill="auto"/>
            <w:noWrap w:val="0"/>
            <w:vAlign w:val="bottom"/>
          </w:tcPr>
          <w:p w14:paraId="700D21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3.9750</w:t>
            </w:r>
          </w:p>
        </w:tc>
        <w:tc>
          <w:tcPr>
            <w:tcW w:w="644" w:type="pct"/>
            <w:tcBorders>
              <w:tl2br w:val="nil"/>
              <w:tr2bl w:val="nil"/>
            </w:tcBorders>
            <w:shd w:val="clear" w:color="auto" w:fill="auto"/>
            <w:noWrap w:val="0"/>
            <w:vAlign w:val="bottom"/>
          </w:tcPr>
          <w:p w14:paraId="78281C5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57.3035</w:t>
            </w:r>
          </w:p>
        </w:tc>
        <w:tc>
          <w:tcPr>
            <w:tcW w:w="649" w:type="pct"/>
            <w:tcBorders>
              <w:tl2br w:val="nil"/>
              <w:tr2bl w:val="nil"/>
            </w:tcBorders>
            <w:shd w:val="clear" w:color="auto" w:fill="auto"/>
            <w:noWrap w:val="0"/>
            <w:vAlign w:val="bottom"/>
          </w:tcPr>
          <w:p w14:paraId="3EF9580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48.0075</w:t>
            </w:r>
          </w:p>
        </w:tc>
        <w:tc>
          <w:tcPr>
            <w:tcW w:w="731" w:type="pct"/>
            <w:tcBorders>
              <w:tl2br w:val="nil"/>
              <w:tr2bl w:val="nil"/>
            </w:tcBorders>
            <w:shd w:val="clear" w:color="auto" w:fill="auto"/>
            <w:noWrap w:val="0"/>
            <w:vAlign w:val="bottom"/>
          </w:tcPr>
          <w:p w14:paraId="2FCF88E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28.3348</w:t>
            </w:r>
          </w:p>
        </w:tc>
      </w:tr>
      <w:tr w14:paraId="342008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5B07D6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-10.0000</w:t>
            </w:r>
          </w:p>
        </w:tc>
        <w:tc>
          <w:tcPr>
            <w:tcW w:w="667" w:type="pct"/>
            <w:tcBorders>
              <w:tl2br w:val="nil"/>
              <w:tr2bl w:val="nil"/>
            </w:tcBorders>
            <w:shd w:val="clear" w:color="auto" w:fill="auto"/>
            <w:noWrap w:val="0"/>
            <w:vAlign w:val="bottom"/>
          </w:tcPr>
          <w:p w14:paraId="578002C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9.4082</w:t>
            </w:r>
          </w:p>
        </w:tc>
        <w:tc>
          <w:tcPr>
            <w:tcW w:w="743" w:type="pct"/>
            <w:tcBorders>
              <w:tl2br w:val="nil"/>
              <w:tr2bl w:val="nil"/>
            </w:tcBorders>
            <w:shd w:val="clear" w:color="auto" w:fill="auto"/>
            <w:noWrap w:val="0"/>
            <w:vAlign w:val="bottom"/>
          </w:tcPr>
          <w:p w14:paraId="430532B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7.5863</w:t>
            </w:r>
          </w:p>
        </w:tc>
        <w:tc>
          <w:tcPr>
            <w:tcW w:w="642" w:type="pct"/>
            <w:tcBorders>
              <w:tl2br w:val="nil"/>
              <w:tr2bl w:val="nil"/>
            </w:tcBorders>
            <w:shd w:val="clear" w:color="auto" w:fill="auto"/>
            <w:noWrap w:val="0"/>
            <w:vAlign w:val="bottom"/>
          </w:tcPr>
          <w:p w14:paraId="38294C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3.9945</w:t>
            </w:r>
          </w:p>
        </w:tc>
        <w:tc>
          <w:tcPr>
            <w:tcW w:w="644" w:type="pct"/>
            <w:tcBorders>
              <w:tl2br w:val="nil"/>
              <w:tr2bl w:val="nil"/>
            </w:tcBorders>
            <w:shd w:val="clear" w:color="auto" w:fill="auto"/>
            <w:noWrap w:val="0"/>
            <w:vAlign w:val="bottom"/>
          </w:tcPr>
          <w:p w14:paraId="2056C07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64.4115</w:t>
            </w:r>
          </w:p>
        </w:tc>
        <w:tc>
          <w:tcPr>
            <w:tcW w:w="649" w:type="pct"/>
            <w:tcBorders>
              <w:tl2br w:val="nil"/>
              <w:tr2bl w:val="nil"/>
            </w:tcBorders>
            <w:shd w:val="clear" w:color="auto" w:fill="auto"/>
            <w:noWrap w:val="0"/>
            <w:vAlign w:val="bottom"/>
          </w:tcPr>
          <w:p w14:paraId="3D76E60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52.9006</w:t>
            </w:r>
          </w:p>
        </w:tc>
        <w:tc>
          <w:tcPr>
            <w:tcW w:w="731" w:type="pct"/>
            <w:tcBorders>
              <w:tl2br w:val="nil"/>
              <w:tr2bl w:val="nil"/>
            </w:tcBorders>
            <w:shd w:val="clear" w:color="auto" w:fill="auto"/>
            <w:noWrap w:val="0"/>
            <w:vAlign w:val="bottom"/>
          </w:tcPr>
          <w:p w14:paraId="7537524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30.1308</w:t>
            </w:r>
          </w:p>
        </w:tc>
      </w:tr>
      <w:tr w14:paraId="6C3219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21" w:type="pct"/>
            <w:tcBorders>
              <w:tl2br w:val="nil"/>
              <w:tr2bl w:val="nil"/>
            </w:tcBorders>
            <w:shd w:val="clear" w:color="auto" w:fill="auto"/>
            <w:noWrap w:val="0"/>
            <w:vAlign w:val="bottom"/>
          </w:tcPr>
          <w:p w14:paraId="7CDC20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-9.0000</w:t>
            </w:r>
          </w:p>
        </w:tc>
        <w:tc>
          <w:tcPr>
            <w:tcW w:w="667" w:type="pct"/>
            <w:tcBorders>
              <w:tl2br w:val="nil"/>
              <w:tr2bl w:val="nil"/>
            </w:tcBorders>
            <w:shd w:val="clear" w:color="auto" w:fill="auto"/>
            <w:noWrap w:val="0"/>
            <w:vAlign w:val="bottom"/>
          </w:tcPr>
          <w:p w14:paraId="10B1F82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9.6347</w:t>
            </w:r>
          </w:p>
        </w:tc>
        <w:tc>
          <w:tcPr>
            <w:tcW w:w="743" w:type="pct"/>
            <w:tcBorders>
              <w:tl2br w:val="nil"/>
              <w:tr2bl w:val="nil"/>
            </w:tcBorders>
            <w:shd w:val="clear" w:color="auto" w:fill="auto"/>
            <w:noWrap w:val="0"/>
            <w:vAlign w:val="bottom"/>
          </w:tcPr>
          <w:p w14:paraId="2D8BA2B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7.6546</w:t>
            </w:r>
          </w:p>
        </w:tc>
        <w:tc>
          <w:tcPr>
            <w:tcW w:w="642" w:type="pct"/>
            <w:tcBorders>
              <w:tl2br w:val="nil"/>
              <w:tr2bl w:val="nil"/>
            </w:tcBorders>
            <w:shd w:val="clear" w:color="auto" w:fill="auto"/>
            <w:noWrap w:val="0"/>
            <w:vAlign w:val="bottom"/>
          </w:tcPr>
          <w:p w14:paraId="5B7662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3.9155</w:t>
            </w:r>
          </w:p>
        </w:tc>
        <w:tc>
          <w:tcPr>
            <w:tcW w:w="644" w:type="pct"/>
            <w:tcBorders>
              <w:tl2br w:val="nil"/>
              <w:tr2bl w:val="nil"/>
            </w:tcBorders>
            <w:shd w:val="clear" w:color="auto" w:fill="auto"/>
            <w:noWrap w:val="0"/>
            <w:vAlign w:val="bottom"/>
          </w:tcPr>
          <w:p w14:paraId="4D66D21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70.2889</w:t>
            </w:r>
          </w:p>
        </w:tc>
        <w:tc>
          <w:tcPr>
            <w:tcW w:w="649" w:type="pct"/>
            <w:tcBorders>
              <w:tl2br w:val="nil"/>
              <w:tr2bl w:val="nil"/>
            </w:tcBorders>
            <w:shd w:val="clear" w:color="auto" w:fill="auto"/>
            <w:noWrap w:val="0"/>
            <w:vAlign w:val="bottom"/>
          </w:tcPr>
          <w:p w14:paraId="1925F10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57.0604</w:t>
            </w:r>
          </w:p>
        </w:tc>
        <w:tc>
          <w:tcPr>
            <w:tcW w:w="731" w:type="pct"/>
            <w:tcBorders>
              <w:tl2br w:val="nil"/>
              <w:tr2bl w:val="nil"/>
            </w:tcBorders>
            <w:shd w:val="clear" w:color="auto" w:fill="auto"/>
            <w:noWrap w:val="0"/>
            <w:vAlign w:val="bottom"/>
          </w:tcPr>
          <w:p w14:paraId="36AA93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31.7656</w:t>
            </w:r>
          </w:p>
        </w:tc>
      </w:tr>
      <w:tr w14:paraId="0EEDC3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CF8D36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-8.0000</w:t>
            </w:r>
          </w:p>
        </w:tc>
        <w:tc>
          <w:tcPr>
            <w:tcW w:w="667" w:type="pct"/>
            <w:tcBorders>
              <w:tl2br w:val="nil"/>
              <w:tr2bl w:val="nil"/>
            </w:tcBorders>
            <w:shd w:val="clear" w:color="auto" w:fill="auto"/>
            <w:noWrap w:val="0"/>
            <w:vAlign w:val="bottom"/>
          </w:tcPr>
          <w:p w14:paraId="2DD7BBB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9.2355</w:t>
            </w:r>
          </w:p>
        </w:tc>
        <w:tc>
          <w:tcPr>
            <w:tcW w:w="743" w:type="pct"/>
            <w:tcBorders>
              <w:tl2br w:val="nil"/>
              <w:tr2bl w:val="nil"/>
            </w:tcBorders>
            <w:shd w:val="clear" w:color="auto" w:fill="auto"/>
            <w:noWrap w:val="0"/>
            <w:vAlign w:val="bottom"/>
          </w:tcPr>
          <w:p w14:paraId="22DD8C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7.3428</w:t>
            </w:r>
          </w:p>
        </w:tc>
        <w:tc>
          <w:tcPr>
            <w:tcW w:w="642" w:type="pct"/>
            <w:tcBorders>
              <w:tl2br w:val="nil"/>
              <w:tr2bl w:val="nil"/>
            </w:tcBorders>
            <w:shd w:val="clear" w:color="auto" w:fill="auto"/>
            <w:noWrap w:val="0"/>
            <w:vAlign w:val="bottom"/>
          </w:tcPr>
          <w:p w14:paraId="126CD0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3.7367</w:t>
            </w:r>
          </w:p>
        </w:tc>
        <w:tc>
          <w:tcPr>
            <w:tcW w:w="644" w:type="pct"/>
            <w:tcBorders>
              <w:tl2br w:val="nil"/>
              <w:tr2bl w:val="nil"/>
            </w:tcBorders>
            <w:shd w:val="clear" w:color="auto" w:fill="auto"/>
            <w:noWrap w:val="0"/>
            <w:vAlign w:val="bottom"/>
          </w:tcPr>
          <w:p w14:paraId="3D4E518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74.0671</w:t>
            </w:r>
          </w:p>
        </w:tc>
        <w:tc>
          <w:tcPr>
            <w:tcW w:w="649" w:type="pct"/>
            <w:tcBorders>
              <w:tl2br w:val="nil"/>
              <w:tr2bl w:val="nil"/>
            </w:tcBorders>
            <w:shd w:val="clear" w:color="auto" w:fill="auto"/>
            <w:noWrap w:val="0"/>
            <w:vAlign w:val="bottom"/>
          </w:tcPr>
          <w:p w14:paraId="6B8F72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60.0864</w:t>
            </w:r>
          </w:p>
        </w:tc>
        <w:tc>
          <w:tcPr>
            <w:tcW w:w="731" w:type="pct"/>
            <w:tcBorders>
              <w:tl2br w:val="nil"/>
              <w:tr2bl w:val="nil"/>
            </w:tcBorders>
            <w:shd w:val="clear" w:color="auto" w:fill="auto"/>
            <w:noWrap w:val="0"/>
            <w:vAlign w:val="bottom"/>
          </w:tcPr>
          <w:p w14:paraId="522C55C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33.1863</w:t>
            </w:r>
          </w:p>
        </w:tc>
      </w:tr>
      <w:tr w14:paraId="1C1F44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6BE4D5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-7.0000</w:t>
            </w:r>
          </w:p>
        </w:tc>
        <w:tc>
          <w:tcPr>
            <w:tcW w:w="667" w:type="pct"/>
            <w:tcBorders>
              <w:tl2br w:val="nil"/>
              <w:tr2bl w:val="nil"/>
            </w:tcBorders>
            <w:shd w:val="clear" w:color="auto" w:fill="auto"/>
            <w:noWrap w:val="0"/>
            <w:vAlign w:val="bottom"/>
          </w:tcPr>
          <w:p w14:paraId="476AE0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8.3083</w:t>
            </w:r>
          </w:p>
        </w:tc>
        <w:tc>
          <w:tcPr>
            <w:tcW w:w="743" w:type="pct"/>
            <w:tcBorders>
              <w:tl2br w:val="nil"/>
              <w:tr2bl w:val="nil"/>
            </w:tcBorders>
            <w:shd w:val="clear" w:color="auto" w:fill="auto"/>
            <w:noWrap w:val="0"/>
            <w:vAlign w:val="bottom"/>
          </w:tcPr>
          <w:p w14:paraId="3F12C7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6.7056</w:t>
            </w:r>
          </w:p>
        </w:tc>
        <w:tc>
          <w:tcPr>
            <w:tcW w:w="642" w:type="pct"/>
            <w:tcBorders>
              <w:tl2br w:val="nil"/>
              <w:tr2bl w:val="nil"/>
            </w:tcBorders>
            <w:shd w:val="clear" w:color="auto" w:fill="auto"/>
            <w:noWrap w:val="0"/>
            <w:vAlign w:val="bottom"/>
          </w:tcPr>
          <w:p w14:paraId="170259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3.4693</w:t>
            </w:r>
          </w:p>
        </w:tc>
        <w:tc>
          <w:tcPr>
            <w:tcW w:w="644" w:type="pct"/>
            <w:tcBorders>
              <w:tl2br w:val="nil"/>
              <w:tr2bl w:val="nil"/>
            </w:tcBorders>
            <w:shd w:val="clear" w:color="auto" w:fill="auto"/>
            <w:noWrap w:val="0"/>
            <w:vAlign w:val="bottom"/>
          </w:tcPr>
          <w:p w14:paraId="22D714E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75.5910</w:t>
            </w:r>
          </w:p>
        </w:tc>
        <w:tc>
          <w:tcPr>
            <w:tcW w:w="649" w:type="pct"/>
            <w:tcBorders>
              <w:tl2br w:val="nil"/>
              <w:tr2bl w:val="nil"/>
            </w:tcBorders>
            <w:shd w:val="clear" w:color="auto" w:fill="auto"/>
            <w:noWrap w:val="0"/>
            <w:vAlign w:val="bottom"/>
          </w:tcPr>
          <w:p w14:paraId="08E88B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61.8629</w:t>
            </w:r>
          </w:p>
        </w:tc>
        <w:tc>
          <w:tcPr>
            <w:tcW w:w="731" w:type="pct"/>
            <w:tcBorders>
              <w:tl2br w:val="nil"/>
              <w:tr2bl w:val="nil"/>
            </w:tcBorders>
            <w:shd w:val="clear" w:color="auto" w:fill="auto"/>
            <w:noWrap w:val="0"/>
            <w:vAlign w:val="bottom"/>
          </w:tcPr>
          <w:p w14:paraId="2C1950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34.3624</w:t>
            </w:r>
          </w:p>
        </w:tc>
      </w:tr>
      <w:tr w14:paraId="4A5C23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7D6AE5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-6.0000</w:t>
            </w:r>
          </w:p>
        </w:tc>
        <w:tc>
          <w:tcPr>
            <w:tcW w:w="667" w:type="pct"/>
            <w:tcBorders>
              <w:tl2br w:val="nil"/>
              <w:tr2bl w:val="nil"/>
            </w:tcBorders>
            <w:shd w:val="clear" w:color="auto" w:fill="auto"/>
            <w:noWrap w:val="0"/>
            <w:vAlign w:val="bottom"/>
          </w:tcPr>
          <w:p w14:paraId="15E8AA7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7.1297</w:t>
            </w:r>
          </w:p>
        </w:tc>
        <w:tc>
          <w:tcPr>
            <w:tcW w:w="743" w:type="pct"/>
            <w:tcBorders>
              <w:tl2br w:val="nil"/>
              <w:tr2bl w:val="nil"/>
            </w:tcBorders>
            <w:shd w:val="clear" w:color="auto" w:fill="auto"/>
            <w:noWrap w:val="0"/>
            <w:vAlign w:val="bottom"/>
          </w:tcPr>
          <w:p w14:paraId="7ED3518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5.8887</w:t>
            </w:r>
          </w:p>
        </w:tc>
        <w:tc>
          <w:tcPr>
            <w:tcW w:w="642" w:type="pct"/>
            <w:tcBorders>
              <w:tl2br w:val="nil"/>
              <w:tr2bl w:val="nil"/>
            </w:tcBorders>
            <w:shd w:val="clear" w:color="auto" w:fill="auto"/>
            <w:noWrap w:val="0"/>
            <w:vAlign w:val="bottom"/>
          </w:tcPr>
          <w:p w14:paraId="7B500D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3.1367</w:t>
            </w:r>
          </w:p>
        </w:tc>
        <w:tc>
          <w:tcPr>
            <w:tcW w:w="644" w:type="pct"/>
            <w:tcBorders>
              <w:tl2br w:val="nil"/>
              <w:tr2bl w:val="nil"/>
            </w:tcBorders>
            <w:shd w:val="clear" w:color="auto" w:fill="auto"/>
            <w:noWrap w:val="0"/>
            <w:vAlign w:val="bottom"/>
          </w:tcPr>
          <w:p w14:paraId="1120C3E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75.4363</w:t>
            </w:r>
          </w:p>
        </w:tc>
        <w:tc>
          <w:tcPr>
            <w:tcW w:w="649" w:type="pct"/>
            <w:tcBorders>
              <w:tl2br w:val="nil"/>
              <w:tr2bl w:val="nil"/>
            </w:tcBorders>
            <w:shd w:val="clear" w:color="auto" w:fill="auto"/>
            <w:noWrap w:val="0"/>
            <w:vAlign w:val="bottom"/>
          </w:tcPr>
          <w:p w14:paraId="1D2B352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62.5835</w:t>
            </w:r>
          </w:p>
        </w:tc>
        <w:tc>
          <w:tcPr>
            <w:tcW w:w="731" w:type="pct"/>
            <w:tcBorders>
              <w:tl2br w:val="nil"/>
              <w:tr2bl w:val="nil"/>
            </w:tcBorders>
            <w:shd w:val="clear" w:color="auto" w:fill="auto"/>
            <w:noWrap w:val="0"/>
            <w:vAlign w:val="bottom"/>
          </w:tcPr>
          <w:p w14:paraId="4C1EFD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35.2892</w:t>
            </w:r>
          </w:p>
        </w:tc>
      </w:tr>
      <w:tr w14:paraId="60BFBF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A46D51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-5.0000</w:t>
            </w:r>
          </w:p>
        </w:tc>
        <w:tc>
          <w:tcPr>
            <w:tcW w:w="667" w:type="pct"/>
            <w:tcBorders>
              <w:tl2br w:val="nil"/>
              <w:tr2bl w:val="nil"/>
            </w:tcBorders>
            <w:shd w:val="clear" w:color="auto" w:fill="auto"/>
            <w:noWrap w:val="0"/>
            <w:vAlign w:val="bottom"/>
          </w:tcPr>
          <w:p w14:paraId="7C72F32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6.0310</w:t>
            </w:r>
          </w:p>
        </w:tc>
        <w:tc>
          <w:tcPr>
            <w:tcW w:w="743" w:type="pct"/>
            <w:tcBorders>
              <w:tl2br w:val="nil"/>
              <w:tr2bl w:val="nil"/>
            </w:tcBorders>
            <w:shd w:val="clear" w:color="auto" w:fill="auto"/>
            <w:noWrap w:val="0"/>
            <w:vAlign w:val="bottom"/>
          </w:tcPr>
          <w:p w14:paraId="76CB32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5.0816</w:t>
            </w:r>
          </w:p>
        </w:tc>
        <w:tc>
          <w:tcPr>
            <w:tcW w:w="642" w:type="pct"/>
            <w:tcBorders>
              <w:tl2br w:val="nil"/>
              <w:tr2bl w:val="nil"/>
            </w:tcBorders>
            <w:shd w:val="clear" w:color="auto" w:fill="auto"/>
            <w:noWrap w:val="0"/>
            <w:vAlign w:val="bottom"/>
          </w:tcPr>
          <w:p w14:paraId="0B3CC56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2.7709</w:t>
            </w:r>
          </w:p>
        </w:tc>
        <w:tc>
          <w:tcPr>
            <w:tcW w:w="644" w:type="pct"/>
            <w:tcBorders>
              <w:tl2br w:val="nil"/>
              <w:tr2bl w:val="nil"/>
            </w:tcBorders>
            <w:shd w:val="clear" w:color="auto" w:fill="auto"/>
            <w:noWrap w:val="0"/>
            <w:vAlign w:val="bottom"/>
          </w:tcPr>
          <w:p w14:paraId="69115E9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74.4362</w:t>
            </w:r>
          </w:p>
        </w:tc>
        <w:tc>
          <w:tcPr>
            <w:tcW w:w="649" w:type="pct"/>
            <w:tcBorders>
              <w:tl2br w:val="nil"/>
              <w:tr2bl w:val="nil"/>
            </w:tcBorders>
            <w:shd w:val="clear" w:color="auto" w:fill="auto"/>
            <w:noWrap w:val="0"/>
            <w:vAlign w:val="bottom"/>
          </w:tcPr>
          <w:p w14:paraId="31F9AD1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62.6091</w:t>
            </w:r>
          </w:p>
        </w:tc>
        <w:tc>
          <w:tcPr>
            <w:tcW w:w="731" w:type="pct"/>
            <w:tcBorders>
              <w:tl2br w:val="nil"/>
              <w:tr2bl w:val="nil"/>
            </w:tcBorders>
            <w:shd w:val="clear" w:color="auto" w:fill="auto"/>
            <w:noWrap w:val="0"/>
            <w:vAlign w:val="bottom"/>
          </w:tcPr>
          <w:p w14:paraId="2892255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35.9849</w:t>
            </w:r>
          </w:p>
        </w:tc>
      </w:tr>
      <w:tr w14:paraId="0BF6F7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4C93AB6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w:t>
            </w:r>
          </w:p>
        </w:tc>
        <w:tc>
          <w:tcPr>
            <w:tcW w:w="667" w:type="pct"/>
            <w:tcBorders>
              <w:tl2br w:val="nil"/>
              <w:tr2bl w:val="nil"/>
            </w:tcBorders>
            <w:shd w:val="clear" w:color="auto" w:fill="auto"/>
            <w:noWrap w:val="0"/>
            <w:vAlign w:val="bottom"/>
          </w:tcPr>
          <w:p w14:paraId="493416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5.2930</w:t>
            </w:r>
          </w:p>
        </w:tc>
        <w:tc>
          <w:tcPr>
            <w:tcW w:w="743" w:type="pct"/>
            <w:tcBorders>
              <w:tl2br w:val="nil"/>
              <w:tr2bl w:val="nil"/>
            </w:tcBorders>
            <w:shd w:val="clear" w:color="auto" w:fill="auto"/>
            <w:noWrap w:val="0"/>
            <w:vAlign w:val="bottom"/>
          </w:tcPr>
          <w:p w14:paraId="3FBB463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4.4633</w:t>
            </w:r>
          </w:p>
        </w:tc>
        <w:tc>
          <w:tcPr>
            <w:tcW w:w="642" w:type="pct"/>
            <w:tcBorders>
              <w:tl2br w:val="nil"/>
              <w:tr2bl w:val="nil"/>
            </w:tcBorders>
            <w:shd w:val="clear" w:color="auto" w:fill="auto"/>
            <w:noWrap w:val="0"/>
            <w:vAlign w:val="bottom"/>
          </w:tcPr>
          <w:p w14:paraId="1384140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2.4085</w:t>
            </w:r>
          </w:p>
        </w:tc>
        <w:tc>
          <w:tcPr>
            <w:tcW w:w="644" w:type="pct"/>
            <w:tcBorders>
              <w:tl2br w:val="nil"/>
              <w:tr2bl w:val="nil"/>
            </w:tcBorders>
            <w:shd w:val="clear" w:color="auto" w:fill="auto"/>
            <w:noWrap w:val="0"/>
            <w:vAlign w:val="bottom"/>
          </w:tcPr>
          <w:p w14:paraId="6043BE2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73.2603</w:t>
            </w:r>
          </w:p>
        </w:tc>
        <w:tc>
          <w:tcPr>
            <w:tcW w:w="649" w:type="pct"/>
            <w:tcBorders>
              <w:tl2br w:val="nil"/>
              <w:tr2bl w:val="nil"/>
            </w:tcBorders>
            <w:shd w:val="clear" w:color="auto" w:fill="auto"/>
            <w:noWrap w:val="0"/>
            <w:vAlign w:val="bottom"/>
          </w:tcPr>
          <w:p w14:paraId="1DB6EC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62.2976</w:t>
            </w:r>
          </w:p>
        </w:tc>
        <w:tc>
          <w:tcPr>
            <w:tcW w:w="731" w:type="pct"/>
            <w:tcBorders>
              <w:tl2br w:val="nil"/>
              <w:tr2bl w:val="nil"/>
            </w:tcBorders>
            <w:shd w:val="clear" w:color="auto" w:fill="auto"/>
            <w:noWrap w:val="0"/>
            <w:vAlign w:val="bottom"/>
          </w:tcPr>
          <w:p w14:paraId="7FBE119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36.4823</w:t>
            </w:r>
          </w:p>
        </w:tc>
      </w:tr>
      <w:tr w14:paraId="17ACDA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1984D9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w:t>
            </w:r>
          </w:p>
        </w:tc>
        <w:tc>
          <w:tcPr>
            <w:tcW w:w="667" w:type="pct"/>
            <w:tcBorders>
              <w:tl2br w:val="nil"/>
              <w:tr2bl w:val="nil"/>
            </w:tcBorders>
            <w:shd w:val="clear" w:color="auto" w:fill="auto"/>
            <w:noWrap w:val="0"/>
            <w:vAlign w:val="bottom"/>
          </w:tcPr>
          <w:p w14:paraId="6886F7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5.0375</w:t>
            </w:r>
          </w:p>
        </w:tc>
        <w:tc>
          <w:tcPr>
            <w:tcW w:w="743" w:type="pct"/>
            <w:tcBorders>
              <w:tl2br w:val="nil"/>
              <w:tr2bl w:val="nil"/>
            </w:tcBorders>
            <w:shd w:val="clear" w:color="auto" w:fill="auto"/>
            <w:noWrap w:val="0"/>
            <w:vAlign w:val="bottom"/>
          </w:tcPr>
          <w:p w14:paraId="0D7BB59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4.1355</w:t>
            </w:r>
          </w:p>
        </w:tc>
        <w:tc>
          <w:tcPr>
            <w:tcW w:w="642" w:type="pct"/>
            <w:tcBorders>
              <w:tl2br w:val="nil"/>
              <w:tr2bl w:val="nil"/>
            </w:tcBorders>
            <w:shd w:val="clear" w:color="auto" w:fill="auto"/>
            <w:noWrap w:val="0"/>
            <w:vAlign w:val="bottom"/>
          </w:tcPr>
          <w:p w14:paraId="799A51B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2.0854</w:t>
            </w:r>
          </w:p>
        </w:tc>
        <w:tc>
          <w:tcPr>
            <w:tcW w:w="644" w:type="pct"/>
            <w:tcBorders>
              <w:tl2br w:val="nil"/>
              <w:tr2bl w:val="nil"/>
            </w:tcBorders>
            <w:shd w:val="clear" w:color="auto" w:fill="auto"/>
            <w:noWrap w:val="0"/>
            <w:vAlign w:val="bottom"/>
          </w:tcPr>
          <w:p w14:paraId="1F22D05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72.2847</w:t>
            </w:r>
          </w:p>
        </w:tc>
        <w:tc>
          <w:tcPr>
            <w:tcW w:w="649" w:type="pct"/>
            <w:tcBorders>
              <w:tl2br w:val="nil"/>
              <w:tr2bl w:val="nil"/>
            </w:tcBorders>
            <w:shd w:val="clear" w:color="auto" w:fill="auto"/>
            <w:noWrap w:val="0"/>
            <w:vAlign w:val="bottom"/>
          </w:tcPr>
          <w:p w14:paraId="1725DBE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61.9081</w:t>
            </w:r>
          </w:p>
        </w:tc>
        <w:tc>
          <w:tcPr>
            <w:tcW w:w="731" w:type="pct"/>
            <w:tcBorders>
              <w:tl2br w:val="nil"/>
              <w:tr2bl w:val="nil"/>
            </w:tcBorders>
            <w:shd w:val="clear" w:color="auto" w:fill="auto"/>
            <w:noWrap w:val="0"/>
            <w:vAlign w:val="bottom"/>
          </w:tcPr>
          <w:p w14:paraId="2DBD3F0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36.8196</w:t>
            </w:r>
          </w:p>
        </w:tc>
      </w:tr>
      <w:tr w14:paraId="2265198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71B1866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-2.0000</w:t>
            </w:r>
          </w:p>
        </w:tc>
        <w:tc>
          <w:tcPr>
            <w:tcW w:w="667" w:type="pct"/>
            <w:tcBorders>
              <w:tl2br w:val="nil"/>
              <w:tr2bl w:val="nil"/>
            </w:tcBorders>
            <w:shd w:val="clear" w:color="auto" w:fill="auto"/>
            <w:noWrap w:val="0"/>
            <w:vAlign w:val="bottom"/>
          </w:tcPr>
          <w:p w14:paraId="215C204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5.1444</w:t>
            </w:r>
          </w:p>
        </w:tc>
        <w:tc>
          <w:tcPr>
            <w:tcW w:w="743" w:type="pct"/>
            <w:tcBorders>
              <w:tl2br w:val="nil"/>
              <w:tr2bl w:val="nil"/>
            </w:tcBorders>
            <w:shd w:val="clear" w:color="auto" w:fill="auto"/>
            <w:noWrap w:val="0"/>
            <w:vAlign w:val="bottom"/>
          </w:tcPr>
          <w:p w14:paraId="730F82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4.0645</w:t>
            </w:r>
          </w:p>
        </w:tc>
        <w:tc>
          <w:tcPr>
            <w:tcW w:w="642" w:type="pct"/>
            <w:tcBorders>
              <w:tl2br w:val="nil"/>
              <w:tr2bl w:val="nil"/>
            </w:tcBorders>
            <w:shd w:val="clear" w:color="auto" w:fill="auto"/>
            <w:noWrap w:val="0"/>
            <w:vAlign w:val="bottom"/>
          </w:tcPr>
          <w:p w14:paraId="310BA6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1.8326</w:t>
            </w:r>
          </w:p>
        </w:tc>
        <w:tc>
          <w:tcPr>
            <w:tcW w:w="644" w:type="pct"/>
            <w:tcBorders>
              <w:tl2br w:val="nil"/>
              <w:tr2bl w:val="nil"/>
            </w:tcBorders>
            <w:shd w:val="clear" w:color="auto" w:fill="auto"/>
            <w:noWrap w:val="0"/>
            <w:vAlign w:val="bottom"/>
          </w:tcPr>
          <w:p w14:paraId="3F35382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71.6379</w:t>
            </w:r>
          </w:p>
        </w:tc>
        <w:tc>
          <w:tcPr>
            <w:tcW w:w="649" w:type="pct"/>
            <w:tcBorders>
              <w:tl2br w:val="nil"/>
              <w:tr2bl w:val="nil"/>
            </w:tcBorders>
            <w:shd w:val="clear" w:color="auto" w:fill="auto"/>
            <w:noWrap w:val="0"/>
            <w:vAlign w:val="bottom"/>
          </w:tcPr>
          <w:p w14:paraId="300F358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61.5846</w:t>
            </w:r>
          </w:p>
        </w:tc>
        <w:tc>
          <w:tcPr>
            <w:tcW w:w="731" w:type="pct"/>
            <w:tcBorders>
              <w:tl2br w:val="nil"/>
              <w:tr2bl w:val="nil"/>
            </w:tcBorders>
            <w:shd w:val="clear" w:color="auto" w:fill="auto"/>
            <w:noWrap w:val="0"/>
            <w:vAlign w:val="bottom"/>
          </w:tcPr>
          <w:p w14:paraId="5877B51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37.0325</w:t>
            </w:r>
          </w:p>
        </w:tc>
      </w:tr>
      <w:tr w14:paraId="572EFF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7B0FEF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-1.0000</w:t>
            </w:r>
          </w:p>
        </w:tc>
        <w:tc>
          <w:tcPr>
            <w:tcW w:w="667" w:type="pct"/>
            <w:tcBorders>
              <w:tl2br w:val="nil"/>
              <w:tr2bl w:val="nil"/>
            </w:tcBorders>
            <w:shd w:val="clear" w:color="auto" w:fill="auto"/>
            <w:noWrap w:val="0"/>
            <w:vAlign w:val="bottom"/>
          </w:tcPr>
          <w:p w14:paraId="10628F6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5.3535</w:t>
            </w:r>
          </w:p>
        </w:tc>
        <w:tc>
          <w:tcPr>
            <w:tcW w:w="743" w:type="pct"/>
            <w:tcBorders>
              <w:tl2br w:val="nil"/>
              <w:tr2bl w:val="nil"/>
            </w:tcBorders>
            <w:shd w:val="clear" w:color="auto" w:fill="auto"/>
            <w:noWrap w:val="0"/>
            <w:vAlign w:val="bottom"/>
          </w:tcPr>
          <w:p w14:paraId="336BA8F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4.1126</w:t>
            </w:r>
          </w:p>
        </w:tc>
        <w:tc>
          <w:tcPr>
            <w:tcW w:w="642" w:type="pct"/>
            <w:tcBorders>
              <w:tl2br w:val="nil"/>
              <w:tr2bl w:val="nil"/>
            </w:tcBorders>
            <w:shd w:val="clear" w:color="auto" w:fill="auto"/>
            <w:noWrap w:val="0"/>
            <w:vAlign w:val="bottom"/>
          </w:tcPr>
          <w:p w14:paraId="7969FA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1.6724</w:t>
            </w:r>
          </w:p>
        </w:tc>
        <w:tc>
          <w:tcPr>
            <w:tcW w:w="644" w:type="pct"/>
            <w:tcBorders>
              <w:tl2br w:val="nil"/>
              <w:tr2bl w:val="nil"/>
            </w:tcBorders>
            <w:shd w:val="clear" w:color="auto" w:fill="auto"/>
            <w:noWrap w:val="0"/>
            <w:vAlign w:val="bottom"/>
          </w:tcPr>
          <w:p w14:paraId="42C1A16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71.2987</w:t>
            </w:r>
          </w:p>
        </w:tc>
        <w:tc>
          <w:tcPr>
            <w:tcW w:w="649" w:type="pct"/>
            <w:tcBorders>
              <w:tl2br w:val="nil"/>
              <w:tr2bl w:val="nil"/>
            </w:tcBorders>
            <w:shd w:val="clear" w:color="auto" w:fill="auto"/>
            <w:noWrap w:val="0"/>
            <w:vAlign w:val="bottom"/>
          </w:tcPr>
          <w:p w14:paraId="1E9770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61.3842</w:t>
            </w:r>
          </w:p>
        </w:tc>
        <w:tc>
          <w:tcPr>
            <w:tcW w:w="731" w:type="pct"/>
            <w:tcBorders>
              <w:tl2br w:val="nil"/>
              <w:tr2bl w:val="nil"/>
            </w:tcBorders>
            <w:shd w:val="clear" w:color="auto" w:fill="auto"/>
            <w:noWrap w:val="0"/>
            <w:vAlign w:val="bottom"/>
          </w:tcPr>
          <w:p w14:paraId="4F981C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37.1487</w:t>
            </w:r>
          </w:p>
        </w:tc>
      </w:tr>
      <w:tr w14:paraId="5C4CCA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20BBF9C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0.0000</w:t>
            </w:r>
          </w:p>
        </w:tc>
        <w:tc>
          <w:tcPr>
            <w:tcW w:w="667" w:type="pct"/>
            <w:tcBorders>
              <w:tl2br w:val="nil"/>
              <w:tr2bl w:val="nil"/>
            </w:tcBorders>
            <w:shd w:val="clear" w:color="auto" w:fill="auto"/>
            <w:noWrap w:val="0"/>
            <w:vAlign w:val="bottom"/>
          </w:tcPr>
          <w:p w14:paraId="7A1A34D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5.4491</w:t>
            </w:r>
          </w:p>
        </w:tc>
        <w:tc>
          <w:tcPr>
            <w:tcW w:w="743" w:type="pct"/>
            <w:tcBorders>
              <w:tl2br w:val="nil"/>
              <w:tr2bl w:val="nil"/>
            </w:tcBorders>
            <w:shd w:val="clear" w:color="auto" w:fill="auto"/>
            <w:noWrap w:val="0"/>
            <w:vAlign w:val="bottom"/>
          </w:tcPr>
          <w:p w14:paraId="16E6AF9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4.1457</w:t>
            </w:r>
          </w:p>
        </w:tc>
        <w:tc>
          <w:tcPr>
            <w:tcW w:w="642" w:type="pct"/>
            <w:tcBorders>
              <w:tl2br w:val="nil"/>
              <w:tr2bl w:val="nil"/>
            </w:tcBorders>
            <w:shd w:val="clear" w:color="auto" w:fill="auto"/>
            <w:noWrap w:val="0"/>
            <w:vAlign w:val="bottom"/>
          </w:tcPr>
          <w:p w14:paraId="4A04EB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1.6176</w:t>
            </w:r>
          </w:p>
        </w:tc>
        <w:tc>
          <w:tcPr>
            <w:tcW w:w="644" w:type="pct"/>
            <w:tcBorders>
              <w:tl2br w:val="nil"/>
              <w:tr2bl w:val="nil"/>
            </w:tcBorders>
            <w:shd w:val="clear" w:color="auto" w:fill="auto"/>
            <w:noWrap w:val="0"/>
            <w:vAlign w:val="bottom"/>
          </w:tcPr>
          <w:p w14:paraId="1142354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71.1973</w:t>
            </w:r>
          </w:p>
        </w:tc>
        <w:tc>
          <w:tcPr>
            <w:tcW w:w="649" w:type="pct"/>
            <w:tcBorders>
              <w:tl2br w:val="nil"/>
              <w:tr2bl w:val="nil"/>
            </w:tcBorders>
            <w:shd w:val="clear" w:color="auto" w:fill="auto"/>
            <w:noWrap w:val="0"/>
            <w:vAlign w:val="bottom"/>
          </w:tcPr>
          <w:p w14:paraId="785A2FD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61.3177</w:t>
            </w:r>
          </w:p>
        </w:tc>
        <w:tc>
          <w:tcPr>
            <w:tcW w:w="731" w:type="pct"/>
            <w:tcBorders>
              <w:tl2br w:val="nil"/>
              <w:tr2bl w:val="nil"/>
            </w:tcBorders>
            <w:shd w:val="clear" w:color="auto" w:fill="auto"/>
            <w:noWrap w:val="0"/>
            <w:vAlign w:val="bottom"/>
          </w:tcPr>
          <w:p w14:paraId="0F110D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37.1855</w:t>
            </w:r>
          </w:p>
        </w:tc>
      </w:tr>
      <w:tr w14:paraId="3C1153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C87264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1.0000</w:t>
            </w:r>
          </w:p>
        </w:tc>
        <w:tc>
          <w:tcPr>
            <w:tcW w:w="667" w:type="pct"/>
            <w:tcBorders>
              <w:tl2br w:val="nil"/>
              <w:tr2bl w:val="nil"/>
            </w:tcBorders>
            <w:shd w:val="clear" w:color="auto" w:fill="auto"/>
            <w:noWrap w:val="0"/>
            <w:vAlign w:val="bottom"/>
          </w:tcPr>
          <w:p w14:paraId="0E8B15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5.3535</w:t>
            </w:r>
          </w:p>
        </w:tc>
        <w:tc>
          <w:tcPr>
            <w:tcW w:w="743" w:type="pct"/>
            <w:tcBorders>
              <w:tl2br w:val="nil"/>
              <w:tr2bl w:val="nil"/>
            </w:tcBorders>
            <w:shd w:val="clear" w:color="auto" w:fill="auto"/>
            <w:noWrap w:val="0"/>
            <w:vAlign w:val="bottom"/>
          </w:tcPr>
          <w:p w14:paraId="32DF04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4.1126</w:t>
            </w:r>
          </w:p>
        </w:tc>
        <w:tc>
          <w:tcPr>
            <w:tcW w:w="642" w:type="pct"/>
            <w:tcBorders>
              <w:tl2br w:val="nil"/>
              <w:tr2bl w:val="nil"/>
            </w:tcBorders>
            <w:shd w:val="clear" w:color="auto" w:fill="auto"/>
            <w:noWrap w:val="0"/>
            <w:vAlign w:val="bottom"/>
          </w:tcPr>
          <w:p w14:paraId="64CC0F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1.6724</w:t>
            </w:r>
          </w:p>
        </w:tc>
        <w:tc>
          <w:tcPr>
            <w:tcW w:w="644" w:type="pct"/>
            <w:tcBorders>
              <w:tl2br w:val="nil"/>
              <w:tr2bl w:val="nil"/>
            </w:tcBorders>
            <w:shd w:val="clear" w:color="auto" w:fill="auto"/>
            <w:noWrap w:val="0"/>
            <w:vAlign w:val="bottom"/>
          </w:tcPr>
          <w:p w14:paraId="7069D9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71.2987</w:t>
            </w:r>
          </w:p>
        </w:tc>
        <w:tc>
          <w:tcPr>
            <w:tcW w:w="649" w:type="pct"/>
            <w:tcBorders>
              <w:tl2br w:val="nil"/>
              <w:tr2bl w:val="nil"/>
            </w:tcBorders>
            <w:shd w:val="clear" w:color="auto" w:fill="auto"/>
            <w:noWrap w:val="0"/>
            <w:vAlign w:val="bottom"/>
          </w:tcPr>
          <w:p w14:paraId="2006585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61.3842</w:t>
            </w:r>
          </w:p>
        </w:tc>
        <w:tc>
          <w:tcPr>
            <w:tcW w:w="731" w:type="pct"/>
            <w:tcBorders>
              <w:tl2br w:val="nil"/>
              <w:tr2bl w:val="nil"/>
            </w:tcBorders>
            <w:shd w:val="clear" w:color="auto" w:fill="auto"/>
            <w:noWrap w:val="0"/>
            <w:vAlign w:val="bottom"/>
          </w:tcPr>
          <w:p w14:paraId="7F640E2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37.1487</w:t>
            </w:r>
          </w:p>
        </w:tc>
      </w:tr>
      <w:tr w14:paraId="47075B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093BEF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2.0000</w:t>
            </w:r>
          </w:p>
        </w:tc>
        <w:tc>
          <w:tcPr>
            <w:tcW w:w="667" w:type="pct"/>
            <w:tcBorders>
              <w:tl2br w:val="nil"/>
              <w:tr2bl w:val="nil"/>
            </w:tcBorders>
            <w:shd w:val="clear" w:color="auto" w:fill="auto"/>
            <w:noWrap w:val="0"/>
            <w:vAlign w:val="bottom"/>
          </w:tcPr>
          <w:p w14:paraId="0F5F431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5.1444</w:t>
            </w:r>
          </w:p>
        </w:tc>
        <w:tc>
          <w:tcPr>
            <w:tcW w:w="743" w:type="pct"/>
            <w:tcBorders>
              <w:tl2br w:val="nil"/>
              <w:tr2bl w:val="nil"/>
            </w:tcBorders>
            <w:shd w:val="clear" w:color="auto" w:fill="auto"/>
            <w:noWrap w:val="0"/>
            <w:vAlign w:val="bottom"/>
          </w:tcPr>
          <w:p w14:paraId="46518D5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4.0645</w:t>
            </w:r>
          </w:p>
        </w:tc>
        <w:tc>
          <w:tcPr>
            <w:tcW w:w="642" w:type="pct"/>
            <w:tcBorders>
              <w:tl2br w:val="nil"/>
              <w:tr2bl w:val="nil"/>
            </w:tcBorders>
            <w:shd w:val="clear" w:color="auto" w:fill="auto"/>
            <w:noWrap w:val="0"/>
            <w:vAlign w:val="bottom"/>
          </w:tcPr>
          <w:p w14:paraId="7EDAD65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1.8326</w:t>
            </w:r>
          </w:p>
        </w:tc>
        <w:tc>
          <w:tcPr>
            <w:tcW w:w="644" w:type="pct"/>
            <w:tcBorders>
              <w:tl2br w:val="nil"/>
              <w:tr2bl w:val="nil"/>
            </w:tcBorders>
            <w:shd w:val="clear" w:color="auto" w:fill="auto"/>
            <w:noWrap w:val="0"/>
            <w:vAlign w:val="bottom"/>
          </w:tcPr>
          <w:p w14:paraId="2DB91F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71.6379</w:t>
            </w:r>
          </w:p>
        </w:tc>
        <w:tc>
          <w:tcPr>
            <w:tcW w:w="649" w:type="pct"/>
            <w:tcBorders>
              <w:tl2br w:val="nil"/>
              <w:tr2bl w:val="nil"/>
            </w:tcBorders>
            <w:shd w:val="clear" w:color="auto" w:fill="auto"/>
            <w:noWrap w:val="0"/>
            <w:vAlign w:val="bottom"/>
          </w:tcPr>
          <w:p w14:paraId="30A00F5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61.5846</w:t>
            </w:r>
          </w:p>
        </w:tc>
        <w:tc>
          <w:tcPr>
            <w:tcW w:w="731" w:type="pct"/>
            <w:tcBorders>
              <w:tl2br w:val="nil"/>
              <w:tr2bl w:val="nil"/>
            </w:tcBorders>
            <w:shd w:val="clear" w:color="auto" w:fill="auto"/>
            <w:noWrap w:val="0"/>
            <w:vAlign w:val="bottom"/>
          </w:tcPr>
          <w:p w14:paraId="533D72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37.0325</w:t>
            </w:r>
          </w:p>
        </w:tc>
      </w:tr>
      <w:tr w14:paraId="6068CA4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591FAAC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w:t>
            </w:r>
          </w:p>
        </w:tc>
        <w:tc>
          <w:tcPr>
            <w:tcW w:w="667" w:type="pct"/>
            <w:tcBorders>
              <w:tl2br w:val="nil"/>
              <w:tr2bl w:val="nil"/>
            </w:tcBorders>
            <w:shd w:val="clear" w:color="auto" w:fill="auto"/>
            <w:noWrap w:val="0"/>
            <w:vAlign w:val="bottom"/>
          </w:tcPr>
          <w:p w14:paraId="32499B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5.0375</w:t>
            </w:r>
          </w:p>
        </w:tc>
        <w:tc>
          <w:tcPr>
            <w:tcW w:w="743" w:type="pct"/>
            <w:tcBorders>
              <w:tl2br w:val="nil"/>
              <w:tr2bl w:val="nil"/>
            </w:tcBorders>
            <w:shd w:val="clear" w:color="auto" w:fill="auto"/>
            <w:noWrap w:val="0"/>
            <w:vAlign w:val="bottom"/>
          </w:tcPr>
          <w:p w14:paraId="293EEC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4.1355</w:t>
            </w:r>
          </w:p>
        </w:tc>
        <w:tc>
          <w:tcPr>
            <w:tcW w:w="642" w:type="pct"/>
            <w:tcBorders>
              <w:tl2br w:val="nil"/>
              <w:tr2bl w:val="nil"/>
            </w:tcBorders>
            <w:shd w:val="clear" w:color="auto" w:fill="auto"/>
            <w:noWrap w:val="0"/>
            <w:vAlign w:val="bottom"/>
          </w:tcPr>
          <w:p w14:paraId="51A47E6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2.0854</w:t>
            </w:r>
          </w:p>
        </w:tc>
        <w:tc>
          <w:tcPr>
            <w:tcW w:w="644" w:type="pct"/>
            <w:tcBorders>
              <w:tl2br w:val="nil"/>
              <w:tr2bl w:val="nil"/>
            </w:tcBorders>
            <w:shd w:val="clear" w:color="auto" w:fill="auto"/>
            <w:noWrap w:val="0"/>
            <w:vAlign w:val="bottom"/>
          </w:tcPr>
          <w:p w14:paraId="1EB9992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72.2847</w:t>
            </w:r>
          </w:p>
        </w:tc>
        <w:tc>
          <w:tcPr>
            <w:tcW w:w="649" w:type="pct"/>
            <w:tcBorders>
              <w:tl2br w:val="nil"/>
              <w:tr2bl w:val="nil"/>
            </w:tcBorders>
            <w:shd w:val="clear" w:color="auto" w:fill="auto"/>
            <w:noWrap w:val="0"/>
            <w:vAlign w:val="bottom"/>
          </w:tcPr>
          <w:p w14:paraId="5394307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61.9081</w:t>
            </w:r>
          </w:p>
        </w:tc>
        <w:tc>
          <w:tcPr>
            <w:tcW w:w="731" w:type="pct"/>
            <w:tcBorders>
              <w:tl2br w:val="nil"/>
              <w:tr2bl w:val="nil"/>
            </w:tcBorders>
            <w:shd w:val="clear" w:color="auto" w:fill="auto"/>
            <w:noWrap w:val="0"/>
            <w:vAlign w:val="bottom"/>
          </w:tcPr>
          <w:p w14:paraId="07AA2EC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36.8196</w:t>
            </w:r>
          </w:p>
        </w:tc>
      </w:tr>
      <w:tr w14:paraId="0E444F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061A7D6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w:t>
            </w:r>
          </w:p>
        </w:tc>
        <w:tc>
          <w:tcPr>
            <w:tcW w:w="667" w:type="pct"/>
            <w:tcBorders>
              <w:tl2br w:val="nil"/>
              <w:tr2bl w:val="nil"/>
            </w:tcBorders>
            <w:shd w:val="clear" w:color="auto" w:fill="auto"/>
            <w:noWrap w:val="0"/>
            <w:vAlign w:val="bottom"/>
          </w:tcPr>
          <w:p w14:paraId="3A9C04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5.2930</w:t>
            </w:r>
          </w:p>
        </w:tc>
        <w:tc>
          <w:tcPr>
            <w:tcW w:w="743" w:type="pct"/>
            <w:tcBorders>
              <w:tl2br w:val="nil"/>
              <w:tr2bl w:val="nil"/>
            </w:tcBorders>
            <w:shd w:val="clear" w:color="auto" w:fill="auto"/>
            <w:noWrap w:val="0"/>
            <w:vAlign w:val="bottom"/>
          </w:tcPr>
          <w:p w14:paraId="4E8F93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4.4633</w:t>
            </w:r>
          </w:p>
        </w:tc>
        <w:tc>
          <w:tcPr>
            <w:tcW w:w="642" w:type="pct"/>
            <w:tcBorders>
              <w:tl2br w:val="nil"/>
              <w:tr2bl w:val="nil"/>
            </w:tcBorders>
            <w:shd w:val="clear" w:color="auto" w:fill="auto"/>
            <w:noWrap w:val="0"/>
            <w:vAlign w:val="bottom"/>
          </w:tcPr>
          <w:p w14:paraId="00C723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2.4085</w:t>
            </w:r>
          </w:p>
        </w:tc>
        <w:tc>
          <w:tcPr>
            <w:tcW w:w="644" w:type="pct"/>
            <w:tcBorders>
              <w:tl2br w:val="nil"/>
              <w:tr2bl w:val="nil"/>
            </w:tcBorders>
            <w:shd w:val="clear" w:color="auto" w:fill="auto"/>
            <w:noWrap w:val="0"/>
            <w:vAlign w:val="bottom"/>
          </w:tcPr>
          <w:p w14:paraId="1A60F4F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73.2603</w:t>
            </w:r>
          </w:p>
        </w:tc>
        <w:tc>
          <w:tcPr>
            <w:tcW w:w="649" w:type="pct"/>
            <w:tcBorders>
              <w:tl2br w:val="nil"/>
              <w:tr2bl w:val="nil"/>
            </w:tcBorders>
            <w:shd w:val="clear" w:color="auto" w:fill="auto"/>
            <w:noWrap w:val="0"/>
            <w:vAlign w:val="bottom"/>
          </w:tcPr>
          <w:p w14:paraId="3719D9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62.2976</w:t>
            </w:r>
          </w:p>
        </w:tc>
        <w:tc>
          <w:tcPr>
            <w:tcW w:w="731" w:type="pct"/>
            <w:tcBorders>
              <w:tl2br w:val="nil"/>
              <w:tr2bl w:val="nil"/>
            </w:tcBorders>
            <w:shd w:val="clear" w:color="auto" w:fill="auto"/>
            <w:noWrap w:val="0"/>
            <w:vAlign w:val="bottom"/>
          </w:tcPr>
          <w:p w14:paraId="1BE079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36.4823</w:t>
            </w:r>
          </w:p>
        </w:tc>
      </w:tr>
      <w:tr w14:paraId="58A044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79165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5.0000</w:t>
            </w:r>
          </w:p>
        </w:tc>
        <w:tc>
          <w:tcPr>
            <w:tcW w:w="667" w:type="pct"/>
            <w:tcBorders>
              <w:tl2br w:val="nil"/>
              <w:tr2bl w:val="nil"/>
            </w:tcBorders>
            <w:shd w:val="clear" w:color="auto" w:fill="auto"/>
            <w:noWrap w:val="0"/>
            <w:vAlign w:val="bottom"/>
          </w:tcPr>
          <w:p w14:paraId="26D55E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6.0310</w:t>
            </w:r>
          </w:p>
        </w:tc>
        <w:tc>
          <w:tcPr>
            <w:tcW w:w="743" w:type="pct"/>
            <w:tcBorders>
              <w:tl2br w:val="nil"/>
              <w:tr2bl w:val="nil"/>
            </w:tcBorders>
            <w:shd w:val="clear" w:color="auto" w:fill="auto"/>
            <w:noWrap w:val="0"/>
            <w:vAlign w:val="bottom"/>
          </w:tcPr>
          <w:p w14:paraId="22AA5D5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5.0816</w:t>
            </w:r>
          </w:p>
        </w:tc>
        <w:tc>
          <w:tcPr>
            <w:tcW w:w="642" w:type="pct"/>
            <w:tcBorders>
              <w:tl2br w:val="nil"/>
              <w:tr2bl w:val="nil"/>
            </w:tcBorders>
            <w:shd w:val="clear" w:color="auto" w:fill="auto"/>
            <w:noWrap w:val="0"/>
            <w:vAlign w:val="bottom"/>
          </w:tcPr>
          <w:p w14:paraId="0BE45C8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2.7709</w:t>
            </w:r>
          </w:p>
        </w:tc>
        <w:tc>
          <w:tcPr>
            <w:tcW w:w="644" w:type="pct"/>
            <w:tcBorders>
              <w:tl2br w:val="nil"/>
              <w:tr2bl w:val="nil"/>
            </w:tcBorders>
            <w:shd w:val="clear" w:color="auto" w:fill="auto"/>
            <w:noWrap w:val="0"/>
            <w:vAlign w:val="bottom"/>
          </w:tcPr>
          <w:p w14:paraId="244623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74.4362</w:t>
            </w:r>
          </w:p>
        </w:tc>
        <w:tc>
          <w:tcPr>
            <w:tcW w:w="649" w:type="pct"/>
            <w:tcBorders>
              <w:tl2br w:val="nil"/>
              <w:tr2bl w:val="nil"/>
            </w:tcBorders>
            <w:shd w:val="clear" w:color="auto" w:fill="auto"/>
            <w:noWrap w:val="0"/>
            <w:vAlign w:val="bottom"/>
          </w:tcPr>
          <w:p w14:paraId="555CB22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62.6091</w:t>
            </w:r>
          </w:p>
        </w:tc>
        <w:tc>
          <w:tcPr>
            <w:tcW w:w="731" w:type="pct"/>
            <w:tcBorders>
              <w:tl2br w:val="nil"/>
              <w:tr2bl w:val="nil"/>
            </w:tcBorders>
            <w:shd w:val="clear" w:color="auto" w:fill="auto"/>
            <w:noWrap w:val="0"/>
            <w:vAlign w:val="bottom"/>
          </w:tcPr>
          <w:p w14:paraId="622C530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35.9849</w:t>
            </w:r>
          </w:p>
        </w:tc>
      </w:tr>
      <w:tr w14:paraId="53A761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180DFB1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6.0000</w:t>
            </w:r>
          </w:p>
        </w:tc>
        <w:tc>
          <w:tcPr>
            <w:tcW w:w="667" w:type="pct"/>
            <w:tcBorders>
              <w:tl2br w:val="nil"/>
              <w:tr2bl w:val="nil"/>
            </w:tcBorders>
            <w:shd w:val="clear" w:color="auto" w:fill="auto"/>
            <w:noWrap w:val="0"/>
            <w:vAlign w:val="bottom"/>
          </w:tcPr>
          <w:p w14:paraId="56C664C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7.1297</w:t>
            </w:r>
          </w:p>
        </w:tc>
        <w:tc>
          <w:tcPr>
            <w:tcW w:w="743" w:type="pct"/>
            <w:tcBorders>
              <w:tl2br w:val="nil"/>
              <w:tr2bl w:val="nil"/>
            </w:tcBorders>
            <w:shd w:val="clear" w:color="auto" w:fill="auto"/>
            <w:noWrap w:val="0"/>
            <w:vAlign w:val="bottom"/>
          </w:tcPr>
          <w:p w14:paraId="42F412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5.8887</w:t>
            </w:r>
          </w:p>
        </w:tc>
        <w:tc>
          <w:tcPr>
            <w:tcW w:w="642" w:type="pct"/>
            <w:tcBorders>
              <w:tl2br w:val="nil"/>
              <w:tr2bl w:val="nil"/>
            </w:tcBorders>
            <w:shd w:val="clear" w:color="auto" w:fill="auto"/>
            <w:noWrap w:val="0"/>
            <w:vAlign w:val="bottom"/>
          </w:tcPr>
          <w:p w14:paraId="77B0B42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3.1367</w:t>
            </w:r>
          </w:p>
        </w:tc>
        <w:tc>
          <w:tcPr>
            <w:tcW w:w="644" w:type="pct"/>
            <w:tcBorders>
              <w:tl2br w:val="nil"/>
              <w:tr2bl w:val="nil"/>
            </w:tcBorders>
            <w:shd w:val="clear" w:color="auto" w:fill="auto"/>
            <w:noWrap w:val="0"/>
            <w:vAlign w:val="bottom"/>
          </w:tcPr>
          <w:p w14:paraId="466CB9C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75.4363</w:t>
            </w:r>
          </w:p>
        </w:tc>
        <w:tc>
          <w:tcPr>
            <w:tcW w:w="649" w:type="pct"/>
            <w:tcBorders>
              <w:tl2br w:val="nil"/>
              <w:tr2bl w:val="nil"/>
            </w:tcBorders>
            <w:shd w:val="clear" w:color="auto" w:fill="auto"/>
            <w:noWrap w:val="0"/>
            <w:vAlign w:val="bottom"/>
          </w:tcPr>
          <w:p w14:paraId="324BB2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62.5835</w:t>
            </w:r>
          </w:p>
        </w:tc>
        <w:tc>
          <w:tcPr>
            <w:tcW w:w="731" w:type="pct"/>
            <w:tcBorders>
              <w:tl2br w:val="nil"/>
              <w:tr2bl w:val="nil"/>
            </w:tcBorders>
            <w:shd w:val="clear" w:color="auto" w:fill="auto"/>
            <w:noWrap w:val="0"/>
            <w:vAlign w:val="bottom"/>
          </w:tcPr>
          <w:p w14:paraId="75D1F5E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35.2892</w:t>
            </w:r>
          </w:p>
        </w:tc>
      </w:tr>
      <w:tr w14:paraId="03816A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3BD436A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7.0000</w:t>
            </w:r>
          </w:p>
        </w:tc>
        <w:tc>
          <w:tcPr>
            <w:tcW w:w="667" w:type="pct"/>
            <w:tcBorders>
              <w:tl2br w:val="nil"/>
              <w:tr2bl w:val="nil"/>
            </w:tcBorders>
            <w:shd w:val="clear" w:color="auto" w:fill="auto"/>
            <w:noWrap w:val="0"/>
            <w:vAlign w:val="bottom"/>
          </w:tcPr>
          <w:p w14:paraId="375EE93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8.3083</w:t>
            </w:r>
          </w:p>
        </w:tc>
        <w:tc>
          <w:tcPr>
            <w:tcW w:w="743" w:type="pct"/>
            <w:tcBorders>
              <w:tl2br w:val="nil"/>
              <w:tr2bl w:val="nil"/>
            </w:tcBorders>
            <w:shd w:val="clear" w:color="auto" w:fill="auto"/>
            <w:noWrap w:val="0"/>
            <w:vAlign w:val="bottom"/>
          </w:tcPr>
          <w:p w14:paraId="23E346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6.7056</w:t>
            </w:r>
          </w:p>
        </w:tc>
        <w:tc>
          <w:tcPr>
            <w:tcW w:w="642" w:type="pct"/>
            <w:tcBorders>
              <w:tl2br w:val="nil"/>
              <w:tr2bl w:val="nil"/>
            </w:tcBorders>
            <w:shd w:val="clear" w:color="auto" w:fill="auto"/>
            <w:noWrap w:val="0"/>
            <w:vAlign w:val="bottom"/>
          </w:tcPr>
          <w:p w14:paraId="7046FCA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3.4693</w:t>
            </w:r>
          </w:p>
        </w:tc>
        <w:tc>
          <w:tcPr>
            <w:tcW w:w="644" w:type="pct"/>
            <w:tcBorders>
              <w:tl2br w:val="nil"/>
              <w:tr2bl w:val="nil"/>
            </w:tcBorders>
            <w:shd w:val="clear" w:color="auto" w:fill="auto"/>
            <w:noWrap w:val="0"/>
            <w:vAlign w:val="bottom"/>
          </w:tcPr>
          <w:p w14:paraId="4C176A9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75.5910</w:t>
            </w:r>
          </w:p>
        </w:tc>
        <w:tc>
          <w:tcPr>
            <w:tcW w:w="649" w:type="pct"/>
            <w:tcBorders>
              <w:tl2br w:val="nil"/>
              <w:tr2bl w:val="nil"/>
            </w:tcBorders>
            <w:shd w:val="clear" w:color="auto" w:fill="auto"/>
            <w:noWrap w:val="0"/>
            <w:vAlign w:val="bottom"/>
          </w:tcPr>
          <w:p w14:paraId="1AF6798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61.8629</w:t>
            </w:r>
          </w:p>
        </w:tc>
        <w:tc>
          <w:tcPr>
            <w:tcW w:w="731" w:type="pct"/>
            <w:tcBorders>
              <w:tl2br w:val="nil"/>
              <w:tr2bl w:val="nil"/>
            </w:tcBorders>
            <w:shd w:val="clear" w:color="auto" w:fill="auto"/>
            <w:noWrap w:val="0"/>
            <w:vAlign w:val="bottom"/>
          </w:tcPr>
          <w:p w14:paraId="37566C7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34.3624</w:t>
            </w:r>
          </w:p>
        </w:tc>
      </w:tr>
      <w:tr w14:paraId="1C8706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EF18F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8.0000</w:t>
            </w:r>
          </w:p>
        </w:tc>
        <w:tc>
          <w:tcPr>
            <w:tcW w:w="667" w:type="pct"/>
            <w:tcBorders>
              <w:tl2br w:val="nil"/>
              <w:tr2bl w:val="nil"/>
            </w:tcBorders>
            <w:shd w:val="clear" w:color="auto" w:fill="auto"/>
            <w:noWrap w:val="0"/>
            <w:vAlign w:val="bottom"/>
          </w:tcPr>
          <w:p w14:paraId="3C1BAD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9.2355</w:t>
            </w:r>
          </w:p>
        </w:tc>
        <w:tc>
          <w:tcPr>
            <w:tcW w:w="743" w:type="pct"/>
            <w:tcBorders>
              <w:tl2br w:val="nil"/>
              <w:tr2bl w:val="nil"/>
            </w:tcBorders>
            <w:shd w:val="clear" w:color="auto" w:fill="auto"/>
            <w:noWrap w:val="0"/>
            <w:vAlign w:val="bottom"/>
          </w:tcPr>
          <w:p w14:paraId="4CA1FC2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7.3428</w:t>
            </w:r>
          </w:p>
        </w:tc>
        <w:tc>
          <w:tcPr>
            <w:tcW w:w="642" w:type="pct"/>
            <w:tcBorders>
              <w:tl2br w:val="nil"/>
              <w:tr2bl w:val="nil"/>
            </w:tcBorders>
            <w:shd w:val="clear" w:color="auto" w:fill="auto"/>
            <w:noWrap w:val="0"/>
            <w:vAlign w:val="bottom"/>
          </w:tcPr>
          <w:p w14:paraId="4C2B52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3.7367</w:t>
            </w:r>
          </w:p>
        </w:tc>
        <w:tc>
          <w:tcPr>
            <w:tcW w:w="644" w:type="pct"/>
            <w:tcBorders>
              <w:tl2br w:val="nil"/>
              <w:tr2bl w:val="nil"/>
            </w:tcBorders>
            <w:shd w:val="clear" w:color="auto" w:fill="auto"/>
            <w:noWrap w:val="0"/>
            <w:vAlign w:val="bottom"/>
          </w:tcPr>
          <w:p w14:paraId="0F77FCD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74.0671</w:t>
            </w:r>
          </w:p>
        </w:tc>
        <w:tc>
          <w:tcPr>
            <w:tcW w:w="649" w:type="pct"/>
            <w:tcBorders>
              <w:tl2br w:val="nil"/>
              <w:tr2bl w:val="nil"/>
            </w:tcBorders>
            <w:shd w:val="clear" w:color="auto" w:fill="auto"/>
            <w:noWrap w:val="0"/>
            <w:vAlign w:val="bottom"/>
          </w:tcPr>
          <w:p w14:paraId="078C1BA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60.0864</w:t>
            </w:r>
          </w:p>
        </w:tc>
        <w:tc>
          <w:tcPr>
            <w:tcW w:w="731" w:type="pct"/>
            <w:tcBorders>
              <w:tl2br w:val="nil"/>
              <w:tr2bl w:val="nil"/>
            </w:tcBorders>
            <w:shd w:val="clear" w:color="auto" w:fill="auto"/>
            <w:noWrap w:val="0"/>
            <w:vAlign w:val="bottom"/>
          </w:tcPr>
          <w:p w14:paraId="08BE0C8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33.1863</w:t>
            </w:r>
          </w:p>
        </w:tc>
      </w:tr>
      <w:tr w14:paraId="3D76A7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00900A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9.0000</w:t>
            </w:r>
          </w:p>
        </w:tc>
        <w:tc>
          <w:tcPr>
            <w:tcW w:w="667" w:type="pct"/>
            <w:tcBorders>
              <w:tl2br w:val="nil"/>
              <w:tr2bl w:val="nil"/>
            </w:tcBorders>
            <w:shd w:val="clear" w:color="auto" w:fill="auto"/>
            <w:noWrap w:val="0"/>
            <w:vAlign w:val="bottom"/>
          </w:tcPr>
          <w:p w14:paraId="67A4ED5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9.6347</w:t>
            </w:r>
          </w:p>
        </w:tc>
        <w:tc>
          <w:tcPr>
            <w:tcW w:w="743" w:type="pct"/>
            <w:tcBorders>
              <w:tl2br w:val="nil"/>
              <w:tr2bl w:val="nil"/>
            </w:tcBorders>
            <w:shd w:val="clear" w:color="auto" w:fill="auto"/>
            <w:noWrap w:val="0"/>
            <w:vAlign w:val="bottom"/>
          </w:tcPr>
          <w:p w14:paraId="1EFEB53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7.6546</w:t>
            </w:r>
          </w:p>
        </w:tc>
        <w:tc>
          <w:tcPr>
            <w:tcW w:w="642" w:type="pct"/>
            <w:tcBorders>
              <w:tl2br w:val="nil"/>
              <w:tr2bl w:val="nil"/>
            </w:tcBorders>
            <w:shd w:val="clear" w:color="auto" w:fill="auto"/>
            <w:noWrap w:val="0"/>
            <w:vAlign w:val="bottom"/>
          </w:tcPr>
          <w:p w14:paraId="45A8068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3.9155</w:t>
            </w:r>
          </w:p>
        </w:tc>
        <w:tc>
          <w:tcPr>
            <w:tcW w:w="644" w:type="pct"/>
            <w:tcBorders>
              <w:tl2br w:val="nil"/>
              <w:tr2bl w:val="nil"/>
            </w:tcBorders>
            <w:shd w:val="clear" w:color="auto" w:fill="auto"/>
            <w:noWrap w:val="0"/>
            <w:vAlign w:val="bottom"/>
          </w:tcPr>
          <w:p w14:paraId="67E2C2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70.2889</w:t>
            </w:r>
          </w:p>
        </w:tc>
        <w:tc>
          <w:tcPr>
            <w:tcW w:w="649" w:type="pct"/>
            <w:tcBorders>
              <w:tl2br w:val="nil"/>
              <w:tr2bl w:val="nil"/>
            </w:tcBorders>
            <w:shd w:val="clear" w:color="auto" w:fill="auto"/>
            <w:noWrap w:val="0"/>
            <w:vAlign w:val="bottom"/>
          </w:tcPr>
          <w:p w14:paraId="6AA458D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57.0604</w:t>
            </w:r>
          </w:p>
        </w:tc>
        <w:tc>
          <w:tcPr>
            <w:tcW w:w="731" w:type="pct"/>
            <w:tcBorders>
              <w:tl2br w:val="nil"/>
              <w:tr2bl w:val="nil"/>
            </w:tcBorders>
            <w:shd w:val="clear" w:color="auto" w:fill="auto"/>
            <w:noWrap w:val="0"/>
            <w:vAlign w:val="bottom"/>
          </w:tcPr>
          <w:p w14:paraId="08BF45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31.7656</w:t>
            </w:r>
          </w:p>
        </w:tc>
      </w:tr>
      <w:tr w14:paraId="23C71C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1320611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10.0000</w:t>
            </w:r>
          </w:p>
        </w:tc>
        <w:tc>
          <w:tcPr>
            <w:tcW w:w="667" w:type="pct"/>
            <w:tcBorders>
              <w:tl2br w:val="nil"/>
              <w:tr2bl w:val="nil"/>
            </w:tcBorders>
            <w:shd w:val="clear" w:color="auto" w:fill="auto"/>
            <w:noWrap w:val="0"/>
            <w:vAlign w:val="bottom"/>
          </w:tcPr>
          <w:p w14:paraId="3E3F3DC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9.4082</w:t>
            </w:r>
          </w:p>
        </w:tc>
        <w:tc>
          <w:tcPr>
            <w:tcW w:w="743" w:type="pct"/>
            <w:tcBorders>
              <w:tl2br w:val="nil"/>
              <w:tr2bl w:val="nil"/>
            </w:tcBorders>
            <w:shd w:val="clear" w:color="auto" w:fill="auto"/>
            <w:noWrap w:val="0"/>
            <w:vAlign w:val="bottom"/>
          </w:tcPr>
          <w:p w14:paraId="5F6C372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7.5863</w:t>
            </w:r>
          </w:p>
        </w:tc>
        <w:tc>
          <w:tcPr>
            <w:tcW w:w="642" w:type="pct"/>
            <w:tcBorders>
              <w:tl2br w:val="nil"/>
              <w:tr2bl w:val="nil"/>
            </w:tcBorders>
            <w:shd w:val="clear" w:color="auto" w:fill="auto"/>
            <w:noWrap w:val="0"/>
            <w:vAlign w:val="bottom"/>
          </w:tcPr>
          <w:p w14:paraId="796F7BC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3.9945</w:t>
            </w:r>
          </w:p>
        </w:tc>
        <w:tc>
          <w:tcPr>
            <w:tcW w:w="644" w:type="pct"/>
            <w:tcBorders>
              <w:tl2br w:val="nil"/>
              <w:tr2bl w:val="nil"/>
            </w:tcBorders>
            <w:shd w:val="clear" w:color="auto" w:fill="auto"/>
            <w:noWrap w:val="0"/>
            <w:vAlign w:val="bottom"/>
          </w:tcPr>
          <w:p w14:paraId="425771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64.4115</w:t>
            </w:r>
          </w:p>
        </w:tc>
        <w:tc>
          <w:tcPr>
            <w:tcW w:w="649" w:type="pct"/>
            <w:tcBorders>
              <w:tl2br w:val="nil"/>
              <w:tr2bl w:val="nil"/>
            </w:tcBorders>
            <w:shd w:val="clear" w:color="auto" w:fill="auto"/>
            <w:noWrap w:val="0"/>
            <w:vAlign w:val="bottom"/>
          </w:tcPr>
          <w:p w14:paraId="0F0DFC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52.9006</w:t>
            </w:r>
          </w:p>
        </w:tc>
        <w:tc>
          <w:tcPr>
            <w:tcW w:w="731" w:type="pct"/>
            <w:tcBorders>
              <w:tl2br w:val="nil"/>
              <w:tr2bl w:val="nil"/>
            </w:tcBorders>
            <w:shd w:val="clear" w:color="auto" w:fill="auto"/>
            <w:noWrap w:val="0"/>
            <w:vAlign w:val="bottom"/>
          </w:tcPr>
          <w:p w14:paraId="615C339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30.1308</w:t>
            </w:r>
          </w:p>
        </w:tc>
      </w:tr>
      <w:tr w14:paraId="0AAE88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4" w:hRule="atLeast"/>
        </w:trPr>
        <w:tc>
          <w:tcPr>
            <w:tcW w:w="921" w:type="pct"/>
            <w:tcBorders>
              <w:tl2br w:val="nil"/>
              <w:tr2bl w:val="nil"/>
            </w:tcBorders>
            <w:shd w:val="clear" w:color="auto" w:fill="auto"/>
            <w:noWrap w:val="0"/>
            <w:vAlign w:val="bottom"/>
          </w:tcPr>
          <w:p w14:paraId="411DF7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11.0000</w:t>
            </w:r>
          </w:p>
        </w:tc>
        <w:tc>
          <w:tcPr>
            <w:tcW w:w="667" w:type="pct"/>
            <w:tcBorders>
              <w:tl2br w:val="nil"/>
              <w:tr2bl w:val="nil"/>
            </w:tcBorders>
            <w:shd w:val="clear" w:color="auto" w:fill="auto"/>
            <w:noWrap w:val="0"/>
            <w:vAlign w:val="bottom"/>
          </w:tcPr>
          <w:p w14:paraId="37836B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8.6745</w:t>
            </w:r>
          </w:p>
        </w:tc>
        <w:tc>
          <w:tcPr>
            <w:tcW w:w="743" w:type="pct"/>
            <w:tcBorders>
              <w:tl2br w:val="nil"/>
              <w:tr2bl w:val="nil"/>
            </w:tcBorders>
            <w:shd w:val="clear" w:color="auto" w:fill="auto"/>
            <w:noWrap w:val="0"/>
            <w:vAlign w:val="bottom"/>
          </w:tcPr>
          <w:p w14:paraId="2F6B421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7.1847</w:t>
            </w:r>
          </w:p>
        </w:tc>
        <w:tc>
          <w:tcPr>
            <w:tcW w:w="642" w:type="pct"/>
            <w:tcBorders>
              <w:tl2br w:val="nil"/>
              <w:tr2bl w:val="nil"/>
            </w:tcBorders>
            <w:shd w:val="clear" w:color="auto" w:fill="auto"/>
            <w:noWrap w:val="0"/>
            <w:vAlign w:val="bottom"/>
          </w:tcPr>
          <w:p w14:paraId="0F52C32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3.9750</w:t>
            </w:r>
          </w:p>
        </w:tc>
        <w:tc>
          <w:tcPr>
            <w:tcW w:w="644" w:type="pct"/>
            <w:tcBorders>
              <w:tl2br w:val="nil"/>
              <w:tr2bl w:val="nil"/>
            </w:tcBorders>
            <w:shd w:val="clear" w:color="auto" w:fill="auto"/>
            <w:noWrap w:val="0"/>
            <w:vAlign w:val="bottom"/>
          </w:tcPr>
          <w:p w14:paraId="1E33E8F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57.3035</w:t>
            </w:r>
          </w:p>
        </w:tc>
        <w:tc>
          <w:tcPr>
            <w:tcW w:w="649" w:type="pct"/>
            <w:tcBorders>
              <w:tl2br w:val="nil"/>
              <w:tr2bl w:val="nil"/>
            </w:tcBorders>
            <w:shd w:val="clear" w:color="auto" w:fill="auto"/>
            <w:noWrap w:val="0"/>
            <w:vAlign w:val="bottom"/>
          </w:tcPr>
          <w:p w14:paraId="562D1D0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48.0075</w:t>
            </w:r>
          </w:p>
        </w:tc>
        <w:tc>
          <w:tcPr>
            <w:tcW w:w="731" w:type="pct"/>
            <w:tcBorders>
              <w:tl2br w:val="nil"/>
              <w:tr2bl w:val="nil"/>
            </w:tcBorders>
            <w:shd w:val="clear" w:color="auto" w:fill="auto"/>
            <w:noWrap w:val="0"/>
            <w:vAlign w:val="bottom"/>
          </w:tcPr>
          <w:p w14:paraId="1A3CDAE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28.3348</w:t>
            </w:r>
          </w:p>
        </w:tc>
      </w:tr>
      <w:tr w14:paraId="6A7312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B9E80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12.0000</w:t>
            </w:r>
          </w:p>
        </w:tc>
        <w:tc>
          <w:tcPr>
            <w:tcW w:w="667" w:type="pct"/>
            <w:tcBorders>
              <w:tl2br w:val="nil"/>
              <w:tr2bl w:val="nil"/>
            </w:tcBorders>
            <w:shd w:val="clear" w:color="auto" w:fill="auto"/>
            <w:noWrap w:val="0"/>
            <w:vAlign w:val="bottom"/>
          </w:tcPr>
          <w:p w14:paraId="34373A3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7.6649</w:t>
            </w:r>
          </w:p>
        </w:tc>
        <w:tc>
          <w:tcPr>
            <w:tcW w:w="743" w:type="pct"/>
            <w:tcBorders>
              <w:tl2br w:val="nil"/>
              <w:tr2bl w:val="nil"/>
            </w:tcBorders>
            <w:shd w:val="clear" w:color="auto" w:fill="auto"/>
            <w:noWrap w:val="0"/>
            <w:vAlign w:val="bottom"/>
          </w:tcPr>
          <w:p w14:paraId="282EFE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6.5606</w:t>
            </w:r>
          </w:p>
        </w:tc>
        <w:tc>
          <w:tcPr>
            <w:tcW w:w="642" w:type="pct"/>
            <w:tcBorders>
              <w:tl2br w:val="nil"/>
              <w:tr2bl w:val="nil"/>
            </w:tcBorders>
            <w:shd w:val="clear" w:color="auto" w:fill="auto"/>
            <w:noWrap w:val="0"/>
            <w:vAlign w:val="bottom"/>
          </w:tcPr>
          <w:p w14:paraId="6922B5F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3.8688</w:t>
            </w:r>
          </w:p>
        </w:tc>
        <w:tc>
          <w:tcPr>
            <w:tcW w:w="644" w:type="pct"/>
            <w:tcBorders>
              <w:tl2br w:val="nil"/>
              <w:tr2bl w:val="nil"/>
            </w:tcBorders>
            <w:shd w:val="clear" w:color="auto" w:fill="auto"/>
            <w:noWrap w:val="0"/>
            <w:vAlign w:val="bottom"/>
          </w:tcPr>
          <w:p w14:paraId="699131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50.0009</w:t>
            </w:r>
          </w:p>
        </w:tc>
        <w:tc>
          <w:tcPr>
            <w:tcW w:w="649" w:type="pct"/>
            <w:tcBorders>
              <w:tl2br w:val="nil"/>
              <w:tr2bl w:val="nil"/>
            </w:tcBorders>
            <w:shd w:val="clear" w:color="auto" w:fill="auto"/>
            <w:noWrap w:val="0"/>
            <w:vAlign w:val="bottom"/>
          </w:tcPr>
          <w:p w14:paraId="3D744B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42.8823</w:t>
            </w:r>
          </w:p>
        </w:tc>
        <w:tc>
          <w:tcPr>
            <w:tcW w:w="731" w:type="pct"/>
            <w:tcBorders>
              <w:tl2br w:val="nil"/>
              <w:tr2bl w:val="nil"/>
            </w:tcBorders>
            <w:shd w:val="clear" w:color="auto" w:fill="auto"/>
            <w:noWrap w:val="0"/>
            <w:vAlign w:val="bottom"/>
          </w:tcPr>
          <w:p w14:paraId="6E665E9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26.4434</w:t>
            </w:r>
          </w:p>
        </w:tc>
      </w:tr>
      <w:tr w14:paraId="747746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E2718D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13.0000</w:t>
            </w:r>
          </w:p>
        </w:tc>
        <w:tc>
          <w:tcPr>
            <w:tcW w:w="667" w:type="pct"/>
            <w:tcBorders>
              <w:tl2br w:val="nil"/>
              <w:tr2bl w:val="nil"/>
            </w:tcBorders>
            <w:shd w:val="clear" w:color="auto" w:fill="auto"/>
            <w:noWrap w:val="0"/>
            <w:vAlign w:val="bottom"/>
          </w:tcPr>
          <w:p w14:paraId="51B22FD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6.5893</w:t>
            </w:r>
          </w:p>
        </w:tc>
        <w:tc>
          <w:tcPr>
            <w:tcW w:w="743" w:type="pct"/>
            <w:tcBorders>
              <w:tl2br w:val="nil"/>
              <w:tr2bl w:val="nil"/>
            </w:tcBorders>
            <w:shd w:val="clear" w:color="auto" w:fill="auto"/>
            <w:noWrap w:val="0"/>
            <w:vAlign w:val="bottom"/>
          </w:tcPr>
          <w:p w14:paraId="6B2249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5.8342</w:t>
            </w:r>
          </w:p>
        </w:tc>
        <w:tc>
          <w:tcPr>
            <w:tcW w:w="642" w:type="pct"/>
            <w:tcBorders>
              <w:tl2br w:val="nil"/>
              <w:tr2bl w:val="nil"/>
            </w:tcBorders>
            <w:shd w:val="clear" w:color="auto" w:fill="auto"/>
            <w:noWrap w:val="0"/>
            <w:vAlign w:val="bottom"/>
          </w:tcPr>
          <w:p w14:paraId="22541D9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3.6945</w:t>
            </w:r>
          </w:p>
        </w:tc>
        <w:tc>
          <w:tcPr>
            <w:tcW w:w="644" w:type="pct"/>
            <w:tcBorders>
              <w:tl2br w:val="nil"/>
              <w:tr2bl w:val="nil"/>
            </w:tcBorders>
            <w:shd w:val="clear" w:color="auto" w:fill="auto"/>
            <w:noWrap w:val="0"/>
            <w:vAlign w:val="bottom"/>
          </w:tcPr>
          <w:p w14:paraId="3401F7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43.2293</w:t>
            </w:r>
          </w:p>
        </w:tc>
        <w:tc>
          <w:tcPr>
            <w:tcW w:w="649" w:type="pct"/>
            <w:tcBorders>
              <w:tl2br w:val="nil"/>
              <w:tr2bl w:val="nil"/>
            </w:tcBorders>
            <w:shd w:val="clear" w:color="auto" w:fill="auto"/>
            <w:noWrap w:val="0"/>
            <w:vAlign w:val="bottom"/>
          </w:tcPr>
          <w:p w14:paraId="097B3B5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37.9387</w:t>
            </w:r>
          </w:p>
        </w:tc>
        <w:tc>
          <w:tcPr>
            <w:tcW w:w="731" w:type="pct"/>
            <w:tcBorders>
              <w:tl2br w:val="nil"/>
              <w:tr2bl w:val="nil"/>
            </w:tcBorders>
            <w:shd w:val="clear" w:color="auto" w:fill="auto"/>
            <w:noWrap w:val="0"/>
            <w:vAlign w:val="bottom"/>
          </w:tcPr>
          <w:p w14:paraId="714B8AB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24.5242</w:t>
            </w:r>
          </w:p>
        </w:tc>
      </w:tr>
      <w:tr w14:paraId="646577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1408A1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14.0000</w:t>
            </w:r>
          </w:p>
        </w:tc>
        <w:tc>
          <w:tcPr>
            <w:tcW w:w="667" w:type="pct"/>
            <w:tcBorders>
              <w:tl2br w:val="nil"/>
              <w:tr2bl w:val="nil"/>
            </w:tcBorders>
            <w:shd w:val="clear" w:color="auto" w:fill="auto"/>
            <w:noWrap w:val="0"/>
            <w:vAlign w:val="bottom"/>
          </w:tcPr>
          <w:p w14:paraId="0D4CD21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5.5780</w:t>
            </w:r>
          </w:p>
        </w:tc>
        <w:tc>
          <w:tcPr>
            <w:tcW w:w="743" w:type="pct"/>
            <w:tcBorders>
              <w:tl2br w:val="nil"/>
              <w:tr2bl w:val="nil"/>
            </w:tcBorders>
            <w:shd w:val="clear" w:color="auto" w:fill="auto"/>
            <w:noWrap w:val="0"/>
            <w:vAlign w:val="bottom"/>
          </w:tcPr>
          <w:p w14:paraId="09B8DE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5.0983</w:t>
            </w:r>
          </w:p>
        </w:tc>
        <w:tc>
          <w:tcPr>
            <w:tcW w:w="642" w:type="pct"/>
            <w:tcBorders>
              <w:tl2br w:val="nil"/>
              <w:tr2bl w:val="nil"/>
            </w:tcBorders>
            <w:shd w:val="clear" w:color="auto" w:fill="auto"/>
            <w:noWrap w:val="0"/>
            <w:vAlign w:val="bottom"/>
          </w:tcPr>
          <w:p w14:paraId="7505E67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3.4729</w:t>
            </w:r>
          </w:p>
        </w:tc>
        <w:tc>
          <w:tcPr>
            <w:tcW w:w="644" w:type="pct"/>
            <w:tcBorders>
              <w:tl2br w:val="nil"/>
              <w:tr2bl w:val="nil"/>
            </w:tcBorders>
            <w:shd w:val="clear" w:color="auto" w:fill="auto"/>
            <w:noWrap w:val="0"/>
            <w:vAlign w:val="bottom"/>
          </w:tcPr>
          <w:p w14:paraId="0BD96B1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37.3124</w:t>
            </w:r>
          </w:p>
        </w:tc>
        <w:tc>
          <w:tcPr>
            <w:tcW w:w="649" w:type="pct"/>
            <w:tcBorders>
              <w:tl2br w:val="nil"/>
              <w:tr2bl w:val="nil"/>
            </w:tcBorders>
            <w:shd w:val="clear" w:color="auto" w:fill="auto"/>
            <w:noWrap w:val="0"/>
            <w:vAlign w:val="bottom"/>
          </w:tcPr>
          <w:p w14:paraId="37631A1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33.4246</w:t>
            </w:r>
          </w:p>
        </w:tc>
        <w:tc>
          <w:tcPr>
            <w:tcW w:w="731" w:type="pct"/>
            <w:tcBorders>
              <w:tl2br w:val="nil"/>
              <w:tr2bl w:val="nil"/>
            </w:tcBorders>
            <w:shd w:val="clear" w:color="auto" w:fill="auto"/>
            <w:noWrap w:val="0"/>
            <w:vAlign w:val="bottom"/>
          </w:tcPr>
          <w:p w14:paraId="6EBAFFF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22.6363</w:t>
            </w:r>
          </w:p>
        </w:tc>
      </w:tr>
      <w:tr w14:paraId="04A566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131D75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15.0000</w:t>
            </w:r>
          </w:p>
        </w:tc>
        <w:tc>
          <w:tcPr>
            <w:tcW w:w="667" w:type="pct"/>
            <w:tcBorders>
              <w:tl2br w:val="nil"/>
              <w:tr2bl w:val="nil"/>
            </w:tcBorders>
            <w:shd w:val="clear" w:color="auto" w:fill="auto"/>
            <w:noWrap w:val="0"/>
            <w:vAlign w:val="bottom"/>
          </w:tcPr>
          <w:p w14:paraId="02B765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4.6894</w:t>
            </w:r>
          </w:p>
        </w:tc>
        <w:tc>
          <w:tcPr>
            <w:tcW w:w="743" w:type="pct"/>
            <w:tcBorders>
              <w:tl2br w:val="nil"/>
              <w:tr2bl w:val="nil"/>
            </w:tcBorders>
            <w:shd w:val="clear" w:color="auto" w:fill="auto"/>
            <w:noWrap w:val="0"/>
            <w:vAlign w:val="bottom"/>
          </w:tcPr>
          <w:p w14:paraId="66E1ECE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4.4091</w:t>
            </w:r>
          </w:p>
        </w:tc>
        <w:tc>
          <w:tcPr>
            <w:tcW w:w="642" w:type="pct"/>
            <w:tcBorders>
              <w:tl2br w:val="nil"/>
              <w:tr2bl w:val="nil"/>
            </w:tcBorders>
            <w:shd w:val="clear" w:color="auto" w:fill="auto"/>
            <w:noWrap w:val="0"/>
            <w:vAlign w:val="bottom"/>
          </w:tcPr>
          <w:p w14:paraId="19F7E63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3.2239</w:t>
            </w:r>
          </w:p>
        </w:tc>
        <w:tc>
          <w:tcPr>
            <w:tcW w:w="644" w:type="pct"/>
            <w:tcBorders>
              <w:tl2br w:val="nil"/>
              <w:tr2bl w:val="nil"/>
            </w:tcBorders>
            <w:shd w:val="clear" w:color="auto" w:fill="auto"/>
            <w:noWrap w:val="0"/>
            <w:vAlign w:val="bottom"/>
          </w:tcPr>
          <w:p w14:paraId="5B08F6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32.2998</w:t>
            </w:r>
          </w:p>
        </w:tc>
        <w:tc>
          <w:tcPr>
            <w:tcW w:w="649" w:type="pct"/>
            <w:tcBorders>
              <w:tl2br w:val="nil"/>
              <w:tr2bl w:val="nil"/>
            </w:tcBorders>
            <w:shd w:val="clear" w:color="auto" w:fill="auto"/>
            <w:noWrap w:val="0"/>
            <w:vAlign w:val="bottom"/>
          </w:tcPr>
          <w:p w14:paraId="10C0B6F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29.4398</w:t>
            </w:r>
          </w:p>
        </w:tc>
        <w:tc>
          <w:tcPr>
            <w:tcW w:w="731" w:type="pct"/>
            <w:tcBorders>
              <w:tl2br w:val="nil"/>
              <w:tr2bl w:val="nil"/>
            </w:tcBorders>
            <w:shd w:val="clear" w:color="auto" w:fill="auto"/>
            <w:noWrap w:val="0"/>
            <w:vAlign w:val="bottom"/>
          </w:tcPr>
          <w:p w14:paraId="506F49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20.8257</w:t>
            </w:r>
          </w:p>
        </w:tc>
      </w:tr>
      <w:tr w14:paraId="7B5C9D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564837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16.0000</w:t>
            </w:r>
          </w:p>
        </w:tc>
        <w:tc>
          <w:tcPr>
            <w:tcW w:w="667" w:type="pct"/>
            <w:tcBorders>
              <w:tl2br w:val="nil"/>
              <w:tr2bl w:val="nil"/>
            </w:tcBorders>
            <w:shd w:val="clear" w:color="auto" w:fill="auto"/>
            <w:noWrap w:val="0"/>
            <w:vAlign w:val="bottom"/>
          </w:tcPr>
          <w:p w14:paraId="2CE977E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3.9369</w:t>
            </w:r>
          </w:p>
        </w:tc>
        <w:tc>
          <w:tcPr>
            <w:tcW w:w="743" w:type="pct"/>
            <w:tcBorders>
              <w:tl2br w:val="nil"/>
              <w:tr2bl w:val="nil"/>
            </w:tcBorders>
            <w:shd w:val="clear" w:color="auto" w:fill="auto"/>
            <w:noWrap w:val="0"/>
            <w:vAlign w:val="bottom"/>
          </w:tcPr>
          <w:p w14:paraId="60663F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3.7934</w:t>
            </w:r>
          </w:p>
        </w:tc>
        <w:tc>
          <w:tcPr>
            <w:tcW w:w="642" w:type="pct"/>
            <w:tcBorders>
              <w:tl2br w:val="nil"/>
              <w:tr2bl w:val="nil"/>
            </w:tcBorders>
            <w:shd w:val="clear" w:color="auto" w:fill="auto"/>
            <w:noWrap w:val="0"/>
            <w:vAlign w:val="bottom"/>
          </w:tcPr>
          <w:p w14:paraId="11AFD1A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2.9638</w:t>
            </w:r>
          </w:p>
        </w:tc>
        <w:tc>
          <w:tcPr>
            <w:tcW w:w="644" w:type="pct"/>
            <w:tcBorders>
              <w:tl2br w:val="nil"/>
              <w:tr2bl w:val="nil"/>
            </w:tcBorders>
            <w:shd w:val="clear" w:color="auto" w:fill="auto"/>
            <w:noWrap w:val="0"/>
            <w:vAlign w:val="bottom"/>
          </w:tcPr>
          <w:p w14:paraId="5CE0C2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28.1108</w:t>
            </w:r>
          </w:p>
        </w:tc>
        <w:tc>
          <w:tcPr>
            <w:tcW w:w="649" w:type="pct"/>
            <w:tcBorders>
              <w:tl2br w:val="nil"/>
              <w:tr2bl w:val="nil"/>
            </w:tcBorders>
            <w:shd w:val="clear" w:color="auto" w:fill="auto"/>
            <w:noWrap w:val="0"/>
            <w:vAlign w:val="bottom"/>
          </w:tcPr>
          <w:p w14:paraId="537EC7F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25.9892</w:t>
            </w:r>
          </w:p>
        </w:tc>
        <w:tc>
          <w:tcPr>
            <w:tcW w:w="731" w:type="pct"/>
            <w:tcBorders>
              <w:tl2br w:val="nil"/>
              <w:tr2bl w:val="nil"/>
            </w:tcBorders>
            <w:shd w:val="clear" w:color="auto" w:fill="auto"/>
            <w:noWrap w:val="0"/>
            <w:vAlign w:val="bottom"/>
          </w:tcPr>
          <w:p w14:paraId="5CD1B8C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19.1229</w:t>
            </w:r>
          </w:p>
        </w:tc>
      </w:tr>
      <w:tr w14:paraId="077B48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0817FE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17.0000</w:t>
            </w:r>
          </w:p>
        </w:tc>
        <w:tc>
          <w:tcPr>
            <w:tcW w:w="667" w:type="pct"/>
            <w:tcBorders>
              <w:tl2br w:val="nil"/>
              <w:tr2bl w:val="nil"/>
            </w:tcBorders>
            <w:shd w:val="clear" w:color="auto" w:fill="auto"/>
            <w:noWrap w:val="0"/>
            <w:vAlign w:val="bottom"/>
          </w:tcPr>
          <w:p w14:paraId="52D4608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3.3120</w:t>
            </w:r>
          </w:p>
        </w:tc>
        <w:tc>
          <w:tcPr>
            <w:tcW w:w="743" w:type="pct"/>
            <w:tcBorders>
              <w:tl2br w:val="nil"/>
              <w:tr2bl w:val="nil"/>
            </w:tcBorders>
            <w:shd w:val="clear" w:color="auto" w:fill="auto"/>
            <w:noWrap w:val="0"/>
            <w:vAlign w:val="bottom"/>
          </w:tcPr>
          <w:p w14:paraId="2A7AA19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3.2587</w:t>
            </w:r>
          </w:p>
        </w:tc>
        <w:tc>
          <w:tcPr>
            <w:tcW w:w="642" w:type="pct"/>
            <w:tcBorders>
              <w:tl2br w:val="nil"/>
              <w:tr2bl w:val="nil"/>
            </w:tcBorders>
            <w:shd w:val="clear" w:color="auto" w:fill="auto"/>
            <w:noWrap w:val="0"/>
            <w:vAlign w:val="bottom"/>
          </w:tcPr>
          <w:p w14:paraId="1FAC642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2.7052</w:t>
            </w:r>
          </w:p>
        </w:tc>
        <w:tc>
          <w:tcPr>
            <w:tcW w:w="644" w:type="pct"/>
            <w:tcBorders>
              <w:tl2br w:val="nil"/>
              <w:tr2bl w:val="nil"/>
            </w:tcBorders>
            <w:shd w:val="clear" w:color="auto" w:fill="auto"/>
            <w:noWrap w:val="0"/>
            <w:vAlign w:val="bottom"/>
          </w:tcPr>
          <w:p w14:paraId="3A0A77E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24.6223</w:t>
            </w:r>
          </w:p>
        </w:tc>
        <w:tc>
          <w:tcPr>
            <w:tcW w:w="649" w:type="pct"/>
            <w:tcBorders>
              <w:tl2br w:val="nil"/>
              <w:tr2bl w:val="nil"/>
            </w:tcBorders>
            <w:shd w:val="clear" w:color="auto" w:fill="auto"/>
            <w:noWrap w:val="0"/>
            <w:vAlign w:val="bottom"/>
          </w:tcPr>
          <w:p w14:paraId="23E29ED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23.0293</w:t>
            </w:r>
          </w:p>
        </w:tc>
        <w:tc>
          <w:tcPr>
            <w:tcW w:w="731" w:type="pct"/>
            <w:tcBorders>
              <w:tl2br w:val="nil"/>
              <w:tr2bl w:val="nil"/>
            </w:tcBorders>
            <w:shd w:val="clear" w:color="auto" w:fill="auto"/>
            <w:noWrap w:val="0"/>
            <w:vAlign w:val="bottom"/>
          </w:tcPr>
          <w:p w14:paraId="165D2C4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17.5451</w:t>
            </w:r>
          </w:p>
        </w:tc>
      </w:tr>
      <w:tr w14:paraId="315400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B053A9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18.0000</w:t>
            </w:r>
          </w:p>
        </w:tc>
        <w:tc>
          <w:tcPr>
            <w:tcW w:w="667" w:type="pct"/>
            <w:tcBorders>
              <w:tl2br w:val="nil"/>
              <w:tr2bl w:val="nil"/>
            </w:tcBorders>
            <w:shd w:val="clear" w:color="auto" w:fill="auto"/>
            <w:noWrap w:val="0"/>
            <w:vAlign w:val="bottom"/>
          </w:tcPr>
          <w:p w14:paraId="092ACE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2.7977</w:t>
            </w:r>
          </w:p>
        </w:tc>
        <w:tc>
          <w:tcPr>
            <w:tcW w:w="743" w:type="pct"/>
            <w:tcBorders>
              <w:tl2br w:val="nil"/>
              <w:tr2bl w:val="nil"/>
            </w:tcBorders>
            <w:shd w:val="clear" w:color="auto" w:fill="auto"/>
            <w:noWrap w:val="0"/>
            <w:vAlign w:val="bottom"/>
          </w:tcPr>
          <w:p w14:paraId="563CB7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2.8019</w:t>
            </w:r>
          </w:p>
        </w:tc>
        <w:tc>
          <w:tcPr>
            <w:tcW w:w="642" w:type="pct"/>
            <w:tcBorders>
              <w:tl2br w:val="nil"/>
              <w:tr2bl w:val="nil"/>
            </w:tcBorders>
            <w:shd w:val="clear" w:color="auto" w:fill="auto"/>
            <w:noWrap w:val="0"/>
            <w:vAlign w:val="bottom"/>
          </w:tcPr>
          <w:p w14:paraId="7E1A445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2.4566</w:t>
            </w:r>
          </w:p>
        </w:tc>
        <w:tc>
          <w:tcPr>
            <w:tcW w:w="644" w:type="pct"/>
            <w:tcBorders>
              <w:tl2br w:val="nil"/>
              <w:tr2bl w:val="nil"/>
            </w:tcBorders>
            <w:shd w:val="clear" w:color="auto" w:fill="auto"/>
            <w:noWrap w:val="0"/>
            <w:vAlign w:val="bottom"/>
          </w:tcPr>
          <w:p w14:paraId="74AEA7C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21.7113</w:t>
            </w:r>
          </w:p>
        </w:tc>
        <w:tc>
          <w:tcPr>
            <w:tcW w:w="649" w:type="pct"/>
            <w:tcBorders>
              <w:tl2br w:val="nil"/>
              <w:tr2bl w:val="nil"/>
            </w:tcBorders>
            <w:shd w:val="clear" w:color="auto" w:fill="auto"/>
            <w:noWrap w:val="0"/>
            <w:vAlign w:val="bottom"/>
          </w:tcPr>
          <w:p w14:paraId="67C2286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20.4987</w:t>
            </w:r>
          </w:p>
        </w:tc>
        <w:tc>
          <w:tcPr>
            <w:tcW w:w="731" w:type="pct"/>
            <w:tcBorders>
              <w:tl2br w:val="nil"/>
              <w:tr2bl w:val="nil"/>
            </w:tcBorders>
            <w:shd w:val="clear" w:color="auto" w:fill="auto"/>
            <w:noWrap w:val="0"/>
            <w:vAlign w:val="bottom"/>
          </w:tcPr>
          <w:p w14:paraId="45D37C5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16.0989</w:t>
            </w:r>
          </w:p>
        </w:tc>
      </w:tr>
      <w:tr w14:paraId="69800F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18E7761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19.0000</w:t>
            </w:r>
          </w:p>
        </w:tc>
        <w:tc>
          <w:tcPr>
            <w:tcW w:w="667" w:type="pct"/>
            <w:tcBorders>
              <w:tl2br w:val="nil"/>
              <w:tr2bl w:val="nil"/>
            </w:tcBorders>
            <w:shd w:val="clear" w:color="auto" w:fill="auto"/>
            <w:noWrap w:val="0"/>
            <w:vAlign w:val="bottom"/>
          </w:tcPr>
          <w:p w14:paraId="55B3660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2.3756</w:t>
            </w:r>
          </w:p>
        </w:tc>
        <w:tc>
          <w:tcPr>
            <w:tcW w:w="743" w:type="pct"/>
            <w:tcBorders>
              <w:tl2br w:val="nil"/>
              <w:tr2bl w:val="nil"/>
            </w:tcBorders>
            <w:shd w:val="clear" w:color="auto" w:fill="auto"/>
            <w:noWrap w:val="0"/>
            <w:vAlign w:val="bottom"/>
          </w:tcPr>
          <w:p w14:paraId="479A602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2.4152</w:t>
            </w:r>
          </w:p>
        </w:tc>
        <w:tc>
          <w:tcPr>
            <w:tcW w:w="642" w:type="pct"/>
            <w:tcBorders>
              <w:tl2br w:val="nil"/>
              <w:tr2bl w:val="nil"/>
            </w:tcBorders>
            <w:shd w:val="clear" w:color="auto" w:fill="auto"/>
            <w:noWrap w:val="0"/>
            <w:vAlign w:val="bottom"/>
          </w:tcPr>
          <w:p w14:paraId="46CD06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2.2233</w:t>
            </w:r>
          </w:p>
        </w:tc>
        <w:tc>
          <w:tcPr>
            <w:tcW w:w="644" w:type="pct"/>
            <w:tcBorders>
              <w:tl2br w:val="nil"/>
              <w:tr2bl w:val="nil"/>
            </w:tcBorders>
            <w:shd w:val="clear" w:color="auto" w:fill="auto"/>
            <w:noWrap w:val="0"/>
            <w:vAlign w:val="bottom"/>
          </w:tcPr>
          <w:p w14:paraId="01654F1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19.2701</w:t>
            </w:r>
          </w:p>
        </w:tc>
        <w:tc>
          <w:tcPr>
            <w:tcW w:w="649" w:type="pct"/>
            <w:tcBorders>
              <w:tl2br w:val="nil"/>
              <w:tr2bl w:val="nil"/>
            </w:tcBorders>
            <w:shd w:val="clear" w:color="auto" w:fill="auto"/>
            <w:noWrap w:val="0"/>
            <w:vAlign w:val="bottom"/>
          </w:tcPr>
          <w:p w14:paraId="1C8535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18.3341</w:t>
            </w:r>
          </w:p>
        </w:tc>
        <w:tc>
          <w:tcPr>
            <w:tcW w:w="731" w:type="pct"/>
            <w:tcBorders>
              <w:tl2br w:val="nil"/>
              <w:tr2bl w:val="nil"/>
            </w:tcBorders>
            <w:shd w:val="clear" w:color="auto" w:fill="auto"/>
            <w:noWrap w:val="0"/>
            <w:vAlign w:val="bottom"/>
          </w:tcPr>
          <w:p w14:paraId="14D5E43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14.7832</w:t>
            </w:r>
          </w:p>
        </w:tc>
      </w:tr>
      <w:tr w14:paraId="54C810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8582FA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20.0000</w:t>
            </w:r>
          </w:p>
        </w:tc>
        <w:tc>
          <w:tcPr>
            <w:tcW w:w="667" w:type="pct"/>
            <w:tcBorders>
              <w:tl2br w:val="nil"/>
              <w:tr2bl w:val="nil"/>
            </w:tcBorders>
            <w:shd w:val="clear" w:color="auto" w:fill="auto"/>
            <w:noWrap w:val="0"/>
            <w:vAlign w:val="bottom"/>
          </w:tcPr>
          <w:p w14:paraId="58DEEB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2.0288</w:t>
            </w:r>
          </w:p>
        </w:tc>
        <w:tc>
          <w:tcPr>
            <w:tcW w:w="743" w:type="pct"/>
            <w:tcBorders>
              <w:tl2br w:val="nil"/>
              <w:tr2bl w:val="nil"/>
            </w:tcBorders>
            <w:shd w:val="clear" w:color="auto" w:fill="auto"/>
            <w:noWrap w:val="0"/>
            <w:vAlign w:val="bottom"/>
          </w:tcPr>
          <w:p w14:paraId="57B91F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2.0891</w:t>
            </w:r>
          </w:p>
        </w:tc>
        <w:tc>
          <w:tcPr>
            <w:tcW w:w="642" w:type="pct"/>
            <w:tcBorders>
              <w:tl2br w:val="nil"/>
              <w:tr2bl w:val="nil"/>
            </w:tcBorders>
            <w:shd w:val="clear" w:color="auto" w:fill="auto"/>
            <w:noWrap w:val="0"/>
            <w:vAlign w:val="bottom"/>
          </w:tcPr>
          <w:p w14:paraId="4FCD0E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2.0082</w:t>
            </w:r>
          </w:p>
        </w:tc>
        <w:tc>
          <w:tcPr>
            <w:tcW w:w="644" w:type="pct"/>
            <w:tcBorders>
              <w:tl2br w:val="nil"/>
              <w:tr2bl w:val="nil"/>
            </w:tcBorders>
            <w:shd w:val="clear" w:color="auto" w:fill="auto"/>
            <w:noWrap w:val="0"/>
            <w:vAlign w:val="bottom"/>
          </w:tcPr>
          <w:p w14:paraId="40D986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17.2099</w:t>
            </w:r>
          </w:p>
        </w:tc>
        <w:tc>
          <w:tcPr>
            <w:tcW w:w="649" w:type="pct"/>
            <w:tcBorders>
              <w:tl2br w:val="nil"/>
              <w:tr2bl w:val="nil"/>
            </w:tcBorders>
            <w:shd w:val="clear" w:color="auto" w:fill="auto"/>
            <w:noWrap w:val="0"/>
            <w:vAlign w:val="bottom"/>
          </w:tcPr>
          <w:p w14:paraId="511D1D7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16.4774</w:t>
            </w:r>
          </w:p>
        </w:tc>
        <w:tc>
          <w:tcPr>
            <w:tcW w:w="731" w:type="pct"/>
            <w:tcBorders>
              <w:tl2br w:val="nil"/>
              <w:tr2bl w:val="nil"/>
            </w:tcBorders>
            <w:shd w:val="clear" w:color="auto" w:fill="auto"/>
            <w:noWrap w:val="0"/>
            <w:vAlign w:val="bottom"/>
          </w:tcPr>
          <w:p w14:paraId="3108F7E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13.5921</w:t>
            </w:r>
          </w:p>
        </w:tc>
      </w:tr>
      <w:tr w14:paraId="194D32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85229B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21.0000</w:t>
            </w:r>
          </w:p>
        </w:tc>
        <w:tc>
          <w:tcPr>
            <w:tcW w:w="667" w:type="pct"/>
            <w:tcBorders>
              <w:tl2br w:val="nil"/>
              <w:tr2bl w:val="nil"/>
            </w:tcBorders>
            <w:shd w:val="clear" w:color="auto" w:fill="auto"/>
            <w:noWrap w:val="0"/>
            <w:vAlign w:val="bottom"/>
          </w:tcPr>
          <w:p w14:paraId="355D9D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1.7430</w:t>
            </w:r>
          </w:p>
        </w:tc>
        <w:tc>
          <w:tcPr>
            <w:tcW w:w="743" w:type="pct"/>
            <w:tcBorders>
              <w:tl2br w:val="nil"/>
              <w:tr2bl w:val="nil"/>
            </w:tcBorders>
            <w:shd w:val="clear" w:color="auto" w:fill="auto"/>
            <w:noWrap w:val="0"/>
            <w:vAlign w:val="bottom"/>
          </w:tcPr>
          <w:p w14:paraId="50520BF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1.8143</w:t>
            </w:r>
          </w:p>
        </w:tc>
        <w:tc>
          <w:tcPr>
            <w:tcW w:w="642" w:type="pct"/>
            <w:tcBorders>
              <w:tl2br w:val="nil"/>
              <w:tr2bl w:val="nil"/>
            </w:tcBorders>
            <w:shd w:val="clear" w:color="auto" w:fill="auto"/>
            <w:noWrap w:val="0"/>
            <w:vAlign w:val="bottom"/>
          </w:tcPr>
          <w:p w14:paraId="0C3D27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1.8121</w:t>
            </w:r>
          </w:p>
        </w:tc>
        <w:tc>
          <w:tcPr>
            <w:tcW w:w="644" w:type="pct"/>
            <w:tcBorders>
              <w:tl2br w:val="nil"/>
              <w:tr2bl w:val="nil"/>
            </w:tcBorders>
            <w:shd w:val="clear" w:color="auto" w:fill="auto"/>
            <w:noWrap w:val="0"/>
            <w:vAlign w:val="bottom"/>
          </w:tcPr>
          <w:p w14:paraId="6520B80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15.4591</w:t>
            </w:r>
          </w:p>
        </w:tc>
        <w:tc>
          <w:tcPr>
            <w:tcW w:w="649" w:type="pct"/>
            <w:tcBorders>
              <w:tl2br w:val="nil"/>
              <w:tr2bl w:val="nil"/>
            </w:tcBorders>
            <w:shd w:val="clear" w:color="auto" w:fill="auto"/>
            <w:noWrap w:val="0"/>
            <w:vAlign w:val="bottom"/>
          </w:tcPr>
          <w:p w14:paraId="211461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14.8785</w:t>
            </w:r>
          </w:p>
        </w:tc>
        <w:tc>
          <w:tcPr>
            <w:tcW w:w="731" w:type="pct"/>
            <w:tcBorders>
              <w:tl2br w:val="nil"/>
              <w:tr2bl w:val="nil"/>
            </w:tcBorders>
            <w:shd w:val="clear" w:color="auto" w:fill="auto"/>
            <w:noWrap w:val="0"/>
            <w:vAlign w:val="bottom"/>
          </w:tcPr>
          <w:p w14:paraId="00B1A4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12.5170</w:t>
            </w:r>
          </w:p>
        </w:tc>
      </w:tr>
      <w:tr w14:paraId="6E5EF6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CF8D5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22.0000</w:t>
            </w:r>
          </w:p>
        </w:tc>
        <w:tc>
          <w:tcPr>
            <w:tcW w:w="667" w:type="pct"/>
            <w:tcBorders>
              <w:tl2br w:val="nil"/>
              <w:tr2bl w:val="nil"/>
            </w:tcBorders>
            <w:shd w:val="clear" w:color="auto" w:fill="auto"/>
            <w:noWrap w:val="0"/>
            <w:vAlign w:val="bottom"/>
          </w:tcPr>
          <w:p w14:paraId="645A7D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1.5063</w:t>
            </w:r>
          </w:p>
        </w:tc>
        <w:tc>
          <w:tcPr>
            <w:tcW w:w="743" w:type="pct"/>
            <w:tcBorders>
              <w:tl2br w:val="nil"/>
              <w:tr2bl w:val="nil"/>
            </w:tcBorders>
            <w:shd w:val="clear" w:color="auto" w:fill="auto"/>
            <w:noWrap w:val="0"/>
            <w:vAlign w:val="bottom"/>
          </w:tcPr>
          <w:p w14:paraId="5A9B08D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1.5825</w:t>
            </w:r>
          </w:p>
        </w:tc>
        <w:tc>
          <w:tcPr>
            <w:tcW w:w="642" w:type="pct"/>
            <w:tcBorders>
              <w:tl2br w:val="nil"/>
              <w:tr2bl w:val="nil"/>
            </w:tcBorders>
            <w:shd w:val="clear" w:color="auto" w:fill="auto"/>
            <w:noWrap w:val="0"/>
            <w:vAlign w:val="bottom"/>
          </w:tcPr>
          <w:p w14:paraId="76B9BB0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1.6349</w:t>
            </w:r>
          </w:p>
        </w:tc>
        <w:tc>
          <w:tcPr>
            <w:tcW w:w="644" w:type="pct"/>
            <w:tcBorders>
              <w:tl2br w:val="nil"/>
              <w:tr2bl w:val="nil"/>
            </w:tcBorders>
            <w:shd w:val="clear" w:color="auto" w:fill="auto"/>
            <w:noWrap w:val="0"/>
            <w:vAlign w:val="bottom"/>
          </w:tcPr>
          <w:p w14:paraId="2C8DE13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13.9609</w:t>
            </w:r>
          </w:p>
        </w:tc>
        <w:tc>
          <w:tcPr>
            <w:tcW w:w="649" w:type="pct"/>
            <w:tcBorders>
              <w:tl2br w:val="nil"/>
              <w:tr2bl w:val="nil"/>
            </w:tcBorders>
            <w:shd w:val="clear" w:color="auto" w:fill="auto"/>
            <w:noWrap w:val="0"/>
            <w:vAlign w:val="bottom"/>
          </w:tcPr>
          <w:p w14:paraId="4279CBE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13.4950</w:t>
            </w:r>
          </w:p>
        </w:tc>
        <w:tc>
          <w:tcPr>
            <w:tcW w:w="731" w:type="pct"/>
            <w:tcBorders>
              <w:tl2br w:val="nil"/>
              <w:tr2bl w:val="nil"/>
            </w:tcBorders>
            <w:shd w:val="clear" w:color="auto" w:fill="auto"/>
            <w:noWrap w:val="0"/>
            <w:vAlign w:val="bottom"/>
          </w:tcPr>
          <w:p w14:paraId="3B53402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11.5482</w:t>
            </w:r>
          </w:p>
        </w:tc>
      </w:tr>
      <w:tr w14:paraId="57F794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94C524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23.0000</w:t>
            </w:r>
          </w:p>
        </w:tc>
        <w:tc>
          <w:tcPr>
            <w:tcW w:w="667" w:type="pct"/>
            <w:tcBorders>
              <w:tl2br w:val="nil"/>
              <w:tr2bl w:val="nil"/>
            </w:tcBorders>
            <w:shd w:val="clear" w:color="auto" w:fill="auto"/>
            <w:noWrap w:val="0"/>
            <w:vAlign w:val="bottom"/>
          </w:tcPr>
          <w:p w14:paraId="615D72D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1.3094</w:t>
            </w:r>
          </w:p>
        </w:tc>
        <w:tc>
          <w:tcPr>
            <w:tcW w:w="743" w:type="pct"/>
            <w:tcBorders>
              <w:tl2br w:val="nil"/>
              <w:tr2bl w:val="nil"/>
            </w:tcBorders>
            <w:shd w:val="clear" w:color="auto" w:fill="auto"/>
            <w:noWrap w:val="0"/>
            <w:vAlign w:val="bottom"/>
          </w:tcPr>
          <w:p w14:paraId="04B6C9C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1.3865</w:t>
            </w:r>
          </w:p>
        </w:tc>
        <w:tc>
          <w:tcPr>
            <w:tcW w:w="642" w:type="pct"/>
            <w:tcBorders>
              <w:tl2br w:val="nil"/>
              <w:tr2bl w:val="nil"/>
            </w:tcBorders>
            <w:shd w:val="clear" w:color="auto" w:fill="auto"/>
            <w:noWrap w:val="0"/>
            <w:vAlign w:val="bottom"/>
          </w:tcPr>
          <w:p w14:paraId="2A4DF31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1.4759</w:t>
            </w:r>
          </w:p>
        </w:tc>
        <w:tc>
          <w:tcPr>
            <w:tcW w:w="644" w:type="pct"/>
            <w:tcBorders>
              <w:tl2br w:val="nil"/>
              <w:tr2bl w:val="nil"/>
            </w:tcBorders>
            <w:shd w:val="clear" w:color="auto" w:fill="auto"/>
            <w:noWrap w:val="0"/>
            <w:vAlign w:val="bottom"/>
          </w:tcPr>
          <w:p w14:paraId="1FCFBC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12.6700</w:t>
            </w:r>
          </w:p>
        </w:tc>
        <w:tc>
          <w:tcPr>
            <w:tcW w:w="649" w:type="pct"/>
            <w:tcBorders>
              <w:tl2br w:val="nil"/>
              <w:tr2bl w:val="nil"/>
            </w:tcBorders>
            <w:shd w:val="clear" w:color="auto" w:fill="auto"/>
            <w:noWrap w:val="0"/>
            <w:vAlign w:val="bottom"/>
          </w:tcPr>
          <w:p w14:paraId="102281D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12.2920</w:t>
            </w:r>
          </w:p>
        </w:tc>
        <w:tc>
          <w:tcPr>
            <w:tcW w:w="731" w:type="pct"/>
            <w:tcBorders>
              <w:tl2br w:val="nil"/>
              <w:tr2bl w:val="nil"/>
            </w:tcBorders>
            <w:shd w:val="clear" w:color="auto" w:fill="auto"/>
            <w:noWrap w:val="0"/>
            <w:vAlign w:val="bottom"/>
          </w:tcPr>
          <w:p w14:paraId="53E794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10.6755</w:t>
            </w:r>
          </w:p>
        </w:tc>
      </w:tr>
      <w:tr w14:paraId="17FC43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A4FE91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24.0000</w:t>
            </w:r>
          </w:p>
        </w:tc>
        <w:tc>
          <w:tcPr>
            <w:tcW w:w="667" w:type="pct"/>
            <w:tcBorders>
              <w:tl2br w:val="nil"/>
              <w:tr2bl w:val="nil"/>
            </w:tcBorders>
            <w:shd w:val="clear" w:color="auto" w:fill="auto"/>
            <w:noWrap w:val="0"/>
            <w:vAlign w:val="bottom"/>
          </w:tcPr>
          <w:p w14:paraId="46F8A21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1.1445</w:t>
            </w:r>
          </w:p>
        </w:tc>
        <w:tc>
          <w:tcPr>
            <w:tcW w:w="743" w:type="pct"/>
            <w:tcBorders>
              <w:tl2br w:val="nil"/>
              <w:tr2bl w:val="nil"/>
            </w:tcBorders>
            <w:shd w:val="clear" w:color="auto" w:fill="auto"/>
            <w:noWrap w:val="0"/>
            <w:vAlign w:val="bottom"/>
          </w:tcPr>
          <w:p w14:paraId="7A5FDA6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1.2201</w:t>
            </w:r>
          </w:p>
        </w:tc>
        <w:tc>
          <w:tcPr>
            <w:tcW w:w="642" w:type="pct"/>
            <w:tcBorders>
              <w:tl2br w:val="nil"/>
              <w:tr2bl w:val="nil"/>
            </w:tcBorders>
            <w:shd w:val="clear" w:color="auto" w:fill="auto"/>
            <w:noWrap w:val="0"/>
            <w:vAlign w:val="bottom"/>
          </w:tcPr>
          <w:p w14:paraId="3D0245F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1.3336</w:t>
            </w:r>
          </w:p>
        </w:tc>
        <w:tc>
          <w:tcPr>
            <w:tcW w:w="644" w:type="pct"/>
            <w:tcBorders>
              <w:tl2br w:val="nil"/>
              <w:tr2bl w:val="nil"/>
            </w:tcBorders>
            <w:shd w:val="clear" w:color="auto" w:fill="auto"/>
            <w:noWrap w:val="0"/>
            <w:vAlign w:val="bottom"/>
          </w:tcPr>
          <w:p w14:paraId="2922683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11.5505</w:t>
            </w:r>
          </w:p>
        </w:tc>
        <w:tc>
          <w:tcPr>
            <w:tcW w:w="649" w:type="pct"/>
            <w:tcBorders>
              <w:tl2br w:val="nil"/>
              <w:tr2bl w:val="nil"/>
            </w:tcBorders>
            <w:shd w:val="clear" w:color="auto" w:fill="auto"/>
            <w:noWrap w:val="0"/>
            <w:vAlign w:val="bottom"/>
          </w:tcPr>
          <w:p w14:paraId="1288B6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11.2407</w:t>
            </w:r>
          </w:p>
        </w:tc>
        <w:tc>
          <w:tcPr>
            <w:tcW w:w="731" w:type="pct"/>
            <w:tcBorders>
              <w:tl2br w:val="nil"/>
              <w:tr2bl w:val="nil"/>
            </w:tcBorders>
            <w:shd w:val="clear" w:color="auto" w:fill="auto"/>
            <w:noWrap w:val="0"/>
            <w:vAlign w:val="bottom"/>
          </w:tcPr>
          <w:p w14:paraId="1BE33C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9.8889</w:t>
            </w:r>
          </w:p>
        </w:tc>
      </w:tr>
      <w:tr w14:paraId="135217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170645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25.0000</w:t>
            </w:r>
          </w:p>
        </w:tc>
        <w:tc>
          <w:tcPr>
            <w:tcW w:w="667" w:type="pct"/>
            <w:tcBorders>
              <w:tl2br w:val="nil"/>
              <w:tr2bl w:val="nil"/>
            </w:tcBorders>
            <w:shd w:val="clear" w:color="auto" w:fill="auto"/>
            <w:noWrap w:val="0"/>
            <w:vAlign w:val="bottom"/>
          </w:tcPr>
          <w:p w14:paraId="38345F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1.0056</w:t>
            </w:r>
          </w:p>
        </w:tc>
        <w:tc>
          <w:tcPr>
            <w:tcW w:w="743" w:type="pct"/>
            <w:tcBorders>
              <w:tl2br w:val="nil"/>
              <w:tr2bl w:val="nil"/>
            </w:tcBorders>
            <w:shd w:val="clear" w:color="auto" w:fill="auto"/>
            <w:noWrap w:val="0"/>
            <w:vAlign w:val="bottom"/>
          </w:tcPr>
          <w:p w14:paraId="2A74A60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1.0784</w:t>
            </w:r>
          </w:p>
        </w:tc>
        <w:tc>
          <w:tcPr>
            <w:tcW w:w="642" w:type="pct"/>
            <w:tcBorders>
              <w:tl2br w:val="nil"/>
              <w:tr2bl w:val="nil"/>
            </w:tcBorders>
            <w:shd w:val="clear" w:color="auto" w:fill="auto"/>
            <w:noWrap w:val="0"/>
            <w:vAlign w:val="bottom"/>
          </w:tcPr>
          <w:p w14:paraId="01619D5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1.2067</w:t>
            </w:r>
          </w:p>
        </w:tc>
        <w:tc>
          <w:tcPr>
            <w:tcW w:w="644" w:type="pct"/>
            <w:tcBorders>
              <w:tl2br w:val="nil"/>
              <w:tr2bl w:val="nil"/>
            </w:tcBorders>
            <w:shd w:val="clear" w:color="auto" w:fill="auto"/>
            <w:noWrap w:val="0"/>
            <w:vAlign w:val="bottom"/>
          </w:tcPr>
          <w:p w14:paraId="316269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10.5737</w:t>
            </w:r>
          </w:p>
        </w:tc>
        <w:tc>
          <w:tcPr>
            <w:tcW w:w="649" w:type="pct"/>
            <w:tcBorders>
              <w:tl2br w:val="nil"/>
              <w:tr2bl w:val="nil"/>
            </w:tcBorders>
            <w:shd w:val="clear" w:color="auto" w:fill="auto"/>
            <w:noWrap w:val="0"/>
            <w:vAlign w:val="bottom"/>
          </w:tcPr>
          <w:p w14:paraId="374BD0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10.3173</w:t>
            </w:r>
          </w:p>
        </w:tc>
        <w:tc>
          <w:tcPr>
            <w:tcW w:w="731" w:type="pct"/>
            <w:tcBorders>
              <w:tl2br w:val="nil"/>
              <w:tr2bl w:val="nil"/>
            </w:tcBorders>
            <w:shd w:val="clear" w:color="auto" w:fill="auto"/>
            <w:noWrap w:val="0"/>
            <w:vAlign w:val="bottom"/>
          </w:tcPr>
          <w:p w14:paraId="3FE0184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9.1794</w:t>
            </w:r>
          </w:p>
        </w:tc>
      </w:tr>
      <w:tr w14:paraId="3073E4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0BE09F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26.0000</w:t>
            </w:r>
          </w:p>
        </w:tc>
        <w:tc>
          <w:tcPr>
            <w:tcW w:w="667" w:type="pct"/>
            <w:tcBorders>
              <w:tl2br w:val="nil"/>
              <w:tr2bl w:val="nil"/>
            </w:tcBorders>
            <w:shd w:val="clear" w:color="auto" w:fill="auto"/>
            <w:noWrap w:val="0"/>
            <w:vAlign w:val="bottom"/>
          </w:tcPr>
          <w:p w14:paraId="0D6E479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0.8881</w:t>
            </w:r>
          </w:p>
        </w:tc>
        <w:tc>
          <w:tcPr>
            <w:tcW w:w="743" w:type="pct"/>
            <w:tcBorders>
              <w:tl2br w:val="nil"/>
              <w:tr2bl w:val="nil"/>
            </w:tcBorders>
            <w:shd w:val="clear" w:color="auto" w:fill="auto"/>
            <w:noWrap w:val="0"/>
            <w:vAlign w:val="bottom"/>
          </w:tcPr>
          <w:p w14:paraId="560AB94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0.9572</w:t>
            </w:r>
          </w:p>
        </w:tc>
        <w:tc>
          <w:tcPr>
            <w:tcW w:w="642" w:type="pct"/>
            <w:tcBorders>
              <w:tl2br w:val="nil"/>
              <w:tr2bl w:val="nil"/>
            </w:tcBorders>
            <w:shd w:val="clear" w:color="auto" w:fill="auto"/>
            <w:noWrap w:val="0"/>
            <w:vAlign w:val="bottom"/>
          </w:tcPr>
          <w:p w14:paraId="1656B2D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1.0935</w:t>
            </w:r>
          </w:p>
        </w:tc>
        <w:tc>
          <w:tcPr>
            <w:tcW w:w="644" w:type="pct"/>
            <w:tcBorders>
              <w:tl2br w:val="nil"/>
              <w:tr2bl w:val="nil"/>
            </w:tcBorders>
            <w:shd w:val="clear" w:color="auto" w:fill="auto"/>
            <w:noWrap w:val="0"/>
            <w:vAlign w:val="bottom"/>
          </w:tcPr>
          <w:p w14:paraId="6D5C4FB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9.7164</w:t>
            </w:r>
          </w:p>
        </w:tc>
        <w:tc>
          <w:tcPr>
            <w:tcW w:w="649" w:type="pct"/>
            <w:tcBorders>
              <w:tl2br w:val="nil"/>
              <w:tr2bl w:val="nil"/>
            </w:tcBorders>
            <w:shd w:val="clear" w:color="auto" w:fill="auto"/>
            <w:noWrap w:val="0"/>
            <w:vAlign w:val="bottom"/>
          </w:tcPr>
          <w:p w14:paraId="69C220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9.5024</w:t>
            </w:r>
          </w:p>
        </w:tc>
        <w:tc>
          <w:tcPr>
            <w:tcW w:w="731" w:type="pct"/>
            <w:tcBorders>
              <w:tl2br w:val="nil"/>
              <w:tr2bl w:val="nil"/>
            </w:tcBorders>
            <w:shd w:val="clear" w:color="auto" w:fill="auto"/>
            <w:noWrap w:val="0"/>
            <w:vAlign w:val="bottom"/>
          </w:tcPr>
          <w:p w14:paraId="454490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8.5384</w:t>
            </w:r>
          </w:p>
        </w:tc>
      </w:tr>
      <w:tr w14:paraId="237BA85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0E3CB8D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27.0000</w:t>
            </w:r>
          </w:p>
        </w:tc>
        <w:tc>
          <w:tcPr>
            <w:tcW w:w="667" w:type="pct"/>
            <w:tcBorders>
              <w:tl2br w:val="nil"/>
              <w:tr2bl w:val="nil"/>
            </w:tcBorders>
            <w:shd w:val="clear" w:color="auto" w:fill="auto"/>
            <w:noWrap w:val="0"/>
            <w:vAlign w:val="bottom"/>
          </w:tcPr>
          <w:p w14:paraId="325DA3A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0.7879</w:t>
            </w:r>
          </w:p>
        </w:tc>
        <w:tc>
          <w:tcPr>
            <w:tcW w:w="743" w:type="pct"/>
            <w:tcBorders>
              <w:tl2br w:val="nil"/>
              <w:tr2bl w:val="nil"/>
            </w:tcBorders>
            <w:shd w:val="clear" w:color="auto" w:fill="auto"/>
            <w:noWrap w:val="0"/>
            <w:vAlign w:val="bottom"/>
          </w:tcPr>
          <w:p w14:paraId="00C834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0.8530</w:t>
            </w:r>
          </w:p>
        </w:tc>
        <w:tc>
          <w:tcPr>
            <w:tcW w:w="642" w:type="pct"/>
            <w:tcBorders>
              <w:tl2br w:val="nil"/>
              <w:tr2bl w:val="nil"/>
            </w:tcBorders>
            <w:shd w:val="clear" w:color="auto" w:fill="auto"/>
            <w:noWrap w:val="0"/>
            <w:vAlign w:val="bottom"/>
          </w:tcPr>
          <w:p w14:paraId="2744EAC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0.9927</w:t>
            </w:r>
          </w:p>
        </w:tc>
        <w:tc>
          <w:tcPr>
            <w:tcW w:w="644" w:type="pct"/>
            <w:tcBorders>
              <w:tl2br w:val="nil"/>
              <w:tr2bl w:val="nil"/>
            </w:tcBorders>
            <w:shd w:val="clear" w:color="auto" w:fill="auto"/>
            <w:noWrap w:val="0"/>
            <w:vAlign w:val="bottom"/>
          </w:tcPr>
          <w:p w14:paraId="7092428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8.9601</w:t>
            </w:r>
          </w:p>
        </w:tc>
        <w:tc>
          <w:tcPr>
            <w:tcW w:w="649" w:type="pct"/>
            <w:tcBorders>
              <w:tl2br w:val="nil"/>
              <w:tr2bl w:val="nil"/>
            </w:tcBorders>
            <w:shd w:val="clear" w:color="auto" w:fill="auto"/>
            <w:noWrap w:val="0"/>
            <w:vAlign w:val="bottom"/>
          </w:tcPr>
          <w:p w14:paraId="2BAF81C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8.7801</w:t>
            </w:r>
          </w:p>
        </w:tc>
        <w:tc>
          <w:tcPr>
            <w:tcW w:w="731" w:type="pct"/>
            <w:tcBorders>
              <w:tl2br w:val="nil"/>
              <w:tr2bl w:val="nil"/>
            </w:tcBorders>
            <w:shd w:val="clear" w:color="auto" w:fill="auto"/>
            <w:noWrap w:val="0"/>
            <w:vAlign w:val="bottom"/>
          </w:tcPr>
          <w:p w14:paraId="79F021B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7.9583</w:t>
            </w:r>
          </w:p>
        </w:tc>
      </w:tr>
      <w:tr w14:paraId="69AEC7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4A916E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28.0000</w:t>
            </w:r>
          </w:p>
        </w:tc>
        <w:tc>
          <w:tcPr>
            <w:tcW w:w="667" w:type="pct"/>
            <w:tcBorders>
              <w:tl2br w:val="nil"/>
              <w:tr2bl w:val="nil"/>
            </w:tcBorders>
            <w:shd w:val="clear" w:color="auto" w:fill="auto"/>
            <w:noWrap w:val="0"/>
            <w:vAlign w:val="bottom"/>
          </w:tcPr>
          <w:p w14:paraId="4719DB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0.7022</w:t>
            </w:r>
          </w:p>
        </w:tc>
        <w:tc>
          <w:tcPr>
            <w:tcW w:w="743" w:type="pct"/>
            <w:tcBorders>
              <w:tl2br w:val="nil"/>
              <w:tr2bl w:val="nil"/>
            </w:tcBorders>
            <w:shd w:val="clear" w:color="auto" w:fill="auto"/>
            <w:noWrap w:val="0"/>
            <w:vAlign w:val="bottom"/>
          </w:tcPr>
          <w:p w14:paraId="58FE37B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0.7631</w:t>
            </w:r>
          </w:p>
        </w:tc>
        <w:tc>
          <w:tcPr>
            <w:tcW w:w="642" w:type="pct"/>
            <w:tcBorders>
              <w:tl2br w:val="nil"/>
              <w:tr2bl w:val="nil"/>
            </w:tcBorders>
            <w:shd w:val="clear" w:color="auto" w:fill="auto"/>
            <w:noWrap w:val="0"/>
            <w:vAlign w:val="bottom"/>
          </w:tcPr>
          <w:p w14:paraId="46649B0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0.9029</w:t>
            </w:r>
          </w:p>
        </w:tc>
        <w:tc>
          <w:tcPr>
            <w:tcW w:w="644" w:type="pct"/>
            <w:tcBorders>
              <w:tl2br w:val="nil"/>
              <w:tr2bl w:val="nil"/>
            </w:tcBorders>
            <w:shd w:val="clear" w:color="auto" w:fill="auto"/>
            <w:noWrap w:val="0"/>
            <w:vAlign w:val="bottom"/>
          </w:tcPr>
          <w:p w14:paraId="683A98D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8.2895</w:t>
            </w:r>
          </w:p>
        </w:tc>
        <w:tc>
          <w:tcPr>
            <w:tcW w:w="649" w:type="pct"/>
            <w:tcBorders>
              <w:tl2br w:val="nil"/>
              <w:tr2bl w:val="nil"/>
            </w:tcBorders>
            <w:shd w:val="clear" w:color="auto" w:fill="auto"/>
            <w:noWrap w:val="0"/>
            <w:vAlign w:val="bottom"/>
          </w:tcPr>
          <w:p w14:paraId="56893E4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8.1369</w:t>
            </w:r>
          </w:p>
        </w:tc>
        <w:tc>
          <w:tcPr>
            <w:tcW w:w="731" w:type="pct"/>
            <w:tcBorders>
              <w:tl2br w:val="nil"/>
              <w:tr2bl w:val="nil"/>
            </w:tcBorders>
            <w:shd w:val="clear" w:color="auto" w:fill="auto"/>
            <w:noWrap w:val="0"/>
            <w:vAlign w:val="bottom"/>
          </w:tcPr>
          <w:p w14:paraId="208D302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7.4324</w:t>
            </w:r>
          </w:p>
        </w:tc>
      </w:tr>
      <w:tr w14:paraId="151ACC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CB90C7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29.0000</w:t>
            </w:r>
          </w:p>
        </w:tc>
        <w:tc>
          <w:tcPr>
            <w:tcW w:w="667" w:type="pct"/>
            <w:tcBorders>
              <w:tl2br w:val="nil"/>
              <w:tr2bl w:val="nil"/>
            </w:tcBorders>
            <w:shd w:val="clear" w:color="auto" w:fill="auto"/>
            <w:noWrap w:val="0"/>
            <w:vAlign w:val="bottom"/>
          </w:tcPr>
          <w:p w14:paraId="67F482D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0.6284</w:t>
            </w:r>
          </w:p>
        </w:tc>
        <w:tc>
          <w:tcPr>
            <w:tcW w:w="743" w:type="pct"/>
            <w:tcBorders>
              <w:tl2br w:val="nil"/>
              <w:tr2bl w:val="nil"/>
            </w:tcBorders>
            <w:shd w:val="clear" w:color="auto" w:fill="auto"/>
            <w:noWrap w:val="0"/>
            <w:vAlign w:val="bottom"/>
          </w:tcPr>
          <w:p w14:paraId="202CC0B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0.6853</w:t>
            </w:r>
          </w:p>
        </w:tc>
        <w:tc>
          <w:tcPr>
            <w:tcW w:w="642" w:type="pct"/>
            <w:tcBorders>
              <w:tl2br w:val="nil"/>
              <w:tr2bl w:val="nil"/>
            </w:tcBorders>
            <w:shd w:val="clear" w:color="auto" w:fill="auto"/>
            <w:noWrap w:val="0"/>
            <w:vAlign w:val="bottom"/>
          </w:tcPr>
          <w:p w14:paraId="2E70C2A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0.8228</w:t>
            </w:r>
          </w:p>
        </w:tc>
        <w:tc>
          <w:tcPr>
            <w:tcW w:w="644" w:type="pct"/>
            <w:tcBorders>
              <w:tl2br w:val="nil"/>
              <w:tr2bl w:val="nil"/>
            </w:tcBorders>
            <w:shd w:val="clear" w:color="auto" w:fill="auto"/>
            <w:noWrap w:val="0"/>
            <w:vAlign w:val="bottom"/>
          </w:tcPr>
          <w:p w14:paraId="728D3E8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7.6921</w:t>
            </w:r>
          </w:p>
        </w:tc>
        <w:tc>
          <w:tcPr>
            <w:tcW w:w="649" w:type="pct"/>
            <w:tcBorders>
              <w:tl2br w:val="nil"/>
              <w:tr2bl w:val="nil"/>
            </w:tcBorders>
            <w:shd w:val="clear" w:color="auto" w:fill="auto"/>
            <w:noWrap w:val="0"/>
            <w:vAlign w:val="bottom"/>
          </w:tcPr>
          <w:p w14:paraId="718C98A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7.5618</w:t>
            </w:r>
          </w:p>
        </w:tc>
        <w:tc>
          <w:tcPr>
            <w:tcW w:w="731" w:type="pct"/>
            <w:tcBorders>
              <w:tl2br w:val="nil"/>
              <w:tr2bl w:val="nil"/>
            </w:tcBorders>
            <w:shd w:val="clear" w:color="auto" w:fill="auto"/>
            <w:noWrap w:val="0"/>
            <w:vAlign w:val="bottom"/>
          </w:tcPr>
          <w:p w14:paraId="5E57B5C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6.9546</w:t>
            </w:r>
          </w:p>
        </w:tc>
      </w:tr>
      <w:tr w14:paraId="06124E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D21E6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30.0000</w:t>
            </w:r>
          </w:p>
        </w:tc>
        <w:tc>
          <w:tcPr>
            <w:tcW w:w="667" w:type="pct"/>
            <w:tcBorders>
              <w:tl2br w:val="nil"/>
              <w:tr2bl w:val="nil"/>
            </w:tcBorders>
            <w:shd w:val="clear" w:color="auto" w:fill="auto"/>
            <w:noWrap w:val="0"/>
            <w:vAlign w:val="bottom"/>
          </w:tcPr>
          <w:p w14:paraId="742A70C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0.5646</w:t>
            </w:r>
          </w:p>
        </w:tc>
        <w:tc>
          <w:tcPr>
            <w:tcW w:w="743" w:type="pct"/>
            <w:tcBorders>
              <w:tl2br w:val="nil"/>
              <w:tr2bl w:val="nil"/>
            </w:tcBorders>
            <w:shd w:val="clear" w:color="auto" w:fill="auto"/>
            <w:noWrap w:val="0"/>
            <w:vAlign w:val="bottom"/>
          </w:tcPr>
          <w:p w14:paraId="64B2126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0.6175</w:t>
            </w:r>
          </w:p>
        </w:tc>
        <w:tc>
          <w:tcPr>
            <w:tcW w:w="642" w:type="pct"/>
            <w:tcBorders>
              <w:tl2br w:val="nil"/>
              <w:tr2bl w:val="nil"/>
            </w:tcBorders>
            <w:shd w:val="clear" w:color="auto" w:fill="auto"/>
            <w:noWrap w:val="0"/>
            <w:vAlign w:val="bottom"/>
          </w:tcPr>
          <w:p w14:paraId="3EE6CC1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0.7513</w:t>
            </w:r>
          </w:p>
        </w:tc>
        <w:tc>
          <w:tcPr>
            <w:tcW w:w="644" w:type="pct"/>
            <w:tcBorders>
              <w:tl2br w:val="nil"/>
              <w:tr2bl w:val="nil"/>
            </w:tcBorders>
            <w:shd w:val="clear" w:color="auto" w:fill="auto"/>
            <w:noWrap w:val="0"/>
            <w:vAlign w:val="bottom"/>
          </w:tcPr>
          <w:p w14:paraId="140EED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7.1576</w:t>
            </w:r>
          </w:p>
        </w:tc>
        <w:tc>
          <w:tcPr>
            <w:tcW w:w="649" w:type="pct"/>
            <w:tcBorders>
              <w:tl2br w:val="nil"/>
              <w:tr2bl w:val="nil"/>
            </w:tcBorders>
            <w:shd w:val="clear" w:color="auto" w:fill="auto"/>
            <w:noWrap w:val="0"/>
            <w:vAlign w:val="bottom"/>
          </w:tcPr>
          <w:p w14:paraId="6FC5AE9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7.0457</w:t>
            </w:r>
          </w:p>
        </w:tc>
        <w:tc>
          <w:tcPr>
            <w:tcW w:w="731" w:type="pct"/>
            <w:tcBorders>
              <w:tl2br w:val="nil"/>
              <w:tr2bl w:val="nil"/>
            </w:tcBorders>
            <w:shd w:val="clear" w:color="auto" w:fill="auto"/>
            <w:noWrap w:val="0"/>
            <w:vAlign w:val="bottom"/>
          </w:tcPr>
          <w:p w14:paraId="251E35F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6.5196</w:t>
            </w:r>
          </w:p>
        </w:tc>
      </w:tr>
      <w:tr w14:paraId="22078A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4B5B69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31.0000</w:t>
            </w:r>
          </w:p>
        </w:tc>
        <w:tc>
          <w:tcPr>
            <w:tcW w:w="667" w:type="pct"/>
            <w:tcBorders>
              <w:tl2br w:val="nil"/>
              <w:tr2bl w:val="nil"/>
            </w:tcBorders>
            <w:shd w:val="clear" w:color="auto" w:fill="auto"/>
            <w:noWrap w:val="0"/>
            <w:vAlign w:val="bottom"/>
          </w:tcPr>
          <w:p w14:paraId="6A7FD67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0.5091</w:t>
            </w:r>
          </w:p>
        </w:tc>
        <w:tc>
          <w:tcPr>
            <w:tcW w:w="743" w:type="pct"/>
            <w:tcBorders>
              <w:tl2br w:val="nil"/>
              <w:tr2bl w:val="nil"/>
            </w:tcBorders>
            <w:shd w:val="clear" w:color="auto" w:fill="auto"/>
            <w:noWrap w:val="0"/>
            <w:vAlign w:val="bottom"/>
          </w:tcPr>
          <w:p w14:paraId="4729BAB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0.5583</w:t>
            </w:r>
          </w:p>
        </w:tc>
        <w:tc>
          <w:tcPr>
            <w:tcW w:w="642" w:type="pct"/>
            <w:tcBorders>
              <w:tl2br w:val="nil"/>
              <w:tr2bl w:val="nil"/>
            </w:tcBorders>
            <w:shd w:val="clear" w:color="auto" w:fill="auto"/>
            <w:noWrap w:val="0"/>
            <w:vAlign w:val="bottom"/>
          </w:tcPr>
          <w:p w14:paraId="3F10BE2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0.6873</w:t>
            </w:r>
          </w:p>
        </w:tc>
        <w:tc>
          <w:tcPr>
            <w:tcW w:w="644" w:type="pct"/>
            <w:tcBorders>
              <w:tl2br w:val="nil"/>
              <w:tr2bl w:val="nil"/>
            </w:tcBorders>
            <w:shd w:val="clear" w:color="auto" w:fill="auto"/>
            <w:noWrap w:val="0"/>
            <w:vAlign w:val="bottom"/>
          </w:tcPr>
          <w:p w14:paraId="5DBE5D9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6.6774</w:t>
            </w:r>
          </w:p>
        </w:tc>
        <w:tc>
          <w:tcPr>
            <w:tcW w:w="649" w:type="pct"/>
            <w:tcBorders>
              <w:tl2br w:val="nil"/>
              <w:tr2bl w:val="nil"/>
            </w:tcBorders>
            <w:shd w:val="clear" w:color="auto" w:fill="auto"/>
            <w:noWrap w:val="0"/>
            <w:vAlign w:val="bottom"/>
          </w:tcPr>
          <w:p w14:paraId="593A053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6.5808</w:t>
            </w:r>
          </w:p>
        </w:tc>
        <w:tc>
          <w:tcPr>
            <w:tcW w:w="731" w:type="pct"/>
            <w:tcBorders>
              <w:tl2br w:val="nil"/>
              <w:tr2bl w:val="nil"/>
            </w:tcBorders>
            <w:shd w:val="clear" w:color="auto" w:fill="auto"/>
            <w:noWrap w:val="0"/>
            <w:vAlign w:val="bottom"/>
          </w:tcPr>
          <w:p w14:paraId="2D1C8EA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6.1228</w:t>
            </w:r>
          </w:p>
        </w:tc>
      </w:tr>
      <w:tr w14:paraId="107DA4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3FED45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32.0000</w:t>
            </w:r>
          </w:p>
        </w:tc>
        <w:tc>
          <w:tcPr>
            <w:tcW w:w="667" w:type="pct"/>
            <w:tcBorders>
              <w:tl2br w:val="nil"/>
              <w:tr2bl w:val="nil"/>
            </w:tcBorders>
            <w:shd w:val="clear" w:color="auto" w:fill="auto"/>
            <w:noWrap w:val="0"/>
            <w:vAlign w:val="bottom"/>
          </w:tcPr>
          <w:p w14:paraId="5A10ABC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0.4606</w:t>
            </w:r>
          </w:p>
        </w:tc>
        <w:tc>
          <w:tcPr>
            <w:tcW w:w="743" w:type="pct"/>
            <w:tcBorders>
              <w:tl2br w:val="nil"/>
              <w:tr2bl w:val="nil"/>
            </w:tcBorders>
            <w:shd w:val="clear" w:color="auto" w:fill="auto"/>
            <w:noWrap w:val="0"/>
            <w:vAlign w:val="bottom"/>
          </w:tcPr>
          <w:p w14:paraId="5BB31C8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0.5063</w:t>
            </w:r>
          </w:p>
        </w:tc>
        <w:tc>
          <w:tcPr>
            <w:tcW w:w="642" w:type="pct"/>
            <w:tcBorders>
              <w:tl2br w:val="nil"/>
              <w:tr2bl w:val="nil"/>
            </w:tcBorders>
            <w:shd w:val="clear" w:color="auto" w:fill="auto"/>
            <w:noWrap w:val="0"/>
            <w:vAlign w:val="bottom"/>
          </w:tcPr>
          <w:p w14:paraId="34AFC03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0.6301</w:t>
            </w:r>
          </w:p>
        </w:tc>
        <w:tc>
          <w:tcPr>
            <w:tcW w:w="644" w:type="pct"/>
            <w:tcBorders>
              <w:tl2br w:val="nil"/>
              <w:tr2bl w:val="nil"/>
            </w:tcBorders>
            <w:shd w:val="clear" w:color="auto" w:fill="auto"/>
            <w:noWrap w:val="0"/>
            <w:vAlign w:val="bottom"/>
          </w:tcPr>
          <w:p w14:paraId="0852B9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6.2445</w:t>
            </w:r>
          </w:p>
        </w:tc>
        <w:tc>
          <w:tcPr>
            <w:tcW w:w="649" w:type="pct"/>
            <w:tcBorders>
              <w:tl2br w:val="nil"/>
              <w:tr2bl w:val="nil"/>
            </w:tcBorders>
            <w:shd w:val="clear" w:color="auto" w:fill="auto"/>
            <w:noWrap w:val="0"/>
            <w:vAlign w:val="bottom"/>
          </w:tcPr>
          <w:p w14:paraId="578C372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6.1606</w:t>
            </w:r>
          </w:p>
        </w:tc>
        <w:tc>
          <w:tcPr>
            <w:tcW w:w="731" w:type="pct"/>
            <w:tcBorders>
              <w:tl2br w:val="nil"/>
              <w:tr2bl w:val="nil"/>
            </w:tcBorders>
            <w:shd w:val="clear" w:color="auto" w:fill="auto"/>
            <w:noWrap w:val="0"/>
            <w:vAlign w:val="bottom"/>
          </w:tcPr>
          <w:p w14:paraId="039813F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5.7600</w:t>
            </w:r>
          </w:p>
        </w:tc>
      </w:tr>
      <w:tr w14:paraId="191443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33DDB4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33.0000</w:t>
            </w:r>
          </w:p>
        </w:tc>
        <w:tc>
          <w:tcPr>
            <w:tcW w:w="667" w:type="pct"/>
            <w:tcBorders>
              <w:tl2br w:val="nil"/>
              <w:tr2bl w:val="nil"/>
            </w:tcBorders>
            <w:shd w:val="clear" w:color="auto" w:fill="auto"/>
            <w:noWrap w:val="0"/>
            <w:vAlign w:val="bottom"/>
          </w:tcPr>
          <w:p w14:paraId="7353FF8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0.4182</w:t>
            </w:r>
          </w:p>
        </w:tc>
        <w:tc>
          <w:tcPr>
            <w:tcW w:w="743" w:type="pct"/>
            <w:tcBorders>
              <w:tl2br w:val="nil"/>
              <w:tr2bl w:val="nil"/>
            </w:tcBorders>
            <w:shd w:val="clear" w:color="auto" w:fill="auto"/>
            <w:noWrap w:val="0"/>
            <w:vAlign w:val="bottom"/>
          </w:tcPr>
          <w:p w14:paraId="1A98A9C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0.4606</w:t>
            </w:r>
          </w:p>
        </w:tc>
        <w:tc>
          <w:tcPr>
            <w:tcW w:w="642" w:type="pct"/>
            <w:tcBorders>
              <w:tl2br w:val="nil"/>
              <w:tr2bl w:val="nil"/>
            </w:tcBorders>
            <w:shd w:val="clear" w:color="auto" w:fill="auto"/>
            <w:noWrap w:val="0"/>
            <w:vAlign w:val="bottom"/>
          </w:tcPr>
          <w:p w14:paraId="3132900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0.5787</w:t>
            </w:r>
          </w:p>
        </w:tc>
        <w:tc>
          <w:tcPr>
            <w:tcW w:w="644" w:type="pct"/>
            <w:tcBorders>
              <w:tl2br w:val="nil"/>
              <w:tr2bl w:val="nil"/>
            </w:tcBorders>
            <w:shd w:val="clear" w:color="auto" w:fill="auto"/>
            <w:noWrap w:val="0"/>
            <w:vAlign w:val="bottom"/>
          </w:tcPr>
          <w:p w14:paraId="7F6A755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5.8527</w:t>
            </w:r>
          </w:p>
        </w:tc>
        <w:tc>
          <w:tcPr>
            <w:tcW w:w="649" w:type="pct"/>
            <w:tcBorders>
              <w:tl2br w:val="nil"/>
              <w:tr2bl w:val="nil"/>
            </w:tcBorders>
            <w:shd w:val="clear" w:color="auto" w:fill="auto"/>
            <w:noWrap w:val="0"/>
            <w:vAlign w:val="bottom"/>
          </w:tcPr>
          <w:p w14:paraId="28DEE00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5.7794</w:t>
            </w:r>
          </w:p>
        </w:tc>
        <w:tc>
          <w:tcPr>
            <w:tcW w:w="731" w:type="pct"/>
            <w:tcBorders>
              <w:tl2br w:val="nil"/>
              <w:tr2bl w:val="nil"/>
            </w:tcBorders>
            <w:shd w:val="clear" w:color="auto" w:fill="auto"/>
            <w:noWrap w:val="0"/>
            <w:vAlign w:val="bottom"/>
          </w:tcPr>
          <w:p w14:paraId="2CD1922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5.4277</w:t>
            </w:r>
          </w:p>
        </w:tc>
      </w:tr>
      <w:tr w14:paraId="0DEB16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60DA624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34.0000</w:t>
            </w:r>
          </w:p>
        </w:tc>
        <w:tc>
          <w:tcPr>
            <w:tcW w:w="667" w:type="pct"/>
            <w:tcBorders>
              <w:tl2br w:val="nil"/>
              <w:tr2bl w:val="nil"/>
            </w:tcBorders>
            <w:shd w:val="clear" w:color="auto" w:fill="auto"/>
            <w:noWrap w:val="0"/>
            <w:vAlign w:val="bottom"/>
          </w:tcPr>
          <w:p w14:paraId="4030CD0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0.3808</w:t>
            </w:r>
          </w:p>
        </w:tc>
        <w:tc>
          <w:tcPr>
            <w:tcW w:w="743" w:type="pct"/>
            <w:tcBorders>
              <w:tl2br w:val="nil"/>
              <w:tr2bl w:val="nil"/>
            </w:tcBorders>
            <w:shd w:val="clear" w:color="auto" w:fill="auto"/>
            <w:noWrap w:val="0"/>
            <w:vAlign w:val="bottom"/>
          </w:tcPr>
          <w:p w14:paraId="38E9A5B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0.4202</w:t>
            </w:r>
          </w:p>
        </w:tc>
        <w:tc>
          <w:tcPr>
            <w:tcW w:w="642" w:type="pct"/>
            <w:tcBorders>
              <w:tl2br w:val="nil"/>
              <w:tr2bl w:val="nil"/>
            </w:tcBorders>
            <w:shd w:val="clear" w:color="auto" w:fill="auto"/>
            <w:noWrap w:val="0"/>
            <w:vAlign w:val="bottom"/>
          </w:tcPr>
          <w:p w14:paraId="0A84F9D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0.5326</w:t>
            </w:r>
          </w:p>
        </w:tc>
        <w:tc>
          <w:tcPr>
            <w:tcW w:w="644" w:type="pct"/>
            <w:tcBorders>
              <w:tl2br w:val="nil"/>
              <w:tr2bl w:val="nil"/>
            </w:tcBorders>
            <w:shd w:val="clear" w:color="auto" w:fill="auto"/>
            <w:noWrap w:val="0"/>
            <w:vAlign w:val="bottom"/>
          </w:tcPr>
          <w:p w14:paraId="6E8962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5.4970</w:t>
            </w:r>
          </w:p>
        </w:tc>
        <w:tc>
          <w:tcPr>
            <w:tcW w:w="649" w:type="pct"/>
            <w:tcBorders>
              <w:tl2br w:val="nil"/>
              <w:tr2bl w:val="nil"/>
            </w:tcBorders>
            <w:shd w:val="clear" w:color="auto" w:fill="auto"/>
            <w:noWrap w:val="0"/>
            <w:vAlign w:val="bottom"/>
          </w:tcPr>
          <w:p w14:paraId="02A336F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5.4328</w:t>
            </w:r>
          </w:p>
        </w:tc>
        <w:tc>
          <w:tcPr>
            <w:tcW w:w="731" w:type="pct"/>
            <w:tcBorders>
              <w:tl2br w:val="nil"/>
              <w:tr2bl w:val="nil"/>
            </w:tcBorders>
            <w:shd w:val="clear" w:color="auto" w:fill="auto"/>
            <w:noWrap w:val="0"/>
            <w:vAlign w:val="bottom"/>
          </w:tcPr>
          <w:p w14:paraId="589913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5.1226</w:t>
            </w:r>
          </w:p>
        </w:tc>
      </w:tr>
      <w:tr w14:paraId="528840D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009D50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35.0000</w:t>
            </w:r>
          </w:p>
        </w:tc>
        <w:tc>
          <w:tcPr>
            <w:tcW w:w="667" w:type="pct"/>
            <w:tcBorders>
              <w:tl2br w:val="nil"/>
              <w:tr2bl w:val="nil"/>
            </w:tcBorders>
            <w:shd w:val="clear" w:color="auto" w:fill="auto"/>
            <w:noWrap w:val="0"/>
            <w:vAlign w:val="bottom"/>
          </w:tcPr>
          <w:p w14:paraId="09D7704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0.3478</w:t>
            </w:r>
          </w:p>
        </w:tc>
        <w:tc>
          <w:tcPr>
            <w:tcW w:w="743" w:type="pct"/>
            <w:tcBorders>
              <w:tl2br w:val="nil"/>
              <w:tr2bl w:val="nil"/>
            </w:tcBorders>
            <w:shd w:val="clear" w:color="auto" w:fill="auto"/>
            <w:noWrap w:val="0"/>
            <w:vAlign w:val="bottom"/>
          </w:tcPr>
          <w:p w14:paraId="2B5560B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0.3843</w:t>
            </w:r>
          </w:p>
        </w:tc>
        <w:tc>
          <w:tcPr>
            <w:tcW w:w="642" w:type="pct"/>
            <w:tcBorders>
              <w:tl2br w:val="nil"/>
              <w:tr2bl w:val="nil"/>
            </w:tcBorders>
            <w:shd w:val="clear" w:color="auto" w:fill="auto"/>
            <w:noWrap w:val="0"/>
            <w:vAlign w:val="bottom"/>
          </w:tcPr>
          <w:p w14:paraId="239934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0.4910</w:t>
            </w:r>
          </w:p>
        </w:tc>
        <w:tc>
          <w:tcPr>
            <w:tcW w:w="644" w:type="pct"/>
            <w:tcBorders>
              <w:tl2br w:val="nil"/>
              <w:tr2bl w:val="nil"/>
            </w:tcBorders>
            <w:shd w:val="clear" w:color="auto" w:fill="auto"/>
            <w:noWrap w:val="0"/>
            <w:vAlign w:val="bottom"/>
          </w:tcPr>
          <w:p w14:paraId="37BA7A6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5.1731</w:t>
            </w:r>
          </w:p>
        </w:tc>
        <w:tc>
          <w:tcPr>
            <w:tcW w:w="649" w:type="pct"/>
            <w:tcBorders>
              <w:tl2br w:val="nil"/>
              <w:tr2bl w:val="nil"/>
            </w:tcBorders>
            <w:shd w:val="clear" w:color="auto" w:fill="auto"/>
            <w:noWrap w:val="0"/>
            <w:vAlign w:val="bottom"/>
          </w:tcPr>
          <w:p w14:paraId="42DDBA7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5.1165</w:t>
            </w:r>
          </w:p>
        </w:tc>
        <w:tc>
          <w:tcPr>
            <w:tcW w:w="731" w:type="pct"/>
            <w:tcBorders>
              <w:tl2br w:val="nil"/>
              <w:tr2bl w:val="nil"/>
            </w:tcBorders>
            <w:shd w:val="clear" w:color="auto" w:fill="auto"/>
            <w:noWrap w:val="0"/>
            <w:vAlign w:val="bottom"/>
          </w:tcPr>
          <w:p w14:paraId="649920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4.8419</w:t>
            </w:r>
          </w:p>
        </w:tc>
      </w:tr>
      <w:tr w14:paraId="0A4374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D74726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36.0000</w:t>
            </w:r>
          </w:p>
        </w:tc>
        <w:tc>
          <w:tcPr>
            <w:tcW w:w="667" w:type="pct"/>
            <w:tcBorders>
              <w:tl2br w:val="nil"/>
              <w:tr2bl w:val="nil"/>
            </w:tcBorders>
            <w:shd w:val="clear" w:color="auto" w:fill="auto"/>
            <w:noWrap w:val="0"/>
            <w:vAlign w:val="bottom"/>
          </w:tcPr>
          <w:p w14:paraId="4DB60D0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0.3185</w:t>
            </w:r>
          </w:p>
        </w:tc>
        <w:tc>
          <w:tcPr>
            <w:tcW w:w="743" w:type="pct"/>
            <w:tcBorders>
              <w:tl2br w:val="nil"/>
              <w:tr2bl w:val="nil"/>
            </w:tcBorders>
            <w:shd w:val="clear" w:color="auto" w:fill="auto"/>
            <w:noWrap w:val="0"/>
            <w:vAlign w:val="bottom"/>
          </w:tcPr>
          <w:p w14:paraId="021420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0.3524</w:t>
            </w:r>
          </w:p>
        </w:tc>
        <w:tc>
          <w:tcPr>
            <w:tcW w:w="642" w:type="pct"/>
            <w:tcBorders>
              <w:tl2br w:val="nil"/>
              <w:tr2bl w:val="nil"/>
            </w:tcBorders>
            <w:shd w:val="clear" w:color="auto" w:fill="auto"/>
            <w:noWrap w:val="0"/>
            <w:vAlign w:val="bottom"/>
          </w:tcPr>
          <w:p w14:paraId="2F8E35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0.4535</w:t>
            </w:r>
          </w:p>
        </w:tc>
        <w:tc>
          <w:tcPr>
            <w:tcW w:w="644" w:type="pct"/>
            <w:tcBorders>
              <w:tl2br w:val="nil"/>
              <w:tr2bl w:val="nil"/>
            </w:tcBorders>
            <w:shd w:val="clear" w:color="auto" w:fill="auto"/>
            <w:noWrap w:val="0"/>
            <w:vAlign w:val="bottom"/>
          </w:tcPr>
          <w:p w14:paraId="4879D09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4.8772</w:t>
            </w:r>
          </w:p>
        </w:tc>
        <w:tc>
          <w:tcPr>
            <w:tcW w:w="649" w:type="pct"/>
            <w:tcBorders>
              <w:tl2br w:val="nil"/>
              <w:tr2bl w:val="nil"/>
            </w:tcBorders>
            <w:shd w:val="clear" w:color="auto" w:fill="auto"/>
            <w:noWrap w:val="0"/>
            <w:vAlign w:val="bottom"/>
          </w:tcPr>
          <w:p w14:paraId="07BFEA1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4.8272</w:t>
            </w:r>
          </w:p>
        </w:tc>
        <w:tc>
          <w:tcPr>
            <w:tcW w:w="731" w:type="pct"/>
            <w:tcBorders>
              <w:tl2br w:val="nil"/>
              <w:tr2bl w:val="nil"/>
            </w:tcBorders>
            <w:shd w:val="clear" w:color="auto" w:fill="auto"/>
            <w:noWrap w:val="0"/>
            <w:vAlign w:val="bottom"/>
          </w:tcPr>
          <w:p w14:paraId="359F061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4.5832</w:t>
            </w:r>
          </w:p>
        </w:tc>
      </w:tr>
      <w:tr w14:paraId="5E90C0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60793FE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37.0000</w:t>
            </w:r>
          </w:p>
        </w:tc>
        <w:tc>
          <w:tcPr>
            <w:tcW w:w="667" w:type="pct"/>
            <w:tcBorders>
              <w:tl2br w:val="nil"/>
              <w:tr2bl w:val="nil"/>
            </w:tcBorders>
            <w:shd w:val="clear" w:color="auto" w:fill="auto"/>
            <w:noWrap w:val="0"/>
            <w:vAlign w:val="bottom"/>
          </w:tcPr>
          <w:p w14:paraId="2219D85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0.2924</w:t>
            </w:r>
          </w:p>
        </w:tc>
        <w:tc>
          <w:tcPr>
            <w:tcW w:w="743" w:type="pct"/>
            <w:tcBorders>
              <w:tl2br w:val="nil"/>
              <w:tr2bl w:val="nil"/>
            </w:tcBorders>
            <w:shd w:val="clear" w:color="auto" w:fill="auto"/>
            <w:noWrap w:val="0"/>
            <w:vAlign w:val="bottom"/>
          </w:tcPr>
          <w:p w14:paraId="77FE97D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0.3240</w:t>
            </w:r>
          </w:p>
        </w:tc>
        <w:tc>
          <w:tcPr>
            <w:tcW w:w="642" w:type="pct"/>
            <w:tcBorders>
              <w:tl2br w:val="nil"/>
              <w:tr2bl w:val="nil"/>
            </w:tcBorders>
            <w:shd w:val="clear" w:color="auto" w:fill="auto"/>
            <w:noWrap w:val="0"/>
            <w:vAlign w:val="bottom"/>
          </w:tcPr>
          <w:p w14:paraId="2CD2F1C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0.4196</w:t>
            </w:r>
          </w:p>
        </w:tc>
        <w:tc>
          <w:tcPr>
            <w:tcW w:w="644" w:type="pct"/>
            <w:tcBorders>
              <w:tl2br w:val="nil"/>
              <w:tr2bl w:val="nil"/>
            </w:tcBorders>
            <w:shd w:val="clear" w:color="auto" w:fill="auto"/>
            <w:noWrap w:val="0"/>
            <w:vAlign w:val="bottom"/>
          </w:tcPr>
          <w:p w14:paraId="21BB924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4.6063</w:t>
            </w:r>
          </w:p>
        </w:tc>
        <w:tc>
          <w:tcPr>
            <w:tcW w:w="649" w:type="pct"/>
            <w:tcBorders>
              <w:tl2br w:val="nil"/>
              <w:tr2bl w:val="nil"/>
            </w:tcBorders>
            <w:shd w:val="clear" w:color="auto" w:fill="auto"/>
            <w:noWrap w:val="0"/>
            <w:vAlign w:val="bottom"/>
          </w:tcPr>
          <w:p w14:paraId="463F487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4.5619</w:t>
            </w:r>
          </w:p>
        </w:tc>
        <w:tc>
          <w:tcPr>
            <w:tcW w:w="731" w:type="pct"/>
            <w:tcBorders>
              <w:tl2br w:val="nil"/>
              <w:tr2bl w:val="nil"/>
            </w:tcBorders>
            <w:shd w:val="clear" w:color="auto" w:fill="auto"/>
            <w:noWrap w:val="0"/>
            <w:vAlign w:val="bottom"/>
          </w:tcPr>
          <w:p w14:paraId="716A2A3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4.3444</w:t>
            </w:r>
          </w:p>
        </w:tc>
      </w:tr>
      <w:tr w14:paraId="02C997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C0031E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38.0000</w:t>
            </w:r>
          </w:p>
        </w:tc>
        <w:tc>
          <w:tcPr>
            <w:tcW w:w="667" w:type="pct"/>
            <w:tcBorders>
              <w:tl2br w:val="nil"/>
              <w:tr2bl w:val="nil"/>
            </w:tcBorders>
            <w:shd w:val="clear" w:color="auto" w:fill="auto"/>
            <w:noWrap w:val="0"/>
            <w:vAlign w:val="bottom"/>
          </w:tcPr>
          <w:p w14:paraId="2CE1892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0.2691</w:t>
            </w:r>
          </w:p>
        </w:tc>
        <w:tc>
          <w:tcPr>
            <w:tcW w:w="743" w:type="pct"/>
            <w:tcBorders>
              <w:tl2br w:val="nil"/>
              <w:tr2bl w:val="nil"/>
            </w:tcBorders>
            <w:shd w:val="clear" w:color="auto" w:fill="auto"/>
            <w:noWrap w:val="0"/>
            <w:vAlign w:val="bottom"/>
          </w:tcPr>
          <w:p w14:paraId="08EFA24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0.2985</w:t>
            </w:r>
          </w:p>
        </w:tc>
        <w:tc>
          <w:tcPr>
            <w:tcW w:w="642" w:type="pct"/>
            <w:tcBorders>
              <w:tl2br w:val="nil"/>
              <w:tr2bl w:val="nil"/>
            </w:tcBorders>
            <w:shd w:val="clear" w:color="auto" w:fill="auto"/>
            <w:noWrap w:val="0"/>
            <w:vAlign w:val="bottom"/>
          </w:tcPr>
          <w:p w14:paraId="3973B5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0.3890</w:t>
            </w:r>
          </w:p>
        </w:tc>
        <w:tc>
          <w:tcPr>
            <w:tcW w:w="644" w:type="pct"/>
            <w:tcBorders>
              <w:tl2br w:val="nil"/>
              <w:tr2bl w:val="nil"/>
            </w:tcBorders>
            <w:shd w:val="clear" w:color="auto" w:fill="auto"/>
            <w:noWrap w:val="0"/>
            <w:vAlign w:val="bottom"/>
          </w:tcPr>
          <w:p w14:paraId="1DF996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4.3575</w:t>
            </w:r>
          </w:p>
        </w:tc>
        <w:tc>
          <w:tcPr>
            <w:tcW w:w="649" w:type="pct"/>
            <w:tcBorders>
              <w:tl2br w:val="nil"/>
              <w:tr2bl w:val="nil"/>
            </w:tcBorders>
            <w:shd w:val="clear" w:color="auto" w:fill="auto"/>
            <w:noWrap w:val="0"/>
            <w:vAlign w:val="bottom"/>
          </w:tcPr>
          <w:p w14:paraId="0D34E5F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4.3179</w:t>
            </w:r>
          </w:p>
        </w:tc>
        <w:tc>
          <w:tcPr>
            <w:tcW w:w="731" w:type="pct"/>
            <w:tcBorders>
              <w:tl2br w:val="nil"/>
              <w:tr2bl w:val="nil"/>
            </w:tcBorders>
            <w:shd w:val="clear" w:color="auto" w:fill="auto"/>
            <w:noWrap w:val="0"/>
            <w:vAlign w:val="bottom"/>
          </w:tcPr>
          <w:p w14:paraId="44B32A8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4.1234</w:t>
            </w:r>
          </w:p>
        </w:tc>
      </w:tr>
      <w:tr w14:paraId="75C814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6B295A4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39.0000</w:t>
            </w:r>
          </w:p>
        </w:tc>
        <w:tc>
          <w:tcPr>
            <w:tcW w:w="667" w:type="pct"/>
            <w:tcBorders>
              <w:tl2br w:val="nil"/>
              <w:tr2bl w:val="nil"/>
            </w:tcBorders>
            <w:shd w:val="clear" w:color="auto" w:fill="auto"/>
            <w:noWrap w:val="0"/>
            <w:vAlign w:val="bottom"/>
          </w:tcPr>
          <w:p w14:paraId="566F151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0.2482</w:t>
            </w:r>
          </w:p>
        </w:tc>
        <w:tc>
          <w:tcPr>
            <w:tcW w:w="743" w:type="pct"/>
            <w:tcBorders>
              <w:tl2br w:val="nil"/>
              <w:tr2bl w:val="nil"/>
            </w:tcBorders>
            <w:shd w:val="clear" w:color="auto" w:fill="auto"/>
            <w:noWrap w:val="0"/>
            <w:vAlign w:val="bottom"/>
          </w:tcPr>
          <w:p w14:paraId="603B1E8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0.2757</w:t>
            </w:r>
          </w:p>
        </w:tc>
        <w:tc>
          <w:tcPr>
            <w:tcW w:w="642" w:type="pct"/>
            <w:tcBorders>
              <w:tl2br w:val="nil"/>
              <w:tr2bl w:val="nil"/>
            </w:tcBorders>
            <w:shd w:val="clear" w:color="auto" w:fill="auto"/>
            <w:noWrap w:val="0"/>
            <w:vAlign w:val="bottom"/>
          </w:tcPr>
          <w:p w14:paraId="551623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0.3611</w:t>
            </w:r>
          </w:p>
        </w:tc>
        <w:tc>
          <w:tcPr>
            <w:tcW w:w="644" w:type="pct"/>
            <w:tcBorders>
              <w:tl2br w:val="nil"/>
              <w:tr2bl w:val="nil"/>
            </w:tcBorders>
            <w:shd w:val="clear" w:color="auto" w:fill="auto"/>
            <w:noWrap w:val="0"/>
            <w:vAlign w:val="bottom"/>
          </w:tcPr>
          <w:p w14:paraId="3DFB872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4.1285</w:t>
            </w:r>
          </w:p>
        </w:tc>
        <w:tc>
          <w:tcPr>
            <w:tcW w:w="649" w:type="pct"/>
            <w:tcBorders>
              <w:tl2br w:val="nil"/>
              <w:tr2bl w:val="nil"/>
            </w:tcBorders>
            <w:shd w:val="clear" w:color="auto" w:fill="auto"/>
            <w:noWrap w:val="0"/>
            <w:vAlign w:val="bottom"/>
          </w:tcPr>
          <w:p w14:paraId="32BFF7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4.0931</w:t>
            </w:r>
          </w:p>
        </w:tc>
        <w:tc>
          <w:tcPr>
            <w:tcW w:w="731" w:type="pct"/>
            <w:tcBorders>
              <w:tl2br w:val="nil"/>
              <w:tr2bl w:val="nil"/>
            </w:tcBorders>
            <w:shd w:val="clear" w:color="auto" w:fill="auto"/>
            <w:noWrap w:val="0"/>
            <w:vAlign w:val="bottom"/>
          </w:tcPr>
          <w:p w14:paraId="678BD12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3.9187</w:t>
            </w:r>
          </w:p>
        </w:tc>
      </w:tr>
      <w:tr w14:paraId="13EA04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49BFCD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40.0000</w:t>
            </w:r>
          </w:p>
        </w:tc>
        <w:tc>
          <w:tcPr>
            <w:tcW w:w="667" w:type="pct"/>
            <w:tcBorders>
              <w:tl2br w:val="nil"/>
              <w:tr2bl w:val="nil"/>
            </w:tcBorders>
            <w:shd w:val="clear" w:color="auto" w:fill="auto"/>
            <w:noWrap w:val="0"/>
            <w:vAlign w:val="bottom"/>
          </w:tcPr>
          <w:p w14:paraId="134289C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0.2295</w:t>
            </w:r>
          </w:p>
        </w:tc>
        <w:tc>
          <w:tcPr>
            <w:tcW w:w="743" w:type="pct"/>
            <w:tcBorders>
              <w:tl2br w:val="nil"/>
              <w:tr2bl w:val="nil"/>
            </w:tcBorders>
            <w:shd w:val="clear" w:color="auto" w:fill="auto"/>
            <w:noWrap w:val="0"/>
            <w:vAlign w:val="bottom"/>
          </w:tcPr>
          <w:p w14:paraId="74695D5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0.2551</w:t>
            </w:r>
          </w:p>
        </w:tc>
        <w:tc>
          <w:tcPr>
            <w:tcW w:w="642" w:type="pct"/>
            <w:tcBorders>
              <w:tl2br w:val="nil"/>
              <w:tr2bl w:val="nil"/>
            </w:tcBorders>
            <w:shd w:val="clear" w:color="auto" w:fill="auto"/>
            <w:noWrap w:val="0"/>
            <w:vAlign w:val="bottom"/>
          </w:tcPr>
          <w:p w14:paraId="4BC7E77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0.3358</w:t>
            </w:r>
          </w:p>
        </w:tc>
        <w:tc>
          <w:tcPr>
            <w:tcW w:w="644" w:type="pct"/>
            <w:tcBorders>
              <w:tl2br w:val="nil"/>
              <w:tr2bl w:val="nil"/>
            </w:tcBorders>
            <w:shd w:val="clear" w:color="auto" w:fill="auto"/>
            <w:noWrap w:val="0"/>
            <w:vAlign w:val="bottom"/>
          </w:tcPr>
          <w:p w14:paraId="7A428BB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3.9173</w:t>
            </w:r>
          </w:p>
        </w:tc>
        <w:tc>
          <w:tcPr>
            <w:tcW w:w="649" w:type="pct"/>
            <w:tcBorders>
              <w:tl2br w:val="nil"/>
              <w:tr2bl w:val="nil"/>
            </w:tcBorders>
            <w:shd w:val="clear" w:color="auto" w:fill="auto"/>
            <w:noWrap w:val="0"/>
            <w:vAlign w:val="bottom"/>
          </w:tcPr>
          <w:p w14:paraId="61BFD1C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3.8855</w:t>
            </w:r>
          </w:p>
        </w:tc>
        <w:tc>
          <w:tcPr>
            <w:tcW w:w="731" w:type="pct"/>
            <w:tcBorders>
              <w:tl2br w:val="nil"/>
              <w:tr2bl w:val="nil"/>
            </w:tcBorders>
            <w:shd w:val="clear" w:color="auto" w:fill="auto"/>
            <w:noWrap w:val="0"/>
            <w:vAlign w:val="bottom"/>
          </w:tcPr>
          <w:p w14:paraId="4FAFB97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3.7286</w:t>
            </w:r>
          </w:p>
        </w:tc>
      </w:tr>
      <w:tr w14:paraId="1978BB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7EBE80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41.0000</w:t>
            </w:r>
          </w:p>
        </w:tc>
        <w:tc>
          <w:tcPr>
            <w:tcW w:w="667" w:type="pct"/>
            <w:tcBorders>
              <w:tl2br w:val="nil"/>
              <w:tr2bl w:val="nil"/>
            </w:tcBorders>
            <w:shd w:val="clear" w:color="auto" w:fill="auto"/>
            <w:noWrap w:val="0"/>
            <w:vAlign w:val="bottom"/>
          </w:tcPr>
          <w:p w14:paraId="34DDB5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0.2126</w:t>
            </w:r>
          </w:p>
        </w:tc>
        <w:tc>
          <w:tcPr>
            <w:tcW w:w="743" w:type="pct"/>
            <w:tcBorders>
              <w:tl2br w:val="nil"/>
              <w:tr2bl w:val="nil"/>
            </w:tcBorders>
            <w:shd w:val="clear" w:color="auto" w:fill="auto"/>
            <w:noWrap w:val="0"/>
            <w:vAlign w:val="bottom"/>
          </w:tcPr>
          <w:p w14:paraId="4724DE9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0.2365</w:t>
            </w:r>
          </w:p>
        </w:tc>
        <w:tc>
          <w:tcPr>
            <w:tcW w:w="642" w:type="pct"/>
            <w:tcBorders>
              <w:tl2br w:val="nil"/>
              <w:tr2bl w:val="nil"/>
            </w:tcBorders>
            <w:shd w:val="clear" w:color="auto" w:fill="auto"/>
            <w:noWrap w:val="0"/>
            <w:vAlign w:val="bottom"/>
          </w:tcPr>
          <w:p w14:paraId="0C35352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0.3128</w:t>
            </w:r>
          </w:p>
        </w:tc>
        <w:tc>
          <w:tcPr>
            <w:tcW w:w="644" w:type="pct"/>
            <w:tcBorders>
              <w:tl2br w:val="nil"/>
              <w:tr2bl w:val="nil"/>
            </w:tcBorders>
            <w:shd w:val="clear" w:color="auto" w:fill="auto"/>
            <w:noWrap w:val="0"/>
            <w:vAlign w:val="bottom"/>
          </w:tcPr>
          <w:p w14:paraId="72CAC71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3.7220</w:t>
            </w:r>
          </w:p>
        </w:tc>
        <w:tc>
          <w:tcPr>
            <w:tcW w:w="649" w:type="pct"/>
            <w:tcBorders>
              <w:tl2br w:val="nil"/>
              <w:tr2bl w:val="nil"/>
            </w:tcBorders>
            <w:shd w:val="clear" w:color="auto" w:fill="auto"/>
            <w:noWrap w:val="0"/>
            <w:vAlign w:val="bottom"/>
          </w:tcPr>
          <w:p w14:paraId="591BCC1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3.6934</w:t>
            </w:r>
          </w:p>
        </w:tc>
        <w:tc>
          <w:tcPr>
            <w:tcW w:w="731" w:type="pct"/>
            <w:tcBorders>
              <w:tl2br w:val="nil"/>
              <w:tr2bl w:val="nil"/>
            </w:tcBorders>
            <w:shd w:val="clear" w:color="auto" w:fill="auto"/>
            <w:noWrap w:val="0"/>
            <w:vAlign w:val="bottom"/>
          </w:tcPr>
          <w:p w14:paraId="24354D6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3.5518</w:t>
            </w:r>
          </w:p>
        </w:tc>
      </w:tr>
      <w:tr w14:paraId="2A1731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01DFF79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42.0000</w:t>
            </w:r>
          </w:p>
        </w:tc>
        <w:tc>
          <w:tcPr>
            <w:tcW w:w="667" w:type="pct"/>
            <w:tcBorders>
              <w:tl2br w:val="nil"/>
              <w:tr2bl w:val="nil"/>
            </w:tcBorders>
            <w:shd w:val="clear" w:color="auto" w:fill="auto"/>
            <w:noWrap w:val="0"/>
            <w:vAlign w:val="bottom"/>
          </w:tcPr>
          <w:p w14:paraId="3BDC3F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0.1974</w:t>
            </w:r>
          </w:p>
        </w:tc>
        <w:tc>
          <w:tcPr>
            <w:tcW w:w="743" w:type="pct"/>
            <w:tcBorders>
              <w:tl2br w:val="nil"/>
              <w:tr2bl w:val="nil"/>
            </w:tcBorders>
            <w:shd w:val="clear" w:color="auto" w:fill="auto"/>
            <w:noWrap w:val="0"/>
            <w:vAlign w:val="bottom"/>
          </w:tcPr>
          <w:p w14:paraId="174FC1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0.2197</w:t>
            </w:r>
          </w:p>
        </w:tc>
        <w:tc>
          <w:tcPr>
            <w:tcW w:w="642" w:type="pct"/>
            <w:tcBorders>
              <w:tl2br w:val="nil"/>
              <w:tr2bl w:val="nil"/>
            </w:tcBorders>
            <w:shd w:val="clear" w:color="auto" w:fill="auto"/>
            <w:noWrap w:val="0"/>
            <w:vAlign w:val="bottom"/>
          </w:tcPr>
          <w:p w14:paraId="48299A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0.2917</w:t>
            </w:r>
          </w:p>
        </w:tc>
        <w:tc>
          <w:tcPr>
            <w:tcW w:w="644" w:type="pct"/>
            <w:tcBorders>
              <w:tl2br w:val="nil"/>
              <w:tr2bl w:val="nil"/>
            </w:tcBorders>
            <w:shd w:val="clear" w:color="auto" w:fill="auto"/>
            <w:noWrap w:val="0"/>
            <w:vAlign w:val="bottom"/>
          </w:tcPr>
          <w:p w14:paraId="0C73314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3.5410</w:t>
            </w:r>
          </w:p>
        </w:tc>
        <w:tc>
          <w:tcPr>
            <w:tcW w:w="649" w:type="pct"/>
            <w:tcBorders>
              <w:tl2br w:val="nil"/>
              <w:tr2bl w:val="nil"/>
            </w:tcBorders>
            <w:shd w:val="clear" w:color="auto" w:fill="auto"/>
            <w:noWrap w:val="0"/>
            <w:vAlign w:val="bottom"/>
          </w:tcPr>
          <w:p w14:paraId="62405EC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3.5153</w:t>
            </w:r>
          </w:p>
        </w:tc>
        <w:tc>
          <w:tcPr>
            <w:tcW w:w="731" w:type="pct"/>
            <w:tcBorders>
              <w:tl2br w:val="nil"/>
              <w:tr2bl w:val="nil"/>
            </w:tcBorders>
            <w:shd w:val="clear" w:color="auto" w:fill="auto"/>
            <w:noWrap w:val="0"/>
            <w:vAlign w:val="bottom"/>
          </w:tcPr>
          <w:p w14:paraId="6D03117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3.3872</w:t>
            </w:r>
          </w:p>
        </w:tc>
      </w:tr>
      <w:tr w14:paraId="1488D44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016B32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43.0000</w:t>
            </w:r>
          </w:p>
        </w:tc>
        <w:tc>
          <w:tcPr>
            <w:tcW w:w="667" w:type="pct"/>
            <w:tcBorders>
              <w:tl2br w:val="nil"/>
              <w:tr2bl w:val="nil"/>
            </w:tcBorders>
            <w:shd w:val="clear" w:color="auto" w:fill="auto"/>
            <w:noWrap w:val="0"/>
            <w:vAlign w:val="bottom"/>
          </w:tcPr>
          <w:p w14:paraId="344EDD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0.1835</w:t>
            </w:r>
          </w:p>
        </w:tc>
        <w:tc>
          <w:tcPr>
            <w:tcW w:w="743" w:type="pct"/>
            <w:tcBorders>
              <w:tl2br w:val="nil"/>
              <w:tr2bl w:val="nil"/>
            </w:tcBorders>
            <w:shd w:val="clear" w:color="auto" w:fill="auto"/>
            <w:noWrap w:val="0"/>
            <w:vAlign w:val="bottom"/>
          </w:tcPr>
          <w:p w14:paraId="6AADE1C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0.2044</w:t>
            </w:r>
          </w:p>
        </w:tc>
        <w:tc>
          <w:tcPr>
            <w:tcW w:w="642" w:type="pct"/>
            <w:tcBorders>
              <w:tl2br w:val="nil"/>
              <w:tr2bl w:val="nil"/>
            </w:tcBorders>
            <w:shd w:val="clear" w:color="auto" w:fill="auto"/>
            <w:noWrap w:val="0"/>
            <w:vAlign w:val="bottom"/>
          </w:tcPr>
          <w:p w14:paraId="215AAED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0.2725</w:t>
            </w:r>
          </w:p>
        </w:tc>
        <w:tc>
          <w:tcPr>
            <w:tcW w:w="644" w:type="pct"/>
            <w:tcBorders>
              <w:tl2br w:val="nil"/>
              <w:tr2bl w:val="nil"/>
            </w:tcBorders>
            <w:shd w:val="clear" w:color="auto" w:fill="auto"/>
            <w:noWrap w:val="0"/>
            <w:vAlign w:val="bottom"/>
          </w:tcPr>
          <w:p w14:paraId="1577389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3.3731</w:t>
            </w:r>
          </w:p>
        </w:tc>
        <w:tc>
          <w:tcPr>
            <w:tcW w:w="649" w:type="pct"/>
            <w:tcBorders>
              <w:tl2br w:val="nil"/>
              <w:tr2bl w:val="nil"/>
            </w:tcBorders>
            <w:shd w:val="clear" w:color="auto" w:fill="auto"/>
            <w:noWrap w:val="0"/>
            <w:vAlign w:val="bottom"/>
          </w:tcPr>
          <w:p w14:paraId="3EBAF25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3.3498</w:t>
            </w:r>
          </w:p>
        </w:tc>
        <w:tc>
          <w:tcPr>
            <w:tcW w:w="731" w:type="pct"/>
            <w:tcBorders>
              <w:tl2br w:val="nil"/>
              <w:tr2bl w:val="nil"/>
            </w:tcBorders>
            <w:shd w:val="clear" w:color="auto" w:fill="auto"/>
            <w:noWrap w:val="0"/>
            <w:vAlign w:val="bottom"/>
          </w:tcPr>
          <w:p w14:paraId="4BDBD6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3.2336</w:t>
            </w:r>
          </w:p>
        </w:tc>
      </w:tr>
      <w:tr w14:paraId="5BC0B1F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4F7ADBA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44.0000</w:t>
            </w:r>
          </w:p>
        </w:tc>
        <w:tc>
          <w:tcPr>
            <w:tcW w:w="667" w:type="pct"/>
            <w:tcBorders>
              <w:tl2br w:val="nil"/>
              <w:tr2bl w:val="nil"/>
            </w:tcBorders>
            <w:shd w:val="clear" w:color="auto" w:fill="auto"/>
            <w:noWrap w:val="0"/>
            <w:vAlign w:val="bottom"/>
          </w:tcPr>
          <w:p w14:paraId="71FF6E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0.1710</w:t>
            </w:r>
          </w:p>
        </w:tc>
        <w:tc>
          <w:tcPr>
            <w:tcW w:w="743" w:type="pct"/>
            <w:tcBorders>
              <w:tl2br w:val="nil"/>
              <w:tr2bl w:val="nil"/>
            </w:tcBorders>
            <w:shd w:val="clear" w:color="auto" w:fill="auto"/>
            <w:noWrap w:val="0"/>
            <w:vAlign w:val="bottom"/>
          </w:tcPr>
          <w:p w14:paraId="58DD3EC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0.1906</w:t>
            </w:r>
          </w:p>
        </w:tc>
        <w:tc>
          <w:tcPr>
            <w:tcW w:w="642" w:type="pct"/>
            <w:tcBorders>
              <w:tl2br w:val="nil"/>
              <w:tr2bl w:val="nil"/>
            </w:tcBorders>
            <w:shd w:val="clear" w:color="auto" w:fill="auto"/>
            <w:noWrap w:val="0"/>
            <w:vAlign w:val="bottom"/>
          </w:tcPr>
          <w:p w14:paraId="0F7BF0D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0.2549</w:t>
            </w:r>
          </w:p>
        </w:tc>
        <w:tc>
          <w:tcPr>
            <w:tcW w:w="644" w:type="pct"/>
            <w:tcBorders>
              <w:tl2br w:val="nil"/>
              <w:tr2bl w:val="nil"/>
            </w:tcBorders>
            <w:shd w:val="clear" w:color="auto" w:fill="auto"/>
            <w:noWrap w:val="0"/>
            <w:vAlign w:val="bottom"/>
          </w:tcPr>
          <w:p w14:paraId="56C3767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3.2169</w:t>
            </w:r>
          </w:p>
        </w:tc>
        <w:tc>
          <w:tcPr>
            <w:tcW w:w="649" w:type="pct"/>
            <w:tcBorders>
              <w:tl2br w:val="nil"/>
              <w:tr2bl w:val="nil"/>
            </w:tcBorders>
            <w:shd w:val="clear" w:color="auto" w:fill="auto"/>
            <w:noWrap w:val="0"/>
            <w:vAlign w:val="bottom"/>
          </w:tcPr>
          <w:p w14:paraId="27C5C28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3.1957</w:t>
            </w:r>
          </w:p>
        </w:tc>
        <w:tc>
          <w:tcPr>
            <w:tcW w:w="731" w:type="pct"/>
            <w:tcBorders>
              <w:tl2br w:val="nil"/>
              <w:tr2bl w:val="nil"/>
            </w:tcBorders>
            <w:shd w:val="clear" w:color="auto" w:fill="auto"/>
            <w:noWrap w:val="0"/>
            <w:vAlign w:val="bottom"/>
          </w:tcPr>
          <w:p w14:paraId="575EFBD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3.0902</w:t>
            </w:r>
          </w:p>
        </w:tc>
      </w:tr>
      <w:tr w14:paraId="18A737C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1B27726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45.0000</w:t>
            </w:r>
          </w:p>
        </w:tc>
        <w:tc>
          <w:tcPr>
            <w:tcW w:w="667" w:type="pct"/>
            <w:tcBorders>
              <w:tl2br w:val="nil"/>
              <w:tr2bl w:val="nil"/>
            </w:tcBorders>
            <w:shd w:val="clear" w:color="auto" w:fill="auto"/>
            <w:noWrap w:val="0"/>
            <w:vAlign w:val="bottom"/>
          </w:tcPr>
          <w:p w14:paraId="1BBC447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0.1596</w:t>
            </w:r>
          </w:p>
        </w:tc>
        <w:tc>
          <w:tcPr>
            <w:tcW w:w="743" w:type="pct"/>
            <w:tcBorders>
              <w:tl2br w:val="nil"/>
              <w:tr2bl w:val="nil"/>
            </w:tcBorders>
            <w:shd w:val="clear" w:color="auto" w:fill="auto"/>
            <w:noWrap w:val="0"/>
            <w:vAlign w:val="bottom"/>
          </w:tcPr>
          <w:p w14:paraId="62897BB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0.1779</w:t>
            </w:r>
          </w:p>
        </w:tc>
        <w:tc>
          <w:tcPr>
            <w:tcW w:w="642" w:type="pct"/>
            <w:tcBorders>
              <w:tl2br w:val="nil"/>
              <w:tr2bl w:val="nil"/>
            </w:tcBorders>
            <w:shd w:val="clear" w:color="auto" w:fill="auto"/>
            <w:noWrap w:val="0"/>
            <w:vAlign w:val="bottom"/>
          </w:tcPr>
          <w:p w14:paraId="6A13DCE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0.2388</w:t>
            </w:r>
          </w:p>
        </w:tc>
        <w:tc>
          <w:tcPr>
            <w:tcW w:w="644" w:type="pct"/>
            <w:tcBorders>
              <w:tl2br w:val="nil"/>
              <w:tr2bl w:val="nil"/>
            </w:tcBorders>
            <w:shd w:val="clear" w:color="auto" w:fill="auto"/>
            <w:noWrap w:val="0"/>
            <w:vAlign w:val="bottom"/>
          </w:tcPr>
          <w:p w14:paraId="1728975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3.0714</w:t>
            </w:r>
          </w:p>
        </w:tc>
        <w:tc>
          <w:tcPr>
            <w:tcW w:w="649" w:type="pct"/>
            <w:tcBorders>
              <w:tl2br w:val="nil"/>
              <w:tr2bl w:val="nil"/>
            </w:tcBorders>
            <w:shd w:val="clear" w:color="auto" w:fill="auto"/>
            <w:noWrap w:val="0"/>
            <w:vAlign w:val="bottom"/>
          </w:tcPr>
          <w:p w14:paraId="4E4FBF6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3.0522</w:t>
            </w:r>
          </w:p>
        </w:tc>
        <w:tc>
          <w:tcPr>
            <w:tcW w:w="731" w:type="pct"/>
            <w:tcBorders>
              <w:tl2br w:val="nil"/>
              <w:tr2bl w:val="nil"/>
            </w:tcBorders>
            <w:shd w:val="clear" w:color="auto" w:fill="auto"/>
            <w:noWrap w:val="0"/>
            <w:vAlign w:val="bottom"/>
          </w:tcPr>
          <w:p w14:paraId="52199CD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2.9560</w:t>
            </w:r>
          </w:p>
        </w:tc>
      </w:tr>
      <w:tr w14:paraId="45E18A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3085F21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46.0000</w:t>
            </w:r>
          </w:p>
        </w:tc>
        <w:tc>
          <w:tcPr>
            <w:tcW w:w="667" w:type="pct"/>
            <w:tcBorders>
              <w:tl2br w:val="nil"/>
              <w:tr2bl w:val="nil"/>
            </w:tcBorders>
            <w:shd w:val="clear" w:color="auto" w:fill="auto"/>
            <w:noWrap w:val="0"/>
            <w:vAlign w:val="bottom"/>
          </w:tcPr>
          <w:p w14:paraId="49B16F3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0.1492</w:t>
            </w:r>
          </w:p>
        </w:tc>
        <w:tc>
          <w:tcPr>
            <w:tcW w:w="743" w:type="pct"/>
            <w:tcBorders>
              <w:tl2br w:val="nil"/>
              <w:tr2bl w:val="nil"/>
            </w:tcBorders>
            <w:shd w:val="clear" w:color="auto" w:fill="auto"/>
            <w:noWrap w:val="0"/>
            <w:vAlign w:val="bottom"/>
          </w:tcPr>
          <w:p w14:paraId="139925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0.1664</w:t>
            </w:r>
          </w:p>
        </w:tc>
        <w:tc>
          <w:tcPr>
            <w:tcW w:w="642" w:type="pct"/>
            <w:tcBorders>
              <w:tl2br w:val="nil"/>
              <w:tr2bl w:val="nil"/>
            </w:tcBorders>
            <w:shd w:val="clear" w:color="auto" w:fill="auto"/>
            <w:noWrap w:val="0"/>
            <w:vAlign w:val="bottom"/>
          </w:tcPr>
          <w:p w14:paraId="1F3F140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0.2240</w:t>
            </w:r>
          </w:p>
        </w:tc>
        <w:tc>
          <w:tcPr>
            <w:tcW w:w="644" w:type="pct"/>
            <w:tcBorders>
              <w:tl2br w:val="nil"/>
              <w:tr2bl w:val="nil"/>
            </w:tcBorders>
            <w:shd w:val="clear" w:color="auto" w:fill="auto"/>
            <w:noWrap w:val="0"/>
            <w:vAlign w:val="bottom"/>
          </w:tcPr>
          <w:p w14:paraId="7E35D7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2.9356</w:t>
            </w:r>
          </w:p>
        </w:tc>
        <w:tc>
          <w:tcPr>
            <w:tcW w:w="649" w:type="pct"/>
            <w:tcBorders>
              <w:tl2br w:val="nil"/>
              <w:tr2bl w:val="nil"/>
            </w:tcBorders>
            <w:shd w:val="clear" w:color="auto" w:fill="auto"/>
            <w:noWrap w:val="0"/>
            <w:vAlign w:val="bottom"/>
          </w:tcPr>
          <w:p w14:paraId="51BC3B9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2.9181</w:t>
            </w:r>
          </w:p>
        </w:tc>
        <w:tc>
          <w:tcPr>
            <w:tcW w:w="731" w:type="pct"/>
            <w:tcBorders>
              <w:tl2br w:val="nil"/>
              <w:tr2bl w:val="nil"/>
            </w:tcBorders>
            <w:shd w:val="clear" w:color="auto" w:fill="auto"/>
            <w:noWrap w:val="0"/>
            <w:vAlign w:val="bottom"/>
          </w:tcPr>
          <w:p w14:paraId="41DF585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2.8303</w:t>
            </w:r>
          </w:p>
        </w:tc>
      </w:tr>
      <w:tr w14:paraId="5E864C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1C9F751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47.0000</w:t>
            </w:r>
          </w:p>
        </w:tc>
        <w:tc>
          <w:tcPr>
            <w:tcW w:w="667" w:type="pct"/>
            <w:tcBorders>
              <w:tl2br w:val="nil"/>
              <w:tr2bl w:val="nil"/>
            </w:tcBorders>
            <w:shd w:val="clear" w:color="auto" w:fill="auto"/>
            <w:noWrap w:val="0"/>
            <w:vAlign w:val="bottom"/>
          </w:tcPr>
          <w:p w14:paraId="4278DBC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0.1397</w:t>
            </w:r>
          </w:p>
        </w:tc>
        <w:tc>
          <w:tcPr>
            <w:tcW w:w="743" w:type="pct"/>
            <w:tcBorders>
              <w:tl2br w:val="nil"/>
              <w:tr2bl w:val="nil"/>
            </w:tcBorders>
            <w:shd w:val="clear" w:color="auto" w:fill="auto"/>
            <w:noWrap w:val="0"/>
            <w:vAlign w:val="bottom"/>
          </w:tcPr>
          <w:p w14:paraId="76ACEF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0.1558</w:t>
            </w:r>
          </w:p>
        </w:tc>
        <w:tc>
          <w:tcPr>
            <w:tcW w:w="642" w:type="pct"/>
            <w:tcBorders>
              <w:tl2br w:val="nil"/>
              <w:tr2bl w:val="nil"/>
            </w:tcBorders>
            <w:shd w:val="clear" w:color="auto" w:fill="auto"/>
            <w:noWrap w:val="0"/>
            <w:vAlign w:val="bottom"/>
          </w:tcPr>
          <w:p w14:paraId="5C8B414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0.2104</w:t>
            </w:r>
          </w:p>
        </w:tc>
        <w:tc>
          <w:tcPr>
            <w:tcW w:w="644" w:type="pct"/>
            <w:tcBorders>
              <w:tl2br w:val="nil"/>
              <w:tr2bl w:val="nil"/>
            </w:tcBorders>
            <w:shd w:val="clear" w:color="auto" w:fill="auto"/>
            <w:noWrap w:val="0"/>
            <w:vAlign w:val="bottom"/>
          </w:tcPr>
          <w:p w14:paraId="4CBB7A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2.8087</w:t>
            </w:r>
          </w:p>
        </w:tc>
        <w:tc>
          <w:tcPr>
            <w:tcW w:w="649" w:type="pct"/>
            <w:tcBorders>
              <w:tl2br w:val="nil"/>
              <w:tr2bl w:val="nil"/>
            </w:tcBorders>
            <w:shd w:val="clear" w:color="auto" w:fill="auto"/>
            <w:noWrap w:val="0"/>
            <w:vAlign w:val="bottom"/>
          </w:tcPr>
          <w:p w14:paraId="3DAFA4F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2.7927</w:t>
            </w:r>
          </w:p>
        </w:tc>
        <w:tc>
          <w:tcPr>
            <w:tcW w:w="731" w:type="pct"/>
            <w:tcBorders>
              <w:tl2br w:val="nil"/>
              <w:tr2bl w:val="nil"/>
            </w:tcBorders>
            <w:shd w:val="clear" w:color="auto" w:fill="auto"/>
            <w:noWrap w:val="0"/>
            <w:vAlign w:val="bottom"/>
          </w:tcPr>
          <w:p w14:paraId="5BCFE44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2.7124</w:t>
            </w:r>
          </w:p>
        </w:tc>
      </w:tr>
      <w:tr w14:paraId="3C9FB89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EB0733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48.0000</w:t>
            </w:r>
          </w:p>
        </w:tc>
        <w:tc>
          <w:tcPr>
            <w:tcW w:w="667" w:type="pct"/>
            <w:tcBorders>
              <w:tl2br w:val="nil"/>
              <w:tr2bl w:val="nil"/>
            </w:tcBorders>
            <w:shd w:val="clear" w:color="auto" w:fill="auto"/>
            <w:noWrap w:val="0"/>
            <w:vAlign w:val="bottom"/>
          </w:tcPr>
          <w:p w14:paraId="6271D80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0.1310</w:t>
            </w:r>
          </w:p>
        </w:tc>
        <w:tc>
          <w:tcPr>
            <w:tcW w:w="743" w:type="pct"/>
            <w:tcBorders>
              <w:tl2br w:val="nil"/>
              <w:tr2bl w:val="nil"/>
            </w:tcBorders>
            <w:shd w:val="clear" w:color="auto" w:fill="auto"/>
            <w:noWrap w:val="0"/>
            <w:vAlign w:val="bottom"/>
          </w:tcPr>
          <w:p w14:paraId="518F533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0.1462</w:t>
            </w:r>
          </w:p>
        </w:tc>
        <w:tc>
          <w:tcPr>
            <w:tcW w:w="642" w:type="pct"/>
            <w:tcBorders>
              <w:tl2br w:val="nil"/>
              <w:tr2bl w:val="nil"/>
            </w:tcBorders>
            <w:shd w:val="clear" w:color="auto" w:fill="auto"/>
            <w:noWrap w:val="0"/>
            <w:vAlign w:val="bottom"/>
          </w:tcPr>
          <w:p w14:paraId="0A77298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0.1978</w:t>
            </w:r>
          </w:p>
        </w:tc>
        <w:tc>
          <w:tcPr>
            <w:tcW w:w="644" w:type="pct"/>
            <w:tcBorders>
              <w:tl2br w:val="nil"/>
              <w:tr2bl w:val="nil"/>
            </w:tcBorders>
            <w:shd w:val="clear" w:color="auto" w:fill="auto"/>
            <w:noWrap w:val="0"/>
            <w:vAlign w:val="bottom"/>
          </w:tcPr>
          <w:p w14:paraId="5BF71C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2.6899</w:t>
            </w:r>
          </w:p>
        </w:tc>
        <w:tc>
          <w:tcPr>
            <w:tcW w:w="649" w:type="pct"/>
            <w:tcBorders>
              <w:tl2br w:val="nil"/>
              <w:tr2bl w:val="nil"/>
            </w:tcBorders>
            <w:shd w:val="clear" w:color="auto" w:fill="auto"/>
            <w:noWrap w:val="0"/>
            <w:vAlign w:val="bottom"/>
          </w:tcPr>
          <w:p w14:paraId="6E3F652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2.6752</w:t>
            </w:r>
          </w:p>
        </w:tc>
        <w:tc>
          <w:tcPr>
            <w:tcW w:w="731" w:type="pct"/>
            <w:tcBorders>
              <w:tl2br w:val="nil"/>
              <w:tr2bl w:val="nil"/>
            </w:tcBorders>
            <w:shd w:val="clear" w:color="auto" w:fill="auto"/>
            <w:noWrap w:val="0"/>
            <w:vAlign w:val="bottom"/>
          </w:tcPr>
          <w:p w14:paraId="160F4B0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2.6016</w:t>
            </w:r>
          </w:p>
        </w:tc>
      </w:tr>
      <w:tr w14:paraId="796ACF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shd w:val="clear" w:color="auto" w:fill="auto"/>
            <w:noWrap w:val="0"/>
            <w:vAlign w:val="bottom"/>
          </w:tcPr>
          <w:p w14:paraId="252B794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49.0000</w:t>
            </w:r>
          </w:p>
        </w:tc>
        <w:tc>
          <w:tcPr>
            <w:tcW w:w="667" w:type="pct"/>
            <w:tcBorders>
              <w:tl2br w:val="nil"/>
              <w:tr2bl w:val="nil"/>
            </w:tcBorders>
            <w:shd w:val="clear" w:color="auto" w:fill="auto"/>
            <w:noWrap w:val="0"/>
            <w:vAlign w:val="bottom"/>
          </w:tcPr>
          <w:p w14:paraId="62E1013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0.1230</w:t>
            </w:r>
          </w:p>
        </w:tc>
        <w:tc>
          <w:tcPr>
            <w:tcW w:w="743" w:type="pct"/>
            <w:tcBorders>
              <w:tl2br w:val="nil"/>
              <w:tr2bl w:val="nil"/>
            </w:tcBorders>
            <w:shd w:val="clear" w:color="auto" w:fill="auto"/>
            <w:noWrap w:val="0"/>
            <w:vAlign w:val="bottom"/>
          </w:tcPr>
          <w:p w14:paraId="2D2505C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0.1373</w:t>
            </w:r>
          </w:p>
        </w:tc>
        <w:tc>
          <w:tcPr>
            <w:tcW w:w="642" w:type="pct"/>
            <w:tcBorders>
              <w:tl2br w:val="nil"/>
              <w:tr2bl w:val="nil"/>
            </w:tcBorders>
            <w:shd w:val="clear" w:color="auto" w:fill="auto"/>
            <w:noWrap w:val="0"/>
            <w:vAlign w:val="bottom"/>
          </w:tcPr>
          <w:p w14:paraId="1CF5C0F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0.1862</w:t>
            </w:r>
          </w:p>
        </w:tc>
        <w:tc>
          <w:tcPr>
            <w:tcW w:w="644" w:type="pct"/>
            <w:tcBorders>
              <w:tl2br w:val="nil"/>
              <w:tr2bl w:val="nil"/>
            </w:tcBorders>
            <w:shd w:val="clear" w:color="auto" w:fill="auto"/>
            <w:noWrap w:val="0"/>
            <w:vAlign w:val="bottom"/>
          </w:tcPr>
          <w:p w14:paraId="43C7CFE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2.5785</w:t>
            </w:r>
          </w:p>
        </w:tc>
        <w:tc>
          <w:tcPr>
            <w:tcW w:w="649" w:type="pct"/>
            <w:tcBorders>
              <w:tl2br w:val="nil"/>
              <w:tr2bl w:val="nil"/>
            </w:tcBorders>
            <w:shd w:val="clear" w:color="auto" w:fill="auto"/>
            <w:noWrap w:val="0"/>
            <w:vAlign w:val="bottom"/>
          </w:tcPr>
          <w:p w14:paraId="271C623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2.5651</w:t>
            </w:r>
          </w:p>
        </w:tc>
        <w:tc>
          <w:tcPr>
            <w:tcW w:w="731" w:type="pct"/>
            <w:tcBorders>
              <w:tl2br w:val="nil"/>
              <w:tr2bl w:val="nil"/>
            </w:tcBorders>
            <w:shd w:val="clear" w:color="auto" w:fill="auto"/>
            <w:noWrap w:val="0"/>
            <w:vAlign w:val="bottom"/>
          </w:tcPr>
          <w:p w14:paraId="7D47AA8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bottom"/>
              <w:rPr>
                <w:rFonts w:hint="default" w:ascii="Times New Roman" w:hAnsi="Times New Roman" w:eastAsia="宋体" w:cs="Times New Roman"/>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2.4975</w:t>
            </w:r>
          </w:p>
        </w:tc>
      </w:tr>
      <w:tr w14:paraId="3651BE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noWrap w:val="0"/>
            <w:vAlign w:val="center"/>
          </w:tcPr>
          <w:p w14:paraId="78BAAE5B">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最大值</w:t>
            </w:r>
          </w:p>
        </w:tc>
        <w:tc>
          <w:tcPr>
            <w:tcW w:w="667" w:type="pct"/>
            <w:tcBorders>
              <w:tl2br w:val="nil"/>
              <w:tr2bl w:val="nil"/>
            </w:tcBorders>
            <w:noWrap w:val="0"/>
            <w:vAlign w:val="center"/>
          </w:tcPr>
          <w:p w14:paraId="3C9B13C1">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9.6347</w:t>
            </w:r>
          </w:p>
        </w:tc>
        <w:tc>
          <w:tcPr>
            <w:tcW w:w="743" w:type="pct"/>
            <w:tcBorders>
              <w:tl2br w:val="nil"/>
              <w:tr2bl w:val="nil"/>
            </w:tcBorders>
            <w:noWrap w:val="0"/>
            <w:vAlign w:val="center"/>
          </w:tcPr>
          <w:p w14:paraId="38D6806B">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7.6546</w:t>
            </w:r>
          </w:p>
        </w:tc>
        <w:tc>
          <w:tcPr>
            <w:tcW w:w="642" w:type="pct"/>
            <w:tcBorders>
              <w:tl2br w:val="nil"/>
              <w:tr2bl w:val="nil"/>
            </w:tcBorders>
            <w:noWrap w:val="0"/>
            <w:vAlign w:val="center"/>
          </w:tcPr>
          <w:p w14:paraId="3C512DF5">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3.9945</w:t>
            </w:r>
          </w:p>
        </w:tc>
        <w:tc>
          <w:tcPr>
            <w:tcW w:w="644" w:type="pct"/>
            <w:tcBorders>
              <w:tl2br w:val="nil"/>
              <w:tr2bl w:val="nil"/>
            </w:tcBorders>
            <w:noWrap w:val="0"/>
            <w:vAlign w:val="center"/>
          </w:tcPr>
          <w:p w14:paraId="652AA7BF">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75.5910</w:t>
            </w:r>
          </w:p>
        </w:tc>
        <w:tc>
          <w:tcPr>
            <w:tcW w:w="649" w:type="pct"/>
            <w:tcBorders>
              <w:tl2br w:val="nil"/>
              <w:tr2bl w:val="nil"/>
            </w:tcBorders>
            <w:noWrap w:val="0"/>
            <w:vAlign w:val="center"/>
          </w:tcPr>
          <w:p w14:paraId="1EABA45B">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62.6091</w:t>
            </w:r>
          </w:p>
        </w:tc>
        <w:tc>
          <w:tcPr>
            <w:tcW w:w="731" w:type="pct"/>
            <w:tcBorders>
              <w:tl2br w:val="nil"/>
              <w:tr2bl w:val="nil"/>
            </w:tcBorders>
            <w:noWrap w:val="0"/>
            <w:vAlign w:val="center"/>
          </w:tcPr>
          <w:p w14:paraId="42E4EC56">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37.1855</w:t>
            </w:r>
          </w:p>
        </w:tc>
      </w:tr>
      <w:tr w14:paraId="4B2635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21" w:hRule="atLeast"/>
        </w:trPr>
        <w:tc>
          <w:tcPr>
            <w:tcW w:w="921" w:type="pct"/>
            <w:tcBorders>
              <w:tl2br w:val="nil"/>
              <w:tr2bl w:val="nil"/>
            </w:tcBorders>
            <w:noWrap w:val="0"/>
            <w:vAlign w:val="center"/>
          </w:tcPr>
          <w:p w14:paraId="1A4F76FC">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标准限值</w:t>
            </w:r>
          </w:p>
        </w:tc>
        <w:tc>
          <w:tcPr>
            <w:tcW w:w="667" w:type="pct"/>
            <w:tcBorders>
              <w:tl2br w:val="nil"/>
              <w:tr2bl w:val="nil"/>
            </w:tcBorders>
            <w:noWrap w:val="0"/>
            <w:vAlign w:val="center"/>
          </w:tcPr>
          <w:p w14:paraId="7A47EE24">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eastAsia" w:cs="Times New Roman" w:eastAsiaTheme="minorEastAsia"/>
                <w:color w:val="000000" w:themeColor="text1"/>
                <w:kern w:val="0"/>
                <w:sz w:val="21"/>
                <w:szCs w:val="21"/>
                <w:lang w:val="en-US" w:eastAsia="zh-CN"/>
                <w14:textFill>
                  <w14:solidFill>
                    <w14:schemeClr w14:val="tx1"/>
                  </w14:solidFill>
                </w14:textFill>
              </w:rPr>
              <w:t>10</w:t>
            </w:r>
          </w:p>
        </w:tc>
        <w:tc>
          <w:tcPr>
            <w:tcW w:w="743" w:type="pct"/>
            <w:tcBorders>
              <w:tl2br w:val="nil"/>
              <w:tr2bl w:val="nil"/>
            </w:tcBorders>
            <w:noWrap w:val="0"/>
            <w:vAlign w:val="center"/>
          </w:tcPr>
          <w:p w14:paraId="5707E4C4">
            <w:pPr>
              <w:widowControl/>
              <w:spacing w:line="0" w:lineRule="atLeast"/>
              <w:jc w:val="center"/>
              <w:rPr>
                <w:rFonts w:hint="default" w:ascii="Times New Roman" w:hAnsi="Times New Roman" w:cs="Times New Roman" w:eastAsiaTheme="minorEastAsia"/>
                <w:color w:val="000000" w:themeColor="text1"/>
                <w:kern w:val="0"/>
                <w:sz w:val="21"/>
                <w:szCs w:val="21"/>
                <w:lang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4</w:t>
            </w:r>
          </w:p>
        </w:tc>
        <w:tc>
          <w:tcPr>
            <w:tcW w:w="642" w:type="pct"/>
            <w:tcBorders>
              <w:tl2br w:val="nil"/>
              <w:tr2bl w:val="nil"/>
            </w:tcBorders>
            <w:noWrap w:val="0"/>
            <w:vAlign w:val="center"/>
          </w:tcPr>
          <w:p w14:paraId="73459016">
            <w:pPr>
              <w:widowControl/>
              <w:spacing w:line="0" w:lineRule="atLeast"/>
              <w:jc w:val="cente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pPr>
            <w:r>
              <w:rPr>
                <w:rFonts w:hint="default" w:ascii="Times New Roman" w:hAnsi="Times New Roman" w:cs="Times New Roman" w:eastAsiaTheme="minorEastAsia"/>
                <w:color w:val="000000" w:themeColor="text1"/>
                <w:kern w:val="0"/>
                <w:sz w:val="21"/>
                <w:szCs w:val="21"/>
                <w:lang w:val="en-US" w:eastAsia="zh-CN"/>
                <w14:textFill>
                  <w14:solidFill>
                    <w14:schemeClr w14:val="tx1"/>
                  </w14:solidFill>
                </w14:textFill>
              </w:rPr>
              <w:t>4</w:t>
            </w:r>
          </w:p>
        </w:tc>
        <w:tc>
          <w:tcPr>
            <w:tcW w:w="2024" w:type="pct"/>
            <w:gridSpan w:val="3"/>
            <w:tcBorders>
              <w:tl2br w:val="nil"/>
              <w:tr2bl w:val="nil"/>
            </w:tcBorders>
            <w:noWrap w:val="0"/>
            <w:vAlign w:val="center"/>
          </w:tcPr>
          <w:p w14:paraId="691BCFEB">
            <w:pPr>
              <w:widowControl/>
              <w:spacing w:line="0" w:lineRule="atLeast"/>
              <w:jc w:val="center"/>
              <w:rPr>
                <w:rFonts w:hint="default" w:ascii="Times New Roman" w:hAnsi="Times New Roman" w:cs="Times New Roman" w:eastAsiaTheme="minorEastAsia"/>
                <w:color w:val="000000" w:themeColor="text1"/>
                <w:kern w:val="0"/>
                <w:sz w:val="21"/>
                <w:szCs w:val="21"/>
                <w14:textFill>
                  <w14:solidFill>
                    <w14:schemeClr w14:val="tx1"/>
                  </w14:solidFill>
                </w14:textFill>
              </w:rPr>
            </w:pPr>
            <w:r>
              <w:rPr>
                <w:rFonts w:hint="default" w:ascii="Times New Roman" w:hAnsi="Times New Roman" w:cs="Times New Roman" w:eastAsiaTheme="minorEastAsia"/>
                <w:color w:val="000000" w:themeColor="text1"/>
                <w:kern w:val="0"/>
                <w:sz w:val="21"/>
                <w:szCs w:val="21"/>
                <w14:textFill>
                  <w14:solidFill>
                    <w14:schemeClr w14:val="tx1"/>
                  </w14:solidFill>
                </w14:textFill>
              </w:rPr>
              <w:t>100</w:t>
            </w:r>
          </w:p>
        </w:tc>
      </w:tr>
    </w:tbl>
    <w:p w14:paraId="6D7FCFA9">
      <w:pPr>
        <w:keepNext w:val="0"/>
        <w:keepLines w:val="0"/>
        <w:pageBreakBefore w:val="0"/>
        <w:widowControl w:val="0"/>
        <w:kinsoku/>
        <w:wordWrap/>
        <w:overflowPunct/>
        <w:topLinePunct w:val="0"/>
        <w:autoSpaceDE w:val="0"/>
        <w:autoSpaceDN w:val="0"/>
        <w:bidi w:val="0"/>
        <w:adjustRightInd w:val="0"/>
        <w:snapToGrid w:val="0"/>
        <w:spacing w:before="169" w:beforeLines="50" w:beforeAutospacing="0" w:line="500" w:lineRule="exact"/>
        <w:ind w:firstLine="482" w:firstLineChars="200"/>
        <w:textAlignment w:val="auto"/>
        <w:outlineLvl w:val="1"/>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lang w:val="en-US" w:eastAsia="zh-CN"/>
          <w14:textFill>
            <w14:solidFill>
              <w14:schemeClr w14:val="tx1"/>
            </w14:solidFill>
          </w14:textFill>
        </w:rPr>
        <w:t>3.2.4</w:t>
      </w:r>
      <w:r>
        <w:rPr>
          <w:rFonts w:hint="eastAsia" w:ascii="Times New Roman" w:hAnsi="Times New Roman" w:eastAsia="宋体" w:cs="Times New Roman"/>
          <w:b/>
          <w:bCs/>
          <w:color w:val="000000" w:themeColor="text1"/>
          <w:kern w:val="0"/>
          <w:sz w:val="24"/>
          <w:lang w:val="en-US" w:eastAsia="zh-CN"/>
          <w14:textFill>
            <w14:solidFill>
              <w14:schemeClr w14:val="tx1"/>
            </w14:solidFill>
          </w14:textFill>
        </w:rPr>
        <w:t>计算结果分析</w:t>
      </w:r>
      <w:bookmarkEnd w:id="91"/>
    </w:p>
    <w:p w14:paraId="11598C65">
      <w:pPr>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000000" w:themeColor="text1"/>
          <w:sz w:val="24"/>
          <w:szCs w:val="24"/>
          <w:lang w:val="zh-CN" w:eastAsia="zh-CN"/>
          <w14:textFill>
            <w14:solidFill>
              <w14:schemeClr w14:val="tx1"/>
            </w14:solidFill>
          </w14:textFill>
        </w:rPr>
      </w:pP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w:t>
      </w:r>
      <w:r>
        <w:rPr>
          <w:rFonts w:hint="eastAsia" w:cs="Times New Roman"/>
          <w:color w:val="000000" w:themeColor="text1"/>
          <w:sz w:val="24"/>
          <w:szCs w:val="24"/>
          <w:lang w:val="zh-CN" w:eastAsia="zh-CN"/>
          <w14:textFill>
            <w14:solidFill>
              <w14:schemeClr w14:val="tx1"/>
            </w14:solidFill>
          </w14:textFill>
        </w:rPr>
        <w:t>）220-KD21D-J4</w:t>
      </w:r>
    </w:p>
    <w:p w14:paraId="6D4297A5">
      <w:pPr>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000000" w:themeColor="text1"/>
          <w:sz w:val="24"/>
          <w:szCs w:val="24"/>
          <w:lang w:val="zh-CN" w:eastAsia="zh-CN"/>
          <w14:textFill>
            <w14:solidFill>
              <w14:schemeClr w14:val="tx1"/>
            </w14:solidFill>
          </w14:textFill>
        </w:rPr>
      </w:pPr>
      <w:r>
        <w:rPr>
          <w:rFonts w:hint="default" w:ascii="Times New Roman" w:hAnsi="Times New Roman" w:eastAsia="宋体" w:cs="Times New Roman"/>
          <w:color w:val="000000" w:themeColor="text1"/>
          <w:sz w:val="24"/>
          <w:szCs w:val="24"/>
          <w:lang w:val="zh-CN" w:eastAsia="zh-CN"/>
          <w14:textFill>
            <w14:solidFill>
              <w14:schemeClr w14:val="tx1"/>
            </w14:solidFill>
          </w14:textFill>
        </w:rPr>
        <w:t>根据预测结果分析可知</w:t>
      </w:r>
      <w:r>
        <w:rPr>
          <w:rFonts w:hint="default" w:ascii="Times New Roman" w:hAnsi="Times New Roman"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当线高按6.5</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eastAsia" w:cs="Times New Roman"/>
          <w:color w:val="000000" w:themeColor="text1"/>
          <w:sz w:val="24"/>
          <w:szCs w:val="24"/>
          <w:lang w:val="en-US" w:eastAsia="zh-CN"/>
          <w14:textFill>
            <w14:solidFill>
              <w14:schemeClr w14:val="tx1"/>
            </w14:solidFill>
          </w14:textFill>
        </w:rPr>
        <w:t>经过非居民区时</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，220千伏</w:t>
      </w:r>
      <w:r>
        <w:rPr>
          <w:rFonts w:hint="default" w:ascii="Times New Roman" w:hAnsi="Times New Roman" w:cs="Times New Roman"/>
          <w:color w:val="000000" w:themeColor="text1"/>
          <w:sz w:val="24"/>
          <w:szCs w:val="24"/>
          <w:lang w:val="en-US" w:eastAsia="zh-CN"/>
          <w14:textFill>
            <w14:solidFill>
              <w14:schemeClr w14:val="tx1"/>
            </w14:solidFill>
          </w14:textFill>
        </w:rPr>
        <w:t>单</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回路线路段220-KD21D-J4塔型在离地1.5</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处产生的工频电场强度最大值为9.2944kV/m、工频磁感应强度最大值为69.0617</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eastAsia" w:cs="Times New Roman" w:eastAsiaTheme="minorEastAsia"/>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线路运行产生的工频电场强度可满足《电磁环境控制限值》（GB8702-2014）中规定的频率为50Hz时工频电场强度≤10kV/m</w:t>
      </w:r>
      <w:r>
        <w:rPr>
          <w:rFonts w:hint="eastAsia"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架空输电线路线下的耕地、园地、牧耕地、畜禽饲养地、养殖水面、道路等场所</w:t>
      </w:r>
      <w:r>
        <w:rPr>
          <w:rFonts w:hint="eastAsia"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工频磁感应强度可满足≤100</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的公众曝露控制限值</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要求</w:t>
      </w:r>
      <w:r>
        <w:rPr>
          <w:rFonts w:hint="eastAsia" w:cs="Times New Roman"/>
          <w:color w:val="000000" w:themeColor="text1"/>
          <w:sz w:val="24"/>
          <w:szCs w:val="24"/>
          <w:lang w:val="zh-CN" w:eastAsia="zh-CN"/>
          <w14:textFill>
            <w14:solidFill>
              <w14:schemeClr w14:val="tx1"/>
            </w14:solidFill>
          </w14:textFill>
        </w:rPr>
        <w:t>。</w:t>
      </w:r>
    </w:p>
    <w:p w14:paraId="5C445A51">
      <w:pPr>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考虑未来当</w:t>
      </w:r>
      <w:r>
        <w:rPr>
          <w:rFonts w:hint="default" w:ascii="Times New Roman" w:hAnsi="Times New Roman" w:cs="Times New Roman"/>
          <w:color w:val="000000" w:themeColor="text1"/>
          <w:sz w:val="24"/>
          <w:highlight w:val="none"/>
          <w14:textFill>
            <w14:solidFill>
              <w14:schemeClr w14:val="tx1"/>
            </w14:solidFill>
          </w14:textFill>
        </w:rPr>
        <w:t>线高按</w:t>
      </w:r>
      <w:r>
        <w:rPr>
          <w:rFonts w:hint="default" w:ascii="Times New Roman" w:hAnsi="Times New Roman" w:cs="Times New Roman"/>
          <w:color w:val="000000" w:themeColor="text1"/>
          <w:sz w:val="24"/>
          <w:highlight w:val="none"/>
          <w:lang w:eastAsia="zh-CN"/>
          <w14:textFill>
            <w14:solidFill>
              <w14:schemeClr w14:val="tx1"/>
            </w14:solidFill>
          </w14:textFill>
        </w:rPr>
        <w:t>7</w:t>
      </w:r>
      <w:r>
        <w:rPr>
          <w:rFonts w:hint="eastAsia"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14:textFill>
            <w14:solidFill>
              <w14:schemeClr w14:val="tx1"/>
            </w14:solidFill>
          </w14:textFill>
        </w:rPr>
        <w:t>经过居民</w:t>
      </w:r>
      <w:r>
        <w:rPr>
          <w:rFonts w:hint="default" w:ascii="Times New Roman" w:hAnsi="Times New Roman" w:eastAsia="宋体" w:cs="Times New Roman"/>
          <w:color w:val="000000" w:themeColor="text1"/>
          <w:sz w:val="24"/>
          <w:szCs w:val="24"/>
          <w:highlight w:val="none"/>
          <w14:textFill>
            <w14:solidFill>
              <w14:schemeClr w14:val="tx1"/>
            </w14:solidFill>
          </w14:textFill>
        </w:rPr>
        <w:t>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时</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，220千伏</w:t>
      </w:r>
      <w:r>
        <w:rPr>
          <w:rFonts w:hint="default" w:ascii="Times New Roman" w:hAnsi="Times New Roman" w:cs="Times New Roman"/>
          <w:color w:val="000000" w:themeColor="text1"/>
          <w:sz w:val="24"/>
          <w:szCs w:val="24"/>
          <w:lang w:val="en-US" w:eastAsia="zh-CN"/>
          <w14:textFill>
            <w14:solidFill>
              <w14:schemeClr w14:val="tx1"/>
            </w14:solidFill>
          </w14:textFill>
        </w:rPr>
        <w:t>单</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回路线路段220-KD21D-J4塔型在离地1.5</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处产生的工频电场强度最大值为7.3838kV/m、工频磁感应强度最大值为56.9329</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线路运行产生的工频电场强度不能满足《电磁环境控制限值》（GB8702-2014）中规定的频率为50Hz时工频电场强度≤4kV/m的公众曝露控制限值，工频磁感应强度可满足≤100</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的公众曝露控制限值</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要求</w:t>
      </w:r>
      <w:r>
        <w:rPr>
          <w:rFonts w:hint="eastAsia" w:cs="Times New Roman"/>
          <w:color w:val="000000" w:themeColor="text1"/>
          <w:sz w:val="24"/>
          <w:szCs w:val="24"/>
          <w:lang w:val="en-US" w:eastAsia="zh-CN"/>
          <w14:textFill>
            <w14:solidFill>
              <w14:schemeClr w14:val="tx1"/>
            </w14:solidFill>
          </w14:textFill>
        </w:rPr>
        <w:t>。</w:t>
      </w:r>
    </w:p>
    <w:p w14:paraId="3A6B89B0">
      <w:pPr>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本项目沿线无电磁敏感目标，考虑后期新增电磁敏感目标的情况，本次评价建议导线对地高度提高至</w:t>
      </w:r>
      <w:r>
        <w:rPr>
          <w:rFonts w:hint="eastAsia" w:cs="Times New Roman"/>
          <w:color w:val="000000" w:themeColor="text1"/>
          <w:sz w:val="24"/>
          <w:szCs w:val="24"/>
          <w:lang w:val="en-US" w:eastAsia="zh-CN"/>
          <w14:textFill>
            <w14:solidFill>
              <w14:schemeClr w14:val="tx1"/>
            </w14:solidFill>
          </w14:textFill>
        </w:rPr>
        <w:t>10.9</w:t>
      </w:r>
      <w:r>
        <w:rPr>
          <w:rFonts w:hint="eastAsia" w:ascii="Times New Roman" w:hAnsi="Times New Roman" w:eastAsia="宋体" w:cs="Times New Roman"/>
          <w:color w:val="000000" w:themeColor="text1"/>
          <w:sz w:val="24"/>
          <w:lang w:val="en-US" w:eastAsia="zh-CN"/>
          <w14:textFill>
            <w14:solidFill>
              <w14:schemeClr w14:val="tx1"/>
            </w14:solidFill>
          </w14:textFill>
        </w:rPr>
        <w:t>m，</w:t>
      </w:r>
      <w:r>
        <w:rPr>
          <w:rFonts w:hint="default" w:ascii="Times New Roman" w:hAnsi="Times New Roman" w:eastAsia="宋体" w:cs="Times New Roman"/>
          <w:color w:val="000000" w:themeColor="text1"/>
          <w:sz w:val="24"/>
          <w:lang w:val="zh-CN" w:eastAsia="zh-CN"/>
          <w14:textFill>
            <w14:solidFill>
              <w14:schemeClr w14:val="tx1"/>
            </w14:solidFill>
          </w14:textFill>
        </w:rPr>
        <w:t>当导线对地高度提升至</w:t>
      </w:r>
      <w:r>
        <w:rPr>
          <w:rFonts w:hint="eastAsia" w:cs="Times New Roman"/>
          <w:color w:val="000000" w:themeColor="text1"/>
          <w:sz w:val="24"/>
          <w:szCs w:val="24"/>
          <w:lang w:val="en-US" w:eastAsia="zh-CN"/>
          <w14:textFill>
            <w14:solidFill>
              <w14:schemeClr w14:val="tx1"/>
            </w14:solidFill>
          </w14:textFill>
        </w:rPr>
        <w:t>10.9</w:t>
      </w:r>
      <w:r>
        <w:rPr>
          <w:rFonts w:hint="default" w:ascii="Times New Roman" w:hAnsi="Times New Roman" w:eastAsia="宋体" w:cs="Times New Roman"/>
          <w:color w:val="000000" w:themeColor="text1"/>
          <w:sz w:val="24"/>
          <w:lang w:val="zh-CN" w:eastAsia="zh-CN"/>
          <w14:textFill>
            <w14:solidFill>
              <w14:schemeClr w14:val="tx1"/>
            </w14:solidFill>
          </w14:textFill>
        </w:rPr>
        <w:t>m时，</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产生的工频电场强度最大值为</w:t>
      </w:r>
      <w:r>
        <w:rPr>
          <w:rFonts w:hint="eastAsia" w:cs="Times New Roman"/>
          <w:color w:val="000000" w:themeColor="text1"/>
          <w:sz w:val="24"/>
          <w:szCs w:val="24"/>
          <w:lang w:val="en-US" w:eastAsia="zh-CN"/>
          <w14:textFill>
            <w14:solidFill>
              <w14:schemeClr w14:val="tx1"/>
            </w14:solidFill>
          </w14:textFill>
        </w:rPr>
        <w:t>3.9390</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kV/m</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、工频磁感应强度最大值为33.6165</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可</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满足《电磁环境控制限值》（GB8702-2014）中规定的频率为50Hz时工频电场强度≤4kV/m</w:t>
      </w:r>
      <w:r>
        <w:rPr>
          <w:rFonts w:hint="eastAsia"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工频磁感应强度≤100μT的公众曝露控制限值</w:t>
      </w:r>
      <w:r>
        <w:rPr>
          <w:rFonts w:hint="eastAsia" w:ascii="Times New Roman" w:hAnsi="Times New Roman" w:cs="Times New Roman"/>
          <w:color w:val="000000" w:themeColor="text1"/>
          <w:sz w:val="24"/>
          <w:szCs w:val="24"/>
          <w:lang w:val="zh-CN" w:eastAsia="zh-CN"/>
          <w14:textFill>
            <w14:solidFill>
              <w14:schemeClr w14:val="tx1"/>
            </w14:solidFill>
          </w14:textFill>
        </w:rPr>
        <w:t>。</w:t>
      </w:r>
    </w:p>
    <w:p w14:paraId="2B711925">
      <w:pPr>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000000" w:themeColor="text1"/>
          <w:sz w:val="24"/>
          <w:szCs w:val="24"/>
          <w:lang w:val="zh-CN" w:eastAsia="zh-CN"/>
          <w14:textFill>
            <w14:solidFill>
              <w14:schemeClr w14:val="tx1"/>
            </w14:solidFill>
          </w14:textFill>
        </w:rPr>
      </w:pPr>
      <w:r>
        <w:rPr>
          <w:rFonts w:hint="eastAsia" w:cs="Times New Roman"/>
          <w:color w:val="000000" w:themeColor="text1"/>
          <w:sz w:val="24"/>
          <w:szCs w:val="24"/>
          <w:lang w:val="zh-CN"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2</w:t>
      </w:r>
      <w:r>
        <w:rPr>
          <w:rFonts w:hint="eastAsia"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220-KD21D-ZB2</w:t>
      </w:r>
    </w:p>
    <w:p w14:paraId="17E2EB17">
      <w:pPr>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000000" w:themeColor="text1"/>
          <w:sz w:val="24"/>
          <w:szCs w:val="24"/>
          <w:lang w:val="zh-CN" w:eastAsia="zh-CN"/>
          <w14:textFill>
            <w14:solidFill>
              <w14:schemeClr w14:val="tx1"/>
            </w14:solidFill>
          </w14:textFill>
        </w:rPr>
      </w:pPr>
      <w:r>
        <w:rPr>
          <w:rFonts w:hint="default" w:ascii="Times New Roman" w:hAnsi="Times New Roman" w:eastAsia="宋体" w:cs="Times New Roman"/>
          <w:color w:val="000000" w:themeColor="text1"/>
          <w:sz w:val="24"/>
          <w:szCs w:val="24"/>
          <w:lang w:val="zh-CN" w:eastAsia="zh-CN"/>
          <w14:textFill>
            <w14:solidFill>
              <w14:schemeClr w14:val="tx1"/>
            </w14:solidFill>
          </w14:textFill>
        </w:rPr>
        <w:t>根据预测结果分析可知</w:t>
      </w:r>
      <w:r>
        <w:rPr>
          <w:rFonts w:hint="default" w:ascii="Times New Roman" w:hAnsi="Times New Roman"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当线高按6.5</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eastAsia" w:cs="Times New Roman"/>
          <w:color w:val="000000" w:themeColor="text1"/>
          <w:sz w:val="24"/>
          <w:szCs w:val="24"/>
          <w:lang w:val="en-US" w:eastAsia="zh-CN"/>
          <w14:textFill>
            <w14:solidFill>
              <w14:schemeClr w14:val="tx1"/>
            </w14:solidFill>
          </w14:textFill>
        </w:rPr>
        <w:t>经过非居民区时</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，220千伏</w:t>
      </w:r>
      <w:r>
        <w:rPr>
          <w:rFonts w:hint="default" w:ascii="Times New Roman" w:hAnsi="Times New Roman" w:cs="Times New Roman"/>
          <w:color w:val="000000" w:themeColor="text1"/>
          <w:sz w:val="24"/>
          <w:szCs w:val="24"/>
          <w:lang w:val="en-US" w:eastAsia="zh-CN"/>
          <w14:textFill>
            <w14:solidFill>
              <w14:schemeClr w14:val="tx1"/>
            </w14:solidFill>
          </w14:textFill>
        </w:rPr>
        <w:t>单</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回路线路段220-KD21D-ZB2塔型在离地1.5</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处产生的工频电场强度最大值为9.6347kV/m、工频磁感应强度最大值为75.5910</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eastAsia" w:cs="Times New Roman" w:eastAsiaTheme="minorEastAsia"/>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线路运行产生的工频电场强度可满足《电磁环境控制限值》（GB8702-2014）中规定的频率为50Hz时工频电场强度≤10kV/m</w:t>
      </w:r>
      <w:r>
        <w:rPr>
          <w:rFonts w:hint="eastAsia"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架空输电线路线下的耕地、园地、牧耕地、畜禽饲养地、养殖水面、道路等场所</w:t>
      </w:r>
      <w:r>
        <w:rPr>
          <w:rFonts w:hint="eastAsia"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工频磁感应强度可满足≤100</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的公众曝露控制限值</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要求</w:t>
      </w:r>
      <w:r>
        <w:rPr>
          <w:rFonts w:hint="eastAsia" w:cs="Times New Roman"/>
          <w:color w:val="000000" w:themeColor="text1"/>
          <w:sz w:val="24"/>
          <w:szCs w:val="24"/>
          <w:lang w:val="zh-CN" w:eastAsia="zh-CN"/>
          <w14:textFill>
            <w14:solidFill>
              <w14:schemeClr w14:val="tx1"/>
            </w14:solidFill>
          </w14:textFill>
        </w:rPr>
        <w:t>。</w:t>
      </w:r>
    </w:p>
    <w:p w14:paraId="2F802494">
      <w:pPr>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考虑未来当</w:t>
      </w:r>
      <w:r>
        <w:rPr>
          <w:rFonts w:hint="default" w:ascii="Times New Roman" w:hAnsi="Times New Roman" w:cs="Times New Roman"/>
          <w:color w:val="000000" w:themeColor="text1"/>
          <w:sz w:val="24"/>
          <w:highlight w:val="none"/>
          <w14:textFill>
            <w14:solidFill>
              <w14:schemeClr w14:val="tx1"/>
            </w14:solidFill>
          </w14:textFill>
        </w:rPr>
        <w:t>线高按</w:t>
      </w:r>
      <w:r>
        <w:rPr>
          <w:rFonts w:hint="default" w:ascii="Times New Roman" w:hAnsi="Times New Roman" w:cs="Times New Roman"/>
          <w:color w:val="000000" w:themeColor="text1"/>
          <w:sz w:val="24"/>
          <w:highlight w:val="none"/>
          <w:lang w:eastAsia="zh-CN"/>
          <w14:textFill>
            <w14:solidFill>
              <w14:schemeClr w14:val="tx1"/>
            </w14:solidFill>
          </w14:textFill>
        </w:rPr>
        <w:t>7</w:t>
      </w:r>
      <w:r>
        <w:rPr>
          <w:rFonts w:hint="eastAsia" w:ascii="Times New Roman" w:hAnsi="Times New Roman" w:cs="Times New Roman"/>
          <w:color w:val="000000" w:themeColor="text1"/>
          <w:sz w:val="24"/>
          <w:highlight w:val="none"/>
          <w:lang w:val="en-US" w:eastAsia="zh-CN"/>
          <w14:textFill>
            <w14:solidFill>
              <w14:schemeClr w14:val="tx1"/>
            </w14:solidFill>
          </w14:textFill>
        </w:rPr>
        <w:t>.5</w:t>
      </w:r>
      <w:r>
        <w:rPr>
          <w:rFonts w:hint="default" w:ascii="Times New Roman" w:hAnsi="Times New Roman" w:cs="Times New Roman"/>
          <w:color w:val="000000" w:themeColor="text1"/>
          <w:sz w:val="24"/>
          <w:highlight w:val="none"/>
          <w:lang w:eastAsia="zh-CN"/>
          <w14:textFill>
            <w14:solidFill>
              <w14:schemeClr w14:val="tx1"/>
            </w14:solidFill>
          </w14:textFill>
        </w:rPr>
        <w:t>m</w:t>
      </w:r>
      <w:r>
        <w:rPr>
          <w:rFonts w:hint="default" w:ascii="Times New Roman" w:hAnsi="Times New Roman" w:cs="Times New Roman"/>
          <w:color w:val="000000" w:themeColor="text1"/>
          <w:sz w:val="24"/>
          <w:highlight w:val="none"/>
          <w14:textFill>
            <w14:solidFill>
              <w14:schemeClr w14:val="tx1"/>
            </w14:solidFill>
          </w14:textFill>
        </w:rPr>
        <w:t>经过居民</w:t>
      </w:r>
      <w:r>
        <w:rPr>
          <w:rFonts w:hint="default" w:ascii="Times New Roman" w:hAnsi="Times New Roman" w:eastAsia="宋体" w:cs="Times New Roman"/>
          <w:color w:val="000000" w:themeColor="text1"/>
          <w:sz w:val="24"/>
          <w:szCs w:val="24"/>
          <w:highlight w:val="none"/>
          <w14:textFill>
            <w14:solidFill>
              <w14:schemeClr w14:val="tx1"/>
            </w14:solidFill>
          </w14:textFill>
        </w:rPr>
        <w:t>区</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时</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，220千伏</w:t>
      </w:r>
      <w:r>
        <w:rPr>
          <w:rFonts w:hint="default" w:ascii="Times New Roman" w:hAnsi="Times New Roman" w:cs="Times New Roman"/>
          <w:color w:val="000000" w:themeColor="text1"/>
          <w:sz w:val="24"/>
          <w:szCs w:val="24"/>
          <w:lang w:val="en-US" w:eastAsia="zh-CN"/>
          <w14:textFill>
            <w14:solidFill>
              <w14:schemeClr w14:val="tx1"/>
            </w14:solidFill>
          </w14:textFill>
        </w:rPr>
        <w:t>单</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回路线路段220-KD21D-ZB2塔型在离地1.5</w:t>
      </w:r>
      <w:r>
        <w:rPr>
          <w:rFonts w:hint="default" w:ascii="Times New Roman" w:hAnsi="Times New Roman" w:cs="Times New Roman"/>
          <w:color w:val="000000" w:themeColor="text1"/>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处产生的工频电场强度最大值为7.6546kV/m、工频磁感应强度最大值为62.6091</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线路运行产生的工频电场强度不能满足《电磁环境控制限值》（GB8702-2014）中规定的频率为50Hz时工频电场强度≤4kV/m的公众曝露控制限值，工频磁感应强度可满足≤100</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的公众曝露控制限值</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要求</w:t>
      </w:r>
      <w:r>
        <w:rPr>
          <w:rFonts w:hint="eastAsia" w:cs="Times New Roman"/>
          <w:color w:val="000000" w:themeColor="text1"/>
          <w:sz w:val="24"/>
          <w:szCs w:val="24"/>
          <w:lang w:val="en-US" w:eastAsia="zh-CN"/>
          <w14:textFill>
            <w14:solidFill>
              <w14:schemeClr w14:val="tx1"/>
            </w14:solidFill>
          </w14:textFill>
        </w:rPr>
        <w:t>。</w:t>
      </w:r>
    </w:p>
    <w:p w14:paraId="3A3AE10E">
      <w:pPr>
        <w:keepNext w:val="0"/>
        <w:keepLines w:val="0"/>
        <w:pageBreakBefore w:val="0"/>
        <w:widowControl w:val="0"/>
        <w:kinsoku/>
        <w:wordWrap/>
        <w:overflowPunct/>
        <w:topLinePunct w:val="0"/>
        <w:bidi w:val="0"/>
        <w:snapToGrid w:val="0"/>
        <w:spacing w:line="500" w:lineRule="exact"/>
        <w:ind w:firstLine="480" w:firstLineChars="200"/>
        <w:textAlignment w:val="auto"/>
        <w:rPr>
          <w:rFonts w:hint="default" w:ascii="Times New Roman" w:hAnsi="Times New Roman" w:eastAsia="宋体" w:cs="Times New Roman"/>
          <w:color w:val="000000" w:themeColor="text1"/>
          <w:sz w:val="24"/>
          <w:szCs w:val="24"/>
          <w:lang w:val="zh-CN" w:eastAsia="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本项目沿线无电磁敏感目标，考虑后期新增电磁敏感目标的情况，本次评价建议导线对地高度提高至</w:t>
      </w:r>
      <w:r>
        <w:rPr>
          <w:rFonts w:hint="eastAsia" w:cs="Times New Roman"/>
          <w:color w:val="000000" w:themeColor="text1"/>
          <w:sz w:val="24"/>
          <w:szCs w:val="24"/>
          <w:lang w:val="en-US" w:eastAsia="zh-CN"/>
          <w14:textFill>
            <w14:solidFill>
              <w14:schemeClr w14:val="tx1"/>
            </w14:solidFill>
          </w14:textFill>
        </w:rPr>
        <w:t>10.9</w:t>
      </w:r>
      <w:r>
        <w:rPr>
          <w:rFonts w:hint="eastAsia" w:ascii="Times New Roman" w:hAnsi="Times New Roman" w:eastAsia="宋体" w:cs="Times New Roman"/>
          <w:color w:val="000000" w:themeColor="text1"/>
          <w:sz w:val="24"/>
          <w:lang w:val="en-US" w:eastAsia="zh-CN"/>
          <w14:textFill>
            <w14:solidFill>
              <w14:schemeClr w14:val="tx1"/>
            </w14:solidFill>
          </w14:textFill>
        </w:rPr>
        <w:t>m，</w:t>
      </w:r>
      <w:r>
        <w:rPr>
          <w:rFonts w:hint="default" w:ascii="Times New Roman" w:hAnsi="Times New Roman" w:eastAsia="宋体" w:cs="Times New Roman"/>
          <w:color w:val="000000" w:themeColor="text1"/>
          <w:sz w:val="24"/>
          <w:lang w:val="zh-CN" w:eastAsia="zh-CN"/>
          <w14:textFill>
            <w14:solidFill>
              <w14:schemeClr w14:val="tx1"/>
            </w14:solidFill>
          </w14:textFill>
        </w:rPr>
        <w:t>当导线对地高度提升至</w:t>
      </w:r>
      <w:r>
        <w:rPr>
          <w:rFonts w:hint="eastAsia" w:cs="Times New Roman"/>
          <w:color w:val="000000" w:themeColor="text1"/>
          <w:sz w:val="24"/>
          <w:szCs w:val="24"/>
          <w:lang w:val="en-US" w:eastAsia="zh-CN"/>
          <w14:textFill>
            <w14:solidFill>
              <w14:schemeClr w14:val="tx1"/>
            </w14:solidFill>
          </w14:textFill>
        </w:rPr>
        <w:t>11.2</w:t>
      </w:r>
      <w:r>
        <w:rPr>
          <w:rFonts w:hint="default" w:ascii="Times New Roman" w:hAnsi="Times New Roman" w:eastAsia="宋体" w:cs="Times New Roman"/>
          <w:color w:val="000000" w:themeColor="text1"/>
          <w:sz w:val="24"/>
          <w:lang w:val="zh-CN" w:eastAsia="zh-CN"/>
          <w14:textFill>
            <w14:solidFill>
              <w14:schemeClr w14:val="tx1"/>
            </w14:solidFill>
          </w14:textFill>
        </w:rPr>
        <w:t>m时，</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产生的工频电场强度最大值为3.9945</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kV/m</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、工频磁感应强度最大值为37.1855</w:t>
      </w:r>
      <w:r>
        <w:rPr>
          <w:rFonts w:hint="default" w:ascii="Times New Roman" w:hAnsi="Times New Roman" w:cs="Times New Roman" w:eastAsiaTheme="minorEastAsia"/>
          <w:color w:val="000000" w:themeColor="text1"/>
          <w:kern w:val="0"/>
          <w:sz w:val="24"/>
          <w:szCs w:val="24"/>
          <w14:textFill>
            <w14:solidFill>
              <w14:schemeClr w14:val="tx1"/>
            </w14:solidFill>
          </w14:textFill>
        </w:rPr>
        <w:t>μT</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可</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满足《电磁环境控制限值》（GB8702-2014）中规定的频率为50Hz时工频电场强度≤4kV/m</w:t>
      </w:r>
      <w:r>
        <w:rPr>
          <w:rFonts w:hint="eastAsia" w:cs="Times New Roman"/>
          <w:color w:val="000000" w:themeColor="text1"/>
          <w:sz w:val="24"/>
          <w:szCs w:val="24"/>
          <w:lang w:val="zh-CN" w:eastAsia="zh-CN"/>
          <w14:textFill>
            <w14:solidFill>
              <w14:schemeClr w14:val="tx1"/>
            </w14:solidFill>
          </w14:textFill>
        </w:rPr>
        <w:t>、</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工频磁感应强度≤100μT的公众曝露控制限值</w:t>
      </w:r>
      <w:r>
        <w:rPr>
          <w:rFonts w:hint="eastAsia" w:ascii="Times New Roman" w:hAnsi="Times New Roman" w:cs="Times New Roman"/>
          <w:color w:val="000000" w:themeColor="text1"/>
          <w:sz w:val="24"/>
          <w:szCs w:val="24"/>
          <w:lang w:val="zh-CN" w:eastAsia="zh-CN"/>
          <w14:textFill>
            <w14:solidFill>
              <w14:schemeClr w14:val="tx1"/>
            </w14:solidFill>
          </w14:textFill>
        </w:rPr>
        <w:t>。</w:t>
      </w:r>
    </w:p>
    <w:p w14:paraId="7BE4B68F">
      <w:pPr>
        <w:keepNext w:val="0"/>
        <w:keepLines w:val="0"/>
        <w:pageBreakBefore w:val="0"/>
        <w:widowControl w:val="0"/>
        <w:kinsoku/>
        <w:wordWrap/>
        <w:overflowPunct/>
        <w:topLinePunct w:val="0"/>
        <w:autoSpaceDE w:val="0"/>
        <w:autoSpaceDN w:val="0"/>
        <w:bidi w:val="0"/>
        <w:adjustRightInd w:val="0"/>
        <w:snapToGrid w:val="0"/>
        <w:spacing w:beforeAutospacing="0" w:line="500" w:lineRule="exact"/>
        <w:ind w:firstLine="482" w:firstLineChars="200"/>
        <w:textAlignment w:val="auto"/>
        <w:outlineLvl w:val="1"/>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bookmarkStart w:id="92" w:name="_Toc4324"/>
      <w:r>
        <w:rPr>
          <w:rFonts w:hint="eastAsia" w:ascii="Times New Roman" w:hAnsi="Times New Roman" w:eastAsia="宋体" w:cs="Times New Roman"/>
          <w:b/>
          <w:bCs/>
          <w:color w:val="000000" w:themeColor="text1"/>
          <w:kern w:val="0"/>
          <w:sz w:val="24"/>
          <w:lang w:val="en-US" w:eastAsia="zh-CN"/>
          <w14:textFill>
            <w14:solidFill>
              <w14:schemeClr w14:val="tx1"/>
            </w14:solidFill>
          </w14:textFill>
        </w:rPr>
        <w:t>3.</w:t>
      </w:r>
      <w:r>
        <w:rPr>
          <w:rFonts w:hint="eastAsia" w:ascii="Times New Roman" w:hAnsi="Times New Roman" w:cs="Times New Roman"/>
          <w:b/>
          <w:bCs/>
          <w:color w:val="000000" w:themeColor="text1"/>
          <w:kern w:val="0"/>
          <w:sz w:val="24"/>
          <w:lang w:val="en-US" w:eastAsia="zh-CN"/>
          <w14:textFill>
            <w14:solidFill>
              <w14:schemeClr w14:val="tx1"/>
            </w14:solidFill>
          </w14:textFill>
        </w:rPr>
        <w:t>2.</w:t>
      </w:r>
      <w:r>
        <w:rPr>
          <w:rFonts w:hint="eastAsia" w:ascii="Times New Roman" w:hAnsi="Times New Roman" w:eastAsia="宋体" w:cs="Times New Roman"/>
          <w:b/>
          <w:bCs/>
          <w:color w:val="000000" w:themeColor="text1"/>
          <w:kern w:val="0"/>
          <w:sz w:val="24"/>
          <w:lang w:val="en-US" w:eastAsia="zh-CN"/>
          <w14:textFill>
            <w14:solidFill>
              <w14:schemeClr w14:val="tx1"/>
            </w14:solidFill>
          </w14:textFill>
        </w:rPr>
        <w:t>5敏感</w:t>
      </w:r>
      <w:r>
        <w:rPr>
          <w:rFonts w:hint="eastAsia" w:cs="Times New Roman"/>
          <w:b/>
          <w:bCs/>
          <w:color w:val="000000" w:themeColor="text1"/>
          <w:kern w:val="0"/>
          <w:sz w:val="24"/>
          <w:lang w:val="en-US" w:eastAsia="zh-CN"/>
          <w14:textFill>
            <w14:solidFill>
              <w14:schemeClr w14:val="tx1"/>
            </w14:solidFill>
          </w14:textFill>
        </w:rPr>
        <w:t>目标</w:t>
      </w:r>
      <w:r>
        <w:rPr>
          <w:rFonts w:hint="eastAsia" w:ascii="Times New Roman" w:hAnsi="Times New Roman" w:eastAsia="宋体" w:cs="Times New Roman"/>
          <w:b/>
          <w:bCs/>
          <w:color w:val="000000" w:themeColor="text1"/>
          <w:kern w:val="0"/>
          <w:sz w:val="24"/>
          <w:lang w:val="en-US" w:eastAsia="zh-CN"/>
          <w14:textFill>
            <w14:solidFill>
              <w14:schemeClr w14:val="tx1"/>
            </w14:solidFill>
          </w14:textFill>
        </w:rPr>
        <w:t>电磁环境影响分析</w:t>
      </w:r>
      <w:bookmarkEnd w:id="92"/>
    </w:p>
    <w:p w14:paraId="2ABD0AFB">
      <w:pPr>
        <w:keepNext w:val="0"/>
        <w:keepLines w:val="0"/>
        <w:pageBreakBefore w:val="0"/>
        <w:widowControl w:val="0"/>
        <w:kinsoku/>
        <w:wordWrap/>
        <w:overflowPunct/>
        <w:topLinePunct w:val="0"/>
        <w:bidi w:val="0"/>
        <w:spacing w:line="500" w:lineRule="exact"/>
        <w:ind w:firstLine="480" w:firstLineChars="200"/>
        <w:textAlignment w:val="auto"/>
        <w:rPr>
          <w:color w:val="000000" w:themeColor="text1"/>
          <w:lang w:val="zh-CN"/>
          <w14:textFill>
            <w14:solidFill>
              <w14:schemeClr w14:val="tx1"/>
            </w14:solidFill>
          </w14:textFill>
        </w:rPr>
      </w:pPr>
      <w:r>
        <w:rPr>
          <w:rFonts w:hint="eastAsia" w:ascii="Times New Roman" w:hAnsi="Times New Roman" w:eastAsia="宋体" w:cs="Times New Roman"/>
          <w:color w:val="000000" w:themeColor="text1"/>
          <w:sz w:val="24"/>
          <w:lang w:val="en-US" w:eastAsia="zh-CN"/>
          <w14:textFill>
            <w14:solidFill>
              <w14:schemeClr w14:val="tx1"/>
            </w14:solidFill>
          </w14:textFill>
        </w:rPr>
        <w:t>根据现场勘查，本工程220kV</w:t>
      </w:r>
      <w:r>
        <w:rPr>
          <w:rFonts w:hint="eastAsia" w:cs="Times New Roman"/>
          <w:color w:val="000000" w:themeColor="text1"/>
          <w:sz w:val="24"/>
          <w:lang w:val="en-US" w:eastAsia="zh-CN"/>
          <w14:textFill>
            <w14:solidFill>
              <w14:schemeClr w14:val="tx1"/>
            </w14:solidFill>
          </w14:textFill>
        </w:rPr>
        <w:t>外送线路</w:t>
      </w:r>
      <w:r>
        <w:rPr>
          <w:rFonts w:hint="eastAsia" w:ascii="Times New Roman" w:hAnsi="Times New Roman" w:eastAsia="宋体" w:cs="Times New Roman"/>
          <w:color w:val="000000" w:themeColor="text1"/>
          <w:sz w:val="24"/>
          <w:lang w:val="en-US" w:eastAsia="zh-CN"/>
          <w14:textFill>
            <w14:solidFill>
              <w14:schemeClr w14:val="tx1"/>
            </w14:solidFill>
          </w14:textFill>
        </w:rPr>
        <w:t>电磁环境影响评价范围内不存在电磁环境敏感目标。</w:t>
      </w:r>
    </w:p>
    <w:p w14:paraId="319B1A25">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b/>
          <w:bCs/>
          <w:color w:val="000000" w:themeColor="text1"/>
          <w14:textFill>
            <w14:solidFill>
              <w14:schemeClr w14:val="tx1"/>
            </w14:solidFill>
          </w14:textFill>
        </w:rPr>
      </w:pPr>
      <w:bookmarkStart w:id="93" w:name="_Toc512710160"/>
      <w:bookmarkStart w:id="94" w:name="_Toc11861"/>
      <w:r>
        <w:rPr>
          <w:b/>
          <w:bCs/>
          <w:color w:val="000000" w:themeColor="text1"/>
          <w14:textFill>
            <w14:solidFill>
              <w14:schemeClr w14:val="tx1"/>
            </w14:solidFill>
          </w14:textFill>
        </w:rPr>
        <w:t>4</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电磁环境保护措施</w:t>
      </w:r>
      <w:bookmarkEnd w:id="93"/>
      <w:bookmarkEnd w:id="94"/>
    </w:p>
    <w:p w14:paraId="4439AC4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项目在设计、施工及运营期间需采用以下防护措施，保证工频电场及磁场满足相应标准限值要求。</w:t>
      </w:r>
    </w:p>
    <w:p w14:paraId="45F6D25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（1）设计时对升压</w:t>
      </w:r>
      <w:r>
        <w:rPr>
          <w:rFonts w:hint="eastAsia"/>
          <w:color w:val="000000" w:themeColor="text1"/>
          <w:lang w:val="en-US" w:eastAsia="zh-CN"/>
          <w14:textFill>
            <w14:solidFill>
              <w14:schemeClr w14:val="tx1"/>
            </w14:solidFill>
          </w14:textFill>
        </w:rPr>
        <w:t>汇集</w:t>
      </w:r>
      <w:r>
        <w:rPr>
          <w:rFonts w:hint="default"/>
          <w:color w:val="000000" w:themeColor="text1"/>
          <w:lang w:val="en-US" w:eastAsia="zh-CN"/>
          <w14:textFill>
            <w14:solidFill>
              <w14:schemeClr w14:val="tx1"/>
            </w14:solidFill>
          </w14:textFill>
        </w:rPr>
        <w:t>站的电气设备进行合理布局，保证导线和电气设备的安全距离，并选用具有抗干扰能力的设备，设置防雷接地保护装置，选用带屏蔽层的电缆，屏蔽层接地等。</w:t>
      </w:r>
    </w:p>
    <w:p w14:paraId="2FDF0D2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设计中通过选用高均压性能的设备及附件，对高压一次设备完善均压措施，降低电晕与局部放电水平，降低场区工频电场与磁场水平；对产生高频电磁及大功率振荡的设备，采用滤波、阻尼、合理接地及屏蔽等抑制措施；对二次设备屏柜及屏蔽房间的缝隙、孔洞采取电磁密封处理</w:t>
      </w:r>
      <w:r>
        <w:rPr>
          <w:rFonts w:hint="eastAsia"/>
          <w:color w:val="000000" w:themeColor="text1"/>
          <w:lang w:val="en-US" w:eastAsia="zh-CN"/>
          <w14:textFill>
            <w14:solidFill>
              <w14:schemeClr w14:val="tx1"/>
            </w14:solidFill>
          </w14:textFill>
        </w:rPr>
        <w:t>。</w:t>
      </w:r>
    </w:p>
    <w:p w14:paraId="3F83BB7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（3）线路选用的导线质量应符合国家相关标准的要求，防止由于导线缺陷导致的电晕增加，降低线路运行时产生的噪声。</w:t>
      </w:r>
    </w:p>
    <w:p w14:paraId="0312585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本项目线路工频电场、工频磁场满足设计规范要求，线路经过电力线时，严格按照有关规范要求留有足够净空距离，控制地面最大场强，使线路运行产生的电场强度对交叉跨越的对象无影响。</w:t>
      </w:r>
    </w:p>
    <w:p w14:paraId="34C9B6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采取以上措施后，工程附近评价范围内的电磁环境能够满足相应标准。</w:t>
      </w:r>
    </w:p>
    <w:p w14:paraId="0BEBCB02">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b/>
          <w:bCs/>
          <w:color w:val="000000" w:themeColor="text1"/>
          <w14:textFill>
            <w14:solidFill>
              <w14:schemeClr w14:val="tx1"/>
            </w14:solidFill>
          </w14:textFill>
        </w:rPr>
      </w:pPr>
      <w:bookmarkStart w:id="95" w:name="_Toc512710161"/>
      <w:bookmarkStart w:id="96" w:name="_Toc15607"/>
      <w:r>
        <w:rPr>
          <w:b/>
          <w:bCs/>
          <w:color w:val="000000" w:themeColor="text1"/>
          <w14:textFill>
            <w14:solidFill>
              <w14:schemeClr w14:val="tx1"/>
            </w14:solidFill>
          </w14:textFill>
        </w:rPr>
        <w:t>5</w:t>
      </w:r>
      <w:r>
        <w:rPr>
          <w:rFonts w:hint="eastAsia"/>
          <w:b/>
          <w:bCs/>
          <w:color w:val="000000" w:themeColor="text1"/>
          <w14:textFill>
            <w14:solidFill>
              <w14:schemeClr w14:val="tx1"/>
            </w14:solidFill>
          </w14:textFill>
        </w:rPr>
        <w:t>.</w:t>
      </w:r>
      <w:r>
        <w:rPr>
          <w:b/>
          <w:bCs/>
          <w:color w:val="000000" w:themeColor="text1"/>
          <w14:textFill>
            <w14:solidFill>
              <w14:schemeClr w14:val="tx1"/>
            </w14:solidFill>
          </w14:textFill>
        </w:rPr>
        <w:t>电磁环境影响评价结论</w:t>
      </w:r>
      <w:bookmarkEnd w:id="95"/>
      <w:bookmarkEnd w:id="96"/>
    </w:p>
    <w:p w14:paraId="1565104E">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通过类比监测结果</w:t>
      </w:r>
      <w:r>
        <w:rPr>
          <w:rFonts w:hint="eastAsia" w:cs="Times New Roman"/>
          <w:color w:val="000000" w:themeColor="text1"/>
          <w:lang w:val="en-US" w:eastAsia="zh-CN"/>
          <w14:textFill>
            <w14:solidFill>
              <w14:schemeClr w14:val="tx1"/>
            </w14:solidFill>
          </w14:textFill>
        </w:rPr>
        <w:t>分析</w:t>
      </w:r>
      <w:r>
        <w:rPr>
          <w:rFonts w:hint="eastAsia" w:cs="Times New Roman"/>
          <w:color w:val="000000" w:themeColor="text1"/>
          <w:lang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本项目升压汇集站运行过程中产生的</w:t>
      </w:r>
      <w:r>
        <w:rPr>
          <w:rFonts w:hint="default" w:ascii="Times New Roman" w:hAnsi="Times New Roman" w:cs="Times New Roman"/>
          <w:color w:val="000000" w:themeColor="text1"/>
          <w14:textFill>
            <w14:solidFill>
              <w14:schemeClr w14:val="tx1"/>
            </w14:solidFill>
          </w14:textFill>
        </w:rPr>
        <w:t>工频电场</w:t>
      </w:r>
      <w:r>
        <w:rPr>
          <w:rFonts w:hint="eastAsia" w:cs="Times New Roman"/>
          <w:color w:val="000000" w:themeColor="text1"/>
          <w:lang w:val="en-US" w:eastAsia="zh-CN"/>
          <w14:textFill>
            <w14:solidFill>
              <w14:schemeClr w14:val="tx1"/>
            </w14:solidFill>
          </w14:textFill>
        </w:rPr>
        <w:t>强度</w:t>
      </w:r>
      <w:r>
        <w:rPr>
          <w:rFonts w:hint="default" w:ascii="Times New Roman" w:hAnsi="Times New Roman" w:cs="Times New Roman"/>
          <w:color w:val="000000" w:themeColor="text1"/>
          <w14:textFill>
            <w14:solidFill>
              <w14:schemeClr w14:val="tx1"/>
            </w14:solidFill>
          </w14:textFill>
        </w:rPr>
        <w:t>、工频磁感应强度</w:t>
      </w:r>
      <w:r>
        <w:rPr>
          <w:rFonts w:hint="eastAsia" w:cs="Times New Roman"/>
          <w:color w:val="000000" w:themeColor="text1"/>
          <w:lang w:val="en-US" w:eastAsia="zh-CN"/>
          <w14:textFill>
            <w14:solidFill>
              <w14:schemeClr w14:val="tx1"/>
            </w14:solidFill>
          </w14:textFill>
        </w:rPr>
        <w:t>均</w:t>
      </w:r>
      <w:r>
        <w:rPr>
          <w:rFonts w:hint="default" w:ascii="Times New Roman" w:hAnsi="Times New Roman" w:cs="Times New Roman"/>
          <w:color w:val="000000" w:themeColor="text1"/>
          <w14:textFill>
            <w14:solidFill>
              <w14:schemeClr w14:val="tx1"/>
            </w14:solidFill>
          </w14:textFill>
        </w:rPr>
        <w:t>小于《电磁环境控制限值》（GB 8702-2014）中公众曝露控制限值的要求（50Hz频率下，工频电场强度</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4</w:t>
      </w:r>
      <w:r>
        <w:rPr>
          <w:rFonts w:hint="default" w:ascii="Times New Roman" w:hAnsi="Times New Roman" w:cs="Times New Roman"/>
          <w:color w:val="000000" w:themeColor="text1"/>
          <w:lang w:val="en-US" w:eastAsia="zh-CN"/>
          <w14:textFill>
            <w14:solidFill>
              <w14:schemeClr w14:val="tx1"/>
            </w14:solidFill>
          </w14:textFill>
        </w:rPr>
        <w:t>k</w:t>
      </w:r>
      <w:r>
        <w:rPr>
          <w:rFonts w:hint="default" w:ascii="Times New Roman" w:hAnsi="Times New Roman" w:cs="Times New Roman"/>
          <w:color w:val="000000" w:themeColor="text1"/>
          <w14:textFill>
            <w14:solidFill>
              <w14:schemeClr w14:val="tx1"/>
            </w14:solidFill>
          </w14:textFill>
        </w:rPr>
        <w:t>V/m、工频磁感应强度</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100μT）</w:t>
      </w:r>
      <w:r>
        <w:rPr>
          <w:rFonts w:hint="eastAsia" w:ascii="Times New Roman" w:hAnsi="Times New Roman" w:cs="Times New Roman"/>
          <w:color w:val="000000" w:themeColor="text1"/>
          <w:lang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t>外送线路按环评建议高度，线路</w:t>
      </w:r>
      <w:r>
        <w:rPr>
          <w:rFonts w:hint="default" w:ascii="Times New Roman" w:hAnsi="Times New Roman" w:cs="Times New Roman"/>
          <w:color w:val="000000" w:themeColor="text1"/>
          <w14:textFill>
            <w14:solidFill>
              <w14:schemeClr w14:val="tx1"/>
            </w14:solidFill>
          </w14:textFill>
        </w:rPr>
        <w:t>运行</w:t>
      </w:r>
      <w:r>
        <w:rPr>
          <w:rFonts w:hint="eastAsia" w:cs="Times New Roman"/>
          <w:color w:val="000000" w:themeColor="text1"/>
          <w:lang w:val="en-US" w:eastAsia="zh-CN"/>
          <w14:textFill>
            <w14:solidFill>
              <w14:schemeClr w14:val="tx1"/>
            </w14:solidFill>
          </w14:textFill>
        </w:rPr>
        <w:t>时</w:t>
      </w:r>
      <w:r>
        <w:rPr>
          <w:rFonts w:hint="default" w:ascii="Times New Roman" w:hAnsi="Times New Roman" w:cs="Times New Roman"/>
          <w:color w:val="000000" w:themeColor="text1"/>
          <w14:textFill>
            <w14:solidFill>
              <w14:schemeClr w14:val="tx1"/>
            </w14:solidFill>
          </w14:textFill>
        </w:rPr>
        <w:t>产生的工频电场</w:t>
      </w:r>
      <w:r>
        <w:rPr>
          <w:rFonts w:hint="eastAsia" w:cs="Times New Roman"/>
          <w:color w:val="000000" w:themeColor="text1"/>
          <w:lang w:val="en-US" w:eastAsia="zh-CN"/>
          <w14:textFill>
            <w14:solidFill>
              <w14:schemeClr w14:val="tx1"/>
            </w14:solidFill>
          </w14:textFill>
        </w:rPr>
        <w:t>强度</w:t>
      </w:r>
      <w:r>
        <w:rPr>
          <w:rFonts w:hint="default" w:ascii="Times New Roman" w:hAnsi="Times New Roman" w:cs="Times New Roman"/>
          <w:color w:val="000000" w:themeColor="text1"/>
          <w14:textFill>
            <w14:solidFill>
              <w14:schemeClr w14:val="tx1"/>
            </w14:solidFill>
          </w14:textFill>
        </w:rPr>
        <w:t>、工频磁感应强度</w:t>
      </w:r>
      <w:r>
        <w:rPr>
          <w:rFonts w:hint="eastAsia" w:cs="Times New Roman"/>
          <w:color w:val="000000" w:themeColor="text1"/>
          <w:lang w:val="en-US" w:eastAsia="zh-CN"/>
          <w14:textFill>
            <w14:solidFill>
              <w14:schemeClr w14:val="tx1"/>
            </w14:solidFill>
          </w14:textFill>
        </w:rPr>
        <w:t>均</w:t>
      </w:r>
      <w:r>
        <w:rPr>
          <w:rFonts w:hint="default" w:ascii="Times New Roman" w:hAnsi="Times New Roman" w:cs="Times New Roman"/>
          <w:color w:val="000000" w:themeColor="text1"/>
          <w14:textFill>
            <w14:solidFill>
              <w14:schemeClr w14:val="tx1"/>
            </w14:solidFill>
          </w14:textFill>
        </w:rPr>
        <w:t>小于《电磁环境控制限值》（GB 8702-2014）中公众曝露控制限值的要求（50Hz频率下，工频电场强度</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4</w:t>
      </w:r>
      <w:r>
        <w:rPr>
          <w:rFonts w:hint="default" w:ascii="Times New Roman" w:hAnsi="Times New Roman" w:cs="Times New Roman"/>
          <w:color w:val="000000" w:themeColor="text1"/>
          <w:lang w:val="en-US" w:eastAsia="zh-CN"/>
          <w14:textFill>
            <w14:solidFill>
              <w14:schemeClr w14:val="tx1"/>
            </w14:solidFill>
          </w14:textFill>
        </w:rPr>
        <w:t>k</w:t>
      </w:r>
      <w:r>
        <w:rPr>
          <w:rFonts w:hint="default" w:ascii="Times New Roman" w:hAnsi="Times New Roman" w:cs="Times New Roman"/>
          <w:color w:val="000000" w:themeColor="text1"/>
          <w14:textFill>
            <w14:solidFill>
              <w14:schemeClr w14:val="tx1"/>
            </w14:solidFill>
          </w14:textFill>
        </w:rPr>
        <w:t>V/m、工频磁感应强度</w:t>
      </w:r>
      <w:r>
        <w:rPr>
          <w:rFonts w:hint="default" w:ascii="Times New Roman" w:hAnsi="Times New Roman" w:eastAsia="宋体" w:cs="Times New Roman"/>
          <w:color w:val="000000" w:themeColor="text1"/>
          <w:sz w:val="24"/>
          <w:szCs w:val="24"/>
          <w:lang w:val="zh-CN"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100μT）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项目对周边的电磁环境影响较小。</w:t>
      </w:r>
    </w:p>
    <w:p w14:paraId="3D49268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14:textFill>
            <w14:solidFill>
              <w14:schemeClr w14:val="tx1"/>
            </w14:solidFill>
          </w14:textFill>
        </w:rPr>
      </w:pPr>
    </w:p>
    <w:p w14:paraId="7054191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14:textFill>
            <w14:solidFill>
              <w14:schemeClr w14:val="tx1"/>
            </w14:solidFill>
          </w14:textFill>
        </w:rPr>
      </w:pPr>
    </w:p>
    <w:p w14:paraId="5AC1F9E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Times New Roman" w:hAnsi="Times New Roman" w:cs="Times New Roman"/>
          <w:color w:val="000000" w:themeColor="text1"/>
          <w:lang w:val="en-US" w:eastAsia="zh-CN"/>
          <w14:textFill>
            <w14:solidFill>
              <w14:schemeClr w14:val="tx1"/>
            </w14:solidFill>
          </w14:textFill>
        </w:rPr>
      </w:pPr>
    </w:p>
    <w:sectPr>
      <w:footerReference r:id="rId10" w:type="default"/>
      <w:pgSz w:w="11906" w:h="16838"/>
      <w:pgMar w:top="1417" w:right="1531" w:bottom="1417" w:left="1531" w:header="851" w:footer="992" w:gutter="0"/>
      <w:pgBorders>
        <w:top w:val="none" w:sz="0" w:space="0"/>
        <w:left w:val="none" w:sz="0" w:space="0"/>
        <w:bottom w:val="none" w:sz="0" w:space="0"/>
        <w:right w:val="none" w:sz="0" w:space="0"/>
      </w:pgBorders>
      <w:pgNumType w:fmt="decimal"/>
      <w:cols w:space="0" w:num="1"/>
      <w:docGrid w:type="lines" w:linePitch="3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335F094-3E60-46E2-94FE-9CEEAF52B7FD}"/>
  </w:font>
  <w:font w:name="黑体">
    <w:panose1 w:val="02010609060101010101"/>
    <w:charset w:val="86"/>
    <w:family w:val="auto"/>
    <w:pitch w:val="default"/>
    <w:sig w:usb0="800002BF" w:usb1="38CF7CFA" w:usb2="00000016" w:usb3="00000000" w:csb0="00040001" w:csb1="00000000"/>
    <w:embedRegular r:id="rId2" w:fontKey="{C0AD190A-A343-44E6-9D67-88D11EB95DE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A5D1530F-FF8C-43B3-ABB8-6ECF89AD76C3}"/>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embedRegular r:id="rId4" w:fontKey="{F3846020-5474-4B6A-860D-646C128C2253}"/>
  </w:font>
  <w:font w:name="方正小标宋_GBK">
    <w:panose1 w:val="02000000000000000000"/>
    <w:charset w:val="86"/>
    <w:family w:val="script"/>
    <w:pitch w:val="default"/>
    <w:sig w:usb0="A00002BF" w:usb1="38CF7CFA" w:usb2="00082016" w:usb3="00000000" w:csb0="00040001" w:csb1="00000000"/>
    <w:embedRegular r:id="rId5" w:fontKey="{76D321B4-218A-4D1B-A046-828F900B1C2C}"/>
  </w:font>
  <w:font w:name="方正小标宋简体">
    <w:panose1 w:val="03000509000000000000"/>
    <w:charset w:val="86"/>
    <w:family w:val="script"/>
    <w:pitch w:val="default"/>
    <w:sig w:usb0="00000001" w:usb1="080E0000" w:usb2="00000000" w:usb3="00000000" w:csb0="00040000" w:csb1="00000000"/>
    <w:embedRegular r:id="rId6" w:fontKey="{735B229C-F1A8-4918-ACCA-95165655FBDA}"/>
  </w:font>
  <w:font w:name="Wingdings 2">
    <w:panose1 w:val="05020102010507070707"/>
    <w:charset w:val="02"/>
    <w:family w:val="roman"/>
    <w:pitch w:val="default"/>
    <w:sig w:usb0="00000000" w:usb1="00000000" w:usb2="00000000" w:usb3="00000000" w:csb0="80000000" w:csb1="00000000"/>
    <w:embedRegular r:id="rId7" w:fontKey="{6D635A64-0FB0-49C7-BE94-674984C53E9F}"/>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375F">
    <w:pPr>
      <w:pStyle w:val="14"/>
      <w:tabs>
        <w:tab w:val="center" w:pos="5103"/>
        <w:tab w:val="clear" w:pos="4153"/>
      </w:tabs>
      <w:ind w:right="360" w:firstLine="360"/>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1A5C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8E444">
    <w:pPr>
      <w:pStyle w:val="14"/>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F6E75">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EF6E75">
                    <w:pPr>
                      <w:pStyle w:val="1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0B523">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863DB2">
                          <w:pPr>
                            <w:pStyle w:val="14"/>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863DB2">
                    <w:pPr>
                      <w:pStyle w:val="14"/>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74DF5">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4602E2">
                          <w:pPr>
                            <w:pStyle w:val="14"/>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4602E2">
                    <w:pPr>
                      <w:pStyle w:val="14"/>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4D1DA">
    <w:pPr>
      <w:pStyle w:val="14"/>
      <w:keepNext w:val="0"/>
      <w:keepLines w:val="0"/>
      <w:pageBreakBefore w:val="0"/>
      <w:widowControl w:val="0"/>
      <w:kinsoku/>
      <w:wordWrap/>
      <w:overflowPunct/>
      <w:topLinePunct w:val="0"/>
      <w:bidi w:val="0"/>
      <w:adjustRightInd/>
      <w:snapToGrid w:val="0"/>
      <w:spacing w:line="240" w:lineRule="auto"/>
      <w:textAlignment w:val="auto"/>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306D5">
                          <w:pPr>
                            <w:pStyle w:val="14"/>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18306D5">
                    <w:pPr>
                      <w:pStyle w:val="14"/>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FD47BE"/>
    <w:multiLevelType w:val="singleLevel"/>
    <w:tmpl w:val="D2FD47BE"/>
    <w:lvl w:ilvl="0" w:tentative="0">
      <w:start w:val="1"/>
      <w:numFmt w:val="bullet"/>
      <w:pStyle w:val="12"/>
      <w:lvlText w:val=""/>
      <w:lvlJc w:val="left"/>
      <w:pPr>
        <w:tabs>
          <w:tab w:val="left" w:pos="2040"/>
        </w:tabs>
        <w:ind w:left="2040" w:hanging="360"/>
      </w:pPr>
      <w:rPr>
        <w:rFonts w:hint="default" w:ascii="Wingdings" w:hAnsi="Wingdings"/>
      </w:rPr>
    </w:lvl>
  </w:abstractNum>
  <w:abstractNum w:abstractNumId="1">
    <w:nsid w:val="373DEA5E"/>
    <w:multiLevelType w:val="singleLevel"/>
    <w:tmpl w:val="373DEA5E"/>
    <w:lvl w:ilvl="0" w:tentative="0">
      <w:start w:val="1"/>
      <w:numFmt w:val="decimal"/>
      <w:lvlText w:val="%1."/>
      <w:lvlJc w:val="left"/>
      <w:pPr>
        <w:tabs>
          <w:tab w:val="left" w:pos="312"/>
        </w:tabs>
      </w:pPr>
    </w:lvl>
  </w:abstractNum>
  <w:abstractNum w:abstractNumId="2">
    <w:nsid w:val="55FAE8B0"/>
    <w:multiLevelType w:val="multilevel"/>
    <w:tmpl w:val="55FAE8B0"/>
    <w:lvl w:ilvl="0" w:tentative="0">
      <w:start w:val="1"/>
      <w:numFmt w:val="decimal"/>
      <w:suff w:val="nothing"/>
      <w:lvlText w:val="%1."/>
      <w:lvlJc w:val="left"/>
      <w:pPr>
        <w:tabs>
          <w:tab w:val="left" w:pos="0"/>
        </w:tabs>
        <w:ind w:left="0" w:leftChars="0" w:firstLine="471" w:firstLineChars="0"/>
      </w:pPr>
      <w:rPr>
        <w:rFonts w:hint="default"/>
      </w:rPr>
    </w:lvl>
    <w:lvl w:ilvl="1" w:tentative="0">
      <w:start w:val="1"/>
      <w:numFmt w:val="decimal"/>
      <w:pStyle w:val="88"/>
      <w:suff w:val="nothing"/>
      <w:lvlText w:val="（%2）"/>
      <w:lvlJc w:val="left"/>
      <w:pPr>
        <w:ind w:left="0" w:firstLine="0"/>
      </w:pPr>
      <w:rPr>
        <w:rFonts w:hint="default" w:ascii="宋体" w:hAnsi="宋体" w:eastAsia="宋体" w:cs="宋体"/>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hideSpellingErrors/>
  <w:documentProtection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iNWZjNTA0MmU3YmY3M2RmZGIyZTEyOGZiNzFmYmMifQ=="/>
    <w:docVar w:name="KSO_WPS_MARK_KEY" w:val="62471d3f-be6b-4b28-8ce3-1dd461db4ed7"/>
  </w:docVars>
  <w:rsids>
    <w:rsidRoot w:val="00172A27"/>
    <w:rsid w:val="000D46DA"/>
    <w:rsid w:val="00172A27"/>
    <w:rsid w:val="00180153"/>
    <w:rsid w:val="001A30E3"/>
    <w:rsid w:val="00253569"/>
    <w:rsid w:val="0029445F"/>
    <w:rsid w:val="002B6658"/>
    <w:rsid w:val="00300251"/>
    <w:rsid w:val="00300D94"/>
    <w:rsid w:val="00315AC3"/>
    <w:rsid w:val="00370E77"/>
    <w:rsid w:val="00387AC2"/>
    <w:rsid w:val="003A0914"/>
    <w:rsid w:val="003A13AA"/>
    <w:rsid w:val="00466276"/>
    <w:rsid w:val="0048377D"/>
    <w:rsid w:val="00502AB1"/>
    <w:rsid w:val="00504BF0"/>
    <w:rsid w:val="00514B68"/>
    <w:rsid w:val="00531894"/>
    <w:rsid w:val="00582B1A"/>
    <w:rsid w:val="0061262D"/>
    <w:rsid w:val="006245DA"/>
    <w:rsid w:val="006611ED"/>
    <w:rsid w:val="00705CFC"/>
    <w:rsid w:val="00766F8B"/>
    <w:rsid w:val="007E6788"/>
    <w:rsid w:val="00806CE3"/>
    <w:rsid w:val="008870A6"/>
    <w:rsid w:val="00A035CA"/>
    <w:rsid w:val="00A54AC1"/>
    <w:rsid w:val="00BE065F"/>
    <w:rsid w:val="00BF52BD"/>
    <w:rsid w:val="00C02D52"/>
    <w:rsid w:val="00C614F8"/>
    <w:rsid w:val="00C76C24"/>
    <w:rsid w:val="00D251F9"/>
    <w:rsid w:val="00D63837"/>
    <w:rsid w:val="00DC53B5"/>
    <w:rsid w:val="00DF5D07"/>
    <w:rsid w:val="00E67ECC"/>
    <w:rsid w:val="00E84860"/>
    <w:rsid w:val="00E963E8"/>
    <w:rsid w:val="00EA06D4"/>
    <w:rsid w:val="00EB5A3B"/>
    <w:rsid w:val="00EB694A"/>
    <w:rsid w:val="00ED2D94"/>
    <w:rsid w:val="00EF6B76"/>
    <w:rsid w:val="00F77DA3"/>
    <w:rsid w:val="00F8540D"/>
    <w:rsid w:val="00FA7328"/>
    <w:rsid w:val="00FD0BBD"/>
    <w:rsid w:val="00FD1F10"/>
    <w:rsid w:val="015C3196"/>
    <w:rsid w:val="017D6F03"/>
    <w:rsid w:val="01C012ED"/>
    <w:rsid w:val="01CC7C92"/>
    <w:rsid w:val="01D134FA"/>
    <w:rsid w:val="01F745D3"/>
    <w:rsid w:val="022A7EBA"/>
    <w:rsid w:val="02CA45AD"/>
    <w:rsid w:val="02E25C34"/>
    <w:rsid w:val="0317543A"/>
    <w:rsid w:val="036C573B"/>
    <w:rsid w:val="0376101D"/>
    <w:rsid w:val="03942A31"/>
    <w:rsid w:val="04013E5E"/>
    <w:rsid w:val="0442248D"/>
    <w:rsid w:val="044E2BE0"/>
    <w:rsid w:val="046B3792"/>
    <w:rsid w:val="04CD5F04"/>
    <w:rsid w:val="04CD7FA9"/>
    <w:rsid w:val="05246EB3"/>
    <w:rsid w:val="0540384F"/>
    <w:rsid w:val="054D10EA"/>
    <w:rsid w:val="05551D4C"/>
    <w:rsid w:val="055643F8"/>
    <w:rsid w:val="058362E2"/>
    <w:rsid w:val="059721A8"/>
    <w:rsid w:val="06E65352"/>
    <w:rsid w:val="06F6179A"/>
    <w:rsid w:val="06F757B1"/>
    <w:rsid w:val="070C291F"/>
    <w:rsid w:val="07191755"/>
    <w:rsid w:val="075051A2"/>
    <w:rsid w:val="079B6126"/>
    <w:rsid w:val="07BD1346"/>
    <w:rsid w:val="07FC1B62"/>
    <w:rsid w:val="081E48F8"/>
    <w:rsid w:val="084B79DF"/>
    <w:rsid w:val="086F19A5"/>
    <w:rsid w:val="0882561C"/>
    <w:rsid w:val="08C16076"/>
    <w:rsid w:val="092C4B5A"/>
    <w:rsid w:val="096E678C"/>
    <w:rsid w:val="09B259BF"/>
    <w:rsid w:val="09C134D2"/>
    <w:rsid w:val="09DF42DA"/>
    <w:rsid w:val="09E57B43"/>
    <w:rsid w:val="09FC4E8C"/>
    <w:rsid w:val="0A3F7732"/>
    <w:rsid w:val="0AC43BFC"/>
    <w:rsid w:val="0AE147AE"/>
    <w:rsid w:val="0AE93662"/>
    <w:rsid w:val="0AF43676"/>
    <w:rsid w:val="0B0440BA"/>
    <w:rsid w:val="0B0A3042"/>
    <w:rsid w:val="0B9C7B56"/>
    <w:rsid w:val="0BD3230F"/>
    <w:rsid w:val="0C0813CD"/>
    <w:rsid w:val="0C332F3F"/>
    <w:rsid w:val="0C5B6EF1"/>
    <w:rsid w:val="0C5E598A"/>
    <w:rsid w:val="0C923CD8"/>
    <w:rsid w:val="0CA912FB"/>
    <w:rsid w:val="0CC003F3"/>
    <w:rsid w:val="0CC50889"/>
    <w:rsid w:val="0CCA33CA"/>
    <w:rsid w:val="0D242020"/>
    <w:rsid w:val="0D350107"/>
    <w:rsid w:val="0D6150F6"/>
    <w:rsid w:val="0DF525DE"/>
    <w:rsid w:val="0E0C7856"/>
    <w:rsid w:val="0E40369C"/>
    <w:rsid w:val="0E6C7331"/>
    <w:rsid w:val="0EA149AE"/>
    <w:rsid w:val="0ECA37AB"/>
    <w:rsid w:val="0EE94E88"/>
    <w:rsid w:val="0F181217"/>
    <w:rsid w:val="0F3F6973"/>
    <w:rsid w:val="0F4E06C1"/>
    <w:rsid w:val="0F8B001A"/>
    <w:rsid w:val="0F8B118C"/>
    <w:rsid w:val="0FAB2C71"/>
    <w:rsid w:val="0FB72908"/>
    <w:rsid w:val="0FC60A47"/>
    <w:rsid w:val="10AC1E65"/>
    <w:rsid w:val="10B31987"/>
    <w:rsid w:val="10B753FB"/>
    <w:rsid w:val="10F22B45"/>
    <w:rsid w:val="117229B6"/>
    <w:rsid w:val="118C2F9A"/>
    <w:rsid w:val="11E710E0"/>
    <w:rsid w:val="11EF7427"/>
    <w:rsid w:val="12C0191A"/>
    <w:rsid w:val="132058E6"/>
    <w:rsid w:val="13734411"/>
    <w:rsid w:val="13AA4CA7"/>
    <w:rsid w:val="14301B0C"/>
    <w:rsid w:val="1439429D"/>
    <w:rsid w:val="148631B0"/>
    <w:rsid w:val="14997EA7"/>
    <w:rsid w:val="14AC3F33"/>
    <w:rsid w:val="14AD74AF"/>
    <w:rsid w:val="14F754D2"/>
    <w:rsid w:val="150C20C3"/>
    <w:rsid w:val="15400323"/>
    <w:rsid w:val="154E6D41"/>
    <w:rsid w:val="155C2C83"/>
    <w:rsid w:val="157E0E4B"/>
    <w:rsid w:val="15CA04E8"/>
    <w:rsid w:val="1675224E"/>
    <w:rsid w:val="168C4AD4"/>
    <w:rsid w:val="16E80C72"/>
    <w:rsid w:val="17DC6052"/>
    <w:rsid w:val="1802183E"/>
    <w:rsid w:val="18713C0E"/>
    <w:rsid w:val="188744BB"/>
    <w:rsid w:val="189D00E9"/>
    <w:rsid w:val="18BC6BFE"/>
    <w:rsid w:val="18C379B6"/>
    <w:rsid w:val="18DA7AAE"/>
    <w:rsid w:val="18E22A43"/>
    <w:rsid w:val="19007D4A"/>
    <w:rsid w:val="194D300E"/>
    <w:rsid w:val="196B7938"/>
    <w:rsid w:val="197D1FB1"/>
    <w:rsid w:val="19A52E4A"/>
    <w:rsid w:val="19C036F6"/>
    <w:rsid w:val="19C37306"/>
    <w:rsid w:val="1A1A3838"/>
    <w:rsid w:val="1A1D23FD"/>
    <w:rsid w:val="1A2B77F4"/>
    <w:rsid w:val="1A7016AA"/>
    <w:rsid w:val="1A785352"/>
    <w:rsid w:val="1AA01A05"/>
    <w:rsid w:val="1ACD4AA8"/>
    <w:rsid w:val="1AE201A0"/>
    <w:rsid w:val="1AFD0A64"/>
    <w:rsid w:val="1B0B34BA"/>
    <w:rsid w:val="1B503A40"/>
    <w:rsid w:val="1B94309E"/>
    <w:rsid w:val="1B966EEF"/>
    <w:rsid w:val="1BA013E4"/>
    <w:rsid w:val="1C00041E"/>
    <w:rsid w:val="1C20035E"/>
    <w:rsid w:val="1C4C3304"/>
    <w:rsid w:val="1C504E11"/>
    <w:rsid w:val="1C525167"/>
    <w:rsid w:val="1C6C40F3"/>
    <w:rsid w:val="1C7A6810"/>
    <w:rsid w:val="1CAB40D0"/>
    <w:rsid w:val="1CC527E9"/>
    <w:rsid w:val="1D871C7A"/>
    <w:rsid w:val="1DB72E7F"/>
    <w:rsid w:val="1E366853"/>
    <w:rsid w:val="1E3D7AF5"/>
    <w:rsid w:val="1E632EDD"/>
    <w:rsid w:val="1EA37192"/>
    <w:rsid w:val="1EB422D9"/>
    <w:rsid w:val="1EB6154B"/>
    <w:rsid w:val="1EE937D9"/>
    <w:rsid w:val="1F0C1276"/>
    <w:rsid w:val="1FB81B34"/>
    <w:rsid w:val="1FBC50A6"/>
    <w:rsid w:val="1FCD50DA"/>
    <w:rsid w:val="1FE9242C"/>
    <w:rsid w:val="1FF26985"/>
    <w:rsid w:val="20A1604A"/>
    <w:rsid w:val="20A53730"/>
    <w:rsid w:val="20C4005A"/>
    <w:rsid w:val="215E6D8B"/>
    <w:rsid w:val="21966DD2"/>
    <w:rsid w:val="21C978F2"/>
    <w:rsid w:val="21DB7773"/>
    <w:rsid w:val="21DC7609"/>
    <w:rsid w:val="22004AB9"/>
    <w:rsid w:val="22056B7C"/>
    <w:rsid w:val="220617C6"/>
    <w:rsid w:val="2253324F"/>
    <w:rsid w:val="226C7608"/>
    <w:rsid w:val="22FB7F7F"/>
    <w:rsid w:val="23185398"/>
    <w:rsid w:val="23811808"/>
    <w:rsid w:val="23AF726E"/>
    <w:rsid w:val="23D90A95"/>
    <w:rsid w:val="23E822B1"/>
    <w:rsid w:val="23EE7060"/>
    <w:rsid w:val="246006AB"/>
    <w:rsid w:val="24BB4F64"/>
    <w:rsid w:val="24F923DE"/>
    <w:rsid w:val="25677D49"/>
    <w:rsid w:val="25867FD4"/>
    <w:rsid w:val="25982DA5"/>
    <w:rsid w:val="25A11AA6"/>
    <w:rsid w:val="25AE6A01"/>
    <w:rsid w:val="25BC0BBC"/>
    <w:rsid w:val="25C64B74"/>
    <w:rsid w:val="25D1448D"/>
    <w:rsid w:val="25DE1DB1"/>
    <w:rsid w:val="26156376"/>
    <w:rsid w:val="26655897"/>
    <w:rsid w:val="266653A3"/>
    <w:rsid w:val="266C1B7D"/>
    <w:rsid w:val="266F6CBA"/>
    <w:rsid w:val="26C93209"/>
    <w:rsid w:val="275C590D"/>
    <w:rsid w:val="2762724D"/>
    <w:rsid w:val="278D0EC3"/>
    <w:rsid w:val="27F1149D"/>
    <w:rsid w:val="282824BD"/>
    <w:rsid w:val="28755C86"/>
    <w:rsid w:val="2877656C"/>
    <w:rsid w:val="287C17EA"/>
    <w:rsid w:val="2885273C"/>
    <w:rsid w:val="28BC1A5B"/>
    <w:rsid w:val="28E31AAF"/>
    <w:rsid w:val="29072838"/>
    <w:rsid w:val="29476140"/>
    <w:rsid w:val="294B1328"/>
    <w:rsid w:val="29752090"/>
    <w:rsid w:val="29A273A6"/>
    <w:rsid w:val="29BB5D72"/>
    <w:rsid w:val="2A8B4997"/>
    <w:rsid w:val="2A9949FC"/>
    <w:rsid w:val="2ABA5BD0"/>
    <w:rsid w:val="2AF14141"/>
    <w:rsid w:val="2AFE23BA"/>
    <w:rsid w:val="2B193698"/>
    <w:rsid w:val="2B552C19"/>
    <w:rsid w:val="2BAE6A42"/>
    <w:rsid w:val="2BBB7B12"/>
    <w:rsid w:val="2BCB6C93"/>
    <w:rsid w:val="2C5D4088"/>
    <w:rsid w:val="2CA44FBD"/>
    <w:rsid w:val="2CBF7520"/>
    <w:rsid w:val="2D9069C1"/>
    <w:rsid w:val="2D957A25"/>
    <w:rsid w:val="2E3B5769"/>
    <w:rsid w:val="2E5B7B24"/>
    <w:rsid w:val="2E5F68B6"/>
    <w:rsid w:val="2E81630D"/>
    <w:rsid w:val="2EA212AF"/>
    <w:rsid w:val="2ECD1D61"/>
    <w:rsid w:val="2F17645C"/>
    <w:rsid w:val="300F0E69"/>
    <w:rsid w:val="305A33AF"/>
    <w:rsid w:val="306A4544"/>
    <w:rsid w:val="30843362"/>
    <w:rsid w:val="30AD0B0B"/>
    <w:rsid w:val="30DA5678"/>
    <w:rsid w:val="30E73C30"/>
    <w:rsid w:val="325A6A70"/>
    <w:rsid w:val="3279067C"/>
    <w:rsid w:val="32B404AB"/>
    <w:rsid w:val="32D16607"/>
    <w:rsid w:val="32F860CE"/>
    <w:rsid w:val="334F5BA1"/>
    <w:rsid w:val="33525999"/>
    <w:rsid w:val="33667900"/>
    <w:rsid w:val="337551E4"/>
    <w:rsid w:val="33AE2996"/>
    <w:rsid w:val="33CA5530"/>
    <w:rsid w:val="33D00BC2"/>
    <w:rsid w:val="33F20F2A"/>
    <w:rsid w:val="34545741"/>
    <w:rsid w:val="348C2A22"/>
    <w:rsid w:val="34DD74E5"/>
    <w:rsid w:val="353E6687"/>
    <w:rsid w:val="354C0EC5"/>
    <w:rsid w:val="3554278E"/>
    <w:rsid w:val="35A61FCC"/>
    <w:rsid w:val="3660217B"/>
    <w:rsid w:val="36852378"/>
    <w:rsid w:val="36941E25"/>
    <w:rsid w:val="36B129D7"/>
    <w:rsid w:val="36B204FD"/>
    <w:rsid w:val="36C40F34"/>
    <w:rsid w:val="36C546D4"/>
    <w:rsid w:val="36C721FA"/>
    <w:rsid w:val="36C841D0"/>
    <w:rsid w:val="370369C3"/>
    <w:rsid w:val="37057EE0"/>
    <w:rsid w:val="3724520B"/>
    <w:rsid w:val="3744384B"/>
    <w:rsid w:val="375D0A5B"/>
    <w:rsid w:val="37831746"/>
    <w:rsid w:val="3785665A"/>
    <w:rsid w:val="37DA37FE"/>
    <w:rsid w:val="37E43113"/>
    <w:rsid w:val="37E961A0"/>
    <w:rsid w:val="38480341"/>
    <w:rsid w:val="38853702"/>
    <w:rsid w:val="38A31F2B"/>
    <w:rsid w:val="38F31085"/>
    <w:rsid w:val="392900C5"/>
    <w:rsid w:val="3938118D"/>
    <w:rsid w:val="393F05BD"/>
    <w:rsid w:val="39534219"/>
    <w:rsid w:val="397B76F2"/>
    <w:rsid w:val="39B26B38"/>
    <w:rsid w:val="39CC04EA"/>
    <w:rsid w:val="39E92488"/>
    <w:rsid w:val="39EE5833"/>
    <w:rsid w:val="3A517F0D"/>
    <w:rsid w:val="3AAF6F0B"/>
    <w:rsid w:val="3B4068E3"/>
    <w:rsid w:val="3B4D73A9"/>
    <w:rsid w:val="3B5A5536"/>
    <w:rsid w:val="3B60677A"/>
    <w:rsid w:val="3B7C55FA"/>
    <w:rsid w:val="3BA23CA7"/>
    <w:rsid w:val="3BC71771"/>
    <w:rsid w:val="3C310616"/>
    <w:rsid w:val="3C3B737C"/>
    <w:rsid w:val="3C462BC8"/>
    <w:rsid w:val="3C4931FA"/>
    <w:rsid w:val="3C5E5003"/>
    <w:rsid w:val="3C8B6B92"/>
    <w:rsid w:val="3CB43221"/>
    <w:rsid w:val="3CB936DA"/>
    <w:rsid w:val="3CC52D38"/>
    <w:rsid w:val="3D6C58AA"/>
    <w:rsid w:val="3D8C105C"/>
    <w:rsid w:val="3DD27C09"/>
    <w:rsid w:val="3E4A63DF"/>
    <w:rsid w:val="3E982625"/>
    <w:rsid w:val="3FC3052D"/>
    <w:rsid w:val="3FFB3BF1"/>
    <w:rsid w:val="4000052B"/>
    <w:rsid w:val="40187651"/>
    <w:rsid w:val="40303A6C"/>
    <w:rsid w:val="40713094"/>
    <w:rsid w:val="408829FA"/>
    <w:rsid w:val="40AF442B"/>
    <w:rsid w:val="40D96474"/>
    <w:rsid w:val="40E35E83"/>
    <w:rsid w:val="40F40C4B"/>
    <w:rsid w:val="412C5A7C"/>
    <w:rsid w:val="41431697"/>
    <w:rsid w:val="41B415CD"/>
    <w:rsid w:val="41E4051C"/>
    <w:rsid w:val="420F34D4"/>
    <w:rsid w:val="42331E04"/>
    <w:rsid w:val="42C13A57"/>
    <w:rsid w:val="4323106D"/>
    <w:rsid w:val="432B1321"/>
    <w:rsid w:val="43A90C5F"/>
    <w:rsid w:val="442E42F6"/>
    <w:rsid w:val="44315157"/>
    <w:rsid w:val="443C15AD"/>
    <w:rsid w:val="444C6B71"/>
    <w:rsid w:val="44B7052E"/>
    <w:rsid w:val="44E421C9"/>
    <w:rsid w:val="45343151"/>
    <w:rsid w:val="455E3FC1"/>
    <w:rsid w:val="460C314A"/>
    <w:rsid w:val="46A43DED"/>
    <w:rsid w:val="46FD57C4"/>
    <w:rsid w:val="47431429"/>
    <w:rsid w:val="474D5DD6"/>
    <w:rsid w:val="47AD4CBB"/>
    <w:rsid w:val="47C80E1A"/>
    <w:rsid w:val="48343468"/>
    <w:rsid w:val="48386172"/>
    <w:rsid w:val="4880174D"/>
    <w:rsid w:val="488E10F3"/>
    <w:rsid w:val="48CF27A6"/>
    <w:rsid w:val="49097D64"/>
    <w:rsid w:val="492C4DFB"/>
    <w:rsid w:val="493C1DFE"/>
    <w:rsid w:val="495B3711"/>
    <w:rsid w:val="495D72B2"/>
    <w:rsid w:val="495E4439"/>
    <w:rsid w:val="49706721"/>
    <w:rsid w:val="49EF2003"/>
    <w:rsid w:val="4A11615C"/>
    <w:rsid w:val="4A2305AB"/>
    <w:rsid w:val="4A560159"/>
    <w:rsid w:val="4A831514"/>
    <w:rsid w:val="4B125CAB"/>
    <w:rsid w:val="4B187071"/>
    <w:rsid w:val="4BB607A3"/>
    <w:rsid w:val="4C2331E5"/>
    <w:rsid w:val="4C417F01"/>
    <w:rsid w:val="4C42459B"/>
    <w:rsid w:val="4C5B7215"/>
    <w:rsid w:val="4CD46147"/>
    <w:rsid w:val="4CFA0FB5"/>
    <w:rsid w:val="4D1E2E93"/>
    <w:rsid w:val="4D1F1116"/>
    <w:rsid w:val="4D4B54DB"/>
    <w:rsid w:val="4DCE3A17"/>
    <w:rsid w:val="4DCE5C8F"/>
    <w:rsid w:val="4DD3102D"/>
    <w:rsid w:val="4E1D39E9"/>
    <w:rsid w:val="4E2B682D"/>
    <w:rsid w:val="4E51038C"/>
    <w:rsid w:val="4E571C5E"/>
    <w:rsid w:val="4E852554"/>
    <w:rsid w:val="4EAB52B2"/>
    <w:rsid w:val="4EEC7D84"/>
    <w:rsid w:val="4EF30D1C"/>
    <w:rsid w:val="4F2C30EB"/>
    <w:rsid w:val="4F4A5F2E"/>
    <w:rsid w:val="4F6D79D3"/>
    <w:rsid w:val="4F8E345D"/>
    <w:rsid w:val="4F9F38BD"/>
    <w:rsid w:val="4FAE0225"/>
    <w:rsid w:val="4FE36E5C"/>
    <w:rsid w:val="50377F99"/>
    <w:rsid w:val="50591CBD"/>
    <w:rsid w:val="50664AE5"/>
    <w:rsid w:val="506D4498"/>
    <w:rsid w:val="506D7B72"/>
    <w:rsid w:val="50855EE1"/>
    <w:rsid w:val="50C5119C"/>
    <w:rsid w:val="50DB42B0"/>
    <w:rsid w:val="5128072E"/>
    <w:rsid w:val="51313562"/>
    <w:rsid w:val="513E0EB3"/>
    <w:rsid w:val="515B1A65"/>
    <w:rsid w:val="51E63A25"/>
    <w:rsid w:val="51FC4FF6"/>
    <w:rsid w:val="52C701C3"/>
    <w:rsid w:val="52CC1B65"/>
    <w:rsid w:val="52DE2D34"/>
    <w:rsid w:val="530549C3"/>
    <w:rsid w:val="531518FB"/>
    <w:rsid w:val="532C20E8"/>
    <w:rsid w:val="5340332E"/>
    <w:rsid w:val="5348112D"/>
    <w:rsid w:val="53C5246A"/>
    <w:rsid w:val="544F6A92"/>
    <w:rsid w:val="546B1FBF"/>
    <w:rsid w:val="546F4D1A"/>
    <w:rsid w:val="54871D25"/>
    <w:rsid w:val="548E7F90"/>
    <w:rsid w:val="54A218FB"/>
    <w:rsid w:val="54B41BB8"/>
    <w:rsid w:val="54CC187D"/>
    <w:rsid w:val="54DD73C8"/>
    <w:rsid w:val="550C37A2"/>
    <w:rsid w:val="553C29B5"/>
    <w:rsid w:val="55747F23"/>
    <w:rsid w:val="55757FC6"/>
    <w:rsid w:val="55D47958"/>
    <w:rsid w:val="55DD4ACE"/>
    <w:rsid w:val="561346BC"/>
    <w:rsid w:val="569E373E"/>
    <w:rsid w:val="56D616B2"/>
    <w:rsid w:val="571C09A0"/>
    <w:rsid w:val="576B5385"/>
    <w:rsid w:val="57FA261C"/>
    <w:rsid w:val="58597EAB"/>
    <w:rsid w:val="588F6E1D"/>
    <w:rsid w:val="589D1E8A"/>
    <w:rsid w:val="589E77B5"/>
    <w:rsid w:val="58C47EF0"/>
    <w:rsid w:val="58E22970"/>
    <w:rsid w:val="595927A5"/>
    <w:rsid w:val="59837DAB"/>
    <w:rsid w:val="5A8137A1"/>
    <w:rsid w:val="5A8461AA"/>
    <w:rsid w:val="5A9E4BC8"/>
    <w:rsid w:val="5AAF6BE7"/>
    <w:rsid w:val="5ABB5A9D"/>
    <w:rsid w:val="5B1C114C"/>
    <w:rsid w:val="5B6D39A4"/>
    <w:rsid w:val="5B715ABC"/>
    <w:rsid w:val="5C0936C7"/>
    <w:rsid w:val="5C201DAC"/>
    <w:rsid w:val="5C7A502B"/>
    <w:rsid w:val="5CA430D0"/>
    <w:rsid w:val="5CD064C3"/>
    <w:rsid w:val="5D4F246B"/>
    <w:rsid w:val="5D63417B"/>
    <w:rsid w:val="5D6F5686"/>
    <w:rsid w:val="5DAA707A"/>
    <w:rsid w:val="5DAC5ED4"/>
    <w:rsid w:val="5E4D6021"/>
    <w:rsid w:val="5E617BC4"/>
    <w:rsid w:val="5E844DCA"/>
    <w:rsid w:val="5EA44A4C"/>
    <w:rsid w:val="5F275ED7"/>
    <w:rsid w:val="5F7B6F73"/>
    <w:rsid w:val="5FDC0C93"/>
    <w:rsid w:val="5FED639A"/>
    <w:rsid w:val="603C295B"/>
    <w:rsid w:val="60770BD3"/>
    <w:rsid w:val="60C70EC5"/>
    <w:rsid w:val="60E94998"/>
    <w:rsid w:val="61176DF4"/>
    <w:rsid w:val="613A5950"/>
    <w:rsid w:val="61B61332"/>
    <w:rsid w:val="61B76FCA"/>
    <w:rsid w:val="61F07923"/>
    <w:rsid w:val="61F62110"/>
    <w:rsid w:val="62810B91"/>
    <w:rsid w:val="62B45479"/>
    <w:rsid w:val="63090273"/>
    <w:rsid w:val="630F5B74"/>
    <w:rsid w:val="632048BD"/>
    <w:rsid w:val="635268F9"/>
    <w:rsid w:val="63660D4B"/>
    <w:rsid w:val="637A5D7B"/>
    <w:rsid w:val="640B5EC9"/>
    <w:rsid w:val="641212E0"/>
    <w:rsid w:val="644E4728"/>
    <w:rsid w:val="645A1743"/>
    <w:rsid w:val="645E569D"/>
    <w:rsid w:val="64721D8E"/>
    <w:rsid w:val="650D247E"/>
    <w:rsid w:val="660432BE"/>
    <w:rsid w:val="66591C0D"/>
    <w:rsid w:val="66883127"/>
    <w:rsid w:val="67050051"/>
    <w:rsid w:val="67283FFA"/>
    <w:rsid w:val="672C3830"/>
    <w:rsid w:val="6732696D"/>
    <w:rsid w:val="6759039D"/>
    <w:rsid w:val="679909C4"/>
    <w:rsid w:val="67A23AF2"/>
    <w:rsid w:val="67DA328C"/>
    <w:rsid w:val="67DB0DB2"/>
    <w:rsid w:val="67DF08A2"/>
    <w:rsid w:val="67E171D3"/>
    <w:rsid w:val="685748DD"/>
    <w:rsid w:val="6885769C"/>
    <w:rsid w:val="68A54114"/>
    <w:rsid w:val="68CF4DBB"/>
    <w:rsid w:val="69161177"/>
    <w:rsid w:val="69291CD5"/>
    <w:rsid w:val="696E342C"/>
    <w:rsid w:val="6A453ABC"/>
    <w:rsid w:val="6A4D2591"/>
    <w:rsid w:val="6B38078C"/>
    <w:rsid w:val="6B8444E3"/>
    <w:rsid w:val="6BA047ED"/>
    <w:rsid w:val="6BCB0276"/>
    <w:rsid w:val="6BD6158B"/>
    <w:rsid w:val="6BF568E6"/>
    <w:rsid w:val="6C6F3455"/>
    <w:rsid w:val="6C80161C"/>
    <w:rsid w:val="6C822BB7"/>
    <w:rsid w:val="6CE60241"/>
    <w:rsid w:val="6CEB1EA9"/>
    <w:rsid w:val="6CFA1442"/>
    <w:rsid w:val="6CFA6474"/>
    <w:rsid w:val="6CFC1ABA"/>
    <w:rsid w:val="6D2C618C"/>
    <w:rsid w:val="6DA22033"/>
    <w:rsid w:val="6DB2511E"/>
    <w:rsid w:val="6DBB6C35"/>
    <w:rsid w:val="6E0D72FF"/>
    <w:rsid w:val="6E1B45FE"/>
    <w:rsid w:val="6E2455C4"/>
    <w:rsid w:val="6E2778EF"/>
    <w:rsid w:val="6E425E39"/>
    <w:rsid w:val="6E942F90"/>
    <w:rsid w:val="6EFE4091"/>
    <w:rsid w:val="6F641F6D"/>
    <w:rsid w:val="6F6B2FD3"/>
    <w:rsid w:val="6FC30AAA"/>
    <w:rsid w:val="700C082F"/>
    <w:rsid w:val="70293003"/>
    <w:rsid w:val="704B11CB"/>
    <w:rsid w:val="709366CE"/>
    <w:rsid w:val="709E615C"/>
    <w:rsid w:val="70B17AA2"/>
    <w:rsid w:val="70D34D1C"/>
    <w:rsid w:val="70D9000B"/>
    <w:rsid w:val="712B63B7"/>
    <w:rsid w:val="71535581"/>
    <w:rsid w:val="7161057A"/>
    <w:rsid w:val="72256827"/>
    <w:rsid w:val="722F294A"/>
    <w:rsid w:val="727073F5"/>
    <w:rsid w:val="72916C3D"/>
    <w:rsid w:val="72D4034D"/>
    <w:rsid w:val="72FC2AC1"/>
    <w:rsid w:val="730579C3"/>
    <w:rsid w:val="734B3290"/>
    <w:rsid w:val="736875C8"/>
    <w:rsid w:val="73905147"/>
    <w:rsid w:val="73A34E7A"/>
    <w:rsid w:val="73A429A0"/>
    <w:rsid w:val="741865E9"/>
    <w:rsid w:val="741B2672"/>
    <w:rsid w:val="74D51D64"/>
    <w:rsid w:val="74E852EE"/>
    <w:rsid w:val="75050D66"/>
    <w:rsid w:val="750E0F94"/>
    <w:rsid w:val="75412B9C"/>
    <w:rsid w:val="757A60AE"/>
    <w:rsid w:val="7589387E"/>
    <w:rsid w:val="75B36AB3"/>
    <w:rsid w:val="75BB7786"/>
    <w:rsid w:val="75EA0A52"/>
    <w:rsid w:val="75FE1251"/>
    <w:rsid w:val="760503EB"/>
    <w:rsid w:val="760616F0"/>
    <w:rsid w:val="7608105E"/>
    <w:rsid w:val="76402479"/>
    <w:rsid w:val="766468EE"/>
    <w:rsid w:val="766A1E62"/>
    <w:rsid w:val="768B1651"/>
    <w:rsid w:val="768B4960"/>
    <w:rsid w:val="76975B93"/>
    <w:rsid w:val="76AC6A07"/>
    <w:rsid w:val="77310527"/>
    <w:rsid w:val="774B6963"/>
    <w:rsid w:val="7757262E"/>
    <w:rsid w:val="7758241F"/>
    <w:rsid w:val="77D53B2E"/>
    <w:rsid w:val="77E43CB3"/>
    <w:rsid w:val="78E026CC"/>
    <w:rsid w:val="79650385"/>
    <w:rsid w:val="799244C2"/>
    <w:rsid w:val="7A275271"/>
    <w:rsid w:val="7A2B2283"/>
    <w:rsid w:val="7A684727"/>
    <w:rsid w:val="7ACD0E02"/>
    <w:rsid w:val="7AD17474"/>
    <w:rsid w:val="7B084A14"/>
    <w:rsid w:val="7B2B5EB2"/>
    <w:rsid w:val="7B3938A7"/>
    <w:rsid w:val="7B916DED"/>
    <w:rsid w:val="7B98702C"/>
    <w:rsid w:val="7BC77B74"/>
    <w:rsid w:val="7BF54F5E"/>
    <w:rsid w:val="7C0349B8"/>
    <w:rsid w:val="7C1103AD"/>
    <w:rsid w:val="7C18415B"/>
    <w:rsid w:val="7C9F2776"/>
    <w:rsid w:val="7D05721D"/>
    <w:rsid w:val="7D0746CC"/>
    <w:rsid w:val="7D3B6123"/>
    <w:rsid w:val="7D3E7AF5"/>
    <w:rsid w:val="7D75060F"/>
    <w:rsid w:val="7DC77285"/>
    <w:rsid w:val="7E3905EA"/>
    <w:rsid w:val="7E6E7FBE"/>
    <w:rsid w:val="7EAF0BA8"/>
    <w:rsid w:val="7EC53B99"/>
    <w:rsid w:val="7EEC5E71"/>
    <w:rsid w:val="7EEF29B5"/>
    <w:rsid w:val="7FC011E7"/>
    <w:rsid w:val="7FDB6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9"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iPriority="99"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qFormat/>
    <w:uiPriority w:val="1"/>
    <w:pPr>
      <w:ind w:left="1098"/>
      <w:outlineLvl w:val="1"/>
    </w:pPr>
    <w:rPr>
      <w:rFonts w:ascii="宋体" w:hAnsi="宋体" w:cs="宋体"/>
      <w:b/>
      <w:bCs/>
      <w:lang w:val="zh-CN" w:bidi="zh-CN"/>
    </w:rPr>
  </w:style>
  <w:style w:type="paragraph" w:styleId="2">
    <w:name w:val="heading 3"/>
    <w:basedOn w:val="1"/>
    <w:next w:val="1"/>
    <w:qFormat/>
    <w:uiPriority w:val="9"/>
    <w:pPr>
      <w:keepNext/>
      <w:keepLines/>
      <w:ind w:firstLine="0" w:firstLineChars="0"/>
      <w:outlineLvl w:val="2"/>
    </w:pPr>
    <w:rPr>
      <w:b/>
      <w:bCs/>
      <w:kern w:val="0"/>
      <w:szCs w:val="32"/>
    </w:rPr>
  </w:style>
  <w:style w:type="paragraph" w:styleId="5">
    <w:name w:val="heading 4"/>
    <w:basedOn w:val="1"/>
    <w:next w:val="1"/>
    <w:qFormat/>
    <w:uiPriority w:val="99"/>
    <w:pPr>
      <w:keepNext/>
      <w:keepLines/>
      <w:spacing w:before="280" w:after="290" w:line="376" w:lineRule="auto"/>
      <w:outlineLvl w:val="3"/>
    </w:pPr>
    <w:rPr>
      <w:rFonts w:ascii="Cambria" w:hAnsi="Cambria"/>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qFormat/>
    <w:uiPriority w:val="0"/>
    <w:pPr>
      <w:widowControl/>
      <w:adjustRightInd w:val="0"/>
      <w:ind w:firstLine="420"/>
      <w:jc w:val="left"/>
      <w:textAlignment w:val="baseline"/>
    </w:pPr>
    <w:rPr>
      <w:rFonts w:ascii="Calibri" w:hAnsi="Calibri"/>
      <w:kern w:val="0"/>
      <w:szCs w:val="20"/>
      <w:lang w:eastAsia="en-US" w:bidi="en-US"/>
    </w:rPr>
  </w:style>
  <w:style w:type="paragraph" w:styleId="7">
    <w:name w:val="caption"/>
    <w:basedOn w:val="8"/>
    <w:next w:val="1"/>
    <w:unhideWhenUsed/>
    <w:qFormat/>
    <w:uiPriority w:val="0"/>
    <w:pPr>
      <w:jc w:val="center"/>
      <w:outlineLvl w:val="5"/>
    </w:pPr>
    <w:rPr>
      <w:b/>
    </w:rPr>
  </w:style>
  <w:style w:type="paragraph" w:styleId="8">
    <w:name w:val="Plain Text"/>
    <w:basedOn w:val="1"/>
    <w:qFormat/>
    <w:uiPriority w:val="0"/>
    <w:rPr>
      <w:rFonts w:ascii="宋体" w:hAnsi="Courier New"/>
      <w:sz w:val="20"/>
      <w:szCs w:val="20"/>
    </w:rPr>
  </w:style>
  <w:style w:type="paragraph" w:styleId="9">
    <w:name w:val="annotation text"/>
    <w:basedOn w:val="1"/>
    <w:link w:val="80"/>
    <w:qFormat/>
    <w:uiPriority w:val="0"/>
    <w:pPr>
      <w:jc w:val="left"/>
    </w:pPr>
  </w:style>
  <w:style w:type="paragraph" w:styleId="10">
    <w:name w:val="Body Text"/>
    <w:basedOn w:val="1"/>
    <w:qFormat/>
    <w:uiPriority w:val="0"/>
    <w:pPr>
      <w:widowControl/>
      <w:snapToGrid w:val="0"/>
      <w:spacing w:before="60" w:after="160" w:line="259" w:lineRule="auto"/>
      <w:ind w:right="113"/>
    </w:pPr>
    <w:rPr>
      <w:kern w:val="0"/>
      <w:sz w:val="18"/>
      <w:szCs w:val="18"/>
    </w:rPr>
  </w:style>
  <w:style w:type="paragraph" w:styleId="11">
    <w:name w:val="Body Text Indent"/>
    <w:basedOn w:val="1"/>
    <w:qFormat/>
    <w:uiPriority w:val="0"/>
    <w:pPr>
      <w:spacing w:after="120"/>
      <w:ind w:left="420" w:leftChars="200"/>
    </w:pPr>
  </w:style>
  <w:style w:type="paragraph" w:styleId="12">
    <w:name w:val="List Bullet 5"/>
    <w:basedOn w:val="1"/>
    <w:qFormat/>
    <w:uiPriority w:val="0"/>
    <w:pPr>
      <w:numPr>
        <w:ilvl w:val="0"/>
        <w:numId w:val="1"/>
      </w:numPr>
    </w:pPr>
  </w:style>
  <w:style w:type="paragraph" w:styleId="13">
    <w:name w:val="Balloon Text"/>
    <w:basedOn w:val="1"/>
    <w:link w:val="82"/>
    <w:qFormat/>
    <w:uiPriority w:val="0"/>
    <w:pPr>
      <w:spacing w:line="240" w:lineRule="auto"/>
    </w:pPr>
    <w:rPr>
      <w:sz w:val="18"/>
      <w:szCs w:val="18"/>
    </w:rPr>
  </w:style>
  <w:style w:type="paragraph" w:styleId="14">
    <w:name w:val="footer"/>
    <w:basedOn w:val="1"/>
    <w:next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6">
    <w:name w:val="Signature"/>
    <w:basedOn w:val="1"/>
    <w:unhideWhenUsed/>
    <w:qFormat/>
    <w:uiPriority w:val="99"/>
    <w:pPr>
      <w:ind w:left="100" w:leftChars="2100"/>
    </w:pPr>
    <w:rPr>
      <w:sz w:val="21"/>
    </w:rPr>
  </w:style>
  <w:style w:type="paragraph" w:styleId="17">
    <w:name w:val="toc 1"/>
    <w:basedOn w:val="1"/>
    <w:next w:val="1"/>
    <w:qFormat/>
    <w:uiPriority w:val="0"/>
  </w:style>
  <w:style w:type="paragraph" w:styleId="18">
    <w:name w:val="List Continue 4"/>
    <w:basedOn w:val="1"/>
    <w:next w:val="1"/>
    <w:qFormat/>
    <w:uiPriority w:val="0"/>
    <w:pPr>
      <w:widowControl w:val="0"/>
      <w:autoSpaceDE/>
      <w:autoSpaceDN/>
      <w:spacing w:before="0" w:after="120" w:line="360" w:lineRule="auto"/>
      <w:ind w:left="0" w:firstLine="480"/>
      <w:jc w:val="center"/>
    </w:pPr>
    <w:rPr>
      <w:rFonts w:ascii="宋体" w:hAnsi="宋体" w:eastAsia="宋体"/>
    </w:rPr>
  </w:style>
  <w:style w:type="paragraph" w:styleId="19">
    <w:name w:val="List"/>
    <w:basedOn w:val="1"/>
    <w:next w:val="1"/>
    <w:unhideWhenUsed/>
    <w:qFormat/>
    <w:uiPriority w:val="99"/>
    <w:pPr>
      <w:ind w:left="200" w:hanging="200" w:hangingChars="200"/>
      <w:contextualSpacing/>
    </w:pPr>
  </w:style>
  <w:style w:type="paragraph" w:styleId="20">
    <w:name w:val="toc 2"/>
    <w:basedOn w:val="1"/>
    <w:next w:val="1"/>
    <w:unhideWhenUsed/>
    <w:qFormat/>
    <w:uiPriority w:val="39"/>
    <w:pPr>
      <w:tabs>
        <w:tab w:val="right" w:leader="dot" w:pos="9060"/>
      </w:tabs>
      <w:autoSpaceDE w:val="0"/>
      <w:autoSpaceDN w:val="0"/>
      <w:ind w:left="221"/>
    </w:pPr>
    <w:rPr>
      <w:rFonts w:cs="宋体"/>
      <w:smallCaps/>
      <w:kern w:val="0"/>
      <w:lang w:val="zh-CN" w:bidi="zh-CN"/>
    </w:rPr>
  </w:style>
  <w:style w:type="paragraph" w:styleId="21">
    <w:name w:val="Body Text 2"/>
    <w:basedOn w:val="1"/>
    <w:qFormat/>
    <w:uiPriority w:val="0"/>
    <w:pPr>
      <w:spacing w:after="120" w:line="480" w:lineRule="auto"/>
    </w:pPr>
    <w:rPr>
      <w:rFonts w:eastAsia="仿宋_GB2312"/>
    </w:rPr>
  </w:style>
  <w:style w:type="paragraph" w:styleId="22">
    <w:name w:val="Normal (Web)"/>
    <w:basedOn w:val="1"/>
    <w:qFormat/>
    <w:uiPriority w:val="0"/>
    <w:pPr>
      <w:widowControl/>
      <w:spacing w:before="100" w:beforeAutospacing="1" w:after="100" w:afterAutospacing="1"/>
      <w:jc w:val="left"/>
    </w:pPr>
    <w:rPr>
      <w:rFonts w:ascii="宋体" w:hAnsi="宋体"/>
      <w:kern w:val="0"/>
    </w:rPr>
  </w:style>
  <w:style w:type="paragraph" w:styleId="23">
    <w:name w:val="annotation subject"/>
    <w:basedOn w:val="9"/>
    <w:next w:val="9"/>
    <w:link w:val="81"/>
    <w:qFormat/>
    <w:uiPriority w:val="0"/>
    <w:rPr>
      <w:b/>
      <w:bCs/>
    </w:rPr>
  </w:style>
  <w:style w:type="paragraph" w:styleId="24">
    <w:name w:val="Body Text First Indent"/>
    <w:basedOn w:val="10"/>
    <w:next w:val="25"/>
    <w:qFormat/>
    <w:uiPriority w:val="0"/>
    <w:pPr>
      <w:adjustRightInd w:val="0"/>
      <w:spacing w:line="360" w:lineRule="auto"/>
      <w:ind w:firstLine="454"/>
      <w:textAlignment w:val="baseline"/>
    </w:pPr>
    <w:rPr>
      <w:kern w:val="0"/>
      <w:sz w:val="24"/>
    </w:rPr>
  </w:style>
  <w:style w:type="paragraph" w:customStyle="1" w:styleId="25">
    <w:name w:val="样式 正文首行缩进 + 四号 首行缩进:  1 字符 Char"/>
    <w:basedOn w:val="1"/>
    <w:next w:val="1"/>
    <w:qFormat/>
    <w:uiPriority w:val="0"/>
    <w:pPr>
      <w:snapToGrid w:val="0"/>
      <w:spacing w:line="360" w:lineRule="auto"/>
      <w:ind w:firstLine="600" w:firstLineChars="200"/>
      <w:jc w:val="left"/>
    </w:pPr>
    <w:rPr>
      <w:rFonts w:ascii="仿宋_GB2312" w:eastAsia="仿宋_GB2312" w:cs="宋体"/>
      <w:kern w:val="0"/>
      <w:sz w:val="30"/>
      <w:szCs w:val="30"/>
    </w:rPr>
  </w:style>
  <w:style w:type="paragraph" w:styleId="26">
    <w:name w:val="Body Text First Indent 2"/>
    <w:basedOn w:val="11"/>
    <w:next w:val="18"/>
    <w:qFormat/>
    <w:uiPriority w:val="0"/>
    <w:pPr>
      <w:ind w:firstLine="420" w:firstLineChars="200"/>
    </w:pPr>
    <w:rPr>
      <w:sz w:val="28"/>
      <w:szCs w:val="28"/>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basedOn w:val="29"/>
    <w:qFormat/>
    <w:uiPriority w:val="0"/>
    <w:rPr>
      <w:color w:val="0000FF"/>
      <w:u w:val="single"/>
    </w:rPr>
  </w:style>
  <w:style w:type="character" w:styleId="33">
    <w:name w:val="annotation reference"/>
    <w:basedOn w:val="29"/>
    <w:qFormat/>
    <w:uiPriority w:val="0"/>
    <w:rPr>
      <w:sz w:val="21"/>
      <w:szCs w:val="21"/>
    </w:rPr>
  </w:style>
  <w:style w:type="paragraph" w:customStyle="1" w:styleId="34">
    <w:name w:val="Char"/>
    <w:basedOn w:val="1"/>
    <w:next w:val="1"/>
    <w:qFormat/>
    <w:uiPriority w:val="0"/>
    <w:rPr>
      <w:rFonts w:ascii="Arial" w:hAnsi="Arial" w:eastAsia="黑体"/>
      <w:b/>
      <w:sz w:val="28"/>
    </w:rPr>
  </w:style>
  <w:style w:type="paragraph" w:customStyle="1" w:styleId="35">
    <w:name w:val="表头"/>
    <w:basedOn w:val="36"/>
    <w:next w:val="1"/>
    <w:qFormat/>
    <w:uiPriority w:val="0"/>
    <w:pPr>
      <w:snapToGrid w:val="0"/>
      <w:spacing w:line="400" w:lineRule="atLeast"/>
    </w:pPr>
    <w:rPr>
      <w:rFonts w:ascii="黑体" w:hAnsi="黑体" w:eastAsia="黑体"/>
      <w:kern w:val="0"/>
      <w:szCs w:val="20"/>
    </w:rPr>
  </w:style>
  <w:style w:type="paragraph" w:customStyle="1" w:styleId="36">
    <w:name w:val="表外"/>
    <w:basedOn w:val="1"/>
    <w:qFormat/>
    <w:uiPriority w:val="0"/>
    <w:rPr>
      <w:b/>
      <w:sz w:val="32"/>
    </w:rPr>
  </w:style>
  <w:style w:type="paragraph" w:customStyle="1" w:styleId="37">
    <w:name w:val="默认段落"/>
    <w:basedOn w:val="1"/>
    <w:qFormat/>
    <w:uiPriority w:val="0"/>
    <w:rPr>
      <w:rFonts w:ascii="Calibri" w:hAnsi="Calibri"/>
    </w:rPr>
  </w:style>
  <w:style w:type="paragraph" w:customStyle="1" w:styleId="38">
    <w:name w:val="Default"/>
    <w:basedOn w:val="39"/>
    <w:next w:val="1"/>
    <w:qFormat/>
    <w:uiPriority w:val="0"/>
    <w:pPr>
      <w:adjustRightInd w:val="0"/>
    </w:pPr>
    <w:rPr>
      <w:rFonts w:ascii="楷体_GB2312" w:eastAsia="楷体_GB2312"/>
      <w:color w:val="000000"/>
      <w:sz w:val="24"/>
      <w:lang w:val="en-US" w:bidi="ar-SA"/>
    </w:rPr>
  </w:style>
  <w:style w:type="paragraph" w:customStyle="1" w:styleId="39">
    <w:name w:val="1 表头"/>
    <w:basedOn w:val="1"/>
    <w:autoRedefine/>
    <w:qFormat/>
    <w:uiPriority w:val="0"/>
    <w:pPr>
      <w:spacing w:line="240" w:lineRule="auto"/>
      <w:ind w:firstLine="0" w:firstLineChars="0"/>
      <w:jc w:val="center"/>
    </w:pPr>
    <w:rPr>
      <w:b/>
      <w:color w:val="000000"/>
      <w:sz w:val="21"/>
      <w:szCs w:val="21"/>
    </w:rPr>
  </w:style>
  <w:style w:type="paragraph" w:styleId="40">
    <w:name w:val="No Spacing"/>
    <w:qFormat/>
    <w:uiPriority w:val="99"/>
    <w:pPr>
      <w:widowControl w:val="0"/>
      <w:autoSpaceDE w:val="0"/>
      <w:autoSpaceDN w:val="0"/>
    </w:pPr>
    <w:rPr>
      <w:rFonts w:ascii="宋体" w:hAnsi="宋体" w:eastAsia="宋体" w:cs="宋体"/>
      <w:sz w:val="22"/>
      <w:szCs w:val="22"/>
      <w:lang w:val="zh-CN" w:eastAsia="zh-CN" w:bidi="zh-CN"/>
    </w:rPr>
  </w:style>
  <w:style w:type="paragraph" w:customStyle="1" w:styleId="41">
    <w:name w:val="11111"/>
    <w:basedOn w:val="1"/>
    <w:next w:val="1"/>
    <w:qFormat/>
    <w:uiPriority w:val="0"/>
    <w:rPr>
      <w:rFonts w:hAnsi="宋体"/>
    </w:rPr>
  </w:style>
  <w:style w:type="paragraph" w:customStyle="1" w:styleId="42">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43">
    <w:name w:val="Char Char Char Char Char Char Char Char Char1 Char"/>
    <w:basedOn w:val="1"/>
    <w:qFormat/>
    <w:uiPriority w:val="0"/>
    <w:pPr>
      <w:spacing w:line="360" w:lineRule="auto"/>
      <w:ind w:firstLine="200" w:firstLineChars="200"/>
    </w:pPr>
    <w:rPr>
      <w:rFonts w:hAnsi="宋体" w:cs="宋体"/>
    </w:rPr>
  </w:style>
  <w:style w:type="paragraph" w:customStyle="1" w:styleId="44">
    <w:name w:val="正文缩进1"/>
    <w:basedOn w:val="1"/>
    <w:qFormat/>
    <w:uiPriority w:val="0"/>
    <w:pPr>
      <w:ind w:firstLine="420" w:firstLineChars="200"/>
    </w:pPr>
    <w:rPr>
      <w:rFonts w:ascii="宋体" w:hAnsi="宋体" w:cs="黑体"/>
      <w:szCs w:val="22"/>
    </w:rPr>
  </w:style>
  <w:style w:type="paragraph" w:customStyle="1" w:styleId="45">
    <w:name w:val="表格"/>
    <w:basedOn w:val="19"/>
    <w:next w:val="6"/>
    <w:qFormat/>
    <w:uiPriority w:val="0"/>
    <w:pPr>
      <w:adjustRightInd w:val="0"/>
      <w:snapToGrid w:val="0"/>
      <w:spacing w:beforeLines="10" w:afterLines="10" w:line="259" w:lineRule="auto"/>
      <w:jc w:val="center"/>
    </w:pPr>
    <w:rPr>
      <w:rFonts w:ascii="宋体"/>
      <w:kern w:val="0"/>
      <w:sz w:val="20"/>
      <w:szCs w:val="21"/>
    </w:rPr>
  </w:style>
  <w:style w:type="paragraph" w:customStyle="1" w:styleId="46">
    <w:name w:val="样式 正文缩进s4标题4表正文正文非缩进图标题段1Body Text(ch)缩进ALT+Z特点四号正文不...3"/>
    <w:basedOn w:val="6"/>
    <w:qFormat/>
    <w:uiPriority w:val="0"/>
    <w:pPr>
      <w:ind w:firstLine="200"/>
    </w:pPr>
    <w:rPr>
      <w:rFonts w:ascii="宋体" w:eastAsia="仿宋_GB2312" w:cs="宋体"/>
    </w:rPr>
  </w:style>
  <w:style w:type="character" w:customStyle="1" w:styleId="47">
    <w:name w:val="样式 正文缩进s4标题4表正文正文非缩进图标题段1Body Text(ch)缩进ALT+Z特点四号正文不...2 Char"/>
    <w:link w:val="48"/>
    <w:qFormat/>
    <w:locked/>
    <w:uiPriority w:val="0"/>
    <w:rPr>
      <w:rFonts w:ascii="宋体" w:hAnsi="宋体" w:eastAsia="仿宋_GB2312"/>
      <w:kern w:val="0"/>
      <w:sz w:val="24"/>
      <w:szCs w:val="20"/>
    </w:rPr>
  </w:style>
  <w:style w:type="paragraph" w:customStyle="1" w:styleId="48">
    <w:name w:val="样式 正文缩进s4标题4表正文正文非缩进图标题段1Body Text(ch)缩进ALT+Z特点四号正文不...2"/>
    <w:basedOn w:val="6"/>
    <w:link w:val="47"/>
    <w:qFormat/>
    <w:uiPriority w:val="0"/>
    <w:pPr>
      <w:ind w:firstLine="200"/>
    </w:pPr>
    <w:rPr>
      <w:rFonts w:ascii="宋体" w:hAnsi="宋体" w:eastAsia="仿宋_GB2312"/>
    </w:rPr>
  </w:style>
  <w:style w:type="paragraph" w:customStyle="1" w:styleId="49">
    <w:name w:val="样式 样式 正文缩进s4标题4表正文正文非缩进图标题段1Body Text(ch)缩进ALT+Z特点四号正文不... + 首行缩..."/>
    <w:basedOn w:val="1"/>
    <w:qFormat/>
    <w:uiPriority w:val="0"/>
    <w:pPr>
      <w:ind w:firstLine="480" w:firstLineChars="200"/>
    </w:pPr>
    <w:rPr>
      <w:rFonts w:ascii="宋体" w:hAnsi="宋体" w:eastAsia="仿宋_GB2312" w:cs="宋体"/>
      <w:kern w:val="0"/>
      <w:szCs w:val="20"/>
    </w:rPr>
  </w:style>
  <w:style w:type="paragraph" w:customStyle="1" w:styleId="50">
    <w:name w:val="样式 正文缩进s4标题4表正文正文非缩进图标题段1Body Text(ch)缩进ALT+Z特点四号正文不...1"/>
    <w:basedOn w:val="6"/>
    <w:qFormat/>
    <w:uiPriority w:val="0"/>
    <w:pPr>
      <w:ind w:firstLine="840" w:firstLineChars="400"/>
    </w:pPr>
    <w:rPr>
      <w:rFonts w:ascii="宋体" w:hAnsi="宋体" w:eastAsia="仿宋_GB2312" w:cs="宋体"/>
    </w:rPr>
  </w:style>
  <w:style w:type="paragraph" w:customStyle="1" w:styleId="51">
    <w:name w:val="表格内"/>
    <w:basedOn w:val="1"/>
    <w:qFormat/>
    <w:uiPriority w:val="0"/>
    <w:pPr>
      <w:widowControl/>
      <w:adjustRightInd w:val="0"/>
      <w:snapToGrid w:val="0"/>
      <w:spacing w:after="200" w:line="360" w:lineRule="exact"/>
      <w:jc w:val="center"/>
    </w:pPr>
    <w:rPr>
      <w:rFonts w:eastAsia="微软雅黑"/>
      <w:snapToGrid w:val="0"/>
      <w:kern w:val="0"/>
      <w:sz w:val="22"/>
      <w:szCs w:val="21"/>
    </w:rPr>
  </w:style>
  <w:style w:type="paragraph" w:customStyle="1" w:styleId="52">
    <w:name w:val="样式 首行缩进:  2 字符1"/>
    <w:basedOn w:val="1"/>
    <w:qFormat/>
    <w:uiPriority w:val="0"/>
    <w:pPr>
      <w:adjustRightInd w:val="0"/>
      <w:snapToGrid w:val="0"/>
      <w:spacing w:line="360" w:lineRule="auto"/>
      <w:ind w:firstLine="480" w:firstLineChars="200"/>
    </w:pPr>
    <w:rPr>
      <w:rFonts w:cs="宋体"/>
    </w:rPr>
  </w:style>
  <w:style w:type="paragraph" w:customStyle="1" w:styleId="53">
    <w:name w:val="aaa正文"/>
    <w:basedOn w:val="1"/>
    <w:qFormat/>
    <w:uiPriority w:val="99"/>
    <w:pPr>
      <w:ind w:firstLine="200" w:firstLineChars="200"/>
    </w:pPr>
    <w:rPr>
      <w:kern w:val="0"/>
      <w:szCs w:val="20"/>
    </w:rPr>
  </w:style>
  <w:style w:type="paragraph" w:customStyle="1" w:styleId="54">
    <w:name w:val="报告书正文"/>
    <w:qFormat/>
    <w:uiPriority w:val="0"/>
    <w:pPr>
      <w:widowControl w:val="0"/>
      <w:autoSpaceDE w:val="0"/>
      <w:autoSpaceDN w:val="0"/>
      <w:spacing w:line="520" w:lineRule="exact"/>
      <w:ind w:firstLine="200" w:firstLineChars="200"/>
      <w:jc w:val="both"/>
    </w:pPr>
    <w:rPr>
      <w:rFonts w:ascii="Calibri" w:hAnsi="Calibri" w:eastAsia="宋体" w:cs="Times New Roman"/>
      <w:kern w:val="2"/>
      <w:sz w:val="28"/>
      <w:szCs w:val="28"/>
      <w:lang w:val="en-US" w:eastAsia="zh-CN" w:bidi="ar-SA"/>
    </w:rPr>
  </w:style>
  <w:style w:type="paragraph" w:customStyle="1" w:styleId="55">
    <w:name w:val="D正文"/>
    <w:qFormat/>
    <w:uiPriority w:val="0"/>
    <w:pPr>
      <w:widowControl w:val="0"/>
      <w:spacing w:line="360" w:lineRule="auto"/>
      <w:ind w:firstLine="200" w:firstLineChars="200"/>
      <w:jc w:val="both"/>
    </w:pPr>
    <w:rPr>
      <w:rFonts w:ascii="Calibri" w:hAnsi="Calibri" w:eastAsia="宋体" w:cs="宋体"/>
      <w:kern w:val="2"/>
      <w:sz w:val="24"/>
      <w:szCs w:val="24"/>
      <w:lang w:val="en-US" w:eastAsia="zh-CN" w:bidi="ar-SA"/>
    </w:rPr>
  </w:style>
  <w:style w:type="paragraph" w:customStyle="1" w:styleId="56">
    <w:name w:val="文本"/>
    <w:basedOn w:val="1"/>
    <w:qFormat/>
    <w:uiPriority w:val="0"/>
    <w:pPr>
      <w:adjustRightInd w:val="0"/>
      <w:snapToGrid w:val="0"/>
      <w:spacing w:line="360" w:lineRule="auto"/>
      <w:ind w:firstLine="480" w:firstLineChars="200"/>
      <w:jc w:val="left"/>
    </w:pPr>
    <w:rPr>
      <w:kern w:val="0"/>
    </w:rPr>
  </w:style>
  <w:style w:type="paragraph" w:customStyle="1" w:styleId="57">
    <w:name w:val="wu表格"/>
    <w:qFormat/>
    <w:uiPriority w:val="0"/>
    <w:pPr>
      <w:adjustRightInd w:val="0"/>
      <w:snapToGrid w:val="0"/>
      <w:jc w:val="center"/>
    </w:pPr>
    <w:rPr>
      <w:rFonts w:ascii="Times New Roman" w:hAnsi="Times New Roman" w:eastAsia="宋体" w:cs="Times New Roman"/>
      <w:kern w:val="2"/>
      <w:sz w:val="21"/>
      <w:szCs w:val="24"/>
      <w:lang w:val="en-US" w:eastAsia="zh-CN" w:bidi="ar-SA"/>
    </w:rPr>
  </w:style>
  <w:style w:type="paragraph" w:customStyle="1" w:styleId="58">
    <w:name w:val="【正文】"/>
    <w:qFormat/>
    <w:uiPriority w:val="0"/>
    <w:pPr>
      <w:adjustRightInd w:val="0"/>
      <w:ind w:firstLine="200" w:firstLineChars="200"/>
      <w:jc w:val="both"/>
    </w:pPr>
    <w:rPr>
      <w:rFonts w:ascii="宋体" w:hAnsi="Calibri" w:eastAsia="Times New Roman" w:cs="Times New Roman"/>
      <w:b/>
      <w:color w:val="FF0000"/>
      <w:kern w:val="2"/>
      <w:sz w:val="24"/>
      <w:szCs w:val="22"/>
      <w:lang w:val="en-US" w:eastAsia="zh-CN" w:bidi="ar-SA"/>
    </w:rPr>
  </w:style>
  <w:style w:type="paragraph" w:customStyle="1" w:styleId="59">
    <w:name w:val="C 表内容"/>
    <w:basedOn w:val="1"/>
    <w:qFormat/>
    <w:uiPriority w:val="0"/>
    <w:pPr>
      <w:widowControl/>
      <w:adjustRightInd w:val="0"/>
      <w:snapToGrid w:val="0"/>
      <w:spacing w:line="240" w:lineRule="exact"/>
      <w:jc w:val="center"/>
      <w:textAlignment w:val="baseline"/>
    </w:pPr>
    <w:rPr>
      <w:rFonts w:ascii="宋体"/>
      <w:kern w:val="0"/>
      <w:szCs w:val="18"/>
    </w:rPr>
  </w:style>
  <w:style w:type="paragraph" w:customStyle="1" w:styleId="60">
    <w:name w:val="03 正文"/>
    <w:basedOn w:val="1"/>
    <w:qFormat/>
    <w:uiPriority w:val="0"/>
    <w:pPr>
      <w:spacing w:line="520" w:lineRule="exact"/>
      <w:ind w:firstLine="200" w:firstLineChars="200"/>
    </w:pPr>
    <w:rPr>
      <w:rFonts w:ascii="宋体" w:hAnsi="宋体"/>
    </w:rPr>
  </w:style>
  <w:style w:type="paragraph" w:customStyle="1" w:styleId="61">
    <w:name w:val="C 正文"/>
    <w:basedOn w:val="38"/>
    <w:qFormat/>
    <w:uiPriority w:val="0"/>
    <w:pPr>
      <w:spacing w:line="520" w:lineRule="exact"/>
      <w:ind w:firstLine="200" w:firstLineChars="200"/>
      <w:jc w:val="both"/>
    </w:pPr>
    <w:rPr>
      <w:rFonts w:hAnsi="Times New Roman" w:cs="Times New Roman"/>
      <w:color w:val="auto"/>
    </w:rPr>
  </w:style>
  <w:style w:type="paragraph" w:customStyle="1" w:styleId="62">
    <w:name w:val="YJ正文*"/>
    <w:basedOn w:val="1"/>
    <w:qFormat/>
    <w:uiPriority w:val="0"/>
    <w:pPr>
      <w:spacing w:line="500" w:lineRule="exact"/>
      <w:ind w:firstLine="200" w:firstLineChars="200"/>
    </w:pPr>
    <w:rPr>
      <w:rFonts w:ascii="宋体" w:hAnsi="宋体"/>
    </w:rPr>
  </w:style>
  <w:style w:type="paragraph" w:customStyle="1" w:styleId="63">
    <w:name w:val="01 正文"/>
    <w:basedOn w:val="1"/>
    <w:qFormat/>
    <w:uiPriority w:val="0"/>
    <w:pPr>
      <w:widowControl/>
      <w:adjustRightInd w:val="0"/>
      <w:snapToGrid w:val="0"/>
      <w:spacing w:line="520" w:lineRule="exact"/>
      <w:ind w:firstLine="200" w:firstLineChars="200"/>
    </w:pPr>
    <w:rPr>
      <w:rFonts w:ascii="宋体"/>
      <w:kern w:val="0"/>
      <w:szCs w:val="22"/>
    </w:rPr>
  </w:style>
  <w:style w:type="paragraph" w:customStyle="1" w:styleId="64">
    <w:name w:val="BodyText1I2"/>
    <w:basedOn w:val="65"/>
    <w:semiHidden/>
    <w:qFormat/>
    <w:uiPriority w:val="0"/>
    <w:pPr>
      <w:spacing w:line="560" w:lineRule="exact"/>
      <w:ind w:left="0" w:leftChars="0" w:firstLine="420" w:firstLineChars="200"/>
    </w:pPr>
    <w:rPr>
      <w:rFonts w:eastAsia="仿宋_GB2312"/>
      <w:sz w:val="32"/>
    </w:rPr>
  </w:style>
  <w:style w:type="paragraph" w:customStyle="1" w:styleId="65">
    <w:name w:val="BodyTextIndent"/>
    <w:basedOn w:val="1"/>
    <w:semiHidden/>
    <w:qFormat/>
    <w:uiPriority w:val="0"/>
    <w:pPr>
      <w:ind w:left="420" w:leftChars="200"/>
      <w:textAlignment w:val="baseline"/>
    </w:pPr>
  </w:style>
  <w:style w:type="paragraph" w:customStyle="1" w:styleId="66">
    <w:name w:val="样式12"/>
    <w:basedOn w:val="1"/>
    <w:qFormat/>
    <w:uiPriority w:val="0"/>
    <w:pPr>
      <w:ind w:firstLine="480"/>
      <w:jc w:val="left"/>
    </w:pPr>
    <w:rPr>
      <w:color w:val="000000"/>
      <w:kern w:val="0"/>
    </w:rPr>
  </w:style>
  <w:style w:type="paragraph" w:customStyle="1" w:styleId="67">
    <w:name w:val="标题4-3"/>
    <w:basedOn w:val="1"/>
    <w:qFormat/>
    <w:uiPriority w:val="0"/>
    <w:pPr>
      <w:tabs>
        <w:tab w:val="left" w:pos="709"/>
      </w:tabs>
      <w:adjustRightInd w:val="0"/>
      <w:snapToGrid w:val="0"/>
      <w:spacing w:line="360" w:lineRule="auto"/>
      <w:ind w:left="709" w:hanging="709"/>
      <w:outlineLvl w:val="2"/>
    </w:pPr>
    <w:rPr>
      <w:rFonts w:ascii="宋体" w:hAnsi="宋体"/>
      <w:b/>
      <w:kern w:val="0"/>
    </w:rPr>
  </w:style>
  <w:style w:type="paragraph" w:customStyle="1" w:styleId="68">
    <w:name w:val="Table Paragraph"/>
    <w:basedOn w:val="1"/>
    <w:qFormat/>
    <w:uiPriority w:val="1"/>
    <w:rPr>
      <w:rFonts w:ascii="宋体" w:hAnsi="宋体" w:cs="宋体"/>
      <w:lang w:val="zh-CN" w:bidi="zh-CN"/>
    </w:rPr>
  </w:style>
  <w:style w:type="character" w:customStyle="1" w:styleId="69">
    <w:name w:val="apple-style-span"/>
    <w:basedOn w:val="29"/>
    <w:qFormat/>
    <w:uiPriority w:val="0"/>
  </w:style>
  <w:style w:type="paragraph" w:customStyle="1" w:styleId="70">
    <w:name w:val="WPSOffice手动目录 1"/>
    <w:qFormat/>
    <w:uiPriority w:val="0"/>
    <w:rPr>
      <w:rFonts w:ascii="Times New Roman" w:hAnsi="Times New Roman" w:eastAsia="宋体" w:cs="Times New Roman"/>
      <w:lang w:val="en-US" w:eastAsia="zh-CN" w:bidi="ar-SA"/>
    </w:rPr>
  </w:style>
  <w:style w:type="character" w:customStyle="1" w:styleId="71">
    <w:name w:val="font11"/>
    <w:basedOn w:val="29"/>
    <w:qFormat/>
    <w:uiPriority w:val="0"/>
    <w:rPr>
      <w:rFonts w:hint="default" w:ascii="Calibri" w:hAnsi="Calibri" w:cs="Calibri"/>
      <w:color w:val="000000"/>
      <w:sz w:val="24"/>
      <w:szCs w:val="24"/>
      <w:u w:val="none"/>
    </w:rPr>
  </w:style>
  <w:style w:type="table" w:customStyle="1" w:styleId="72">
    <w:name w:val="Table Normal"/>
    <w:semiHidden/>
    <w:unhideWhenUsed/>
    <w:qFormat/>
    <w:uiPriority w:val="0"/>
    <w:tblPr>
      <w:tblCellMar>
        <w:top w:w="0" w:type="dxa"/>
        <w:left w:w="0" w:type="dxa"/>
        <w:bottom w:w="0" w:type="dxa"/>
        <w:right w:w="0" w:type="dxa"/>
      </w:tblCellMar>
    </w:tblPr>
  </w:style>
  <w:style w:type="character" w:customStyle="1" w:styleId="73">
    <w:name w:val="Char Char441"/>
    <w:qFormat/>
    <w:uiPriority w:val="0"/>
    <w:rPr>
      <w:rFonts w:eastAsia="宋体"/>
      <w:color w:val="000000"/>
      <w:kern w:val="2"/>
      <w:sz w:val="21"/>
      <w:szCs w:val="24"/>
      <w:lang w:val="en-US" w:eastAsia="zh-CN" w:bidi="ar-SA"/>
    </w:rPr>
  </w:style>
  <w:style w:type="paragraph" w:customStyle="1" w:styleId="74">
    <w:name w:val="ZQL正文*"/>
    <w:basedOn w:val="1"/>
    <w:qFormat/>
    <w:uiPriority w:val="0"/>
    <w:pPr>
      <w:adjustRightInd w:val="0"/>
      <w:snapToGrid w:val="0"/>
      <w:spacing w:line="500" w:lineRule="exact"/>
      <w:ind w:firstLine="200" w:firstLineChars="200"/>
    </w:pPr>
    <w:rPr>
      <w:rFonts w:ascii="Calibri" w:hAnsi="Calibri"/>
    </w:rPr>
  </w:style>
  <w:style w:type="paragraph" w:customStyle="1" w:styleId="75">
    <w:name w:val="正文A"/>
    <w:basedOn w:val="1"/>
    <w:qFormat/>
    <w:uiPriority w:val="0"/>
    <w:pPr>
      <w:spacing w:line="500" w:lineRule="exact"/>
      <w:ind w:firstLine="480" w:firstLineChars="200"/>
    </w:pPr>
    <w:rPr>
      <w:rFonts w:cs="华文仿宋"/>
    </w:rPr>
  </w:style>
  <w:style w:type="paragraph" w:customStyle="1" w:styleId="76">
    <w:name w:val="袁亚洲"/>
    <w:basedOn w:val="1"/>
    <w:qFormat/>
    <w:uiPriority w:val="0"/>
    <w:pPr>
      <w:ind w:firstLine="482"/>
    </w:pPr>
  </w:style>
  <w:style w:type="paragraph" w:customStyle="1" w:styleId="77">
    <w:name w:val="0011"/>
    <w:basedOn w:val="1"/>
    <w:qFormat/>
    <w:uiPriority w:val="0"/>
    <w:pPr>
      <w:snapToGrid w:val="0"/>
      <w:spacing w:line="440" w:lineRule="atLeast"/>
      <w:ind w:firstLine="480"/>
    </w:pPr>
    <w:rPr>
      <w:rFonts w:ascii="宋体" w:hAnsi="宋体"/>
    </w:rPr>
  </w:style>
  <w:style w:type="paragraph" w:customStyle="1" w:styleId="78">
    <w:name w:val="袁"/>
    <w:basedOn w:val="1"/>
    <w:qFormat/>
    <w:uiPriority w:val="0"/>
    <w:pPr>
      <w:overflowPunct w:val="0"/>
      <w:autoSpaceDE w:val="0"/>
      <w:autoSpaceDN w:val="0"/>
      <w:ind w:firstLine="200" w:firstLineChars="200"/>
    </w:pPr>
    <w:rPr>
      <w:lang w:val="zh-CN"/>
    </w:rPr>
  </w:style>
  <w:style w:type="paragraph" w:customStyle="1" w:styleId="79">
    <w:name w:val="表格文字"/>
    <w:basedOn w:val="24"/>
    <w:qFormat/>
    <w:uiPriority w:val="0"/>
    <w:pPr>
      <w:widowControl w:val="0"/>
      <w:spacing w:line="240" w:lineRule="atLeast"/>
      <w:ind w:left="-3" w:leftChars="-3" w:hanging="3" w:hangingChars="3"/>
      <w:jc w:val="center"/>
    </w:pPr>
    <w:rPr>
      <w:rFonts w:ascii="Times New Roman" w:hAnsi="Times New Roman" w:eastAsia="宋体" w:cs="宋体"/>
      <w:sz w:val="21"/>
      <w:lang w:val="en-US" w:eastAsia="zh-CN" w:bidi="ar-SA"/>
    </w:rPr>
  </w:style>
  <w:style w:type="character" w:customStyle="1" w:styleId="80">
    <w:name w:val="批注文字 字符"/>
    <w:basedOn w:val="29"/>
    <w:link w:val="9"/>
    <w:qFormat/>
    <w:uiPriority w:val="0"/>
    <w:rPr>
      <w:kern w:val="2"/>
      <w:sz w:val="24"/>
      <w:szCs w:val="24"/>
    </w:rPr>
  </w:style>
  <w:style w:type="character" w:customStyle="1" w:styleId="81">
    <w:name w:val="批注主题 字符"/>
    <w:basedOn w:val="80"/>
    <w:link w:val="23"/>
    <w:qFormat/>
    <w:uiPriority w:val="0"/>
    <w:rPr>
      <w:b/>
      <w:bCs/>
      <w:kern w:val="2"/>
      <w:sz w:val="24"/>
      <w:szCs w:val="24"/>
    </w:rPr>
  </w:style>
  <w:style w:type="character" w:customStyle="1" w:styleId="82">
    <w:name w:val="批注框文本 字符"/>
    <w:basedOn w:val="29"/>
    <w:link w:val="13"/>
    <w:qFormat/>
    <w:uiPriority w:val="0"/>
    <w:rPr>
      <w:kern w:val="2"/>
      <w:sz w:val="18"/>
      <w:szCs w:val="18"/>
    </w:rPr>
  </w:style>
  <w:style w:type="paragraph" w:customStyle="1" w:styleId="83">
    <w:name w:val="正文-1"/>
    <w:qFormat/>
    <w:uiPriority w:val="0"/>
    <w:pPr>
      <w:spacing w:line="480" w:lineRule="exact"/>
      <w:ind w:firstLine="200" w:firstLineChars="200"/>
      <w:jc w:val="both"/>
    </w:pPr>
    <w:rPr>
      <w:rFonts w:ascii="Times New Roman" w:hAnsi="Times New Roman" w:eastAsia="宋体" w:cs="宋体"/>
      <w:kern w:val="2"/>
      <w:sz w:val="24"/>
      <w:lang w:val="en-US" w:eastAsia="zh-CN" w:bidi="ar-SA"/>
    </w:rPr>
  </w:style>
  <w:style w:type="character" w:customStyle="1" w:styleId="84">
    <w:name w:val="font51"/>
    <w:basedOn w:val="29"/>
    <w:qFormat/>
    <w:uiPriority w:val="0"/>
    <w:rPr>
      <w:rFonts w:hint="default" w:ascii="Times New Roman" w:hAnsi="Times New Roman" w:cs="Times New Roman"/>
      <w:color w:val="000000"/>
      <w:sz w:val="21"/>
      <w:szCs w:val="21"/>
      <w:u w:val="none"/>
    </w:rPr>
  </w:style>
  <w:style w:type="character" w:customStyle="1" w:styleId="85">
    <w:name w:val="font61"/>
    <w:basedOn w:val="29"/>
    <w:qFormat/>
    <w:uiPriority w:val="0"/>
    <w:rPr>
      <w:rFonts w:hint="default" w:ascii="Times New Roman" w:hAnsi="Times New Roman" w:cs="Times New Roman"/>
      <w:color w:val="000000"/>
      <w:sz w:val="21"/>
      <w:szCs w:val="21"/>
      <w:u w:val="none"/>
      <w:vertAlign w:val="superscript"/>
    </w:rPr>
  </w:style>
  <w:style w:type="paragraph" w:customStyle="1" w:styleId="86">
    <w:name w:val="君邦正文"/>
    <w:qFormat/>
    <w:uiPriority w:val="0"/>
    <w:pPr>
      <w:spacing w:after="60" w:line="360" w:lineRule="auto"/>
      <w:ind w:firstLine="480" w:firstLineChars="200"/>
      <w:jc w:val="both"/>
    </w:pPr>
    <w:rPr>
      <w:rFonts w:ascii="Times New Roman" w:hAnsi="Times New Roman" w:eastAsia="宋体" w:cs="Times New Roman"/>
      <w:bCs/>
      <w:snapToGrid w:val="0"/>
      <w:sz w:val="24"/>
      <w:lang w:val="en-US" w:eastAsia="zh-CN" w:bidi="ar-SA"/>
    </w:rPr>
  </w:style>
  <w:style w:type="paragraph" w:customStyle="1" w:styleId="87">
    <w:name w:val="表头样式1"/>
    <w:basedOn w:val="1"/>
    <w:qFormat/>
    <w:uiPriority w:val="0"/>
    <w:pPr>
      <w:spacing w:beforeLines="50" w:after="100" w:afterAutospacing="1"/>
      <w:jc w:val="center"/>
    </w:pPr>
    <w:rPr>
      <w:rFonts w:eastAsia="黑体"/>
      <w:b/>
      <w:bCs/>
      <w:sz w:val="24"/>
      <w:szCs w:val="24"/>
    </w:rPr>
  </w:style>
  <w:style w:type="paragraph" w:customStyle="1" w:styleId="88">
    <w:name w:val="标题 03"/>
    <w:basedOn w:val="1"/>
    <w:autoRedefine/>
    <w:qFormat/>
    <w:uiPriority w:val="0"/>
    <w:pPr>
      <w:numPr>
        <w:ilvl w:val="1"/>
        <w:numId w:val="2"/>
      </w:numPr>
      <w:autoSpaceDE w:val="0"/>
      <w:autoSpaceDN w:val="0"/>
      <w:adjustRightInd w:val="0"/>
      <w:snapToGrid w:val="0"/>
      <w:spacing w:line="500" w:lineRule="exact"/>
      <w:ind w:left="0" w:firstLine="1440" w:firstLineChars="200"/>
      <w:jc w:val="both"/>
    </w:pPr>
    <w:rPr>
      <w:rFonts w:hint="eastAsia"/>
      <w:color w:val="002060"/>
      <w:lang w:eastAsia="en-US"/>
    </w:rPr>
  </w:style>
  <w:style w:type="paragraph" w:customStyle="1" w:styleId="89">
    <w:name w:val="Table Text"/>
    <w:basedOn w:val="1"/>
    <w:semiHidden/>
    <w:qFormat/>
    <w:uiPriority w:val="0"/>
    <w:rPr>
      <w:rFonts w:ascii="宋体" w:hAnsi="宋体" w:eastAsia="宋体" w:cs="宋体"/>
      <w:sz w:val="24"/>
      <w:szCs w:val="24"/>
      <w:lang w:val="en-US" w:eastAsia="en-US" w:bidi="ar-SA"/>
    </w:rPr>
  </w:style>
  <w:style w:type="paragraph" w:customStyle="1" w:styleId="90">
    <w:name w:val="ENFI正文"/>
    <w:basedOn w:val="1"/>
    <w:qFormat/>
    <w:uiPriority w:val="0"/>
    <w:pPr>
      <w:adjustRightInd w:val="0"/>
      <w:snapToGrid w:val="0"/>
      <w:spacing w:line="400" w:lineRule="exact"/>
      <w:ind w:firstLine="567"/>
    </w:pPr>
    <w:rPr>
      <w:rFonts w:eastAsia="仿宋_GB2312"/>
      <w:color w:val="000000"/>
      <w:sz w:val="24"/>
      <w:szCs w:val="22"/>
    </w:rPr>
  </w:style>
  <w:style w:type="paragraph" w:customStyle="1" w:styleId="91">
    <w:name w:val="04 正文"/>
    <w:basedOn w:val="38"/>
    <w:qFormat/>
    <w:uiPriority w:val="0"/>
    <w:pPr>
      <w:spacing w:line="520" w:lineRule="exact"/>
      <w:ind w:firstLine="200" w:firstLineChars="200"/>
      <w:jc w:val="both"/>
    </w:pPr>
  </w:style>
  <w:style w:type="paragraph" w:customStyle="1" w:styleId="92">
    <w:name w:val="表格1"/>
    <w:basedOn w:val="1"/>
    <w:qFormat/>
    <w:uiPriority w:val="0"/>
    <w:pPr>
      <w:adjustRightInd w:val="0"/>
      <w:spacing w:line="400" w:lineRule="atLeast"/>
      <w:jc w:val="center"/>
    </w:pPr>
    <w:rPr>
      <w:kern w:val="0"/>
      <w:sz w:val="24"/>
    </w:rPr>
  </w:style>
  <w:style w:type="paragraph" w:customStyle="1" w:styleId="93">
    <w:name w:val="！正文"/>
    <w:basedOn w:val="11"/>
    <w:qFormat/>
    <w:uiPriority w:val="0"/>
    <w:pPr>
      <w:tabs>
        <w:tab w:val="left" w:leader="dot" w:pos="8820"/>
      </w:tabs>
      <w:snapToGrid w:val="0"/>
      <w:spacing w:line="500" w:lineRule="exact"/>
      <w:ind w:firstLine="200" w:firstLineChars="200"/>
    </w:pPr>
    <w:rPr>
      <w:rFonts w:cs="Times New Roman"/>
      <w:sz w:val="28"/>
      <w:szCs w:val="28"/>
    </w:rPr>
  </w:style>
  <w:style w:type="paragraph" w:customStyle="1" w:styleId="94">
    <w:name w:val="表字-书"/>
    <w:basedOn w:val="1"/>
    <w:qFormat/>
    <w:uiPriority w:val="0"/>
    <w:pPr>
      <w:widowControl/>
      <w:adjustRightInd w:val="0"/>
      <w:snapToGrid w:val="0"/>
      <w:spacing w:line="300" w:lineRule="exact"/>
      <w:jc w:val="center"/>
    </w:pPr>
    <w:rPr>
      <w:rFonts w:ascii="宋体" w:hAnsi="宋体" w:cs="Arial"/>
      <w:szCs w:val="21"/>
    </w:rPr>
  </w:style>
  <w:style w:type="paragraph" w:customStyle="1" w:styleId="95">
    <w:name w:val="05表文字"/>
    <w:basedOn w:val="1"/>
    <w:qFormat/>
    <w:uiPriority w:val="0"/>
    <w:pPr>
      <w:adjustRightInd w:val="0"/>
      <w:snapToGrid w:val="0"/>
      <w:spacing w:line="320" w:lineRule="exact"/>
      <w:ind w:firstLine="0" w:firstLineChars="0"/>
      <w:jc w:val="center"/>
    </w:pPr>
    <w:rPr>
      <w:sz w:val="21"/>
    </w:rPr>
  </w:style>
  <w:style w:type="paragraph" w:customStyle="1" w:styleId="96">
    <w:name w:val="表格内文字"/>
    <w:basedOn w:val="1"/>
    <w:qFormat/>
    <w:uiPriority w:val="0"/>
    <w:pPr>
      <w:spacing w:line="280" w:lineRule="exact"/>
      <w:ind w:firstLine="0" w:firstLineChars="0"/>
      <w:jc w:val="left"/>
      <w:textAlignment w:val="center"/>
    </w:pPr>
    <w:rPr>
      <w:rFonts w:ascii="宋体" w:hAnsi="Times New Roman"/>
      <w:szCs w:val="28"/>
    </w:rPr>
  </w:style>
  <w:style w:type="paragraph" w:customStyle="1" w:styleId="97">
    <w:name w:val="HM 图标题"/>
    <w:basedOn w:val="1"/>
    <w:qFormat/>
    <w:uiPriority w:val="0"/>
    <w:pPr>
      <w:adjustRightInd w:val="0"/>
      <w:snapToGrid w:val="0"/>
      <w:spacing w:before="160" w:after="40" w:line="500" w:lineRule="exact"/>
      <w:jc w:val="center"/>
    </w:pPr>
    <w:rPr>
      <w:rFonts w:ascii="黑体" w:hAnsi="黑体" w:eastAsia="黑体"/>
      <w:szCs w:val="20"/>
    </w:rPr>
  </w:style>
  <w:style w:type="paragraph" w:customStyle="1" w:styleId="98">
    <w:name w:val="01表 正文"/>
    <w:basedOn w:val="1"/>
    <w:qFormat/>
    <w:uiPriority w:val="0"/>
    <w:pPr>
      <w:adjustRightInd w:val="0"/>
      <w:spacing w:line="520" w:lineRule="exact"/>
      <w:ind w:firstLine="200" w:firstLineChars="200"/>
    </w:pPr>
    <w:rPr>
      <w:rFonts w:ascii="宋体"/>
      <w:color w:val="000000"/>
      <w:sz w:val="24"/>
    </w:rPr>
  </w:style>
  <w:style w:type="paragraph" w:customStyle="1" w:styleId="99">
    <w:name w:val="A正文1"/>
    <w:basedOn w:val="1"/>
    <w:qFormat/>
    <w:uiPriority w:val="0"/>
    <w:pPr>
      <w:spacing w:line="360" w:lineRule="auto"/>
      <w:ind w:firstLine="480" w:firstLineChars="200"/>
    </w:pPr>
    <w:rPr>
      <w:sz w:val="24"/>
      <w:szCs w:val="28"/>
    </w:rPr>
  </w:style>
  <w:style w:type="paragraph" w:customStyle="1" w:styleId="100">
    <w:name w:val="表内图"/>
    <w:basedOn w:val="1"/>
    <w:qFormat/>
    <w:uiPriority w:val="0"/>
    <w:pPr>
      <w:spacing w:before="50" w:beforeLines="50" w:line="300" w:lineRule="exact"/>
      <w:ind w:firstLine="0" w:firstLineChars="0"/>
      <w:jc w:val="center"/>
    </w:pPr>
    <w:rPr>
      <w:rFonts w:hint="eastAsia" w:ascii="Times New Roman" w:hAnsi="Times New Roman" w:eastAsia="黑体"/>
      <w:sz w:val="21"/>
    </w:rPr>
  </w:style>
  <w:style w:type="character" w:customStyle="1" w:styleId="101">
    <w:name w:val="font31"/>
    <w:basedOn w:val="29"/>
    <w:qFormat/>
    <w:uiPriority w:val="0"/>
    <w:rPr>
      <w:rFonts w:hint="default" w:ascii="Times New Roman" w:hAnsi="Times New Roman" w:cs="Times New Roman"/>
      <w:color w:val="000000"/>
      <w:sz w:val="21"/>
      <w:szCs w:val="21"/>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7" Type="http://schemas.openxmlformats.org/officeDocument/2006/relationships/fontTable" Target="fontTable.xml"/><Relationship Id="rId76" Type="http://schemas.openxmlformats.org/officeDocument/2006/relationships/customXml" Target="../customXml/item2.xml"/><Relationship Id="rId75" Type="http://schemas.openxmlformats.org/officeDocument/2006/relationships/numbering" Target="numbering.xml"/><Relationship Id="rId74" Type="http://schemas.openxmlformats.org/officeDocument/2006/relationships/customXml" Target="../customXml/item1.xml"/><Relationship Id="rId73" Type="http://schemas.openxmlformats.org/officeDocument/2006/relationships/image" Target="media/image36.emf"/><Relationship Id="rId72" Type="http://schemas.openxmlformats.org/officeDocument/2006/relationships/oleObject" Target="embeddings/oleObject26.bin"/><Relationship Id="rId71" Type="http://schemas.openxmlformats.org/officeDocument/2006/relationships/image" Target="media/image35.png"/><Relationship Id="rId70" Type="http://schemas.openxmlformats.org/officeDocument/2006/relationships/image" Target="media/image34.png"/><Relationship Id="rId7" Type="http://schemas.openxmlformats.org/officeDocument/2006/relationships/footer" Target="footer3.xml"/><Relationship Id="rId69" Type="http://schemas.openxmlformats.org/officeDocument/2006/relationships/image" Target="media/image33.png"/><Relationship Id="rId68" Type="http://schemas.openxmlformats.org/officeDocument/2006/relationships/image" Target="media/image32.png"/><Relationship Id="rId67" Type="http://schemas.openxmlformats.org/officeDocument/2006/relationships/image" Target="media/image31.png"/><Relationship Id="rId66" Type="http://schemas.openxmlformats.org/officeDocument/2006/relationships/image" Target="media/image30.jpeg"/><Relationship Id="rId65" Type="http://schemas.openxmlformats.org/officeDocument/2006/relationships/image" Target="media/image29.wmf"/><Relationship Id="rId64" Type="http://schemas.openxmlformats.org/officeDocument/2006/relationships/oleObject" Target="embeddings/oleObject25.bin"/><Relationship Id="rId63" Type="http://schemas.openxmlformats.org/officeDocument/2006/relationships/image" Target="media/image28.wmf"/><Relationship Id="rId62" Type="http://schemas.openxmlformats.org/officeDocument/2006/relationships/oleObject" Target="embeddings/oleObject24.bin"/><Relationship Id="rId61" Type="http://schemas.openxmlformats.org/officeDocument/2006/relationships/image" Target="media/image27.wmf"/><Relationship Id="rId60" Type="http://schemas.openxmlformats.org/officeDocument/2006/relationships/oleObject" Target="embeddings/oleObject23.bin"/><Relationship Id="rId6" Type="http://schemas.openxmlformats.org/officeDocument/2006/relationships/footer" Target="footer2.xml"/><Relationship Id="rId59" Type="http://schemas.openxmlformats.org/officeDocument/2006/relationships/image" Target="media/image26.wmf"/><Relationship Id="rId58" Type="http://schemas.openxmlformats.org/officeDocument/2006/relationships/oleObject" Target="embeddings/oleObject22.bin"/><Relationship Id="rId57" Type="http://schemas.openxmlformats.org/officeDocument/2006/relationships/image" Target="media/image25.wmf"/><Relationship Id="rId56" Type="http://schemas.openxmlformats.org/officeDocument/2006/relationships/oleObject" Target="embeddings/oleObject21.bin"/><Relationship Id="rId55" Type="http://schemas.openxmlformats.org/officeDocument/2006/relationships/image" Target="media/image24.wmf"/><Relationship Id="rId54" Type="http://schemas.openxmlformats.org/officeDocument/2006/relationships/oleObject" Target="embeddings/oleObject20.bin"/><Relationship Id="rId53" Type="http://schemas.openxmlformats.org/officeDocument/2006/relationships/image" Target="media/image23.wmf"/><Relationship Id="rId52" Type="http://schemas.openxmlformats.org/officeDocument/2006/relationships/oleObject" Target="embeddings/oleObject19.bin"/><Relationship Id="rId51" Type="http://schemas.openxmlformats.org/officeDocument/2006/relationships/image" Target="media/image22.wmf"/><Relationship Id="rId50" Type="http://schemas.openxmlformats.org/officeDocument/2006/relationships/oleObject" Target="embeddings/oleObject18.bin"/><Relationship Id="rId5" Type="http://schemas.openxmlformats.org/officeDocument/2006/relationships/footer" Target="footer1.xml"/><Relationship Id="rId49" Type="http://schemas.openxmlformats.org/officeDocument/2006/relationships/image" Target="media/image21.wmf"/><Relationship Id="rId48" Type="http://schemas.openxmlformats.org/officeDocument/2006/relationships/oleObject" Target="embeddings/oleObject17.bin"/><Relationship Id="rId47" Type="http://schemas.openxmlformats.org/officeDocument/2006/relationships/image" Target="media/image20.wmf"/><Relationship Id="rId46" Type="http://schemas.openxmlformats.org/officeDocument/2006/relationships/oleObject" Target="embeddings/oleObject16.bin"/><Relationship Id="rId45" Type="http://schemas.openxmlformats.org/officeDocument/2006/relationships/image" Target="media/image19.wmf"/><Relationship Id="rId44" Type="http://schemas.openxmlformats.org/officeDocument/2006/relationships/oleObject" Target="embeddings/oleObject15.bin"/><Relationship Id="rId43" Type="http://schemas.openxmlformats.org/officeDocument/2006/relationships/image" Target="media/image18.wmf"/><Relationship Id="rId42" Type="http://schemas.openxmlformats.org/officeDocument/2006/relationships/oleObject" Target="embeddings/oleObject14.bin"/><Relationship Id="rId41" Type="http://schemas.openxmlformats.org/officeDocument/2006/relationships/image" Target="media/image17.wmf"/><Relationship Id="rId40" Type="http://schemas.openxmlformats.org/officeDocument/2006/relationships/oleObject" Target="embeddings/oleObject13.bin"/><Relationship Id="rId4" Type="http://schemas.openxmlformats.org/officeDocument/2006/relationships/endnotes" Target="endnotes.xml"/><Relationship Id="rId39" Type="http://schemas.openxmlformats.org/officeDocument/2006/relationships/image" Target="media/image16.wmf"/><Relationship Id="rId38" Type="http://schemas.openxmlformats.org/officeDocument/2006/relationships/oleObject" Target="embeddings/oleObject12.bin"/><Relationship Id="rId37" Type="http://schemas.openxmlformats.org/officeDocument/2006/relationships/image" Target="media/image15.wmf"/><Relationship Id="rId36" Type="http://schemas.openxmlformats.org/officeDocument/2006/relationships/oleObject" Target="embeddings/oleObject11.bin"/><Relationship Id="rId35" Type="http://schemas.openxmlformats.org/officeDocument/2006/relationships/image" Target="media/image14.wmf"/><Relationship Id="rId34" Type="http://schemas.openxmlformats.org/officeDocument/2006/relationships/oleObject" Target="embeddings/oleObject10.bin"/><Relationship Id="rId33" Type="http://schemas.openxmlformats.org/officeDocument/2006/relationships/image" Target="media/image13.wmf"/><Relationship Id="rId32" Type="http://schemas.openxmlformats.org/officeDocument/2006/relationships/oleObject" Target="embeddings/oleObject9.bin"/><Relationship Id="rId31" Type="http://schemas.openxmlformats.org/officeDocument/2006/relationships/image" Target="media/image12.wmf"/><Relationship Id="rId30" Type="http://schemas.openxmlformats.org/officeDocument/2006/relationships/oleObject" Target="embeddings/oleObject8.bin"/><Relationship Id="rId3" Type="http://schemas.openxmlformats.org/officeDocument/2006/relationships/footnotes" Target="footnotes.xml"/><Relationship Id="rId29" Type="http://schemas.openxmlformats.org/officeDocument/2006/relationships/image" Target="media/image11.jpeg"/><Relationship Id="rId28" Type="http://schemas.openxmlformats.org/officeDocument/2006/relationships/image" Target="media/image10.jpeg"/><Relationship Id="rId27" Type="http://schemas.openxmlformats.org/officeDocument/2006/relationships/image" Target="media/image9.wmf"/><Relationship Id="rId26" Type="http://schemas.openxmlformats.org/officeDocument/2006/relationships/oleObject" Target="embeddings/oleObject7.bin"/><Relationship Id="rId25" Type="http://schemas.openxmlformats.org/officeDocument/2006/relationships/image" Target="media/image8.wmf"/><Relationship Id="rId24" Type="http://schemas.openxmlformats.org/officeDocument/2006/relationships/oleObject" Target="embeddings/oleObject6.bin"/><Relationship Id="rId23" Type="http://schemas.openxmlformats.org/officeDocument/2006/relationships/image" Target="media/image7.wmf"/><Relationship Id="rId22" Type="http://schemas.openxmlformats.org/officeDocument/2006/relationships/oleObject" Target="embeddings/oleObject5.bin"/><Relationship Id="rId21" Type="http://schemas.openxmlformats.org/officeDocument/2006/relationships/image" Target="media/image6.wmf"/><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3.bin"/><Relationship Id="rId17" Type="http://schemas.openxmlformats.org/officeDocument/2006/relationships/image" Target="media/image4.jpeg"/><Relationship Id="rId16" Type="http://schemas.openxmlformats.org/officeDocument/2006/relationships/image" Target="media/image3.wmf"/><Relationship Id="rId15" Type="http://schemas.openxmlformats.org/officeDocument/2006/relationships/oleObject" Target="embeddings/oleObject2.bin"/><Relationship Id="rId14" Type="http://schemas.openxmlformats.org/officeDocument/2006/relationships/image" Target="media/image2.wmf"/><Relationship Id="rId13" Type="http://schemas.openxmlformats.org/officeDocument/2006/relationships/oleObject" Target="embeddings/oleObject1.bin"/><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Info spid="_x0000_s2060"/>
  </customShpExts>
</s:customData>
</file>

<file path=customXml/item2.xml><?xml version="1.0" encoding="utf-8"?>
<contractReview xmlns="http://schemas.wps.cn/vas-ai-hub/contract-review">
  <reviewItems>
    <reviewItem>
      <errorID>fb18a6ed-17bf-4245-a7ce-2ee021577041</errorID>
      <errorWord>。</errorWord>
      <group>L1_Punc</group>
      <groupName>标点问题</groupName>
      <ability>L2_Punc_CN</ability>
      <abilityName>标点符号问题</abilityName>
      <candidateList>
        <item>，</item>
      </candidateList>
      <explain/>
      <paraID>6E98239E</paraID>
      <start>218</start>
      <end>219</end>
      <status>ignored</status>
      <modifiedWord/>
      <trackRevisions>false</trackRevisions>
    </reviewItem>
    <reviewItem>
      <errorID>77370ce3-a545-41f1-8f2d-a0954439a719</errorID>
      <errorWord>冬储夏灌</errorWord>
      <group>L1_Grammar</group>
      <groupName>语法问题</groupName>
      <ability>L2_Grammar</ability>
      <abilityName>语法错误</abilityName>
      <candidateList>
        <item>冬季储存、夏季灌排</item>
      </candidateList>
      <explain/>
      <paraID>6B9D2244</paraID>
      <start>53</start>
      <end>57</end>
      <status>ignored</status>
      <modifiedWord/>
      <trackRevisions>false</trackRevisions>
    </reviewItem>
    <reviewItem>
      <errorID>341e5356-2d9a-442a-8c9a-d19399124558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64E489BA</paraID>
      <start>58</start>
      <end>59</end>
      <status>ignored</status>
      <modifiedWord/>
      <trackRevisions>false</trackRevisions>
    </reviewItem>
    <reviewItem>
      <errorID>305b07c8-715e-42a9-83bc-bcf07db1b4c1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4536D71</paraID>
      <start>47</start>
      <end>48</end>
      <status>ignored</status>
      <modifiedWord/>
      <trackRevisions>false</trackRevisions>
    </reviewItem>
    <reviewItem>
      <errorID>c06f47d4-cebc-4d2e-8e17-812a41e045f1</errorID>
      <errorWord>，</errorWord>
      <group>L1_Format</group>
      <groupName>格式问题</groupName>
      <ability>L2_HalfPunc_CN</ability>
      <abilityName>全半角问题</abilityName>
      <candidateList>
        <item>,</item>
      </candidateList>
      <explain>文本全半角错误。</explain>
      <paraID> 99E77D0</paraID>
      <start>16</start>
      <end>17</end>
      <status>ignored</status>
      <modifiedWord/>
      <trackRevisions>false</trackRevisions>
    </reviewItem>
    <reviewItem>
      <errorID>df898341-3195-4d8f-810d-cb893ca785ce</errorID>
      <errorWord>，</errorWord>
      <group>L1_Format</group>
      <groupName>格式问题</groupName>
      <ability>L2_HalfPunc_CN</ability>
      <abilityName>全半角问题</abilityName>
      <candidateList>
        <item>, </item>
      </candidateList>
      <explain>文本全半角错误。</explain>
      <paraID>789FDA29</paraID>
      <start>2</start>
      <end>3</end>
      <status>ignored</status>
      <modifiedWord/>
      <trackRevisions>false</trackRevisions>
    </reviewItem>
    <reviewItem>
      <errorID>6b0733b3-80e6-4369-9354-7ea3802d79dc</errorID>
      <errorWord>，</errorWord>
      <group>L1_Format</group>
      <groupName>格式问题</groupName>
      <ability>L2_HalfPunc_CN</ability>
      <abilityName>全半角问题</abilityName>
      <candidateList>
        <item>,</item>
      </candidateList>
      <explain>文本全半角错误。</explain>
      <paraID>6592710F</paraID>
      <start>6</start>
      <end>7</end>
      <status>ignored</status>
      <modifiedWord/>
      <trackRevisions>false</trackRevisions>
    </reviewItem>
    <reviewItem>
      <errorID>8c977e9c-b98a-4ece-8ca7-87ae61a75d39</errorID>
      <errorWord>，</errorWord>
      <group>L1_Format</group>
      <groupName>格式问题</groupName>
      <ability>L2_HalfPunc_CN</ability>
      <abilityName>全半角问题</abilityName>
      <candidateList>
        <item>,</item>
      </candidateList>
      <explain>文本全半角错误。</explain>
      <paraID>20A89458</paraID>
      <start>6</start>
      <end>7</end>
      <status>ignored</status>
      <modifiedWord/>
      <trackRevisions>false</trackRevisions>
    </reviewItem>
    <reviewItem>
      <errorID>bf322752-db2c-4176-a996-4fe6009feb5b</errorID>
      <errorWord>/</errorWord>
      <group>L1_Punc</group>
      <groupName>标点问题</groupName>
      <ability>L2_Punc_CN</ability>
      <abilityName>标点符号问题</abilityName>
      <candidateList>
        <item/>
      </candidateList>
      <explain/>
      <paraID>7581BC8D</paraID>
      <start>32</start>
      <end>33</end>
      <status>ignored</status>
      <modifiedWord/>
      <trackRevisions>false</trackRevisions>
    </reviewItem>
    <reviewItem>
      <errorID>ec198d42-0639-48c8-8bc9-fee8ae647636</errorID>
      <errorWord>，</errorWord>
      <group>L1_Format</group>
      <groupName>格式问题</groupName>
      <ability>L2_HalfPunc_CN</ability>
      <abilityName>全半角问题</abilityName>
      <candidateList>
        <item>,</item>
      </candidateList>
      <explain>文本全半角错误。</explain>
      <paraID>3090611A</paraID>
      <start>8</start>
      <end>9</end>
      <status>ignored</status>
      <modifiedWord/>
      <trackRevisions>false</trackRevisions>
    </reviewItem>
    <reviewItem>
      <errorID>4f67c0cd-93e8-4714-b4b1-b3591f98a52d</errorID>
      <errorWord>：</errorWord>
      <group>L1_Format</group>
      <groupName>格式问题</groupName>
      <ability>L2_HalfPunc_CN</ability>
      <abilityName>全半角问题</abilityName>
      <candidateList>
        <item>:</item>
      </candidateList>
      <explain>文本全半角错误。</explain>
      <paraID>4134DBA3</paraID>
      <start>24</start>
      <end>25</end>
      <status>ignored</status>
      <modifiedWord/>
      <trackRevisions>false</trackRevisions>
    </reviewItem>
    <reviewItem>
      <errorID>0dcae883-0885-4952-9b7e-01f8bdefeca2</errorID>
      <errorWord>：</errorWord>
      <group>L1_Format</group>
      <groupName>格式问题</groupName>
      <ability>L2_HalfPunc_CN</ability>
      <abilityName>全半角问题</abilityName>
      <candidateList>
        <item>:</item>
      </candidateList>
      <explain>文本全半角错误。</explain>
      <paraID> 3F95638</paraID>
      <start>2</start>
      <end>3</end>
      <status>ignored</status>
      <modifiedWord/>
      <trackRevisions>false</trackRevisions>
    </reviewItem>
    <reviewItem>
      <errorID>d6d4f799-b611-46ab-af12-ebafc6d1d8dd</errorID>
      <errorWord>，</errorWord>
      <group>L1_Format</group>
      <groupName>格式问题</groupName>
      <ability>L2_HalfPunc_CN</ability>
      <abilityName>全半角问题</abilityName>
      <candidateList>
        <item>,</item>
      </candidateList>
      <explain>文本全半角错误。</explain>
      <paraID>30377ACA</paraID>
      <start>38</start>
      <end>39</end>
      <status>ignored</status>
      <modifiedWord/>
      <trackRevisions>false</trackRevisions>
    </reviewItem>
    <reviewItem>
      <errorID>9ad73d82-810e-46d9-8da0-8404445df5f1</errorID>
      <errorWord>：</errorWord>
      <group>L1_Format</group>
      <groupName>格式问题</groupName>
      <ability>L2_HalfPunc_CN</ability>
      <abilityName>全半角问题</abilityName>
      <candidateList>
        <item>:</item>
      </candidateList>
      <explain>文本全半角错误。</explain>
      <paraID>30377ACA</paraID>
      <start>41</start>
      <end>42</end>
      <status>ignored</status>
      <modifiedWord/>
      <trackRevisions>false</trackRevisions>
    </reviewItem>
    <reviewItem>
      <errorID>cecdd873-aae9-43e8-b50a-d3f09589e9b5</errorID>
      <errorWord>，</errorWord>
      <group>L1_Format</group>
      <groupName>格式问题</groupName>
      <ability>L2_HalfPunc_CN</ability>
      <abilityName>全半角问题</abilityName>
      <candidateList>
        <item>,</item>
      </candidateList>
      <explain>文本全半角错误。</explain>
      <paraID>30377ACA</paraID>
      <start>54</start>
      <end>55</end>
      <status>ignored</status>
      <modifiedWord/>
      <trackRevisions>false</trackRevisions>
    </reviewItem>
    <reviewItem>
      <errorID>1aae2d05-cece-4c24-8f14-bbf4e1934d7f</errorID>
      <errorWord>：</errorWord>
      <group>L1_Format</group>
      <groupName>格式问题</groupName>
      <ability>L2_HalfPunc_CN</ability>
      <abilityName>全半角问题</abilityName>
      <candidateList>
        <item>:</item>
      </candidateList>
      <explain>文本全半角错误。</explain>
      <paraID>71B5D89A</paraID>
      <start>8</start>
      <end>9</end>
      <status>ignored</status>
      <modifiedWord/>
      <trackRevisions>false</trackRevisions>
    </reviewItem>
    <reviewItem>
      <errorID>8ca4add0-13bf-463b-93e6-d2cd57c6331b</errorID>
      <errorWord>：</errorWord>
      <group>L1_Format</group>
      <groupName>格式问题</groupName>
      <ability>L2_HalfPunc_CN</ability>
      <abilityName>全半角问题</abilityName>
      <candidateList>
        <item>:</item>
      </candidateList>
      <explain>文本全半角错误。</explain>
      <paraID> 2B8BB40</paraID>
      <start>2</start>
      <end>3</end>
      <status>ignored</status>
      <modifiedWord/>
      <trackRevisions>false</trackRevisions>
    </reviewItem>
    <reviewItem>
      <errorID>84b75b9b-48d9-4e8e-81d4-c99d15fe9c20</errorID>
      <errorWord>，</errorWord>
      <group>L1_Format</group>
      <groupName>格式问题</groupName>
      <ability>L2_HalfPunc_CN</ability>
      <abilityName>全半角问题</abilityName>
      <candidateList>
        <item>,</item>
      </candidateList>
      <explain>文本全半角错误。</explain>
      <paraID>6D558726</paraID>
      <start>38</start>
      <end>39</end>
      <status>ignored</status>
      <modifiedWord/>
      <trackRevisions>false</trackRevisions>
    </reviewItem>
    <reviewItem>
      <errorID>055d975c-36b3-40eb-a357-cdc44ac561d8</errorID>
      <errorWord>：</errorWord>
      <group>L1_Format</group>
      <groupName>格式问题</groupName>
      <ability>L2_HalfPunc_CN</ability>
      <abilityName>全半角问题</abilityName>
      <candidateList>
        <item>:</item>
      </candidateList>
      <explain>文本全半角错误。</explain>
      <paraID>406B35AE</paraID>
      <start>2</start>
      <end>3</end>
      <status>ignored</status>
      <modifiedWord/>
      <trackRevisions>false</trackRevisions>
    </reviewItem>
    <reviewItem>
      <errorID>a827fd50-dd2f-42b1-9e6a-eb3ae5106dfc</errorID>
      <errorWord>，</errorWord>
      <group>L1_Format</group>
      <groupName>格式问题</groupName>
      <ability>L2_HalfPunc_CN</ability>
      <abilityName>全半角问题</abilityName>
      <candidateList>
        <item>,</item>
      </candidateList>
      <explain>文本全半角错误。</explain>
      <paraID>406B35AE</paraID>
      <start>15</start>
      <end>16</end>
      <status>ignored</status>
      <modifiedWord/>
      <trackRevisions>false</trackRevisions>
    </reviewItem>
    <reviewItem>
      <errorID>dc9e2eab-7c87-4f24-9509-4cbf57afb2f0</errorID>
      <errorWord>：</errorWord>
      <group>L1_Format</group>
      <groupName>格式问题</groupName>
      <ability>L2_HalfPunc_CN</ability>
      <abilityName>全半角问题</abilityName>
      <candidateList>
        <item>:</item>
      </candidateList>
      <explain>文本全半角错误。</explain>
      <paraID>54E6CA30</paraID>
      <start>8</start>
      <end>9</end>
      <status>ignored</status>
      <modifiedWord/>
      <trackRevisions>false</trackRevisions>
    </reviewItem>
    <reviewItem>
      <errorID>1e0da874-c950-44d9-8448-0585e81ce277</errorID>
      <errorWord>，</errorWord>
      <group>L1_Format</group>
      <groupName>格式问题</groupName>
      <ability>L2_HalfPunc_CN</ability>
      <abilityName>全半角问题</abilityName>
      <candidateList>
        <item>,</item>
      </candidateList>
      <explain>文本全半角错误。</explain>
      <paraID>5029A3B1</paraID>
      <start>7</start>
      <end>8</end>
      <status>ignored</status>
      <modifiedWord/>
      <trackRevisions>false</trackRevisions>
    </reviewItem>
    <reviewItem>
      <errorID>18853add-2939-4fd3-9e2a-a03e24906a45</errorID>
      <errorWord>，</errorWord>
      <group>L1_Format</group>
      <groupName>格式问题</groupName>
      <ability>L2_HalfPunc_CN</ability>
      <abilityName>全半角问题</abilityName>
      <candidateList>
        <item>,</item>
      </candidateList>
      <explain>文本全半角错误。</explain>
      <paraID>5029A3B1</paraID>
      <start>13</start>
      <end>14</end>
      <status>ignored</status>
      <modifiedWord/>
      <trackRevisions>false</trackRevisions>
    </reviewItem>
    <reviewItem>
      <errorID>70cc4510-e3bb-401f-82b9-4e6a7b211514</errorID>
      <errorWord> </errorWord>
      <group>L1_Punc</group>
      <groupName>标点问题</groupName>
      <ability>L2_Punc_CN</ability>
      <abilityName>标点符号问题</abilityName>
      <candidateList>
        <item/>
      </candidateList>
      <explain>此处空格冗余，建议删除。</explain>
      <paraID>24057ED0</paraID>
      <start>47</start>
      <end>48</end>
      <status>ignored</status>
      <modifiedWord/>
      <trackRevisions>false</trackRevisions>
    </reviewItem>
    <reviewItem>
      <errorID>47d562a2-edbd-463f-9aea-f0f195294ccc</errorID>
      <errorWord>，</errorWord>
      <group>L1_Format</group>
      <groupName>格式问题</groupName>
      <ability>L2_HalfPunc_CN</ability>
      <abilityName>全半角问题</abilityName>
      <candidateList>
        <item>,</item>
      </candidateList>
      <explain>文本全半角错误。</explain>
      <paraID>24057ED0</paraID>
      <start>51</start>
      <end>52</end>
      <status>ignored</status>
      <modifiedWord/>
      <trackRevisions>false</trackRevisions>
    </reviewItem>
    <reviewItem>
      <errorID>d40eb673-6c5e-417c-b1a1-5468f5eab8c1</errorID>
      <errorWord>，</errorWord>
      <group>L1_Format</group>
      <groupName>格式问题</groupName>
      <ability>L2_HalfPunc_CN</ability>
      <abilityName>全半角问题</abilityName>
      <candidateList>
        <item>,</item>
      </candidateList>
      <explain>文本全半角错误。</explain>
      <paraID>24057ED0</paraID>
      <start>78</start>
      <end>79</end>
      <status>ignored</status>
      <modifiedWord/>
      <trackRevisions>false</trackRevisions>
    </reviewItem>
    <reviewItem>
      <errorID>c4ab26bf-07a7-4bca-aa8a-7101a8890bba</errorID>
      <errorWord>(</errorWord>
      <group>L1_Format</group>
      <groupName>格式问题</groupName>
      <ability>L2_HalfPunc_CN</ability>
      <abilityName>全半角问题</abilityName>
      <candidateList>
        <item>（</item>
      </candidateList>
      <explain>文本全半角错误。</explain>
      <paraID>1D719181</paraID>
      <start>8</start>
      <end>9</end>
      <status>ignored</status>
      <modifiedWord/>
      <trackRevisions>false</trackRevisions>
    </reviewItem>
    <reviewItem>
      <errorID>f166246b-c160-4ce2-9edd-b184197f4d3d</errorID>
      <errorWord>)</errorWord>
      <group>L1_Format</group>
      <groupName>格式问题</groupName>
      <ability>L2_HalfPunc_CN</ability>
      <abilityName>全半角问题</abilityName>
      <candidateList>
        <item>）</item>
      </candidateList>
      <explain>文本全半角错误。</explain>
      <paraID>1D719181</paraID>
      <start>15</start>
      <end>16</end>
      <status>ignored</status>
      <modifiedWord/>
      <trackRevisions>false</trackRevisions>
    </reviewItem>
    <reviewItem>
      <errorID>94223966-dbcf-4c05-87ed-1138f98f008b</errorID>
      <errorWord>，</errorWord>
      <group>L1_Format</group>
      <groupName>格式问题</groupName>
      <ability>L2_HalfPunc_CN</ability>
      <abilityName>全半角问题</abilityName>
      <candidateList>
        <item>,</item>
      </candidateList>
      <explain>文本全半角错误。</explain>
      <paraID>314AECEC</paraID>
      <start>8</start>
      <end>9</end>
      <status>ignored</status>
      <modifiedWord/>
      <trackRevisions>false</trackRevisions>
    </reviewItem>
    <reviewItem>
      <errorID>b5065e0a-0555-4bc0-87df-cb185f40d0f7</errorID>
      <errorWord>，</errorWord>
      <group>L1_Format</group>
      <groupName>格式问题</groupName>
      <ability>L2_HalfPunc_CN</ability>
      <abilityName>全半角问题</abilityName>
      <candidateList>
        <item>,</item>
      </candidateList>
      <explain>文本全半角错误。</explain>
      <paraID>314AECEC</paraID>
      <start>14</start>
      <end>15</end>
      <status>ignored</status>
      <modifiedWord/>
      <trackRevisions>false</trackRevisions>
    </reviewItem>
    <reviewItem>
      <errorID>56f417a7-bee4-4483-8b88-e05abab328b8</errorID>
      <errorWord>，</errorWord>
      <group>L1_Format</group>
      <groupName>格式问题</groupName>
      <ability>L2_HalfPunc_CN</ability>
      <abilityName>全半角问题</abilityName>
      <candidateList>
        <item>,</item>
      </candidateList>
      <explain>文本全半角错误。</explain>
      <paraID>314AECEC</paraID>
      <start>20</start>
      <end>21</end>
      <status>ignored</status>
      <modifiedWord/>
      <trackRevisions>false</trackRevisions>
    </reviewItem>
    <reviewItem>
      <errorID>27ae811c-0504-4b53-977f-1bd7213a01f8</errorID>
      <errorWord>，</errorWord>
      <group>L1_Format</group>
      <groupName>格式问题</groupName>
      <ability>L2_HalfPunc_CN</ability>
      <abilityName>全半角问题</abilityName>
      <candidateList>
        <item>,</item>
      </candidateList>
      <explain>文本全半角错误。</explain>
      <paraID>314AECEC</paraID>
      <start>28</start>
      <end>29</end>
      <status>ignored</status>
      <modifiedWord/>
      <trackRevisions>false</trackRevisions>
    </reviewItem>
    <reviewItem>
      <errorID>9afce13e-b096-4129-af26-06dac9a76e3e</errorID>
      <errorWord>-</errorWord>
      <group>L1_Punc</group>
      <groupName>标点问题</groupName>
      <ability>L2_Punc_CN</ability>
      <abilityName>标点符号问题</abilityName>
      <candidateList>
        <item/>
      </candidateList>
      <explain/>
      <paraID> A9BCC42</paraID>
      <start>2</start>
      <end>3</end>
      <status>ignored</status>
      <modifiedWord/>
      <trackRevisions>false</trackRevisions>
    </reviewItem>
    <reviewItem>
      <errorID>7f10696f-295b-4805-8c95-6fb6f5fc6767</errorID>
      <errorWord>-</errorWord>
      <group>L1_Punc</group>
      <groupName>标点问题</groupName>
      <ability>L2_Punc_CN</ability>
      <abilityName>标点符号问题</abilityName>
      <candidateList>
        <item/>
      </candidateList>
      <explain/>
      <paraID>1F03A2EB</paraID>
      <start>2</start>
      <end>3</end>
      <status>ignored</status>
      <modifiedWord/>
      <trackRevisions>false</trackRevisions>
    </reviewItem>
    <reviewItem>
      <errorID>015d9d15-4527-48c0-ba40-6841fd979d3b</errorID>
      <errorWord>，</errorWord>
      <group>L1_Format</group>
      <groupName>格式问题</groupName>
      <ability>L2_HalfPunc_CN</ability>
      <abilityName>全半角问题</abilityName>
      <candidateList>
        <item>,</item>
      </candidateList>
      <explain>文本全半角错误。</explain>
      <paraID> FDF5BD2</paraID>
      <start>6</start>
      <end>7</end>
      <status>ignored</status>
      <modifiedWord/>
      <trackRevisions>false</trackRevisions>
    </reviewItem>
    <reviewItem>
      <errorID>3a60308d-4cb8-4dcf-8736-11ab90d21fab</errorID>
      <errorWord>，</errorWord>
      <group>L1_Format</group>
      <groupName>格式问题</groupName>
      <ability>L2_HalfPunc_CN</ability>
      <abilityName>全半角问题</abilityName>
      <candidateList>
        <item>,</item>
      </candidateList>
      <explain>文本全半角错误。</explain>
      <paraID> 5A9CC27</paraID>
      <start>5</start>
      <end>6</end>
      <status>ignored</status>
      <modifiedWord/>
      <trackRevisions>false</trackRevisions>
    </reviewItem>
    <reviewItem>
      <errorID>b8ef507b-0b16-4650-8e25-00f2be778790</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71D1BAE2</paraID>
      <start>0</start>
      <end>2</end>
      <status>ignored</status>
      <modifiedWord/>
      <trackRevisions>false</trackRevisions>
    </reviewItem>
    <reviewItem>
      <errorID>1d41c86d-578f-4f70-97b6-db570faf9b70</errorID>
      <errorWord>m/</errorWord>
      <group>L1_Format</group>
      <groupName>格式问题</groupName>
      <ability>L2_Ordinal</ability>
      <abilityName>序号格式</abilityName>
      <candidateList>
        <item>m.</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2BFA767C</paraID>
      <start>0</start>
      <end>2</end>
      <status>ignored</status>
      <modifiedWord/>
      <trackRevisions>false</trackRevisions>
    </reviewItem>
    <reviewItem>
      <errorID>6c96908b-73e6-4a4f-8aa9-a2a8ef6d3154</errorID>
      <errorWord>，</errorWord>
      <group>L1_Format</group>
      <groupName>格式问题</groupName>
      <ability>L2_HalfPunc_CN</ability>
      <abilityName>全半角问题</abilityName>
      <candidateList>
        <item>,</item>
      </candidateList>
      <explain>文本全半角错误。</explain>
      <paraID>14A03433</paraID>
      <start>15</start>
      <end>16</end>
      <status>ignored</status>
      <modifiedWord/>
      <trackRevisions>false</trackRevisions>
    </reviewItem>
    <reviewItem>
      <errorID>a95599f6-2d00-4c19-9d03-e224e28ce711</errorID>
      <errorWord>，</errorWord>
      <group>L1_Format</group>
      <groupName>格式问题</groupName>
      <ability>L2_HalfPunc_CN</ability>
      <abilityName>全半角问题</abilityName>
      <candidateList>
        <item>,</item>
      </candidateList>
      <explain>文本全半角错误。</explain>
      <paraID>14A03433</paraID>
      <start>22</start>
      <end>23</end>
      <status>ignored</status>
      <modifiedWord/>
      <trackRevisions>false</trackRevisions>
    </reviewItem>
    <reviewItem>
      <errorID>07f83b5b-3a83-45d7-8402-3a0c2097ed54</errorID>
      <errorWord>，</errorWord>
      <group>L1_Format</group>
      <groupName>格式问题</groupName>
      <ability>L2_HalfPunc_CN</ability>
      <abilityName>全半角问题</abilityName>
      <candidateList>
        <item>, </item>
      </candidateList>
      <explain>文本全半角错误。</explain>
      <paraID>14A03433</paraID>
      <start>34</start>
      <end>35</end>
      <status>ignored</status>
      <modifiedWord/>
      <trackRevisions>false</trackRevisions>
    </reviewItem>
    <reviewItem>
      <errorID>7d4050ed-e7eb-4abe-b619-c81696741488</errorID>
      <errorWord>，</errorWord>
      <group>L1_Format</group>
      <groupName>格式问题</groupName>
      <ability>L2_HalfPunc_CN</ability>
      <abilityName>全半角问题</abilityName>
      <candidateList>
        <item>, </item>
      </candidateList>
      <explain>文本全半角错误。</explain>
      <paraID>14A03433</paraID>
      <start>37</start>
      <end>38</end>
      <status>ignored</status>
      <modifiedWord/>
      <trackRevisions>false</trackRevisions>
    </reviewItem>
    <reviewItem>
      <errorID>6b5ae467-cd0a-47a7-807a-c471e8917b3e</errorID>
      <errorWord>，</errorWord>
      <group>L1_Format</group>
      <groupName>格式问题</groupName>
      <ability>L2_HalfPunc_CN</ability>
      <abilityName>全半角问题</abilityName>
      <candidateList>
        <item>,</item>
      </candidateList>
      <explain>文本全半角错误。</explain>
      <paraID> 3EDCC8F</paraID>
      <start>3</start>
      <end>4</end>
      <status>ignored</status>
      <modifiedWord/>
      <trackRevisions>false</trackRevisions>
    </reviewItem>
    <reviewItem>
      <errorID>351dd9e4-4d99-47a2-87f2-1ace50ba15aa</errorID>
      <errorWord>，</errorWord>
      <group>L1_Format</group>
      <groupName>格式问题</groupName>
      <ability>L2_HalfPunc_CN</ability>
      <abilityName>全半角问题</abilityName>
      <candidateList>
        <item>,</item>
      </candidateList>
      <explain>文本全半角错误。</explain>
      <paraID> 3EDCC8F</paraID>
      <start>8</start>
      <end>9</end>
      <status>ignored</status>
      <modifiedWord/>
      <trackRevisions>false</trackRevisions>
    </reviewItem>
    <reviewItem>
      <errorID>d70fd503-a64d-43eb-ae56-40bb2a517082</errorID>
      <errorWord>，</errorWord>
      <group>L1_Format</group>
      <groupName>格式问题</groupName>
      <ability>L2_HalfPunc_CN</ability>
      <abilityName>全半角问题</abilityName>
      <candidateList>
        <item>,</item>
      </candidateList>
      <explain>文本全半角错误。</explain>
      <paraID>26AA6E94</paraID>
      <start>20</start>
      <end>21</end>
      <status>ignored</status>
      <modifiedWord/>
      <trackRevisions>false</trackRevisions>
    </reviewItem>
    <reviewItem>
      <errorID>3406d4f5-8930-4c2e-a243-0b3ec6e6b20f</errorID>
      <errorWord>，</errorWord>
      <group>L1_Format</group>
      <groupName>格式问题</groupName>
      <ability>L2_HalfPunc_CN</ability>
      <abilityName>全半角问题</abilityName>
      <candidateList>
        <item>, </item>
      </candidateList>
      <explain>文本全半角错误。</explain>
      <paraID>26AA6E94</paraID>
      <start>38</start>
      <end>39</end>
      <status>ignored</status>
      <modifiedWord/>
      <trackRevisions>false</trackRevisions>
    </reviewItem>
    <reviewItem>
      <errorID>40a0f54a-a8e2-4335-aec7-6701da9bc3e7</errorID>
      <errorWord>，</errorWord>
      <group>L1_Format</group>
      <groupName>格式问题</groupName>
      <ability>L2_HalfPunc_CN</ability>
      <abilityName>全半角问题</abilityName>
      <candidateList>
        <item>, </item>
      </candidateList>
      <explain>文本全半角错误。</explain>
      <paraID>26AA6E94</paraID>
      <start>44</start>
      <end>45</end>
      <status>ignored</status>
      <modifiedWord/>
      <trackRevisions>false</trackRevisions>
    </reviewItem>
    <reviewItem>
      <errorID>e83802ca-c998-455c-9663-2a1fa9581ed1</errorID>
      <errorWord>yn11</errorWord>
      <group>L1_Punc</group>
      <groupName>标点问题</groupName>
      <ability>L2_Punc_CN</ability>
      <abilityName>标点符号问题</abilityName>
      <candidateList>
        <item>yn11。</item>
      </candidateList>
      <explain/>
      <paraID>26AA6E94</paraID>
      <start>47</start>
      <end>51</end>
      <status>ignored</status>
      <modifiedWord/>
      <trackRevisions>false</trackRevisions>
    </reviewItem>
    <reviewItem>
      <errorID>c069facd-7d68-47ef-992e-d961cf0a14e4</errorID>
      <errorWord>，</errorWord>
      <group>L1_Format</group>
      <groupName>格式问题</groupName>
      <ability>L2_HalfPunc_CN</ability>
      <abilityName>全半角问题</abilityName>
      <candidateList>
        <item>,</item>
      </candidateList>
      <explain>文本全半角错误。</explain>
      <paraID>3DFF030C</paraID>
      <start>24</start>
      <end>25</end>
      <status>ignored</status>
      <modifiedWord/>
      <trackRevisions>false</trackRevisions>
    </reviewItem>
    <reviewItem>
      <errorID>8ea02948-34ea-40c2-9e24-621795320c6e</errorID>
      <errorWord>，</errorWord>
      <group>L1_Format</group>
      <groupName>格式问题</groupName>
      <ability>L2_HalfPunc_CN</ability>
      <abilityName>全半角问题</abilityName>
      <candidateList>
        <item>, </item>
      </candidateList>
      <explain>文本全半角错误。</explain>
      <paraID>3DFF030C</paraID>
      <start>42</start>
      <end>43</end>
      <status>ignored</status>
      <modifiedWord/>
      <trackRevisions>false</trackRevisions>
    </reviewItem>
    <reviewItem>
      <errorID>6d9bd215-c146-4edf-853f-542fd361879c</errorID>
      <errorWord>，</errorWord>
      <group>L1_Format</group>
      <groupName>格式问题</groupName>
      <ability>L2_HalfPunc_CN</ability>
      <abilityName>全半角问题</abilityName>
      <candidateList>
        <item>, </item>
      </candidateList>
      <explain>文本全半角错误。</explain>
      <paraID>3DFF030C</paraID>
      <start>48</start>
      <end>49</end>
      <status>ignored</status>
      <modifiedWord/>
      <trackRevisions>false</trackRevisions>
    </reviewItem>
    <reviewItem>
      <errorID>1db359bb-4d24-41dd-b355-305baeaef521</errorID>
      <errorWord>yn11</errorWord>
      <group>L1_Punc</group>
      <groupName>标点问题</groupName>
      <ability>L2_Punc_CN</ability>
      <abilityName>标点符号问题</abilityName>
      <candidateList>
        <item>yn11。</item>
      </candidateList>
      <explain/>
      <paraID>3DFF030C</paraID>
      <start>51</start>
      <end>55</end>
      <status>ignored</status>
      <modifiedWord/>
      <trackRevisions>false</trackRevisions>
    </reviewItem>
    <reviewItem>
      <errorID>852b0fc8-6beb-41fe-9426-1e8adbc8747b</errorID>
      <errorWord>，</errorWord>
      <group>L1_Format</group>
      <groupName>格式问题</groupName>
      <ability>L2_HalfPunc_CN</ability>
      <abilityName>全半角问题</abilityName>
      <candidateList>
        <item>, </item>
      </candidateList>
      <explain>文本全半角错误。</explain>
      <paraID>18839F83</paraID>
      <start>24</start>
      <end>25</end>
      <status>ignored</status>
      <modifiedWord/>
      <trackRevisions>false</trackRevisions>
    </reviewItem>
    <reviewItem>
      <errorID>4c5f7b23-bff7-4009-bfbd-33bf107ffb8d</errorID>
      <errorWord>，</errorWord>
      <group>L1_Format</group>
      <groupName>格式问题</groupName>
      <ability>L2_HalfPunc_CN</ability>
      <abilityName>全半角问题</abilityName>
      <candidateList>
        <item>, </item>
      </candidateList>
      <explain>文本全半角错误。</explain>
      <paraID>6FB852C7</paraID>
      <start>7</start>
      <end>8</end>
      <status>ignored</status>
      <modifiedWord/>
      <trackRevisions>false</trackRevisions>
    </reviewItem>
    <reviewItem>
      <errorID>5b3a4de3-c066-4a24-b070-b0625dddad84</errorID>
      <errorWord>，</errorWord>
      <group>L1_Format</group>
      <groupName>格式问题</groupName>
      <ability>L2_HalfPunc_CN</ability>
      <abilityName>全半角问题</abilityName>
      <candidateList>
        <item>, </item>
      </candidateList>
      <explain>文本全半角错误。</explain>
      <paraID>615141BD</paraID>
      <start>3</start>
      <end>4</end>
      <status>ignored</status>
      <modifiedWord/>
      <trackRevisions>false</trackRevisions>
    </reviewItem>
    <reviewItem>
      <errorID>1a5fba1b-f062-4648-a2f3-a36cc9d09b31</errorID>
      <errorWord>由</errorWord>
      <group>L1_Punc</group>
      <groupName>标点问题</groupName>
      <ability>L2_Punc_CN</ability>
      <abilityName>标点符号问题</abilityName>
      <candidateList>
        <item>，由</item>
      </candidateList>
      <explain/>
      <paraID>72829761</paraID>
      <start>26</start>
      <end>27</end>
      <status>ignored</status>
      <modifiedWord/>
      <trackRevisions>false</trackRevisions>
    </reviewItem>
    <reviewItem>
      <errorID>d15946ae-6f9a-4efe-96da-04889c882b8a</errorID>
      <errorWord>第四个</errorWord>
      <group>L1_Grammar</group>
      <groupName>语法问题</groupName>
      <ability>L2_Grammar</ability>
      <abilityName>语法错误</abilityName>
      <candidateList>
        <item>接入第四个</item>
      </candidateList>
      <explain/>
      <paraID>72829761</paraID>
      <start>30</start>
      <end>33</end>
      <status>ignored</status>
      <modifiedWord/>
      <trackRevisions>false</trackRevisions>
    </reviewItem>
    <reviewItem>
      <errorID>a3ec4df0-b125-4cad-850b-6e0feb129350</errorID>
      <errorWord>、</errorWord>
      <group>L1_Punc</group>
      <groupName>标点问题</groupName>
      <ability>L2_Punc_CN</ability>
      <abilityName>标点符号问题</abilityName>
      <candidateList>
        <item>，</item>
      </candidateList>
      <explain/>
      <paraID>2267315A</paraID>
      <start>5</start>
      <end>6</end>
      <status>ignored</status>
      <modifiedWord/>
      <trackRevisions>false</trackRevisions>
    </reviewItem>
    <reviewItem>
      <errorID>a6bdebdc-8d6e-4abc-978e-87a6a0774140</errorID>
      <errorWord>工</errorWord>
      <group>L1_Word</group>
      <groupName>字词问题</groupName>
      <ability>L2_Typo</ability>
      <abilityName>字词错误</abilityName>
      <candidateList>
        <item>工现</item>
      </candidateList>
      <explain/>
      <paraID>6571F440</paraID>
      <start>3</start>
      <end>4</end>
      <status>ignored</status>
      <modifiedWord/>
      <trackRevisions>false</trackRevisions>
    </reviewItem>
    <reviewItem>
      <errorID>23bb0167-69c7-4e23-bb37-e4e93da7e689</errorID>
      <errorWord>工</errorWord>
      <group>L1_Word</group>
      <groupName>字词问题</groupName>
      <ability>L2_Typo</ability>
      <abilityName>字词错误</abilityName>
      <candidateList>
        <item>工现</item>
      </candidateList>
      <explain/>
      <paraID>576696E7</paraID>
      <start>3</start>
      <end>4</end>
      <status>ignored</status>
      <modifiedWord/>
      <trackRevisions>false</trackRevisions>
    </reviewItem>
    <reviewItem>
      <errorID>9dae6862-a2e7-4d3c-9d5d-fa0434d8c94c</errorID>
      <errorWord> </errorWord>
      <group>L1_Punc</group>
      <groupName>标点问题</groupName>
      <ability>L2_Punc_CN</ability>
      <abilityName>标点符号问题</abilityName>
      <candidateList>
        <item>·</item>
      </candidateList>
      <explain/>
      <paraID>24A31E04</paraID>
      <start>60</start>
      <end>61</end>
      <status>ignored</status>
      <modifiedWord/>
      <trackRevisions>false</trackRevisions>
    </reviewItem>
    <reviewItem>
      <errorID>29da28ab-6a4b-4ff1-8079-561efa4e6c3f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63102783</paraID>
      <start>39</start>
      <end>40</end>
      <status>ignored</status>
      <modifiedWord/>
      <trackRevisions>false</trackRevisions>
    </reviewItem>
    <reviewItem>
      <errorID>6a07218d-75eb-4a4b-98a4-0a062f2cf8bc</errorID>
      <errorWord> </errorWord>
      <group>L1_Punc</group>
      <groupName>标点问题</groupName>
      <ability>L2_Punc_CN</ability>
      <abilityName>标点符号问题</abilityName>
      <candidateList>
        <item>·</item>
      </candidateList>
      <explain/>
      <paraID>63102783</paraID>
      <start>47</start>
      <end>48</end>
      <status>ignored</status>
      <modifiedWord/>
      <trackRevisions>false</trackRevisions>
    </reviewItem>
    <reviewItem>
      <errorID>dd5b329b-674a-4823-b97d-60a605eb4a20</errorID>
      <errorWord> </errorWord>
      <group>L1_Punc</group>
      <groupName>标点问题</groupName>
      <ability>L2_Punc_CN</ability>
      <abilityName>标点符号问题</abilityName>
      <candidateList>
        <item>·</item>
      </candidateList>
      <explain/>
      <paraID>63102783</paraID>
      <start>61</start>
      <end>62</end>
      <status>ignored</status>
      <modifiedWord/>
      <trackRevisions>false</trackRevisions>
    </reviewItem>
    <reviewItem>
      <errorID>52f43748-c405-4ebb-a3c9-aff01cf89b3a</errorID>
      <errorWord>接入</errorWord>
      <group>L1_Punc</group>
      <groupName>标点问题</groupName>
      <ability>L2_Punc_CN</ability>
      <abilityName>标点符号问题</abilityName>
      <candidateList>
        <item>，接入</item>
      </candidateList>
      <explain/>
      <paraID>5EEDD4B1</paraID>
      <start>21</start>
      <end>23</end>
      <status>ignored</status>
      <modifiedWord/>
      <trackRevisions>false</trackRevisions>
    </reviewItem>
    <reviewItem>
      <errorID>17f2ccdc-f420-4c7e-b644-74ab1f72a743</errorID>
      <errorWord>5617m2</errorWord>
      <group>L1_Word</group>
      <groupName>字词问题</groupName>
      <ability>L2_Typo</ability>
      <abilityName>字词错误</abilityName>
      <candidateList>
        <item>5617m²</item>
      </candidateList>
      <explain/>
      <paraID>7DE3A379</paraID>
      <start>26</start>
      <end>32</end>
      <status>ignored</status>
      <modifiedWord/>
      <trackRevisions>false</trackRevisions>
    </reviewItem>
    <reviewItem>
      <errorID>cdb742d3-d2e9-4251-8b7f-3868af236df4</errorID>
      <errorWord>，</errorWord>
      <group>L1_Punc</group>
      <groupName>标点问题</groupName>
      <ability>L2_Punc_CN</ability>
      <abilityName>标点符号问题</abilityName>
      <candidateList>
        <item>、</item>
      </candidateList>
      <explain/>
      <paraID>6F0FB42A</paraID>
      <start>28</start>
      <end>29</end>
      <status>ignored</status>
      <modifiedWord/>
      <trackRevisions>false</trackRevisions>
    </reviewItem>
    <reviewItem>
      <errorID>daa2312e-fa0a-4812-8f18-3bfd69539f40</errorID>
      <errorWord>，</errorWord>
      <group>L1_Punc</group>
      <groupName>标点问题</groupName>
      <ability>L2_Punc_CN</ability>
      <abilityName>标点符号问题</abilityName>
      <candidateList>
        <item>。</item>
      </candidateList>
      <explain/>
      <paraID>5FE59C51</paraID>
      <start>76</start>
      <end>77</end>
      <status>ignored</status>
      <modifiedWord/>
      <trackRevisions>false</trackRevisions>
    </reviewItem>
    <reviewItem>
      <errorID>fc27d179-67b8-4d85-a10e-766594e2434b</errorID>
      <errorWord>GB3095</errorWord>
      <group>L1_Word</group>
      <groupName>字词问题</groupName>
      <ability>L2_Typo</ability>
      <abilityName>字词错误</abilityName>
      <candidateList>
        <item>GB 3095</item>
      </candidateList>
      <explain/>
      <paraID>25387971</paraID>
      <start>13</start>
      <end>19</end>
      <status>ignored</status>
      <modifiedWord/>
      <trackRevisions>false</trackRevisions>
    </reviewItem>
    <reviewItem>
      <errorID>e7d23905-bc00-4804-891b-719d79f11f5f</errorID>
      <errorWord>敏感区或</errorWord>
      <group>L1_Word</group>
      <groupName>字词问题</groupName>
      <ability>L2_Typo</ability>
      <abilityName>字词错误</abilityName>
      <candidateList>
        <item>敏感区域</item>
      </candidateList>
      <explain/>
      <paraID>49BDAF0D</paraID>
      <start>65</start>
      <end>69</end>
      <status>ignored</status>
      <modifiedWord/>
      <trackRevisions>false</trackRevisions>
    </reviewItem>
    <reviewItem>
      <errorID>eded04fa-d923-4bed-9d63-33983818f1b6</errorID>
      <errorWord>(</errorWord>
      <group>L1_Format</group>
      <groupName>格式问题</groupName>
      <ability>L2_HalfPunc_CN</ability>
      <abilityName>全半角问题</abilityName>
      <candidateList>
        <item>（</item>
      </candidateList>
      <explain>文本全半角错误。</explain>
      <paraID> 7610297</paraID>
      <start>3</start>
      <end>4</end>
      <status>ignored</status>
      <modifiedWord/>
      <trackRevisions>false</trackRevisions>
    </reviewItem>
    <reviewItem>
      <errorID>7cf04204-6d77-42af-843d-9d13072981bd</errorID>
      <errorWord>(</errorWord>
      <group>L1_Punc</group>
      <groupName>标点问题</groupName>
      <ability>L2_Punc_CN</ability>
      <abilityName>标点符号问题</abilityName>
      <candidateList/>
      <explain>同一形式括号套用。</explain>
      <paraID> 7610297</paraID>
      <start>6</start>
      <end>7</end>
      <status>ignored</status>
      <modifiedWord/>
      <trackRevisions>false</trackRevisions>
    </reviewItem>
    <reviewItem>
      <errorID>5df9f529-1808-421b-bdc6-3df06b3cae4f</errorID>
      <errorWord>)</errorWord>
      <group>L1_Punc</group>
      <groupName>标点问题</groupName>
      <ability>L2_Punc_CN</ability>
      <abilityName>标点符号问题</abilityName>
      <candidateList/>
      <explain>同一形式括号套用。</explain>
      <paraID> 7610297</paraID>
      <start>8</start>
      <end>9</end>
      <status>ignored</status>
      <modifiedWord/>
      <trackRevisions>false</trackRevisions>
    </reviewItem>
    <reviewItem>
      <errorID>0b7e1185-e486-4382-9c54-62fdae349be4</errorID>
      <errorWord>)</errorWord>
      <group>L1_Format</group>
      <groupName>格式问题</groupName>
      <ability>L2_HalfPunc_CN</ability>
      <abilityName>全半角问题</abilityName>
      <candidateList>
        <item>）</item>
      </candidateList>
      <explain>文本全半角错误。</explain>
      <paraID> FE2CC23</paraID>
      <start>190</start>
      <end>191</end>
      <status>ignored</status>
      <modifiedWord/>
      <trackRevisions>false</trackRevisions>
    </reviewItem>
    <reviewItem>
      <errorID>9552c37b-aa0c-4d0b-a754-39289a2275f5</errorID>
      <errorWord>)</errorWord>
      <group>L1_Format</group>
      <groupName>格式问题</groupName>
      <ability>L2_HalfPunc_CN</ability>
      <abilityName>全半角问题</abilityName>
      <candidateList>
        <item>）</item>
      </candidateList>
      <explain>文本全半角错误。</explain>
      <paraID> FE2CC23</paraID>
      <start>201</start>
      <end>202</end>
      <status>ignored</status>
      <modifiedWord/>
      <trackRevisions>false</trackRevisions>
    </reviewItem>
    <reviewItem>
      <errorID>c40d087e-40db-481d-b323-d676cd1cc0fb</errorID>
      <errorWord>（</errorWord>
      <group>L1_Punc</group>
      <groupName>标点问题</groupName>
      <ability>L2_Punc_CN</ability>
      <abilityName>标点符号问题</abilityName>
      <candidateList/>
      <explain>同一形式括号套用。</explain>
      <paraID> D93B519</paraID>
      <start>82</start>
      <end>83</end>
      <status>ignored</status>
      <modifiedWord/>
      <trackRevisions>false</trackRevisions>
    </reviewItem>
    <reviewItem>
      <errorID>05b0928b-1042-43bb-8579-62e4ffb7b536</errorID>
      <errorWord>(</errorWord>
      <group>L1_Punc</group>
      <groupName>标点问题</groupName>
      <ability>L2_Punc_CN</ability>
      <abilityName>标点符号问题</abilityName>
      <candidateList/>
      <explain>同一形式括号套用。</explain>
      <paraID> D93B519</paraID>
      <start>104</start>
      <end>105</end>
      <status>ignored</status>
      <modifiedWord/>
      <trackRevisions>false</trackRevisions>
    </reviewItem>
    <reviewItem>
      <errorID>e09dc8d8-3b81-4685-b67f-af38bddeb7f0</errorID>
      <errorWord>)</errorWord>
      <group>L1_Punc</group>
      <groupName>标点问题</groupName>
      <ability>L2_Punc_CN</ability>
      <abilityName>标点符号问题</abilityName>
      <candidateList/>
      <explain>同一形式括号套用。</explain>
      <paraID> D93B519</paraID>
      <start>107</start>
      <end>108</end>
      <status>ignored</status>
      <modifiedWord/>
      <trackRevisions>false</trackRevisions>
    </reviewItem>
    <reviewItem>
      <errorID>1ee5426b-a285-4e6f-bfa4-5241cb294b84</errorID>
      <errorWord>）</errorWord>
      <group>L1_Punc</group>
      <groupName>标点问题</groupName>
      <ability>L2_Punc_CN</ability>
      <abilityName>标点符号问题</abilityName>
      <candidateList/>
      <explain>同一形式括号套用。</explain>
      <paraID> D93B519</paraID>
      <start>118</start>
      <end>119</end>
      <status>ignored</status>
      <modifiedWord/>
      <trackRevisions>false</trackRevisions>
    </reviewItem>
    <reviewItem>
      <errorID>da634edd-0c4a-41d3-9b8b-99d163993eba</errorID>
      <errorWord>)</errorWord>
      <group>L1_Format</group>
      <groupName>格式问题</groupName>
      <ability>L2_HalfPunc_CN</ability>
      <abilityName>全半角问题</abilityName>
      <candidateList>
        <item>）</item>
      </candidateList>
      <explain>文本全半角错误。</explain>
      <paraID>402FD915</paraID>
      <start>143</start>
      <end>144</end>
      <status>ignored</status>
      <modifiedWord/>
      <trackRevisions>false</trackRevisions>
    </reviewItem>
    <reviewItem>
      <errorID>12c4022b-7597-454b-a1c7-cc13310873bf</errorID>
      <errorWord>)</errorWord>
      <group>L1_Format</group>
      <groupName>格式问题</groupName>
      <ability>L2_HalfPunc_CN</ability>
      <abilityName>全半角问题</abilityName>
      <candidateList>
        <item>）</item>
      </candidateList>
      <explain>文本全半角错误。</explain>
      <paraID>6BFFF405</paraID>
      <start>29</start>
      <end>30</end>
      <status>ignored</status>
      <modifiedWord/>
      <trackRevisions>false</trackRevisions>
    </reviewItem>
    <reviewItem>
      <errorID>dd93bda8-e96e-4619-9c8f-3a7b3f10ac08</errorID>
      <errorWord>)</errorWord>
      <group>L1_Format</group>
      <groupName>格式问题</groupName>
      <ability>L2_HalfPunc_CN</ability>
      <abilityName>全半角问题</abilityName>
      <candidateList>
        <item>）</item>
      </candidateList>
      <explain>文本全半角错误。</explain>
      <paraID>21582065</paraID>
      <start>96</start>
      <end>97</end>
      <status>ignored</status>
      <modifiedWord/>
      <trackRevisions>false</trackRevisions>
    </reviewItem>
    <reviewItem>
      <errorID>054873df-8cd1-4e1a-8d76-96146348be94</errorID>
      <errorWord>)</errorWord>
      <group>L1_Format</group>
      <groupName>格式问题</groupName>
      <ability>L2_HalfPunc_CN</ability>
      <abilityName>全半角问题</abilityName>
      <candidateList>
        <item>）</item>
      </candidateList>
      <explain>文本全半角错误。</explain>
      <paraID>1683293F</paraID>
      <start>52</start>
      <end>53</end>
      <status>ignored</status>
      <modifiedWord/>
      <trackRevisions>false</trackRevisions>
    </reviewItem>
    <reviewItem>
      <errorID>b4cb5be9-e811-46b1-94e6-86a9d4152086</errorID>
      <errorWord>)</errorWord>
      <group>L1_Format</group>
      <groupName>格式问题</groupName>
      <ability>L2_HalfPunc_CN</ability>
      <abilityName>全半角问题</abilityName>
      <candidateList>
        <item>）</item>
      </candidateList>
      <explain>文本全半角错误。</explain>
      <paraID>1683293F</paraID>
      <start>111</start>
      <end>112</end>
      <status>ignored</status>
      <modifiedWord/>
      <trackRevisions>false</trackRevisions>
    </reviewItem>
    <reviewItem>
      <errorID>3cf35160-5c35-4ba6-878c-8a8d30fa8fc1</errorID>
      <errorWord>)</errorWord>
      <group>L1_Format</group>
      <groupName>格式问题</groupName>
      <ability>L2_HalfPunc_CN</ability>
      <abilityName>全半角问题</abilityName>
      <candidateList>
        <item>）</item>
      </candidateList>
      <explain>文本全半角错误。</explain>
      <paraID>1683293F</paraID>
      <start>125</start>
      <end>126</end>
      <status>ignored</status>
      <modifiedWord/>
      <trackRevisions>false</trackRevisions>
    </reviewItem>
    <reviewItem>
      <errorID>285dd029-16f1-4085-aac1-da7d872693ad</errorID>
      <errorWord>)</errorWord>
      <group>L1_Format</group>
      <groupName>格式问题</groupName>
      <ability>L2_HalfPunc_CN</ability>
      <abilityName>全半角问题</abilityName>
      <candidateList>
        <item>）</item>
      </candidateList>
      <explain>文本全半角错误。</explain>
      <paraID>55B78C3D</paraID>
      <start>46</start>
      <end>47</end>
      <status>ignored</status>
      <modifiedWord/>
      <trackRevisions>false</trackRevisions>
    </reviewItem>
    <reviewItem>
      <errorID>27b69452-724d-4a80-a43c-433da6cb6d21</errorID>
      <errorWord>)</errorWord>
      <group>L1_Format</group>
      <groupName>格式问题</groupName>
      <ability>L2_HalfPunc_CN</ability>
      <abilityName>全半角问题</abilityName>
      <candidateList>
        <item>）</item>
      </candidateList>
      <explain>文本全半角错误。</explain>
      <paraID>55B78C3D</paraID>
      <start>69</start>
      <end>70</end>
      <status>ignored</status>
      <modifiedWord/>
      <trackRevisions>false</trackRevisions>
    </reviewItem>
    <reviewItem>
      <errorID>8e8fdc79-133d-4040-9c8a-b5a9a6a11a98</errorID>
      <errorWord>)</errorWord>
      <group>L1_Format</group>
      <groupName>格式问题</groupName>
      <ability>L2_HalfPunc_CN</ability>
      <abilityName>全半角问题</abilityName>
      <candidateList>
        <item>）</item>
      </candidateList>
      <explain>文本全半角错误。</explain>
      <paraID>55B78C3D</paraID>
      <start>107</start>
      <end>108</end>
      <status>ignored</status>
      <modifiedWord/>
      <trackRevisions>false</trackRevisions>
    </reviewItem>
    <reviewItem>
      <errorID>e245ddce-e4c8-4fd5-bd71-a18de674bd5b</errorID>
      <errorWord>)</errorWord>
      <group>L1_Format</group>
      <groupName>格式问题</groupName>
      <ability>L2_HalfPunc_CN</ability>
      <abilityName>全半角问题</abilityName>
      <candidateList>
        <item>）</item>
      </candidateList>
      <explain>文本全半角错误。</explain>
      <paraID>55B78C3D</paraID>
      <start>118</start>
      <end>119</end>
      <status>ignored</status>
      <modifiedWord/>
      <trackRevisions>false</trackRevisions>
    </reviewItem>
    <reviewItem>
      <errorID>9838d0fc-b260-490e-87a6-b1cfc6b9c727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258C3A5E</paraID>
      <start>30</start>
      <end>31</end>
      <status>ignored</status>
      <modifiedWord/>
      <trackRevisions>false</trackRevisions>
    </reviewItem>
    <reviewItem>
      <errorID>3a6b8436-bae9-4645-9fb9-3b46cf6ea69a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4FD2A8A3</paraID>
      <start>22</start>
      <end>23</end>
      <status>ignored</status>
      <modifiedWord/>
      <trackRevisions>false</trackRevisions>
    </reviewItem>
    <reviewItem>
      <errorID>fc418bf1-3e97-4f04-be17-bc6e7c01f792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4FD2A8A3</paraID>
      <start>61</start>
      <end>62</end>
      <status>ignored</status>
      <modifiedWord/>
      <trackRevisions>false</trackRevisions>
    </reviewItem>
    <reviewItem>
      <errorID>efead8aa-d97a-4e2a-aef8-74132840ce55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7D1CFE9B</paraID>
      <start>83</start>
      <end>84</end>
      <status>ignored</status>
      <modifiedWord/>
      <trackRevisions>false</trackRevisions>
    </reviewItem>
    <reviewItem>
      <errorID>2f4be1e6-b304-4c66-8c44-c411fc130c78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7D1CFE9B</paraID>
      <start>122</start>
      <end>123</end>
      <status>ignored</status>
      <modifiedWord/>
      <trackRevisions>false</trackRevisions>
    </reviewItem>
    <reviewItem>
      <errorID>d416311a-4776-419f-968f-a55c30b365c2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219A6431</paraID>
      <start>108</start>
      <end>109</end>
      <status>ignored</status>
      <modifiedWord/>
      <trackRevisions>false</trackRevisions>
    </reviewItem>
    <reviewItem>
      <errorID>7cbb2180-7c2e-43d3-8319-31d1cc9980e5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219A6431</paraID>
      <start>142</start>
      <end>143</end>
      <status>ignored</status>
      <modifiedWord/>
      <trackRevisions>false</trackRevisions>
    </reviewItem>
    <reviewItem>
      <errorID>217a3360-dcc8-4808-85a5-03746cd3deb4</errorID>
      <errorWord>部令</errorWord>
      <group>L1_Sensitive</group>
      <groupName>敏感问题</groupName>
      <ability>L2_UserSensitive</ability>
      <abilityName>自定义敏感词</abilityName>
      <candidateList/>
      <explain>来自自定义敏感词库。</explain>
      <paraID>7A63F4AA</paraID>
      <start>34</start>
      <end>36</end>
      <status>ignored</status>
      <modifiedWord/>
      <trackRevisions>false</trackRevisions>
    </reviewItem>
    <reviewItem>
      <errorID>70c8c314-f234-435c-afb3-26015c85462c</errorID>
      <errorWord>～</errorWord>
      <group>L1_Punc</group>
      <groupName>标点问题</groupName>
      <ability>L2_Punc_CN</ability>
      <abilityName>标点符号问题</abilityName>
      <candidateList/>
      <explain/>
      <paraID>3F5C9C0F</paraID>
      <start>0</start>
      <end>1</end>
      <status>ignored</status>
      <modifiedWord/>
      <trackRevisions>false</trackRevisions>
    </reviewItem>
    <reviewItem>
      <errorID>aa39ed06-ed25-4e10-bdf5-978e4cb06a74</errorID>
      <errorWord>(</errorWord>
      <group>L1_Format</group>
      <groupName>格式问题</groupName>
      <ability>L2_HalfPunc_CN</ability>
      <abilityName>全半角问题</abilityName>
      <candidateList>
        <item>（</item>
      </candidateList>
      <explain>文本全半角错误。</explain>
      <paraID>3E7379B8</paraID>
      <start>2</start>
      <end>3</end>
      <status>ignored</status>
      <modifiedWord/>
      <trackRevisions>false</trackRevisions>
    </reviewItem>
    <reviewItem>
      <errorID>7f587c33-9fe2-42fd-b02c-23610acea038</errorID>
      <errorWord>)</errorWord>
      <group>L1_Format</group>
      <groupName>格式问题</groupName>
      <ability>L2_HalfPunc_CN</ability>
      <abilityName>全半角问题</abilityName>
      <candidateList>
        <item>）</item>
      </candidateList>
      <explain>文本全半角错误。</explain>
      <paraID>3E7379B8</paraID>
      <start>6</start>
      <end>7</end>
      <status>ignored</status>
      <modifiedWord/>
      <trackRevisions>false</trackRevisions>
    </reviewItem>
    <reviewItem>
      <errorID>4db40b79-5da8-4962-ae77-5dbbfde7affa</errorID>
      <errorWord>(</errorWord>
      <group>L1_Format</group>
      <groupName>格式问题</groupName>
      <ability>L2_HalfPunc_CN</ability>
      <abilityName>全半角问题</abilityName>
      <candidateList>
        <item>（</item>
      </candidateList>
      <explain>文本全半角错误。</explain>
      <paraID>2A598C05</paraID>
      <start>2</start>
      <end>3</end>
      <status>ignored</status>
      <modifiedWord/>
      <trackRevisions>false</trackRevisions>
    </reviewItem>
    <reviewItem>
      <errorID>036a15bc-d8b0-43b5-b37c-888751b21be1</errorID>
      <errorWord>)</errorWord>
      <group>L1_Format</group>
      <groupName>格式问题</groupName>
      <ability>L2_HalfPunc_CN</ability>
      <abilityName>全半角问题</abilityName>
      <candidateList>
        <item>）</item>
      </candidateList>
      <explain>文本全半角错误。</explain>
      <paraID>2A598C05</paraID>
      <start>5</start>
      <end>6</end>
      <status>ignored</status>
      <modifiedWord/>
      <trackRevisions>false</trackRevisions>
    </reviewItem>
    <reviewItem>
      <errorID>51617876-b8bf-4d36-a618-eef2ae96b236</errorID>
      <errorWord>(</errorWord>
      <group>L1_Format</group>
      <groupName>格式问题</groupName>
      <ability>L2_HalfPunc_CN</ability>
      <abilityName>全半角问题</abilityName>
      <candidateList>
        <item>（</item>
      </candidateList>
      <explain>文本全半角错误。</explain>
      <paraID>2563CCCA</paraID>
      <start>2</start>
      <end>3</end>
      <status>ignored</status>
      <modifiedWord/>
      <trackRevisions>false</trackRevisions>
    </reviewItem>
    <reviewItem>
      <errorID>adc46158-936b-46b8-9010-c56f62c8ccc7</errorID>
      <errorWord>)</errorWord>
      <group>L1_Format</group>
      <groupName>格式问题</groupName>
      <ability>L2_HalfPunc_CN</ability>
      <abilityName>全半角问题</abilityName>
      <candidateList>
        <item>）</item>
      </candidateList>
      <explain>文本全半角错误。</explain>
      <paraID>2563CCCA</paraID>
      <start>6</start>
      <end>7</end>
      <status>ignored</status>
      <modifiedWord/>
      <trackRevisions>false</trackRevisions>
    </reviewItem>
    <reviewItem>
      <errorID>e88e0265-2776-4aef-8dbe-8460a4dcd2df</errorID>
      <errorWord>(</errorWord>
      <group>L1_Format</group>
      <groupName>格式问题</groupName>
      <ability>L2_HalfPunc_CN</ability>
      <abilityName>全半角问题</abilityName>
      <candidateList>
        <item>（</item>
      </candidateList>
      <explain>文本全半角错误。</explain>
      <paraID>24514D3B</paraID>
      <start>2</start>
      <end>3</end>
      <status>ignored</status>
      <modifiedWord/>
      <trackRevisions>false</trackRevisions>
    </reviewItem>
    <reviewItem>
      <errorID>588593d0-67cf-49e9-b5ca-80c16f072d84</errorID>
      <errorWord>)</errorWord>
      <group>L1_Format</group>
      <groupName>格式问题</groupName>
      <ability>L2_HalfPunc_CN</ability>
      <abilityName>全半角问题</abilityName>
      <candidateList>
        <item>）</item>
      </candidateList>
      <explain>文本全半角错误。</explain>
      <paraID>24514D3B</paraID>
      <start>5</start>
      <end>6</end>
      <status>ignored</status>
      <modifiedWord/>
      <trackRevisions>false</trackRevisions>
    </reviewItem>
    <reviewItem>
      <errorID>cc4bba82-7215-4910-b739-b4ae2bd44a2a</errorID>
      <errorWord>(</errorWord>
      <group>L1_Format</group>
      <groupName>格式问题</groupName>
      <ability>L2_HalfPunc_CN</ability>
      <abilityName>全半角问题</abilityName>
      <candidateList>
        <item>（</item>
      </candidateList>
      <explain>文本全半角错误。</explain>
      <paraID> E0D40D0</paraID>
      <start>2</start>
      <end>3</end>
      <status>ignored</status>
      <modifiedWord/>
      <trackRevisions>false</trackRevisions>
    </reviewItem>
    <reviewItem>
      <errorID>d283c000-0444-466d-be7a-e0080bd172db</errorID>
      <errorWord>)</errorWord>
      <group>L1_Format</group>
      <groupName>格式问题</groupName>
      <ability>L2_HalfPunc_CN</ability>
      <abilityName>全半角问题</abilityName>
      <candidateList>
        <item>）</item>
      </candidateList>
      <explain>文本全半角错误。</explain>
      <paraID> E0D40D0</paraID>
      <start>6</start>
      <end>7</end>
      <status>ignored</status>
      <modifiedWord/>
      <trackRevisions>false</trackRevisions>
    </reviewItem>
    <reviewItem>
      <errorID>757efb3b-9ffb-46aa-aa52-3878fb3ec707</errorID>
      <errorWord>(</errorWord>
      <group>L1_Format</group>
      <groupName>格式问题</groupName>
      <ability>L2_HalfPunc_CN</ability>
      <abilityName>全半角问题</abilityName>
      <candidateList>
        <item>（</item>
      </candidateList>
      <explain>文本全半角错误。</explain>
      <paraID> 4643DD1</paraID>
      <start>2</start>
      <end>3</end>
      <status>ignored</status>
      <modifiedWord/>
      <trackRevisions>false</trackRevisions>
    </reviewItem>
    <reviewItem>
      <errorID>62551fda-fd65-451a-bc7c-34a4c7439793</errorID>
      <errorWord>)</errorWord>
      <group>L1_Format</group>
      <groupName>格式问题</groupName>
      <ability>L2_HalfPunc_CN</ability>
      <abilityName>全半角问题</abilityName>
      <candidateList>
        <item>）</item>
      </candidateList>
      <explain>文本全半角错误。</explain>
      <paraID> 4643DD1</paraID>
      <start>5</start>
      <end>6</end>
      <status>ignored</status>
      <modifiedWord/>
      <trackRevisions>false</trackRevisions>
    </reviewItem>
    <reviewItem>
      <errorID>1d26423c-38c4-4201-91ec-a90455d51a41</errorID>
      <errorWord>(</errorWord>
      <group>L1_Format</group>
      <groupName>格式问题</groupName>
      <ability>L2_HalfPunc_CN</ability>
      <abilityName>全半角问题</abilityName>
      <candidateList>
        <item>（</item>
      </candidateList>
      <explain>文本全半角错误。</explain>
      <paraID>317E948E</paraID>
      <start>2</start>
      <end>3</end>
      <status>ignored</status>
      <modifiedWord/>
      <trackRevisions>false</trackRevisions>
    </reviewItem>
    <reviewItem>
      <errorID>7bd246f8-b160-4351-8919-5cec497bc960</errorID>
      <errorWord>)</errorWord>
      <group>L1_Format</group>
      <groupName>格式问题</groupName>
      <ability>L2_HalfPunc_CN</ability>
      <abilityName>全半角问题</abilityName>
      <candidateList>
        <item>）</item>
      </candidateList>
      <explain>文本全半角错误。</explain>
      <paraID>317E948E</paraID>
      <start>6</start>
      <end>7</end>
      <status>ignored</status>
      <modifiedWord/>
      <trackRevisions>false</trackRevisions>
    </reviewItem>
    <reviewItem>
      <errorID>ee407891-dcaf-460b-9422-234cbd60bac7</errorID>
      <errorWord>(</errorWord>
      <group>L1_Format</group>
      <groupName>格式问题</groupName>
      <ability>L2_HalfPunc_CN</ability>
      <abilityName>全半角问题</abilityName>
      <candidateList>
        <item>（</item>
      </candidateList>
      <explain>文本全半角错误。</explain>
      <paraID>5864700F</paraID>
      <start>2</start>
      <end>3</end>
      <status>ignored</status>
      <modifiedWord/>
      <trackRevisions>false</trackRevisions>
    </reviewItem>
    <reviewItem>
      <errorID>f50ec970-bfd5-4cfe-bb94-cbcfe3557d6b</errorID>
      <errorWord>)</errorWord>
      <group>L1_Format</group>
      <groupName>格式问题</groupName>
      <ability>L2_HalfPunc_CN</ability>
      <abilityName>全半角问题</abilityName>
      <candidateList>
        <item>）</item>
      </candidateList>
      <explain>文本全半角错误。</explain>
      <paraID>5864700F</paraID>
      <start>5</start>
      <end>6</end>
      <status>ignored</status>
      <modifiedWord/>
      <trackRevisions>false</trackRevisions>
    </reviewItem>
    <reviewItem>
      <errorID>14dbbaca-bc95-4cd5-ab43-1a8d93327817</errorID>
      <errorWord>(</errorWord>
      <group>L1_Format</group>
      <groupName>格式问题</groupName>
      <ability>L2_HalfPunc_CN</ability>
      <abilityName>全半角问题</abilityName>
      <candidateList>
        <item>（</item>
      </candidateList>
      <explain>文本全半角错误。</explain>
      <paraID>547A15CA</paraID>
      <start>2</start>
      <end>3</end>
      <status>ignored</status>
      <modifiedWord/>
      <trackRevisions>false</trackRevisions>
    </reviewItem>
    <reviewItem>
      <errorID>48adbd10-8841-49c3-82d9-815571b9e441</errorID>
      <errorWord>)</errorWord>
      <group>L1_Format</group>
      <groupName>格式问题</groupName>
      <ability>L2_HalfPunc_CN</ability>
      <abilityName>全半角问题</abilityName>
      <candidateList>
        <item>）</item>
      </candidateList>
      <explain>文本全半角错误。</explain>
      <paraID>547A15CA</paraID>
      <start>6</start>
      <end>7</end>
      <status>ignored</status>
      <modifiedWord/>
      <trackRevisions>false</trackRevisions>
    </reviewItem>
    <reviewItem>
      <errorID>7e8b161b-c6ad-4304-a0c4-24cfdb7e14b3</errorID>
      <errorWord>(</errorWord>
      <group>L1_Format</group>
      <groupName>格式问题</groupName>
      <ability>L2_HalfPunc_CN</ability>
      <abilityName>全半角问题</abilityName>
      <candidateList>
        <item>（</item>
      </candidateList>
      <explain>文本全半角错误。</explain>
      <paraID>7531AF38</paraID>
      <start>2</start>
      <end>3</end>
      <status>ignored</status>
      <modifiedWord/>
      <trackRevisions>false</trackRevisions>
    </reviewItem>
    <reviewItem>
      <errorID>15b718a8-bb77-4d98-b7a2-15c5aeadbdca</errorID>
      <errorWord>)</errorWord>
      <group>L1_Format</group>
      <groupName>格式问题</groupName>
      <ability>L2_HalfPunc_CN</ability>
      <abilityName>全半角问题</abilityName>
      <candidateList>
        <item>）</item>
      </candidateList>
      <explain>文本全半角错误。</explain>
      <paraID>7531AF38</paraID>
      <start>5</start>
      <end>6</end>
      <status>ignored</status>
      <modifiedWord/>
      <trackRevisions>false</trackRevisions>
    </reviewItem>
    <reviewItem>
      <errorID>7dc6495e-3163-4d1e-abc3-e05bba747e80</errorID>
      <errorWord>(</errorWord>
      <group>L1_Format</group>
      <groupName>格式问题</groupName>
      <ability>L2_HalfPunc_CN</ability>
      <abilityName>全半角问题</abilityName>
      <candidateList>
        <item>（</item>
      </candidateList>
      <explain>文本全半角错误。</explain>
      <paraID>2B4F8E5C</paraID>
      <start>2</start>
      <end>3</end>
      <status>ignored</status>
      <modifiedWord/>
      <trackRevisions>false</trackRevisions>
    </reviewItem>
    <reviewItem>
      <errorID>224bf2a8-6a48-4ecd-9758-044e3f26c82d</errorID>
      <errorWord>)</errorWord>
      <group>L1_Format</group>
      <groupName>格式问题</groupName>
      <ability>L2_HalfPunc_CN</ability>
      <abilityName>全半角问题</abilityName>
      <candidateList>
        <item>）</item>
      </candidateList>
      <explain>文本全半角错误。</explain>
      <paraID>2B4F8E5C</paraID>
      <start>6</start>
      <end>7</end>
      <status>ignored</status>
      <modifiedWord/>
      <trackRevisions>false</trackRevisions>
    </reviewItem>
    <reviewItem>
      <errorID>c0501296-4796-4635-8a43-742dd24b711e</errorID>
      <errorWord>(</errorWord>
      <group>L1_Format</group>
      <groupName>格式问题</groupName>
      <ability>L2_HalfPunc_CN</ability>
      <abilityName>全半角问题</abilityName>
      <candidateList>
        <item>（</item>
      </candidateList>
      <explain>文本全半角错误。</explain>
      <paraID>35205E2F</paraID>
      <start>2</start>
      <end>3</end>
      <status>ignored</status>
      <modifiedWord/>
      <trackRevisions>false</trackRevisions>
    </reviewItem>
    <reviewItem>
      <errorID>e07e9085-f2a1-4d9d-a405-5a026c8c7b07</errorID>
      <errorWord>)</errorWord>
      <group>L1_Format</group>
      <groupName>格式问题</groupName>
      <ability>L2_HalfPunc_CN</ability>
      <abilityName>全半角问题</abilityName>
      <candidateList>
        <item>）</item>
      </candidateList>
      <explain>文本全半角错误。</explain>
      <paraID>35205E2F</paraID>
      <start>5</start>
      <end>6</end>
      <status>ignored</status>
      <modifiedWord/>
      <trackRevisions>false</trackRevisions>
    </reviewItem>
    <reviewItem>
      <errorID>904e11c8-0d84-45a2-bf97-f7a2f9f33120</errorID>
      <errorWord>(</errorWord>
      <group>L1_Format</group>
      <groupName>格式问题</groupName>
      <ability>L2_HalfPunc_CN</ability>
      <abilityName>全半角问题</abilityName>
      <candidateList>
        <item>（</item>
      </candidateList>
      <explain>文本全半角错误。</explain>
      <paraID>25318EAC</paraID>
      <start>2</start>
      <end>3</end>
      <status>ignored</status>
      <modifiedWord/>
      <trackRevisions>false</trackRevisions>
    </reviewItem>
    <reviewItem>
      <errorID>784f78a1-e714-4793-b730-764a83e6c4ce</errorID>
      <errorWord>)</errorWord>
      <group>L1_Format</group>
      <groupName>格式问题</groupName>
      <ability>L2_HalfPunc_CN</ability>
      <abilityName>全半角问题</abilityName>
      <candidateList>
        <item>）</item>
      </candidateList>
      <explain>文本全半角错误。</explain>
      <paraID>25318EAC</paraID>
      <start>6</start>
      <end>7</end>
      <status>ignored</status>
      <modifiedWord/>
      <trackRevisions>false</trackRevisions>
    </reviewItem>
    <reviewItem>
      <errorID>92cd296a-0b77-4ab2-a8ee-9feb810e982b</errorID>
      <errorWord>(</errorWord>
      <group>L1_Format</group>
      <groupName>格式问题</groupName>
      <ability>L2_HalfPunc_CN</ability>
      <abilityName>全半角问题</abilityName>
      <candidateList>
        <item>（</item>
      </candidateList>
      <explain>文本全半角错误。</explain>
      <paraID> E82BBC4</paraID>
      <start>2</start>
      <end>3</end>
      <status>ignored</status>
      <modifiedWord/>
      <trackRevisions>false</trackRevisions>
    </reviewItem>
    <reviewItem>
      <errorID>bff13874-9c03-4b27-8b3e-81662713d144</errorID>
      <errorWord>)</errorWord>
      <group>L1_Format</group>
      <groupName>格式问题</groupName>
      <ability>L2_HalfPunc_CN</ability>
      <abilityName>全半角问题</abilityName>
      <candidateList>
        <item>）</item>
      </candidateList>
      <explain>文本全半角错误。</explain>
      <paraID> E82BBC4</paraID>
      <start>5</start>
      <end>6</end>
      <status>ignored</status>
      <modifiedWord/>
      <trackRevisions>false</trackRevisions>
    </reviewItem>
    <reviewItem>
      <errorID>767d0a2e-3d10-46c3-b88f-7d65d51ed6b0</errorID>
      <errorWord>(</errorWord>
      <group>L1_Format</group>
      <groupName>格式问题</groupName>
      <ability>L2_HalfPunc_CN</ability>
      <abilityName>全半角问题</abilityName>
      <candidateList>
        <item>（</item>
      </candidateList>
      <explain>文本全半角错误。</explain>
      <paraID>38DE01C8</paraID>
      <start>2</start>
      <end>3</end>
      <status>ignored</status>
      <modifiedWord/>
      <trackRevisions>false</trackRevisions>
    </reviewItem>
    <reviewItem>
      <errorID>7011d0c5-9559-477c-9dbd-2db758be4abd</errorID>
      <errorWord>)</errorWord>
      <group>L1_Format</group>
      <groupName>格式问题</groupName>
      <ability>L2_HalfPunc_CN</ability>
      <abilityName>全半角问题</abilityName>
      <candidateList>
        <item>）</item>
      </candidateList>
      <explain>文本全半角错误。</explain>
      <paraID>38DE01C8</paraID>
      <start>6</start>
      <end>7</end>
      <status>ignored</status>
      <modifiedWord/>
      <trackRevisions>false</trackRevisions>
    </reviewItem>
    <reviewItem>
      <errorID>ade72d32-3e2c-4b61-99ca-7406af52f52d</errorID>
      <errorWord>(</errorWord>
      <group>L1_Format</group>
      <groupName>格式问题</groupName>
      <ability>L2_HalfPunc_CN</ability>
      <abilityName>全半角问题</abilityName>
      <candidateList>
        <item>（</item>
      </candidateList>
      <explain>文本全半角错误。</explain>
      <paraID>71AA58D5</paraID>
      <start>2</start>
      <end>3</end>
      <status>ignored</status>
      <modifiedWord/>
      <trackRevisions>false</trackRevisions>
    </reviewItem>
    <reviewItem>
      <errorID>97569269-cde3-456d-9f0f-7e4c4c4d6b6d</errorID>
      <errorWord>)</errorWord>
      <group>L1_Format</group>
      <groupName>格式问题</groupName>
      <ability>L2_HalfPunc_CN</ability>
      <abilityName>全半角问题</abilityName>
      <candidateList>
        <item>）</item>
      </candidateList>
      <explain>文本全半角错误。</explain>
      <paraID>71AA58D5</paraID>
      <start>5</start>
      <end>6</end>
      <status>ignored</status>
      <modifiedWord/>
      <trackRevisions>false</trackRevisions>
    </reviewItem>
    <reviewItem>
      <errorID>ae99f7e7-e30b-4397-9a1a-c59bc277e51c</errorID>
      <errorWord>(</errorWord>
      <group>L1_Format</group>
      <groupName>格式问题</groupName>
      <ability>L2_HalfPunc_CN</ability>
      <abilityName>全半角问题</abilityName>
      <candidateList>
        <item>（</item>
      </candidateList>
      <explain>文本全半角错误。</explain>
      <paraID>7DF68075</paraID>
      <start>2</start>
      <end>3</end>
      <status>ignored</status>
      <modifiedWord/>
      <trackRevisions>false</trackRevisions>
    </reviewItem>
    <reviewItem>
      <errorID>7054c758-0c20-4643-ae92-d2d3808ebfcf</errorID>
      <errorWord>)</errorWord>
      <group>L1_Format</group>
      <groupName>格式问题</groupName>
      <ability>L2_HalfPunc_CN</ability>
      <abilityName>全半角问题</abilityName>
      <candidateList>
        <item>）</item>
      </candidateList>
      <explain>文本全半角错误。</explain>
      <paraID>7DF68075</paraID>
      <start>6</start>
      <end>7</end>
      <status>ignored</status>
      <modifiedWord/>
      <trackRevisions>false</trackRevisions>
    </reviewItem>
    <reviewItem>
      <errorID>98d00723-b609-4dfa-bf65-966487c6b6f1</errorID>
      <errorWord>(</errorWord>
      <group>L1_Format</group>
      <groupName>格式问题</groupName>
      <ability>L2_HalfPunc_CN</ability>
      <abilityName>全半角问题</abilityName>
      <candidateList>
        <item>（</item>
      </candidateList>
      <explain>文本全半角错误。</explain>
      <paraID>57D3B844</paraID>
      <start>2</start>
      <end>3</end>
      <status>ignored</status>
      <modifiedWord/>
      <trackRevisions>false</trackRevisions>
    </reviewItem>
    <reviewItem>
      <errorID>ae17f5ce-51a8-4b01-8263-78613e8e68a8</errorID>
      <errorWord>)</errorWord>
      <group>L1_Format</group>
      <groupName>格式问题</groupName>
      <ability>L2_HalfPunc_CN</ability>
      <abilityName>全半角问题</abilityName>
      <candidateList>
        <item>）</item>
      </candidateList>
      <explain>文本全半角错误。</explain>
      <paraID>57D3B844</paraID>
      <start>5</start>
      <end>6</end>
      <status>ignored</status>
      <modifiedWord/>
      <trackRevisions>false</trackRevisions>
    </reviewItem>
    <reviewItem>
      <errorID>44a8186b-2fc0-4948-b4ba-6c9273dc4b71</errorID>
      <errorWord>(</errorWord>
      <group>L1_Format</group>
      <groupName>格式问题</groupName>
      <ability>L2_HalfPunc_CN</ability>
      <abilityName>全半角问题</abilityName>
      <candidateList>
        <item>（</item>
      </candidateList>
      <explain>文本全半角错误。</explain>
      <paraID>182953A8</paraID>
      <start>2</start>
      <end>3</end>
      <status>ignored</status>
      <modifiedWord/>
      <trackRevisions>false</trackRevisions>
    </reviewItem>
    <reviewItem>
      <errorID>c87cc5db-35b4-4a9f-a70b-b6065cdd7ace</errorID>
      <errorWord>)</errorWord>
      <group>L1_Format</group>
      <groupName>格式问题</groupName>
      <ability>L2_HalfPunc_CN</ability>
      <abilityName>全半角问题</abilityName>
      <candidateList>
        <item>）</item>
      </candidateList>
      <explain>文本全半角错误。</explain>
      <paraID>182953A8</paraID>
      <start>6</start>
      <end>7</end>
      <status>ignored</status>
      <modifiedWord/>
      <trackRevisions>false</trackRevisions>
    </reviewItem>
    <reviewItem>
      <errorID>e8bf2596-1fd1-4ecc-bb34-30eb5d8cee32</errorID>
      <errorWord>(</errorWord>
      <group>L1_Format</group>
      <groupName>格式问题</groupName>
      <ability>L2_HalfPunc_CN</ability>
      <abilityName>全半角问题</abilityName>
      <candidateList>
        <item>（</item>
      </candidateList>
      <explain>文本全半角错误。</explain>
      <paraID>7D13388F</paraID>
      <start>2</start>
      <end>3</end>
      <status>ignored</status>
      <modifiedWord/>
      <trackRevisions>false</trackRevisions>
    </reviewItem>
    <reviewItem>
      <errorID>2b1ff4f7-6af1-4f84-8820-f088b7942b43</errorID>
      <errorWord>)</errorWord>
      <group>L1_Format</group>
      <groupName>格式问题</groupName>
      <ability>L2_HalfPunc_CN</ability>
      <abilityName>全半角问题</abilityName>
      <candidateList>
        <item>）</item>
      </candidateList>
      <explain>文本全半角错误。</explain>
      <paraID>7D13388F</paraID>
      <start>5</start>
      <end>6</end>
      <status>ignored</status>
      <modifiedWord/>
      <trackRevisions>false</trackRevisions>
    </reviewItem>
    <reviewItem>
      <errorID>31c24098-57f8-403f-b811-8455df63c164</errorID>
      <errorWord>(</errorWord>
      <group>L1_Format</group>
      <groupName>格式问题</groupName>
      <ability>L2_HalfPunc_CN</ability>
      <abilityName>全半角问题</abilityName>
      <candidateList>
        <item>（</item>
      </candidateList>
      <explain>文本全半角错误。</explain>
      <paraID> A327857</paraID>
      <start>2</start>
      <end>3</end>
      <status>ignored</status>
      <modifiedWord/>
      <trackRevisions>false</trackRevisions>
    </reviewItem>
    <reviewItem>
      <errorID>2f1f3507-b486-4b96-a297-f1a2f2fd074f</errorID>
      <errorWord>)</errorWord>
      <group>L1_Format</group>
      <groupName>格式问题</groupName>
      <ability>L2_HalfPunc_CN</ability>
      <abilityName>全半角问题</abilityName>
      <candidateList>
        <item>）</item>
      </candidateList>
      <explain>文本全半角错误。</explain>
      <paraID> A327857</paraID>
      <start>6</start>
      <end>7</end>
      <status>ignored</status>
      <modifiedWord/>
      <trackRevisions>false</trackRevisions>
    </reviewItem>
    <reviewItem>
      <errorID>520de87a-536a-4ce8-92ac-eacaf13d6113</errorID>
      <errorWord>(</errorWord>
      <group>L1_Format</group>
      <groupName>格式问题</groupName>
      <ability>L2_HalfPunc_CN</ability>
      <abilityName>全半角问题</abilityName>
      <candidateList>
        <item>（</item>
      </candidateList>
      <explain>文本全半角错误。</explain>
      <paraID>6E851A4D</paraID>
      <start>2</start>
      <end>3</end>
      <status>ignored</status>
      <modifiedWord/>
      <trackRevisions>false</trackRevisions>
    </reviewItem>
    <reviewItem>
      <errorID>5c013df3-5aad-4b7e-b48c-be74a10c483c</errorID>
      <errorWord>)</errorWord>
      <group>L1_Format</group>
      <groupName>格式问题</groupName>
      <ability>L2_HalfPunc_CN</ability>
      <abilityName>全半角问题</abilityName>
      <candidateList>
        <item>）</item>
      </candidateList>
      <explain>文本全半角错误。</explain>
      <paraID>6E851A4D</paraID>
      <start>5</start>
      <end>6</end>
      <status>ignored</status>
      <modifiedWord/>
      <trackRevisions>false</trackRevisions>
    </reviewItem>
    <reviewItem>
      <errorID>f2672779-f3a4-4a85-bcd8-970579cb7c2c</errorID>
      <errorWord>(</errorWord>
      <group>L1_Format</group>
      <groupName>格式问题</groupName>
      <ability>L2_HalfPunc_CN</ability>
      <abilityName>全半角问题</abilityName>
      <candidateList>
        <item>（</item>
      </candidateList>
      <explain>文本全半角错误。</explain>
      <paraID>488965C8</paraID>
      <start>2</start>
      <end>3</end>
      <status>ignored</status>
      <modifiedWord/>
      <trackRevisions>false</trackRevisions>
    </reviewItem>
    <reviewItem>
      <errorID>776c631e-0050-49e9-b909-ac864f139aa5</errorID>
      <errorWord>)</errorWord>
      <group>L1_Format</group>
      <groupName>格式问题</groupName>
      <ability>L2_HalfPunc_CN</ability>
      <abilityName>全半角问题</abilityName>
      <candidateList>
        <item>）</item>
      </candidateList>
      <explain>文本全半角错误。</explain>
      <paraID>488965C8</paraID>
      <start>6</start>
      <end>7</end>
      <status>ignored</status>
      <modifiedWord/>
      <trackRevisions>false</trackRevisions>
    </reviewItem>
    <reviewItem>
      <errorID>a4df154a-957a-4bfa-b0e5-89ed90dd5fa7</errorID>
      <errorWord>(</errorWord>
      <group>L1_Format</group>
      <groupName>格式问题</groupName>
      <ability>L2_HalfPunc_CN</ability>
      <abilityName>全半角问题</abilityName>
      <candidateList>
        <item>（</item>
      </candidateList>
      <explain>文本全半角错误。</explain>
      <paraID>5BE35C54</paraID>
      <start>2</start>
      <end>3</end>
      <status>ignored</status>
      <modifiedWord/>
      <trackRevisions>false</trackRevisions>
    </reviewItem>
    <reviewItem>
      <errorID>284b45cc-fd23-4132-afee-1c0f72f334d2</errorID>
      <errorWord>)</errorWord>
      <group>L1_Format</group>
      <groupName>格式问题</groupName>
      <ability>L2_HalfPunc_CN</ability>
      <abilityName>全半角问题</abilityName>
      <candidateList>
        <item>）</item>
      </candidateList>
      <explain>文本全半角错误。</explain>
      <paraID>5BE35C54</paraID>
      <start>5</start>
      <end>6</end>
      <status>ignored</status>
      <modifiedWord/>
      <trackRevisions>false</trackRevisions>
    </reviewItem>
    <reviewItem>
      <errorID>487b5939-83a9-4aa6-bdc6-d9bfc1870636</errorID>
      <errorWord>(</errorWord>
      <group>L1_Format</group>
      <groupName>格式问题</groupName>
      <ability>L2_HalfPunc_CN</ability>
      <abilityName>全半角问题</abilityName>
      <candidateList>
        <item>（</item>
      </candidateList>
      <explain>文本全半角错误。</explain>
      <paraID>543EE1F3</paraID>
      <start>2</start>
      <end>3</end>
      <status>ignored</status>
      <modifiedWord/>
      <trackRevisions>false</trackRevisions>
    </reviewItem>
    <reviewItem>
      <errorID>605d223a-f0a9-468d-a51e-47f86b65cc68</errorID>
      <errorWord>)</errorWord>
      <group>L1_Format</group>
      <groupName>格式问题</groupName>
      <ability>L2_HalfPunc_CN</ability>
      <abilityName>全半角问题</abilityName>
      <candidateList>
        <item>）</item>
      </candidateList>
      <explain>文本全半角错误。</explain>
      <paraID>543EE1F3</paraID>
      <start>6</start>
      <end>7</end>
      <status>ignored</status>
      <modifiedWord/>
      <trackRevisions>false</trackRevisions>
    </reviewItem>
    <reviewItem>
      <errorID>8611fb8e-3f91-4c8d-a578-fbe725e8cc57</errorID>
      <errorWord>(</errorWord>
      <group>L1_Format</group>
      <groupName>格式问题</groupName>
      <ability>L2_HalfPunc_CN</ability>
      <abilityName>全半角问题</abilityName>
      <candidateList>
        <item>（</item>
      </candidateList>
      <explain>文本全半角错误。</explain>
      <paraID>1EF8FC91</paraID>
      <start>2</start>
      <end>3</end>
      <status>ignored</status>
      <modifiedWord/>
      <trackRevisions>false</trackRevisions>
    </reviewItem>
    <reviewItem>
      <errorID>d2b9933e-be49-4365-a7a3-b3a79c958ec3</errorID>
      <errorWord>)</errorWord>
      <group>L1_Format</group>
      <groupName>格式问题</groupName>
      <ability>L2_HalfPunc_CN</ability>
      <abilityName>全半角问题</abilityName>
      <candidateList>
        <item>）</item>
      </candidateList>
      <explain>文本全半角错误。</explain>
      <paraID>1EF8FC91</paraID>
      <start>5</start>
      <end>6</end>
      <status>ignored</status>
      <modifiedWord/>
      <trackRevisions>false</trackRevisions>
    </reviewItem>
    <reviewItem>
      <errorID>fb13fc5d-546a-4ab8-b3b2-784089eeb0f6</errorID>
      <errorWord>(</errorWord>
      <group>L1_Format</group>
      <groupName>格式问题</groupName>
      <ability>L2_HalfPunc_CN</ability>
      <abilityName>全半角问题</abilityName>
      <candidateList>
        <item>（</item>
      </candidateList>
      <explain>文本全半角错误。</explain>
      <paraID>5A5808F7</paraID>
      <start>2</start>
      <end>3</end>
      <status>ignored</status>
      <modifiedWord/>
      <trackRevisions>false</trackRevisions>
    </reviewItem>
    <reviewItem>
      <errorID>fab89582-bb4a-41b4-9eff-4ed61af5f163</errorID>
      <errorWord>)</errorWord>
      <group>L1_Format</group>
      <groupName>格式问题</groupName>
      <ability>L2_HalfPunc_CN</ability>
      <abilityName>全半角问题</abilityName>
      <candidateList>
        <item>）</item>
      </candidateList>
      <explain>文本全半角错误。</explain>
      <paraID>5A5808F7</paraID>
      <start>6</start>
      <end>7</end>
      <status>ignored</status>
      <modifiedWord/>
      <trackRevisions>false</trackRevisions>
    </reviewItem>
    <reviewItem>
      <errorID>a79d2e63-b0bc-4f59-b466-796e3437bdce</errorID>
      <errorWord>(</errorWord>
      <group>L1_Format</group>
      <groupName>格式问题</groupName>
      <ability>L2_HalfPunc_CN</ability>
      <abilityName>全半角问题</abilityName>
      <candidateList>
        <item>（</item>
      </candidateList>
      <explain>文本全半角错误。</explain>
      <paraID> B5A2CC8</paraID>
      <start>2</start>
      <end>3</end>
      <status>ignored</status>
      <modifiedWord/>
      <trackRevisions>false</trackRevisions>
    </reviewItem>
    <reviewItem>
      <errorID>47ab552a-b424-4531-a9e0-6df0aa2235c4</errorID>
      <errorWord>)</errorWord>
      <group>L1_Format</group>
      <groupName>格式问题</groupName>
      <ability>L2_HalfPunc_CN</ability>
      <abilityName>全半角问题</abilityName>
      <candidateList>
        <item>）</item>
      </candidateList>
      <explain>文本全半角错误。</explain>
      <paraID> B5A2CC8</paraID>
      <start>5</start>
      <end>6</end>
      <status>ignored</status>
      <modifiedWord/>
      <trackRevisions>false</trackRevisions>
    </reviewItem>
    <reviewItem>
      <errorID>cc46e062-bf0c-4b13-9531-3526794ccac6</errorID>
      <errorWord>，…</errorWord>
      <group>L1_Punc</group>
      <groupName>标点问题</groupName>
      <ability>L2_Punc_CN</ability>
      <abilityName>标点符号问题</abilityName>
      <candidateList>
        <item>，</item>
      </candidateList>
      <explain/>
      <paraID>4CF04E31</paraID>
      <start>52</start>
      <end>54</end>
      <status>ignored</status>
      <modifiedWord/>
      <trackRevisions>false</trackRevisions>
    </reviewItem>
    <reviewItem>
      <errorID>bf868439-b510-40fe-a4c0-d1ce45c2a528</errorID>
      <errorWord>，…</errorWord>
      <group>L1_Punc</group>
      <groupName>标点问题</groupName>
      <ability>L2_Punc_CN</ability>
      <abilityName>标点符号问题</abilityName>
      <candidateList>
        <item>，</item>
      </candidateList>
      <explain/>
      <paraID>4CF04E31</paraID>
      <start>72</start>
      <end>74</end>
      <status>ignored</status>
      <modifiedWord/>
      <trackRevisions>false</trackRevisions>
    </reviewItem>
    <reviewItem>
      <errorID>25190b68-af54-4450-9b8c-e21b3a930e27</errorID>
      <errorWord>＝</errorWord>
      <group>L1_Format</group>
      <groupName>格式问题</groupName>
      <ability>L2_HalfPunc_CN</ability>
      <abilityName>全半角问题</abilityName>
      <candidateList>
        <item>=</item>
      </candidateList>
      <explain>文本全半角错误。</explain>
      <paraID>1C3BA1FE</paraID>
      <start>0</start>
      <end>1</end>
      <status>ignored</status>
      <modifiedWord/>
      <trackRevisions>false</trackRevisions>
    </reviewItem>
    <reviewItem>
      <errorID>99bd667a-e981-40b3-b8b0-005c92327d58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4E0859D2</paraID>
      <start>77</start>
      <end>78</end>
      <status>ignored</status>
      <modifiedWord/>
      <trackRevisions>false</trackRevisions>
    </reviewItem>
    <reviewItem>
      <errorID>edcd287b-b4ee-4030-8b08-b720abe193be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4E0859D2</paraID>
      <start>108</start>
      <end>109</end>
      <status>ignored</status>
      <modifiedWord/>
      <trackRevisions>false</trackRevisions>
    </reviewItem>
    <reviewItem>
      <errorID>135ff700-f0c2-4133-874b-40b67843c251</errorID>
      <errorWord>（</errorWord>
      <group>L1_Format</group>
      <groupName>格式问题</groupName>
      <ability>L2_HalfPunc_CN</ability>
      <abilityName>全半角问题</abilityName>
      <candidateList>
        <item>(</item>
      </candidateList>
      <explain>文本全半角错误。</explain>
      <paraID>11598C65</paraID>
      <start>0</start>
      <end>1</end>
      <status>ignored</status>
      <modifiedWord/>
      <trackRevisions>false</trackRevisions>
    </reviewItem>
    <reviewItem>
      <errorID>e76ab285-e924-4b36-a805-7d0402e56d8c</errorID>
      <errorWord>）</errorWord>
      <group>L1_Format</group>
      <groupName>格式问题</groupName>
      <ability>L2_HalfPunc_CN</ability>
      <abilityName>全半角问题</abilityName>
      <candidateList>
        <item>)</item>
      </candidateList>
      <explain>文本全半角错误。</explain>
      <paraID>11598C65</paraID>
      <start>2</start>
      <end>3</end>
      <status>ignored</status>
      <modifiedWord/>
      <trackRevisions>false</trackRevisions>
    </reviewItem>
    <reviewItem>
      <errorID>c4da67c6-c8fe-43f0-ae1b-37e6af2f5a4c</errorID>
      <errorWord>（</errorWord>
      <group>L1_Format</group>
      <groupName>格式问题</groupName>
      <ability>L2_HalfPunc_CN</ability>
      <abilityName>全半角问题</abilityName>
      <candidateList>
        <item>(</item>
      </candidateList>
      <explain>文本全半角错误。</explain>
      <paraID>2B711925</paraID>
      <start>0</start>
      <end>1</end>
      <status>ignored</status>
      <modifiedWord/>
      <trackRevisions>false</trackRevisions>
    </reviewItem>
    <reviewItem>
      <errorID>7cf8b381-0fc0-49ac-86e0-52abfbcb94a5</errorID>
      <errorWord>）</errorWord>
      <group>L1_Format</group>
      <groupName>格式问题</groupName>
      <ability>L2_HalfPunc_CN</ability>
      <abilityName>全半角问题</abilityName>
      <candidateList>
        <item>)</item>
      </candidateList>
      <explain>文本全半角错误。</explain>
      <paraID>2B711925</paraID>
      <start>2</start>
      <end>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ba49f0-97b7-45f5-b898-24492992ebe5}">
  <ds:schemaRefs/>
</ds:datastoreItem>
</file>

<file path=docProps/app.xml><?xml version="1.0" encoding="utf-8"?>
<Properties xmlns="http://schemas.openxmlformats.org/officeDocument/2006/extended-properties" xmlns:vt="http://schemas.openxmlformats.org/officeDocument/2006/docPropsVTypes">
  <Template>Normal</Template>
  <Pages>95</Pages>
  <Words>2785</Words>
  <Characters>2969</Characters>
  <Lines>398</Lines>
  <Paragraphs>112</Paragraphs>
  <TotalTime>1</TotalTime>
  <ScaleCrop>false</ScaleCrop>
  <LinksUpToDate>false</LinksUpToDate>
  <CharactersWithSpaces>3034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2024-04-06T16:22:00Z</dcterms:created>
  <dc:creator>Administrator</dc:creator>
  <cp:lastModifiedBy>海阔天空</cp:lastModifiedBy>
  <dcterms:modified xsi:type="dcterms:W3CDTF">2026-09-10T09:17:19Z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1D8EF3E4738B423A98A2A3A69A7D0841_13</vt:lpwstr>
  </property>
  <property fmtid="{D5CDD505-2E9C-101B-9397-08002B2CF9AE}" pid="4" name="KSOTemplateDocerSaveRecord">
    <vt:lpwstr>eyJoZGlkIjoiMWQ0MDNjNDhlM2UwYTgyODBhODg2ZDM5NzA2MGFlNTEiLCJ1c2VySWQiOiIyODg3OTg0MjgifQ==</vt:lpwstr>
  </property>
</Properties>
</file>