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5B6CA">
      <w:pPr>
        <w:pStyle w:val="5"/>
        <w:ind w:firstLine="480"/>
        <w:rPr>
          <w:color w:val="auto"/>
        </w:rPr>
      </w:pPr>
    </w:p>
    <w:p w14:paraId="364229BE">
      <w:pPr>
        <w:pStyle w:val="5"/>
        <w:ind w:firstLine="480"/>
        <w:rPr>
          <w:color w:val="auto"/>
        </w:rPr>
      </w:pPr>
    </w:p>
    <w:p w14:paraId="23482701">
      <w:pPr>
        <w:pStyle w:val="5"/>
        <w:ind w:firstLine="480"/>
        <w:rPr>
          <w:color w:val="auto"/>
        </w:rPr>
      </w:pPr>
    </w:p>
    <w:p w14:paraId="1F4EB160">
      <w:pPr>
        <w:jc w:val="center"/>
        <w:rPr>
          <w:rFonts w:hint="eastAsia" w:ascii="方正小标宋_GBK" w:eastAsia="方正小标宋_GBK"/>
          <w:bCs/>
          <w:color w:val="auto"/>
          <w:sz w:val="72"/>
          <w:szCs w:val="72"/>
        </w:rPr>
      </w:pPr>
      <w:bookmarkStart w:id="0" w:name="_Toc28743"/>
      <w:bookmarkStart w:id="1" w:name="_Toc20245"/>
      <w:bookmarkStart w:id="2" w:name="_Toc11896"/>
      <w:r>
        <w:rPr>
          <w:rFonts w:hint="eastAsia" w:ascii="方正小标宋_GBK" w:eastAsia="方正小标宋_GBK"/>
          <w:bCs/>
          <w:color w:val="auto"/>
          <w:sz w:val="72"/>
          <w:szCs w:val="72"/>
        </w:rPr>
        <w:t>建设项目生态环境影响</w:t>
      </w:r>
    </w:p>
    <w:p w14:paraId="220D280F">
      <w:pPr>
        <w:jc w:val="center"/>
        <w:rPr>
          <w:rFonts w:ascii="方正小标宋_GBK" w:eastAsia="方正小标宋_GBK"/>
          <w:bCs/>
          <w:color w:val="auto"/>
          <w:sz w:val="72"/>
          <w:szCs w:val="72"/>
        </w:rPr>
      </w:pPr>
      <w:r>
        <w:rPr>
          <w:rFonts w:hint="eastAsia" w:ascii="方正小标宋_GBK" w:eastAsia="方正小标宋_GBK"/>
          <w:bCs/>
          <w:color w:val="auto"/>
          <w:sz w:val="72"/>
          <w:szCs w:val="72"/>
        </w:rPr>
        <w:t>报告表</w:t>
      </w:r>
      <w:bookmarkEnd w:id="0"/>
      <w:bookmarkEnd w:id="1"/>
      <w:bookmarkEnd w:id="2"/>
    </w:p>
    <w:p w14:paraId="6DC680FE">
      <w:pPr>
        <w:spacing w:before="192" w:beforeLines="80"/>
        <w:jc w:val="center"/>
        <w:rPr>
          <w:rFonts w:ascii="楷体_GB2312" w:eastAsia="楷体_GB2312"/>
          <w:bCs/>
          <w:color w:val="auto"/>
          <w:sz w:val="48"/>
          <w:szCs w:val="48"/>
        </w:rPr>
      </w:pPr>
      <w:r>
        <w:rPr>
          <w:rFonts w:hint="eastAsia" w:ascii="楷体_GB2312" w:eastAsia="楷体_GB2312"/>
          <w:bCs/>
          <w:color w:val="auto"/>
          <w:sz w:val="48"/>
          <w:szCs w:val="48"/>
        </w:rPr>
        <w:t>（污染影响类）</w:t>
      </w:r>
    </w:p>
    <w:p w14:paraId="734F7D4B">
      <w:pPr>
        <w:ind w:firstLine="1040"/>
        <w:rPr>
          <w:rFonts w:eastAsia="仿宋"/>
          <w:color w:val="auto"/>
          <w:sz w:val="44"/>
          <w:szCs w:val="44"/>
        </w:rPr>
      </w:pPr>
    </w:p>
    <w:p w14:paraId="4B868B2D">
      <w:pPr>
        <w:ind w:firstLine="1040"/>
        <w:rPr>
          <w:rFonts w:eastAsia="仿宋"/>
          <w:color w:val="auto"/>
          <w:sz w:val="44"/>
          <w:szCs w:val="44"/>
        </w:rPr>
      </w:pPr>
    </w:p>
    <w:p w14:paraId="03960A9A">
      <w:pPr>
        <w:ind w:firstLine="1040"/>
        <w:rPr>
          <w:rFonts w:eastAsia="仿宋"/>
          <w:color w:val="auto"/>
          <w:sz w:val="44"/>
          <w:szCs w:val="44"/>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958"/>
        <w:gridCol w:w="5801"/>
      </w:tblGrid>
      <w:tr w14:paraId="34F9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54" w:hRule="atLeast"/>
          <w:jc w:val="center"/>
        </w:trPr>
        <w:tc>
          <w:tcPr>
            <w:tcW w:w="2958" w:type="dxa"/>
          </w:tcPr>
          <w:p w14:paraId="5C96535A">
            <w:pPr>
              <w:jc w:val="both"/>
              <w:rPr>
                <w:rFonts w:hint="eastAsia" w:ascii="仿宋" w:hAnsi="仿宋" w:eastAsia="仿宋"/>
                <w:color w:val="auto"/>
                <w:sz w:val="32"/>
                <w:szCs w:val="72"/>
              </w:rPr>
            </w:pPr>
            <w:r>
              <w:rPr>
                <w:rFonts w:hint="eastAsia" w:ascii="仿宋" w:hAnsi="仿宋" w:eastAsia="仿宋"/>
                <w:color w:val="auto"/>
                <w:sz w:val="32"/>
                <w:szCs w:val="72"/>
              </w:rPr>
              <w:t>项目名称：</w:t>
            </w:r>
          </w:p>
        </w:tc>
        <w:tc>
          <w:tcPr>
            <w:tcW w:w="5801" w:type="dxa"/>
          </w:tcPr>
          <w:p w14:paraId="5465B3EE">
            <w:pPr>
              <w:jc w:val="both"/>
              <w:rPr>
                <w:rFonts w:hint="eastAsia" w:ascii="仿宋" w:hAnsi="仿宋" w:eastAsia="仿宋"/>
                <w:color w:val="auto"/>
                <w:sz w:val="32"/>
                <w:szCs w:val="72"/>
                <w:u w:val="single"/>
              </w:rPr>
            </w:pP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新疆乾昌业新型建材有限公司    </w:t>
            </w:r>
          </w:p>
          <w:p w14:paraId="494A774D">
            <w:pPr>
              <w:jc w:val="both"/>
              <w:rPr>
                <w:rFonts w:hint="eastAsia" w:ascii="仿宋" w:hAnsi="仿宋" w:eastAsia="仿宋"/>
                <w:color w:val="auto"/>
                <w:sz w:val="32"/>
                <w:szCs w:val="72"/>
                <w:u w:val="single"/>
              </w:rPr>
            </w:pPr>
            <w:r>
              <w:rPr>
                <w:rFonts w:hint="eastAsia" w:ascii="仿宋" w:hAnsi="仿宋" w:eastAsia="仿宋"/>
                <w:color w:val="auto"/>
                <w:sz w:val="32"/>
                <w:szCs w:val="72"/>
                <w:u w:val="single"/>
              </w:rPr>
              <w:t xml:space="preserve">    </w:t>
            </w:r>
            <w:r>
              <w:rPr>
                <w:rFonts w:hint="eastAsia" w:ascii="仿宋" w:hAnsi="仿宋" w:eastAsia="仿宋"/>
                <w:color w:val="auto"/>
                <w:sz w:val="32"/>
                <w:szCs w:val="72"/>
                <w:u w:val="single"/>
                <w:lang w:val="en-US" w:eastAsia="zh-CN"/>
              </w:rPr>
              <w:t xml:space="preserve">  </w:t>
            </w:r>
            <w:r>
              <w:rPr>
                <w:rFonts w:hint="eastAsia" w:ascii="仿宋" w:hAnsi="仿宋" w:eastAsia="仿宋"/>
                <w:color w:val="auto"/>
                <w:sz w:val="32"/>
                <w:szCs w:val="72"/>
                <w:u w:val="single"/>
              </w:rPr>
              <w:t xml:space="preserve">新型环保防水背衬板项目       </w:t>
            </w:r>
          </w:p>
        </w:tc>
      </w:tr>
      <w:tr w14:paraId="088C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6" w:hRule="atLeast"/>
          <w:jc w:val="center"/>
        </w:trPr>
        <w:tc>
          <w:tcPr>
            <w:tcW w:w="2958" w:type="dxa"/>
          </w:tcPr>
          <w:p w14:paraId="2CEA0501">
            <w:pPr>
              <w:jc w:val="both"/>
              <w:rPr>
                <w:rFonts w:hint="eastAsia" w:ascii="仿宋" w:hAnsi="仿宋" w:eastAsia="仿宋"/>
                <w:color w:val="auto"/>
                <w:sz w:val="32"/>
                <w:szCs w:val="72"/>
              </w:rPr>
            </w:pPr>
            <w:r>
              <w:rPr>
                <w:rFonts w:hint="eastAsia" w:ascii="仿宋" w:hAnsi="仿宋" w:eastAsia="仿宋"/>
                <w:color w:val="auto"/>
                <w:sz w:val="32"/>
                <w:szCs w:val="72"/>
              </w:rPr>
              <w:t>建设单位：（盖章）</w:t>
            </w:r>
          </w:p>
        </w:tc>
        <w:tc>
          <w:tcPr>
            <w:tcW w:w="5801" w:type="dxa"/>
            <w:vAlign w:val="center"/>
          </w:tcPr>
          <w:p w14:paraId="1498B575">
            <w:pPr>
              <w:jc w:val="left"/>
              <w:rPr>
                <w:rFonts w:hint="eastAsia" w:ascii="仿宋" w:hAnsi="仿宋" w:eastAsia="仿宋"/>
                <w:color w:val="auto"/>
                <w:sz w:val="32"/>
                <w:szCs w:val="72"/>
              </w:rPr>
            </w:pPr>
            <w:r>
              <w:rPr>
                <w:rFonts w:hint="eastAsia" w:ascii="仿宋" w:hAnsi="仿宋" w:eastAsia="仿宋"/>
                <w:color w:val="auto"/>
                <w:sz w:val="32"/>
                <w:szCs w:val="72"/>
                <w:u w:val="single"/>
              </w:rPr>
              <w:t xml:space="preserve">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新疆乾昌业新型建材有限公司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w:t>
            </w:r>
            <w:r>
              <w:rPr>
                <w:rFonts w:ascii="仿宋" w:hAnsi="仿宋" w:eastAsia="仿宋"/>
                <w:color w:val="auto"/>
                <w:sz w:val="32"/>
                <w:szCs w:val="72"/>
                <w:u w:val="single"/>
              </w:rPr>
              <w:t xml:space="preserve"> </w:t>
            </w:r>
          </w:p>
        </w:tc>
      </w:tr>
      <w:tr w14:paraId="4A1C7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6" w:hRule="atLeast"/>
          <w:jc w:val="center"/>
        </w:trPr>
        <w:tc>
          <w:tcPr>
            <w:tcW w:w="2958" w:type="dxa"/>
          </w:tcPr>
          <w:p w14:paraId="03366BBA">
            <w:pPr>
              <w:jc w:val="both"/>
              <w:rPr>
                <w:rFonts w:hint="eastAsia" w:ascii="仿宋" w:hAnsi="仿宋" w:eastAsia="仿宋"/>
                <w:color w:val="auto"/>
                <w:sz w:val="32"/>
                <w:szCs w:val="72"/>
              </w:rPr>
            </w:pPr>
            <w:r>
              <w:rPr>
                <w:rFonts w:hint="eastAsia" w:ascii="仿宋" w:hAnsi="仿宋" w:eastAsia="仿宋"/>
                <w:color w:val="auto"/>
                <w:sz w:val="32"/>
                <w:szCs w:val="72"/>
              </w:rPr>
              <w:t>编制日期：</w:t>
            </w:r>
          </w:p>
        </w:tc>
        <w:tc>
          <w:tcPr>
            <w:tcW w:w="5801" w:type="dxa"/>
            <w:vAlign w:val="center"/>
          </w:tcPr>
          <w:p w14:paraId="0471CBBA">
            <w:pPr>
              <w:jc w:val="both"/>
              <w:rPr>
                <w:rFonts w:hint="eastAsia" w:ascii="仿宋" w:hAnsi="仿宋" w:eastAsia="仿宋"/>
                <w:color w:val="auto"/>
                <w:sz w:val="32"/>
                <w:szCs w:val="72"/>
                <w:u w:val="single"/>
              </w:rPr>
            </w:pPr>
            <w:r>
              <w:rPr>
                <w:rFonts w:ascii="仿宋" w:hAnsi="仿宋" w:eastAsia="仿宋"/>
                <w:color w:val="auto"/>
                <w:sz w:val="32"/>
                <w:szCs w:val="72"/>
                <w:u w:val="single"/>
              </w:rPr>
              <w:t xml:space="preserve">    </w:t>
            </w:r>
            <w:r>
              <w:rPr>
                <w:rFonts w:hint="eastAsia" w:ascii="仿宋" w:hAnsi="仿宋" w:eastAsia="仿宋"/>
                <w:color w:val="auto"/>
                <w:sz w:val="32"/>
                <w:szCs w:val="72"/>
                <w:u w:val="single"/>
                <w:lang w:val="en-US" w:eastAsia="zh-CN"/>
              </w:rPr>
              <w:t xml:space="preserve">  </w:t>
            </w:r>
            <w:r>
              <w:rPr>
                <w:rFonts w:ascii="仿宋" w:hAnsi="仿宋" w:eastAsia="仿宋"/>
                <w:color w:val="auto"/>
                <w:sz w:val="32"/>
                <w:szCs w:val="72"/>
                <w:u w:val="single"/>
              </w:rPr>
              <w:t xml:space="preserve"> </w:t>
            </w:r>
            <w:r>
              <w:rPr>
                <w:rFonts w:hint="eastAsia" w:ascii="仿宋" w:hAnsi="仿宋" w:eastAsia="仿宋"/>
                <w:color w:val="auto"/>
                <w:sz w:val="32"/>
                <w:szCs w:val="72"/>
                <w:u w:val="single"/>
                <w:lang w:val="en-US" w:eastAsia="zh-CN"/>
              </w:rPr>
              <w:t xml:space="preserve">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2026年9月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w:t>
            </w:r>
            <w:r>
              <w:rPr>
                <w:rFonts w:ascii="仿宋" w:hAnsi="仿宋" w:eastAsia="仿宋"/>
                <w:color w:val="auto"/>
                <w:sz w:val="32"/>
                <w:szCs w:val="72"/>
                <w:u w:val="single"/>
              </w:rPr>
              <w:t xml:space="preserve"> </w:t>
            </w:r>
            <w:r>
              <w:rPr>
                <w:rFonts w:hint="eastAsia" w:ascii="仿宋" w:hAnsi="仿宋" w:eastAsia="仿宋"/>
                <w:color w:val="auto"/>
                <w:sz w:val="32"/>
                <w:szCs w:val="72"/>
                <w:u w:val="single"/>
              </w:rPr>
              <w:t xml:space="preserve">  </w:t>
            </w:r>
          </w:p>
        </w:tc>
      </w:tr>
    </w:tbl>
    <w:p w14:paraId="2C647836">
      <w:pPr>
        <w:ind w:firstLine="1040"/>
        <w:rPr>
          <w:rFonts w:eastAsia="仿宋"/>
          <w:color w:val="auto"/>
          <w:sz w:val="44"/>
          <w:szCs w:val="44"/>
        </w:rPr>
      </w:pPr>
    </w:p>
    <w:p w14:paraId="55E7406C">
      <w:pPr>
        <w:pStyle w:val="5"/>
        <w:bidi w:val="0"/>
        <w:rPr>
          <w:color w:val="auto"/>
        </w:rPr>
      </w:pPr>
    </w:p>
    <w:p w14:paraId="239F4614">
      <w:pPr>
        <w:pStyle w:val="5"/>
        <w:bidi w:val="0"/>
        <w:rPr>
          <w:color w:val="auto"/>
        </w:rPr>
      </w:pPr>
      <w:bookmarkStart w:id="3" w:name="_Hlk57884087"/>
    </w:p>
    <w:p w14:paraId="305034C0">
      <w:pPr>
        <w:pStyle w:val="5"/>
        <w:bidi w:val="0"/>
        <w:rPr>
          <w:color w:val="auto"/>
        </w:rPr>
      </w:pPr>
    </w:p>
    <w:p w14:paraId="5AE365FF">
      <w:pPr>
        <w:pStyle w:val="5"/>
        <w:ind w:firstLine="0" w:firstLineChars="0"/>
        <w:jc w:val="center"/>
        <w:rPr>
          <w:rFonts w:hint="eastAsia" w:ascii="楷体_GB2312" w:eastAsia="楷体_GB2312"/>
          <w:color w:val="auto"/>
          <w:sz w:val="36"/>
          <w:szCs w:val="36"/>
        </w:rPr>
      </w:pPr>
      <w:r>
        <w:rPr>
          <w:rFonts w:hint="eastAsia" w:ascii="楷体_GB2312" w:eastAsia="楷体_GB2312"/>
          <w:color w:val="auto"/>
          <w:sz w:val="36"/>
          <w:szCs w:val="36"/>
        </w:rPr>
        <w:t>中华人民共和国生态环境部制</w:t>
      </w:r>
    </w:p>
    <w:p w14:paraId="59A39ACD">
      <w:pPr>
        <w:pStyle w:val="5"/>
        <w:ind w:firstLine="0" w:firstLineChars="0"/>
        <w:jc w:val="both"/>
        <w:rPr>
          <w:rFonts w:hint="eastAsia" w:ascii="楷体_GB2312" w:eastAsia="楷体_GB2312"/>
          <w:color w:val="auto"/>
          <w:sz w:val="36"/>
          <w:szCs w:val="36"/>
        </w:rPr>
        <w:sectPr>
          <w:footerReference r:id="rId5" w:type="default"/>
          <w:footerReference r:id="rId6" w:type="even"/>
          <w:pgSz w:w="11906" w:h="16838"/>
          <w:pgMar w:top="1701" w:right="1531" w:bottom="1701" w:left="1531" w:header="851" w:footer="1077" w:gutter="0"/>
          <w:pgNumType w:fmt="decimal" w:start="3"/>
          <w:cols w:space="720" w:num="1"/>
          <w:docGrid w:linePitch="312" w:charSpace="0"/>
        </w:sectPr>
      </w:pPr>
    </w:p>
    <w:bookmarkEnd w:id="3"/>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148"/>
        <w:gridCol w:w="4148"/>
      </w:tblGrid>
      <w:tr w14:paraId="7CE9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7769F0B6">
            <w:pPr>
              <w:pStyle w:val="19"/>
              <w:bidi w:val="0"/>
              <w:rPr>
                <w:rFonts w:hint="eastAsia" w:eastAsia="宋体"/>
                <w:color w:val="auto"/>
                <w:lang w:eastAsia="zh-CN"/>
              </w:rPr>
            </w:pPr>
            <w:bookmarkStart w:id="4" w:name="_Hlk186464460"/>
          </w:p>
        </w:tc>
        <w:tc>
          <w:tcPr>
            <w:tcW w:w="4148" w:type="dxa"/>
            <w:vAlign w:val="center"/>
          </w:tcPr>
          <w:p w14:paraId="36447FD6">
            <w:pPr>
              <w:pStyle w:val="19"/>
              <w:bidi w:val="0"/>
              <w:rPr>
                <w:rFonts w:hint="eastAsia" w:eastAsia="宋体"/>
                <w:color w:val="auto"/>
                <w:lang w:eastAsia="zh-CN"/>
              </w:rPr>
            </w:pPr>
          </w:p>
        </w:tc>
      </w:tr>
      <w:tr w14:paraId="6D7D1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1312451E">
            <w:pPr>
              <w:pStyle w:val="19"/>
              <w:bidi w:val="0"/>
              <w:rPr>
                <w:color w:val="auto"/>
              </w:rPr>
            </w:pPr>
            <w:r>
              <w:rPr>
                <w:rFonts w:hint="eastAsia"/>
                <w:color w:val="auto"/>
              </w:rPr>
              <w:t>厂区东侧</w:t>
            </w:r>
          </w:p>
        </w:tc>
        <w:tc>
          <w:tcPr>
            <w:tcW w:w="4148" w:type="dxa"/>
            <w:vAlign w:val="center"/>
          </w:tcPr>
          <w:p w14:paraId="3EF238E2">
            <w:pPr>
              <w:pStyle w:val="19"/>
              <w:bidi w:val="0"/>
              <w:rPr>
                <w:color w:val="auto"/>
              </w:rPr>
            </w:pPr>
            <w:r>
              <w:rPr>
                <w:rFonts w:hint="eastAsia"/>
                <w:color w:val="auto"/>
              </w:rPr>
              <w:t>厂区西侧</w:t>
            </w:r>
          </w:p>
        </w:tc>
      </w:tr>
      <w:tr w14:paraId="79460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73E76A8E">
            <w:pPr>
              <w:pStyle w:val="19"/>
              <w:bidi w:val="0"/>
              <w:rPr>
                <w:rFonts w:hint="eastAsia" w:eastAsia="宋体"/>
                <w:color w:val="auto"/>
                <w:lang w:eastAsia="zh-CN"/>
              </w:rPr>
            </w:pPr>
          </w:p>
        </w:tc>
        <w:tc>
          <w:tcPr>
            <w:tcW w:w="4148" w:type="dxa"/>
            <w:vAlign w:val="center"/>
          </w:tcPr>
          <w:p w14:paraId="0FEFB02B">
            <w:pPr>
              <w:pStyle w:val="19"/>
              <w:bidi w:val="0"/>
              <w:rPr>
                <w:rFonts w:hint="eastAsia" w:eastAsia="宋体"/>
                <w:color w:val="auto"/>
                <w:lang w:eastAsia="zh-CN"/>
              </w:rPr>
            </w:pPr>
          </w:p>
        </w:tc>
      </w:tr>
      <w:tr w14:paraId="53F4E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0EBB87BE">
            <w:pPr>
              <w:pStyle w:val="19"/>
              <w:bidi w:val="0"/>
              <w:rPr>
                <w:color w:val="auto"/>
              </w:rPr>
            </w:pPr>
            <w:r>
              <w:rPr>
                <w:rFonts w:hint="eastAsia"/>
                <w:color w:val="auto"/>
              </w:rPr>
              <w:t>厂区南侧</w:t>
            </w:r>
          </w:p>
        </w:tc>
        <w:tc>
          <w:tcPr>
            <w:tcW w:w="4148" w:type="dxa"/>
            <w:vAlign w:val="center"/>
          </w:tcPr>
          <w:p w14:paraId="4B534117">
            <w:pPr>
              <w:pStyle w:val="19"/>
              <w:bidi w:val="0"/>
              <w:rPr>
                <w:color w:val="auto"/>
              </w:rPr>
            </w:pPr>
            <w:r>
              <w:rPr>
                <w:rFonts w:hint="eastAsia"/>
                <w:color w:val="auto"/>
              </w:rPr>
              <w:t>厂区北侧</w:t>
            </w:r>
          </w:p>
        </w:tc>
      </w:tr>
      <w:tr w14:paraId="0684D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32E9AA2A">
            <w:pPr>
              <w:pStyle w:val="19"/>
              <w:bidi w:val="0"/>
              <w:rPr>
                <w:rFonts w:hint="eastAsia" w:eastAsia="宋体"/>
                <w:color w:val="auto"/>
                <w:lang w:eastAsia="zh-CN"/>
              </w:rPr>
            </w:pPr>
          </w:p>
        </w:tc>
        <w:tc>
          <w:tcPr>
            <w:tcW w:w="4148" w:type="dxa"/>
            <w:vAlign w:val="center"/>
          </w:tcPr>
          <w:p w14:paraId="724286F2">
            <w:pPr>
              <w:pStyle w:val="19"/>
              <w:bidi w:val="0"/>
              <w:rPr>
                <w:rFonts w:hint="eastAsia" w:eastAsia="宋体"/>
                <w:color w:val="auto"/>
                <w:lang w:eastAsia="zh-CN"/>
              </w:rPr>
            </w:pPr>
          </w:p>
        </w:tc>
      </w:tr>
      <w:tr w14:paraId="38CD9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4148" w:type="dxa"/>
            <w:vAlign w:val="center"/>
          </w:tcPr>
          <w:p w14:paraId="7F51E929">
            <w:pPr>
              <w:pStyle w:val="19"/>
              <w:bidi w:val="0"/>
              <w:rPr>
                <w:rFonts w:hint="default" w:eastAsia="宋体"/>
                <w:color w:val="auto"/>
                <w:lang w:val="en-US" w:eastAsia="zh-CN"/>
              </w:rPr>
            </w:pPr>
            <w:r>
              <w:rPr>
                <w:rFonts w:hint="eastAsia"/>
                <w:color w:val="auto"/>
                <w:lang w:val="en-US" w:eastAsia="zh-CN"/>
              </w:rPr>
              <w:t>工程师踏勘现场</w:t>
            </w:r>
          </w:p>
        </w:tc>
        <w:tc>
          <w:tcPr>
            <w:tcW w:w="4148" w:type="dxa"/>
            <w:vAlign w:val="center"/>
          </w:tcPr>
          <w:p w14:paraId="00ED71B7">
            <w:pPr>
              <w:pStyle w:val="19"/>
              <w:bidi w:val="0"/>
              <w:rPr>
                <w:rFonts w:hint="default" w:eastAsia="宋体"/>
                <w:color w:val="auto"/>
                <w:lang w:val="en-US" w:eastAsia="zh-CN"/>
              </w:rPr>
            </w:pPr>
            <w:r>
              <w:rPr>
                <w:rFonts w:hint="eastAsia"/>
                <w:color w:val="auto"/>
                <w:lang w:val="en-US" w:eastAsia="zh-CN"/>
              </w:rPr>
              <w:t>厂区内部地貌</w:t>
            </w:r>
          </w:p>
        </w:tc>
      </w:tr>
      <w:bookmarkEnd w:id="4"/>
    </w:tbl>
    <w:p w14:paraId="4C4A2B29">
      <w:pPr>
        <w:pStyle w:val="2"/>
        <w:rPr>
          <w:color w:val="auto"/>
        </w:rPr>
        <w:sectPr>
          <w:footerReference r:id="rId7" w:type="default"/>
          <w:pgSz w:w="11906" w:h="16838"/>
          <w:pgMar w:top="1701" w:right="1531" w:bottom="1701" w:left="1531" w:header="851" w:footer="1077" w:gutter="0"/>
          <w:pgNumType w:fmt="decimal" w:start="1"/>
          <w:cols w:space="720" w:num="1"/>
          <w:docGrid w:linePitch="312" w:charSpace="0"/>
        </w:sectPr>
      </w:pPr>
    </w:p>
    <w:p w14:paraId="11654113">
      <w:pPr>
        <w:pStyle w:val="2"/>
        <w:rPr>
          <w:color w:val="auto"/>
        </w:rPr>
      </w:pPr>
      <w:r>
        <w:rPr>
          <w:rFonts w:hint="eastAsia"/>
          <w:color w:val="auto"/>
        </w:rPr>
        <w:t>建设项目基本情况</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12"/>
        <w:gridCol w:w="1987"/>
        <w:gridCol w:w="1881"/>
        <w:gridCol w:w="3290"/>
      </w:tblGrid>
      <w:tr w14:paraId="3721C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12" w:type="dxa"/>
            <w:tcMar>
              <w:top w:w="16" w:type="dxa"/>
              <w:left w:w="16" w:type="dxa"/>
              <w:right w:w="16" w:type="dxa"/>
            </w:tcMar>
            <w:vAlign w:val="center"/>
          </w:tcPr>
          <w:p w14:paraId="7188F2C7">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建设项目名称</w:t>
            </w:r>
          </w:p>
        </w:tc>
        <w:tc>
          <w:tcPr>
            <w:tcW w:w="7158" w:type="dxa"/>
            <w:gridSpan w:val="3"/>
            <w:vAlign w:val="center"/>
          </w:tcPr>
          <w:p w14:paraId="27B9FC2A">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新疆乾昌业新型建材有限公司新型环保防水背衬板项目</w:t>
            </w:r>
          </w:p>
        </w:tc>
      </w:tr>
      <w:tr w14:paraId="3FB64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0CB84821">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项目代码</w:t>
            </w:r>
          </w:p>
        </w:tc>
        <w:tc>
          <w:tcPr>
            <w:tcW w:w="7158" w:type="dxa"/>
            <w:gridSpan w:val="3"/>
            <w:vAlign w:val="center"/>
          </w:tcPr>
          <w:p w14:paraId="7B7AF1DB">
            <w:pPr>
              <w:pStyle w:val="5"/>
              <w:spacing w:line="240" w:lineRule="auto"/>
              <w:ind w:firstLine="0" w:firstLineChars="0"/>
              <w:jc w:val="center"/>
              <w:rPr>
                <w:rFonts w:hint="eastAsia" w:ascii="Times New Roman" w:hAnsi="Times New Roman" w:eastAsia="宋体" w:cs="Times New Roman"/>
                <w:color w:val="auto"/>
              </w:rPr>
            </w:pPr>
          </w:p>
        </w:tc>
      </w:tr>
      <w:tr w14:paraId="26CA6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1712" w:type="dxa"/>
            <w:tcMar>
              <w:top w:w="16" w:type="dxa"/>
              <w:left w:w="16" w:type="dxa"/>
              <w:right w:w="16" w:type="dxa"/>
            </w:tcMar>
            <w:vAlign w:val="center"/>
          </w:tcPr>
          <w:p w14:paraId="36D30B03">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建设单位联系人</w:t>
            </w:r>
          </w:p>
        </w:tc>
        <w:tc>
          <w:tcPr>
            <w:tcW w:w="1987" w:type="dxa"/>
            <w:vAlign w:val="center"/>
          </w:tcPr>
          <w:p w14:paraId="4F18929B">
            <w:pPr>
              <w:pStyle w:val="5"/>
              <w:spacing w:line="240" w:lineRule="auto"/>
              <w:ind w:firstLine="0" w:firstLineChars="0"/>
              <w:jc w:val="center"/>
              <w:rPr>
                <w:rFonts w:hint="default" w:ascii="Times New Roman" w:hAnsi="Times New Roman" w:eastAsia="宋体" w:cs="Times New Roman"/>
                <w:color w:val="auto"/>
                <w:lang w:val="en-US" w:eastAsia="zh-CN"/>
              </w:rPr>
            </w:pPr>
          </w:p>
        </w:tc>
        <w:tc>
          <w:tcPr>
            <w:tcW w:w="1881" w:type="dxa"/>
            <w:vAlign w:val="center"/>
          </w:tcPr>
          <w:p w14:paraId="5A180185">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联系方式</w:t>
            </w:r>
          </w:p>
        </w:tc>
        <w:tc>
          <w:tcPr>
            <w:tcW w:w="3290" w:type="dxa"/>
            <w:vAlign w:val="center"/>
          </w:tcPr>
          <w:p w14:paraId="727536F4">
            <w:pPr>
              <w:pStyle w:val="5"/>
              <w:spacing w:line="240" w:lineRule="auto"/>
              <w:ind w:firstLine="0" w:firstLineChars="0"/>
              <w:jc w:val="center"/>
              <w:rPr>
                <w:rFonts w:hint="eastAsia" w:ascii="Times New Roman" w:hAnsi="Times New Roman" w:eastAsia="宋体" w:cs="Times New Roman"/>
                <w:color w:val="auto"/>
              </w:rPr>
            </w:pPr>
          </w:p>
        </w:tc>
      </w:tr>
      <w:tr w14:paraId="4E882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331C1362">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建设地点</w:t>
            </w:r>
          </w:p>
        </w:tc>
        <w:tc>
          <w:tcPr>
            <w:tcW w:w="7158" w:type="dxa"/>
            <w:gridSpan w:val="3"/>
            <w:vAlign w:val="center"/>
          </w:tcPr>
          <w:p w14:paraId="5E3BFCB2">
            <w:pPr>
              <w:pStyle w:val="5"/>
              <w:spacing w:line="240" w:lineRule="auto"/>
              <w:ind w:firstLine="0" w:firstLineChars="0"/>
              <w:jc w:val="center"/>
              <w:rPr>
                <w:rFonts w:hint="eastAsia" w:ascii="Times New Roman" w:hAnsi="Times New Roman" w:eastAsia="宋体" w:cs="Times New Roman"/>
                <w:color w:val="auto"/>
              </w:rPr>
            </w:pPr>
          </w:p>
        </w:tc>
      </w:tr>
      <w:tr w14:paraId="528B9B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186AC6C0">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地理坐标</w:t>
            </w:r>
          </w:p>
        </w:tc>
        <w:tc>
          <w:tcPr>
            <w:tcW w:w="7158" w:type="dxa"/>
            <w:gridSpan w:val="3"/>
            <w:vAlign w:val="center"/>
          </w:tcPr>
          <w:p w14:paraId="2DB964E9">
            <w:pPr>
              <w:pStyle w:val="5"/>
              <w:spacing w:line="240" w:lineRule="auto"/>
              <w:ind w:firstLine="0" w:firstLineChars="0"/>
              <w:jc w:val="center"/>
              <w:rPr>
                <w:rFonts w:hint="eastAsia" w:ascii="Times New Roman" w:hAnsi="Times New Roman" w:eastAsia="宋体" w:cs="Times New Roman"/>
                <w:color w:val="auto"/>
              </w:rPr>
            </w:pPr>
          </w:p>
        </w:tc>
      </w:tr>
      <w:tr w14:paraId="772EB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48F904ED">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国民经济</w:t>
            </w:r>
          </w:p>
          <w:p w14:paraId="4E3111FE">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行业类别</w:t>
            </w:r>
          </w:p>
        </w:tc>
        <w:tc>
          <w:tcPr>
            <w:tcW w:w="1987" w:type="dxa"/>
            <w:vAlign w:val="center"/>
          </w:tcPr>
          <w:p w14:paraId="5592A6CC">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C3034隔热和隔音材料制造</w:t>
            </w:r>
          </w:p>
        </w:tc>
        <w:tc>
          <w:tcPr>
            <w:tcW w:w="1881" w:type="dxa"/>
            <w:vAlign w:val="center"/>
          </w:tcPr>
          <w:p w14:paraId="1C142EDF">
            <w:pPr>
              <w:pStyle w:val="5"/>
              <w:spacing w:line="240" w:lineRule="auto"/>
              <w:ind w:firstLine="0" w:firstLineChars="0"/>
              <w:jc w:val="center"/>
              <w:rPr>
                <w:rFonts w:hint="eastAsia" w:ascii="Times New Roman" w:hAnsi="Times New Roman" w:eastAsia="宋体" w:cs="Times New Roman"/>
                <w:color w:val="auto"/>
              </w:rPr>
            </w:pPr>
            <w:bookmarkStart w:id="5" w:name="_Hlk49843745"/>
            <w:r>
              <w:rPr>
                <w:rFonts w:hint="eastAsia" w:ascii="Times New Roman" w:hAnsi="Times New Roman" w:eastAsia="宋体" w:cs="Times New Roman"/>
                <w:color w:val="auto"/>
              </w:rPr>
              <w:t>建设项目</w:t>
            </w:r>
          </w:p>
          <w:p w14:paraId="341E0C90">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行业类别</w:t>
            </w:r>
            <w:bookmarkEnd w:id="5"/>
          </w:p>
        </w:tc>
        <w:tc>
          <w:tcPr>
            <w:tcW w:w="3290" w:type="dxa"/>
            <w:vAlign w:val="center"/>
          </w:tcPr>
          <w:p w14:paraId="2E2B06C0">
            <w:pPr>
              <w:pStyle w:val="5"/>
              <w:spacing w:line="240" w:lineRule="auto"/>
              <w:ind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二十七、56砖瓦、石材等建筑材料制造303</w:t>
            </w:r>
          </w:p>
        </w:tc>
      </w:tr>
      <w:tr w14:paraId="06FB4D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0FB2DDE9">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建设性质</w:t>
            </w:r>
          </w:p>
        </w:tc>
        <w:tc>
          <w:tcPr>
            <w:tcW w:w="1987" w:type="dxa"/>
            <w:vAlign w:val="center"/>
          </w:tcPr>
          <w:p w14:paraId="5D777ABE">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新建（迁建）</w:t>
            </w:r>
          </w:p>
          <w:p w14:paraId="1615BD2F">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rPr>
              <w:t>□改建</w:t>
            </w:r>
          </w:p>
          <w:p w14:paraId="348B0025">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rPr>
              <w:t>□扩建</w:t>
            </w:r>
          </w:p>
          <w:p w14:paraId="65A3312A">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技术改造</w:t>
            </w:r>
          </w:p>
        </w:tc>
        <w:tc>
          <w:tcPr>
            <w:tcW w:w="1881" w:type="dxa"/>
            <w:vAlign w:val="center"/>
          </w:tcPr>
          <w:p w14:paraId="2820F660">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建设项目</w:t>
            </w:r>
          </w:p>
          <w:p w14:paraId="325AAA76">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申报情形</w:t>
            </w:r>
          </w:p>
        </w:tc>
        <w:tc>
          <w:tcPr>
            <w:tcW w:w="3290" w:type="dxa"/>
            <w:vAlign w:val="center"/>
          </w:tcPr>
          <w:p w14:paraId="327CBC28">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首次申报项目</w:t>
            </w:r>
          </w:p>
          <w:p w14:paraId="1D2F7E5E">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不予批准后再次申报项目</w:t>
            </w:r>
          </w:p>
          <w:p w14:paraId="1A747ADE">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rPr>
              <w:sym w:font="Wingdings 2" w:char="00A3"/>
            </w:r>
            <w:r>
              <w:rPr>
                <w:rFonts w:hint="eastAsia" w:ascii="Times New Roman" w:hAnsi="Times New Roman" w:eastAsia="宋体" w:cs="Times New Roman"/>
                <w:color w:val="auto"/>
              </w:rPr>
              <w:t>超五年重新审核项目</w:t>
            </w:r>
          </w:p>
          <w:p w14:paraId="5516A7CB">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rPr>
              <w:t>□重大变动重新报批项目</w:t>
            </w:r>
          </w:p>
        </w:tc>
      </w:tr>
      <w:tr w14:paraId="707B6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4C52D8E6">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项目审批（核准/</w:t>
            </w:r>
          </w:p>
          <w:p w14:paraId="00F1E8BB">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备案）部门（选填）</w:t>
            </w:r>
          </w:p>
        </w:tc>
        <w:tc>
          <w:tcPr>
            <w:tcW w:w="1987" w:type="dxa"/>
            <w:vAlign w:val="center"/>
          </w:tcPr>
          <w:p w14:paraId="1592AFD0">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库尔勒经济技术开发区管理委员会经济发展局</w:t>
            </w:r>
          </w:p>
        </w:tc>
        <w:tc>
          <w:tcPr>
            <w:tcW w:w="1881" w:type="dxa"/>
            <w:vAlign w:val="center"/>
          </w:tcPr>
          <w:p w14:paraId="5F7CBF8D">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项目审批（核准/</w:t>
            </w:r>
          </w:p>
          <w:p w14:paraId="303832AE">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备案）文号（选填）</w:t>
            </w:r>
          </w:p>
        </w:tc>
        <w:tc>
          <w:tcPr>
            <w:tcW w:w="3290" w:type="dxa"/>
            <w:vAlign w:val="center"/>
          </w:tcPr>
          <w:p w14:paraId="788B87E6">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2510221477652871000140</w:t>
            </w:r>
          </w:p>
        </w:tc>
      </w:tr>
      <w:tr w14:paraId="03C399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403DA82D">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总投资（万元）</w:t>
            </w:r>
          </w:p>
        </w:tc>
        <w:tc>
          <w:tcPr>
            <w:tcW w:w="1987" w:type="dxa"/>
            <w:vAlign w:val="center"/>
          </w:tcPr>
          <w:p w14:paraId="7E0802D4">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3900</w:t>
            </w:r>
          </w:p>
        </w:tc>
        <w:tc>
          <w:tcPr>
            <w:tcW w:w="1881" w:type="dxa"/>
            <w:tcMar>
              <w:top w:w="16" w:type="dxa"/>
              <w:left w:w="16" w:type="dxa"/>
              <w:right w:w="16" w:type="dxa"/>
            </w:tcMar>
            <w:vAlign w:val="center"/>
          </w:tcPr>
          <w:p w14:paraId="39CA7D8E">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环保投资（万元）</w:t>
            </w:r>
          </w:p>
        </w:tc>
        <w:tc>
          <w:tcPr>
            <w:tcW w:w="3290" w:type="dxa"/>
            <w:vAlign w:val="center"/>
          </w:tcPr>
          <w:p w14:paraId="7C713B67">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112</w:t>
            </w:r>
          </w:p>
        </w:tc>
      </w:tr>
      <w:tr w14:paraId="3B120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263CB200">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环保投资占比（%）</w:t>
            </w:r>
          </w:p>
        </w:tc>
        <w:tc>
          <w:tcPr>
            <w:tcW w:w="1987" w:type="dxa"/>
            <w:vAlign w:val="center"/>
          </w:tcPr>
          <w:p w14:paraId="2EB09F0F">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2.87</w:t>
            </w:r>
          </w:p>
        </w:tc>
        <w:tc>
          <w:tcPr>
            <w:tcW w:w="1881" w:type="dxa"/>
            <w:tcMar>
              <w:top w:w="16" w:type="dxa"/>
              <w:left w:w="16" w:type="dxa"/>
              <w:right w:w="16" w:type="dxa"/>
            </w:tcMar>
            <w:vAlign w:val="center"/>
          </w:tcPr>
          <w:p w14:paraId="603FED43">
            <w:pPr>
              <w:pStyle w:val="5"/>
              <w:spacing w:line="240" w:lineRule="auto"/>
              <w:ind w:firstLine="0" w:firstLineChars="0"/>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施工工期</w:t>
            </w:r>
          </w:p>
        </w:tc>
        <w:tc>
          <w:tcPr>
            <w:tcW w:w="3290" w:type="dxa"/>
            <w:vAlign w:val="center"/>
          </w:tcPr>
          <w:p w14:paraId="6249CF0D">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12个月</w:t>
            </w:r>
          </w:p>
        </w:tc>
      </w:tr>
      <w:tr w14:paraId="11D4CE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712" w:type="dxa"/>
            <w:tcMar>
              <w:top w:w="16" w:type="dxa"/>
              <w:left w:w="16" w:type="dxa"/>
              <w:right w:w="16" w:type="dxa"/>
            </w:tcMar>
            <w:vAlign w:val="center"/>
          </w:tcPr>
          <w:p w14:paraId="2C9756E6">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是否开工建设</w:t>
            </w:r>
          </w:p>
        </w:tc>
        <w:tc>
          <w:tcPr>
            <w:tcW w:w="1987" w:type="dxa"/>
            <w:vAlign w:val="center"/>
          </w:tcPr>
          <w:p w14:paraId="42F98DA9">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否：</w:t>
            </w:r>
          </w:p>
          <w:p w14:paraId="6E5A3C95">
            <w:pPr>
              <w:pStyle w:val="5"/>
              <w:spacing w:line="240" w:lineRule="auto"/>
              <w:ind w:firstLine="0" w:firstLineChars="0"/>
              <w:jc w:val="both"/>
              <w:rPr>
                <w:rFonts w:hint="eastAsia" w:ascii="Times New Roman" w:hAnsi="Times New Roman" w:eastAsia="宋体" w:cs="Times New Roman"/>
                <w:color w:val="auto"/>
              </w:rPr>
            </w:pPr>
            <w:r>
              <w:rPr>
                <w:rFonts w:hint="eastAsia" w:ascii="Times New Roman" w:hAnsi="Times New Roman" w:eastAsia="宋体" w:cs="Times New Roman"/>
                <w:color w:val="auto"/>
              </w:rPr>
              <w:sym w:font="Wingdings 2" w:char="00A3"/>
            </w:r>
            <w:r>
              <w:rPr>
                <w:rFonts w:hint="eastAsia" w:ascii="Times New Roman" w:hAnsi="Times New Roman" w:eastAsia="宋体" w:cs="Times New Roman"/>
                <w:color w:val="auto"/>
              </w:rPr>
              <w:t>是：</w:t>
            </w:r>
          </w:p>
        </w:tc>
        <w:tc>
          <w:tcPr>
            <w:tcW w:w="1881" w:type="dxa"/>
            <w:tcMar>
              <w:top w:w="16" w:type="dxa"/>
              <w:left w:w="16" w:type="dxa"/>
              <w:right w:w="16" w:type="dxa"/>
            </w:tcMar>
            <w:vAlign w:val="center"/>
          </w:tcPr>
          <w:p w14:paraId="51D6474E">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用地（用海）</w:t>
            </w:r>
          </w:p>
          <w:p w14:paraId="13D8C396">
            <w:pPr>
              <w:pStyle w:val="5"/>
              <w:spacing w:line="240" w:lineRule="auto"/>
              <w:ind w:firstLine="0" w:firstLineChars="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面积（m</w:t>
            </w:r>
            <w:r>
              <w:rPr>
                <w:rFonts w:hint="eastAsia" w:ascii="Times New Roman" w:hAnsi="Times New Roman" w:eastAsia="宋体" w:cs="Times New Roman"/>
                <w:color w:val="auto"/>
                <w:vertAlign w:val="superscript"/>
              </w:rPr>
              <w:t>2</w:t>
            </w:r>
            <w:r>
              <w:rPr>
                <w:rFonts w:hint="eastAsia" w:ascii="Times New Roman" w:hAnsi="Times New Roman" w:eastAsia="宋体" w:cs="Times New Roman"/>
                <w:color w:val="auto"/>
              </w:rPr>
              <w:t>）</w:t>
            </w:r>
          </w:p>
        </w:tc>
        <w:tc>
          <w:tcPr>
            <w:tcW w:w="3290" w:type="dxa"/>
            <w:vAlign w:val="center"/>
          </w:tcPr>
          <w:p w14:paraId="172C0743">
            <w:pPr>
              <w:pStyle w:val="5"/>
              <w:spacing w:line="240" w:lineRule="auto"/>
              <w:ind w:firstLine="0" w:firstLineChars="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13037.62</w:t>
            </w:r>
          </w:p>
        </w:tc>
      </w:tr>
      <w:tr w14:paraId="3F246D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Align w:val="center"/>
          </w:tcPr>
          <w:p w14:paraId="2C78BFE9">
            <w:pPr>
              <w:pStyle w:val="5"/>
              <w:bidi w:val="0"/>
              <w:ind w:left="0" w:leftChars="0" w:firstLine="0" w:firstLineChars="0"/>
              <w:jc w:val="center"/>
              <w:rPr>
                <w:rFonts w:hint="eastAsia" w:ascii="宋体" w:hAnsi="宋体" w:cs="宋体"/>
                <w:color w:val="auto"/>
                <w:kern w:val="0"/>
              </w:rPr>
            </w:pPr>
            <w:r>
              <w:rPr>
                <w:rFonts w:hint="eastAsia"/>
                <w:color w:val="auto"/>
              </w:rPr>
              <w:t>专项评价设置情况</w:t>
            </w:r>
          </w:p>
        </w:tc>
        <w:tc>
          <w:tcPr>
            <w:tcW w:w="7158" w:type="dxa"/>
            <w:gridSpan w:val="3"/>
            <w:vAlign w:val="center"/>
          </w:tcPr>
          <w:p w14:paraId="25295857">
            <w:pPr>
              <w:pStyle w:val="5"/>
              <w:ind w:firstLine="480"/>
              <w:rPr>
                <w:rFonts w:hint="default"/>
                <w:color w:val="auto"/>
              </w:rPr>
            </w:pPr>
            <w:r>
              <w:rPr>
                <w:color w:val="auto"/>
              </w:rPr>
              <w:t>根据《中华人民共和国生态环境法典》第一编第五章及建设项目生态环境影响报告表编制技术指南（污染影响类），本项目为隔热和隔音材料制造类新建项目，主要环境影响为颗粒物、非甲烷总烃及厂界噪声，厂界500米范围内无大气、声、地下水环境保护目标，生产废水不外排，环境风险潜势为Ⅰ级。依据《中华人民共和国生态环境法典》第九十五条，属于可能造成轻度生态环境影响的建设项目，依法编制生态环境影响报告表。依据同法第八十二条，国家加强温室气体排放的生态环境影响评价；本项目不建设燃煤燃油热源，养护保温采用电热风炉，年用电约20万千瓦时，不涉及重点碳排放行业，温室气体影响纳入能耗与清洁生产管理，不单独设置专项评价。据此，不需要开展“大气、地表水、环境风险、生态和海洋”专项评价工作，具体对照分析见下表。</w:t>
            </w:r>
          </w:p>
          <w:p w14:paraId="769A2757">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w:t>
            </w:r>
            <w:r>
              <w:rPr>
                <w:color w:val="auto"/>
              </w:rPr>
              <w:fldChar w:fldCharType="end"/>
            </w:r>
            <w:r>
              <w:rPr>
                <w:rFonts w:hint="eastAsia"/>
                <w:color w:val="auto"/>
                <w:lang w:val="en-US" w:eastAsia="zh-CN"/>
              </w:rPr>
              <w:t xml:space="preserve">  专项评价设置表</w:t>
            </w:r>
          </w:p>
          <w:tbl>
            <w:tblPr>
              <w:tblStyle w:val="16"/>
              <w:tblW w:w="7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2493"/>
              <w:gridCol w:w="2476"/>
              <w:gridCol w:w="1176"/>
            </w:tblGrid>
            <w:tr w14:paraId="5D8E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064" w:type="dxa"/>
                  <w:vAlign w:val="center"/>
                </w:tcPr>
                <w:p w14:paraId="32058CA9">
                  <w:pPr>
                    <w:pStyle w:val="19"/>
                    <w:bidi w:val="0"/>
                    <w:rPr>
                      <w:color w:val="auto"/>
                    </w:rPr>
                  </w:pPr>
                  <w:r>
                    <w:rPr>
                      <w:rFonts w:hint="eastAsia"/>
                      <w:color w:val="auto"/>
                    </w:rPr>
                    <w:t>专项评价类别</w:t>
                  </w:r>
                </w:p>
              </w:tc>
              <w:tc>
                <w:tcPr>
                  <w:tcW w:w="2493" w:type="dxa"/>
                  <w:vAlign w:val="center"/>
                </w:tcPr>
                <w:p w14:paraId="31F0BA08">
                  <w:pPr>
                    <w:pStyle w:val="19"/>
                    <w:bidi w:val="0"/>
                    <w:rPr>
                      <w:color w:val="auto"/>
                    </w:rPr>
                  </w:pPr>
                  <w:r>
                    <w:rPr>
                      <w:rFonts w:hint="eastAsia"/>
                      <w:color w:val="auto"/>
                    </w:rPr>
                    <w:t>设置原则</w:t>
                  </w:r>
                </w:p>
              </w:tc>
              <w:tc>
                <w:tcPr>
                  <w:tcW w:w="2476" w:type="dxa"/>
                  <w:vAlign w:val="center"/>
                </w:tcPr>
                <w:p w14:paraId="58CE0E13">
                  <w:pPr>
                    <w:pStyle w:val="19"/>
                    <w:bidi w:val="0"/>
                    <w:rPr>
                      <w:color w:val="auto"/>
                    </w:rPr>
                  </w:pPr>
                  <w:r>
                    <w:rPr>
                      <w:rFonts w:hint="eastAsia"/>
                      <w:color w:val="auto"/>
                    </w:rPr>
                    <w:t>本项目情况</w:t>
                  </w:r>
                </w:p>
              </w:tc>
              <w:tc>
                <w:tcPr>
                  <w:tcW w:w="1176" w:type="dxa"/>
                  <w:vAlign w:val="center"/>
                </w:tcPr>
                <w:p w14:paraId="1992D7B9">
                  <w:pPr>
                    <w:pStyle w:val="19"/>
                    <w:bidi w:val="0"/>
                    <w:rPr>
                      <w:color w:val="auto"/>
                    </w:rPr>
                  </w:pPr>
                  <w:r>
                    <w:rPr>
                      <w:rFonts w:hint="eastAsia"/>
                      <w:color w:val="auto"/>
                    </w:rPr>
                    <w:t>设置情况</w:t>
                  </w:r>
                </w:p>
              </w:tc>
            </w:tr>
            <w:tr w14:paraId="1A3D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4" w:type="dxa"/>
                  <w:vAlign w:val="center"/>
                </w:tcPr>
                <w:p w14:paraId="1CAF31BC">
                  <w:pPr>
                    <w:pStyle w:val="19"/>
                    <w:bidi w:val="0"/>
                    <w:rPr>
                      <w:color w:val="auto"/>
                    </w:rPr>
                  </w:pPr>
                  <w:r>
                    <w:rPr>
                      <w:rFonts w:hint="eastAsia"/>
                      <w:color w:val="auto"/>
                    </w:rPr>
                    <w:t>大气</w:t>
                  </w:r>
                </w:p>
              </w:tc>
              <w:tc>
                <w:tcPr>
                  <w:tcW w:w="2493" w:type="dxa"/>
                  <w:vAlign w:val="center"/>
                </w:tcPr>
                <w:p w14:paraId="5416DCFE">
                  <w:pPr>
                    <w:pStyle w:val="19"/>
                    <w:bidi w:val="0"/>
                    <w:rPr>
                      <w:color w:val="auto"/>
                    </w:rPr>
                  </w:pPr>
                  <w:r>
                    <w:rPr>
                      <w:rFonts w:hint="eastAsia"/>
                      <w:color w:val="auto"/>
                    </w:rPr>
                    <w:t>排放废气含有毒有害污染物1、二噁英、苯并﹝a﹞芘、氰化物、氯气</w:t>
                  </w:r>
                  <w:r>
                    <w:rPr>
                      <w:rFonts w:hint="eastAsia"/>
                      <w:color w:val="auto"/>
                      <w:lang w:eastAsia="zh-CN"/>
                    </w:rPr>
                    <w:t>，且</w:t>
                  </w:r>
                  <w:r>
                    <w:rPr>
                      <w:rFonts w:hint="eastAsia"/>
                      <w:color w:val="auto"/>
                    </w:rPr>
                    <w:t>厂界500米范围内有环境空气保护目标2的建设项目</w:t>
                  </w:r>
                </w:p>
              </w:tc>
              <w:tc>
                <w:tcPr>
                  <w:tcW w:w="2476" w:type="dxa"/>
                  <w:vAlign w:val="center"/>
                </w:tcPr>
                <w:p w14:paraId="473AB9A9">
                  <w:pPr>
                    <w:pStyle w:val="19"/>
                    <w:bidi w:val="0"/>
                    <w:rPr>
                      <w:color w:val="auto"/>
                    </w:rPr>
                  </w:pPr>
                  <w:r>
                    <w:rPr>
                      <w:rFonts w:hint="eastAsia"/>
                      <w:color w:val="auto"/>
                    </w:rPr>
                    <w:t>本项目运营期产生的大气污染物主要为颗粒物、NMHC，不产生含有毒有害污染物、二噁英、苯并﹝a﹞芘、氰化物、氯气等</w:t>
                  </w:r>
                </w:p>
              </w:tc>
              <w:tc>
                <w:tcPr>
                  <w:tcW w:w="1176" w:type="dxa"/>
                  <w:vAlign w:val="center"/>
                </w:tcPr>
                <w:p w14:paraId="19FD4128">
                  <w:pPr>
                    <w:pStyle w:val="19"/>
                    <w:bidi w:val="0"/>
                    <w:rPr>
                      <w:color w:val="auto"/>
                    </w:rPr>
                  </w:pPr>
                  <w:r>
                    <w:rPr>
                      <w:rFonts w:hint="eastAsia"/>
                      <w:color w:val="auto"/>
                    </w:rPr>
                    <w:t>不设置</w:t>
                  </w:r>
                </w:p>
              </w:tc>
            </w:tr>
            <w:tr w14:paraId="287E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4" w:type="dxa"/>
                  <w:vAlign w:val="center"/>
                </w:tcPr>
                <w:p w14:paraId="672133FD">
                  <w:pPr>
                    <w:pStyle w:val="19"/>
                    <w:bidi w:val="0"/>
                    <w:rPr>
                      <w:color w:val="auto"/>
                    </w:rPr>
                  </w:pPr>
                  <w:r>
                    <w:rPr>
                      <w:rFonts w:hint="eastAsia"/>
                      <w:color w:val="auto"/>
                    </w:rPr>
                    <w:t>地表水</w:t>
                  </w:r>
                </w:p>
              </w:tc>
              <w:tc>
                <w:tcPr>
                  <w:tcW w:w="2493" w:type="dxa"/>
                  <w:vAlign w:val="center"/>
                </w:tcPr>
                <w:p w14:paraId="1EA8A9E8">
                  <w:pPr>
                    <w:pStyle w:val="19"/>
                    <w:bidi w:val="0"/>
                    <w:rPr>
                      <w:color w:val="auto"/>
                    </w:rPr>
                  </w:pPr>
                  <w:r>
                    <w:rPr>
                      <w:rFonts w:hint="eastAsia"/>
                      <w:color w:val="auto"/>
                    </w:rPr>
                    <w:t>新增工业废水直排建设项目（槽罐车外送污水处理厂的除外）；新增废水直排的污水集中处理厂</w:t>
                  </w:r>
                </w:p>
              </w:tc>
              <w:tc>
                <w:tcPr>
                  <w:tcW w:w="2476" w:type="dxa"/>
                  <w:vAlign w:val="center"/>
                </w:tcPr>
                <w:p w14:paraId="0C5301CD">
                  <w:pPr>
                    <w:pStyle w:val="19"/>
                    <w:bidi w:val="0"/>
                    <w:rPr>
                      <w:rFonts w:hint="default" w:eastAsia="宋体"/>
                      <w:color w:val="auto"/>
                      <w:lang w:val="en-US" w:eastAsia="zh-CN"/>
                    </w:rPr>
                  </w:pPr>
                  <w:r>
                    <w:rPr>
                      <w:rFonts w:hint="eastAsia"/>
                      <w:color w:val="auto"/>
                    </w:rPr>
                    <w:t>本项目</w:t>
                  </w:r>
                  <w:r>
                    <w:rPr>
                      <w:rFonts w:hint="eastAsia"/>
                      <w:color w:val="auto"/>
                      <w:lang w:val="en-US" w:eastAsia="zh-CN"/>
                    </w:rPr>
                    <w:t>废水不直排</w:t>
                  </w:r>
                </w:p>
              </w:tc>
              <w:tc>
                <w:tcPr>
                  <w:tcW w:w="1176" w:type="dxa"/>
                  <w:vAlign w:val="center"/>
                </w:tcPr>
                <w:p w14:paraId="2F4C393F">
                  <w:pPr>
                    <w:pStyle w:val="19"/>
                    <w:bidi w:val="0"/>
                    <w:rPr>
                      <w:color w:val="auto"/>
                    </w:rPr>
                  </w:pPr>
                  <w:r>
                    <w:rPr>
                      <w:rFonts w:hint="eastAsia"/>
                      <w:color w:val="auto"/>
                    </w:rPr>
                    <w:t>不设置</w:t>
                  </w:r>
                </w:p>
              </w:tc>
            </w:tr>
            <w:tr w14:paraId="086E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4" w:type="dxa"/>
                  <w:vAlign w:val="center"/>
                </w:tcPr>
                <w:p w14:paraId="465A25AD">
                  <w:pPr>
                    <w:pStyle w:val="19"/>
                    <w:bidi w:val="0"/>
                    <w:rPr>
                      <w:color w:val="auto"/>
                    </w:rPr>
                  </w:pPr>
                  <w:r>
                    <w:rPr>
                      <w:rFonts w:hint="eastAsia"/>
                      <w:color w:val="auto"/>
                    </w:rPr>
                    <w:t>环境风险</w:t>
                  </w:r>
                </w:p>
              </w:tc>
              <w:tc>
                <w:tcPr>
                  <w:tcW w:w="2493" w:type="dxa"/>
                  <w:vAlign w:val="center"/>
                </w:tcPr>
                <w:p w14:paraId="284419B4">
                  <w:pPr>
                    <w:pStyle w:val="19"/>
                    <w:bidi w:val="0"/>
                    <w:rPr>
                      <w:color w:val="auto"/>
                    </w:rPr>
                  </w:pPr>
                  <w:r>
                    <w:rPr>
                      <w:rFonts w:hint="eastAsia"/>
                      <w:color w:val="auto"/>
                    </w:rPr>
                    <w:t>有毒有害和易燃易爆危险物质存储量超过临界量3的建设项目</w:t>
                  </w:r>
                </w:p>
              </w:tc>
              <w:tc>
                <w:tcPr>
                  <w:tcW w:w="2476" w:type="dxa"/>
                  <w:vAlign w:val="center"/>
                </w:tcPr>
                <w:p w14:paraId="461A625B">
                  <w:pPr>
                    <w:pStyle w:val="19"/>
                    <w:bidi w:val="0"/>
                    <w:rPr>
                      <w:color w:val="auto"/>
                    </w:rPr>
                  </w:pPr>
                  <w:r>
                    <w:rPr>
                      <w:rFonts w:hint="eastAsia"/>
                      <w:color w:val="auto"/>
                    </w:rPr>
                    <w:t>本项目涉及的危险物质在厂界内的最大存在总量与其临界量的比值Q&lt;1，未超过存储量临界值</w:t>
                  </w:r>
                </w:p>
              </w:tc>
              <w:tc>
                <w:tcPr>
                  <w:tcW w:w="1176" w:type="dxa"/>
                  <w:vAlign w:val="center"/>
                </w:tcPr>
                <w:p w14:paraId="0F4E751A">
                  <w:pPr>
                    <w:pStyle w:val="19"/>
                    <w:bidi w:val="0"/>
                    <w:rPr>
                      <w:color w:val="auto"/>
                    </w:rPr>
                  </w:pPr>
                  <w:r>
                    <w:rPr>
                      <w:rFonts w:hint="eastAsia"/>
                      <w:color w:val="auto"/>
                    </w:rPr>
                    <w:t>不设置</w:t>
                  </w:r>
                </w:p>
              </w:tc>
            </w:tr>
            <w:tr w14:paraId="6B77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4" w:type="dxa"/>
                  <w:vAlign w:val="center"/>
                </w:tcPr>
                <w:p w14:paraId="5F21D3DB">
                  <w:pPr>
                    <w:pStyle w:val="19"/>
                    <w:bidi w:val="0"/>
                    <w:rPr>
                      <w:color w:val="auto"/>
                    </w:rPr>
                  </w:pPr>
                  <w:r>
                    <w:rPr>
                      <w:rFonts w:hint="eastAsia"/>
                      <w:color w:val="auto"/>
                    </w:rPr>
                    <w:t>生态</w:t>
                  </w:r>
                </w:p>
              </w:tc>
              <w:tc>
                <w:tcPr>
                  <w:tcW w:w="2493" w:type="dxa"/>
                  <w:vAlign w:val="center"/>
                </w:tcPr>
                <w:p w14:paraId="12D825FD">
                  <w:pPr>
                    <w:pStyle w:val="19"/>
                    <w:bidi w:val="0"/>
                    <w:rPr>
                      <w:color w:val="auto"/>
                    </w:rPr>
                  </w:pPr>
                  <w:r>
                    <w:rPr>
                      <w:rFonts w:hint="eastAsia"/>
                      <w:color w:val="auto"/>
                    </w:rPr>
                    <w:t>取水口500米范围内有重要水生生物的自然产卵场、索饵场、越冬场和洄游通道的新增河道取水的污染类建设项目</w:t>
                  </w:r>
                </w:p>
              </w:tc>
              <w:tc>
                <w:tcPr>
                  <w:tcW w:w="2476" w:type="dxa"/>
                  <w:vAlign w:val="center"/>
                </w:tcPr>
                <w:p w14:paraId="11FCDD67">
                  <w:pPr>
                    <w:pStyle w:val="19"/>
                    <w:bidi w:val="0"/>
                    <w:rPr>
                      <w:color w:val="auto"/>
                    </w:rPr>
                  </w:pPr>
                  <w:r>
                    <w:rPr>
                      <w:rFonts w:hint="eastAsia"/>
                      <w:color w:val="auto"/>
                    </w:rPr>
                    <w:t>本项目供水由园区供水工程统一</w:t>
                  </w:r>
                  <w:r>
                    <w:rPr>
                      <w:rFonts w:hint="eastAsia"/>
                      <w:color w:val="auto"/>
                      <w:lang w:eastAsia="zh-CN"/>
                    </w:rPr>
                    <w:t>供应</w:t>
                  </w:r>
                </w:p>
              </w:tc>
              <w:tc>
                <w:tcPr>
                  <w:tcW w:w="1176" w:type="dxa"/>
                  <w:vAlign w:val="center"/>
                </w:tcPr>
                <w:p w14:paraId="41F428EC">
                  <w:pPr>
                    <w:pStyle w:val="19"/>
                    <w:bidi w:val="0"/>
                    <w:rPr>
                      <w:color w:val="auto"/>
                    </w:rPr>
                  </w:pPr>
                  <w:r>
                    <w:rPr>
                      <w:rFonts w:hint="eastAsia"/>
                      <w:color w:val="auto"/>
                    </w:rPr>
                    <w:t>不设置</w:t>
                  </w:r>
                </w:p>
              </w:tc>
            </w:tr>
            <w:tr w14:paraId="0FF1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4" w:type="dxa"/>
                  <w:vAlign w:val="center"/>
                </w:tcPr>
                <w:p w14:paraId="56CB4255">
                  <w:pPr>
                    <w:pStyle w:val="19"/>
                    <w:bidi w:val="0"/>
                    <w:rPr>
                      <w:color w:val="auto"/>
                    </w:rPr>
                  </w:pPr>
                  <w:r>
                    <w:rPr>
                      <w:rFonts w:hint="eastAsia"/>
                      <w:color w:val="auto"/>
                    </w:rPr>
                    <w:t>海洋</w:t>
                  </w:r>
                </w:p>
              </w:tc>
              <w:tc>
                <w:tcPr>
                  <w:tcW w:w="2493" w:type="dxa"/>
                  <w:vAlign w:val="center"/>
                </w:tcPr>
                <w:p w14:paraId="15F5A1C1">
                  <w:pPr>
                    <w:pStyle w:val="19"/>
                    <w:bidi w:val="0"/>
                    <w:rPr>
                      <w:color w:val="auto"/>
                    </w:rPr>
                  </w:pPr>
                  <w:r>
                    <w:rPr>
                      <w:rFonts w:hint="eastAsia"/>
                      <w:color w:val="auto"/>
                    </w:rPr>
                    <w:t>直接向海排放污染物的海洋工程建设项目</w:t>
                  </w:r>
                </w:p>
              </w:tc>
              <w:tc>
                <w:tcPr>
                  <w:tcW w:w="2476" w:type="dxa"/>
                  <w:vAlign w:val="center"/>
                </w:tcPr>
                <w:p w14:paraId="2A2F10E8">
                  <w:pPr>
                    <w:pStyle w:val="19"/>
                    <w:bidi w:val="0"/>
                    <w:rPr>
                      <w:color w:val="auto"/>
                    </w:rPr>
                  </w:pPr>
                  <w:r>
                    <w:rPr>
                      <w:rFonts w:hint="eastAsia"/>
                      <w:color w:val="auto"/>
                    </w:rPr>
                    <w:t>本项目不涉及直接向海排放污染物</w:t>
                  </w:r>
                </w:p>
              </w:tc>
              <w:tc>
                <w:tcPr>
                  <w:tcW w:w="1176" w:type="dxa"/>
                  <w:vAlign w:val="center"/>
                </w:tcPr>
                <w:p w14:paraId="7CB20A33">
                  <w:pPr>
                    <w:pStyle w:val="19"/>
                    <w:bidi w:val="0"/>
                    <w:rPr>
                      <w:color w:val="auto"/>
                    </w:rPr>
                  </w:pPr>
                  <w:r>
                    <w:rPr>
                      <w:rFonts w:hint="eastAsia"/>
                      <w:color w:val="auto"/>
                    </w:rPr>
                    <w:t>不设置</w:t>
                  </w:r>
                </w:p>
              </w:tc>
            </w:tr>
            <w:tr w14:paraId="6902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09" w:type="dxa"/>
                  <w:gridSpan w:val="4"/>
                  <w:vAlign w:val="center"/>
                </w:tcPr>
                <w:p w14:paraId="7886B0A5">
                  <w:pPr>
                    <w:pStyle w:val="19"/>
                    <w:bidi w:val="0"/>
                    <w:jc w:val="both"/>
                    <w:rPr>
                      <w:color w:val="auto"/>
                    </w:rPr>
                  </w:pPr>
                  <w:r>
                    <w:rPr>
                      <w:rFonts w:hint="eastAsia"/>
                      <w:color w:val="auto"/>
                    </w:rPr>
                    <w:t>注：1</w:t>
                  </w:r>
                  <w:r>
                    <w:rPr>
                      <w:rFonts w:hint="eastAsia"/>
                      <w:color w:val="auto"/>
                      <w:lang w:eastAsia="zh-CN"/>
                    </w:rPr>
                    <w:t xml:space="preserve">. </w:t>
                  </w:r>
                  <w:r>
                    <w:rPr>
                      <w:rFonts w:hint="eastAsia"/>
                      <w:color w:val="auto"/>
                    </w:rPr>
                    <w:t>废气中有毒有害污染物是指纳入《有毒有害大气污染物名录》的污染物</w:t>
                  </w:r>
                  <w:r>
                    <w:rPr>
                      <w:rFonts w:hint="eastAsia"/>
                      <w:color w:val="auto"/>
                      <w:lang w:eastAsia="zh-CN"/>
                    </w:rPr>
                    <w:t>（</w:t>
                  </w:r>
                  <w:r>
                    <w:rPr>
                      <w:rFonts w:hint="eastAsia"/>
                      <w:color w:val="auto"/>
                    </w:rPr>
                    <w:t>不包括无排放标准的污染物</w:t>
                  </w:r>
                  <w:r>
                    <w:rPr>
                      <w:rFonts w:hint="eastAsia"/>
                      <w:color w:val="auto"/>
                      <w:lang w:eastAsia="zh-CN"/>
                    </w:rPr>
                    <w:t>）</w:t>
                  </w:r>
                  <w:r>
                    <w:rPr>
                      <w:rFonts w:hint="eastAsia"/>
                      <w:color w:val="auto"/>
                    </w:rPr>
                    <w:t>。</w:t>
                  </w:r>
                </w:p>
                <w:p w14:paraId="72B344D3">
                  <w:pPr>
                    <w:pStyle w:val="19"/>
                    <w:bidi w:val="0"/>
                    <w:jc w:val="both"/>
                    <w:rPr>
                      <w:color w:val="auto"/>
                    </w:rPr>
                  </w:pPr>
                  <w:r>
                    <w:rPr>
                      <w:rFonts w:hint="eastAsia"/>
                      <w:color w:val="auto"/>
                      <w:lang w:val="en-US" w:eastAsia="zh-CN"/>
                    </w:rPr>
                    <w:t>2.</w:t>
                  </w:r>
                  <w:r>
                    <w:rPr>
                      <w:rFonts w:hint="eastAsia"/>
                      <w:color w:val="auto"/>
                    </w:rPr>
                    <w:t>环境空气保护目标指自然保护区、风景名胜区、居住区、文化区和农村地区中人群较集中的区域。</w:t>
                  </w:r>
                </w:p>
                <w:p w14:paraId="37E3D46C">
                  <w:pPr>
                    <w:pStyle w:val="19"/>
                    <w:bidi w:val="0"/>
                    <w:jc w:val="both"/>
                    <w:rPr>
                      <w:color w:val="auto"/>
                    </w:rPr>
                  </w:pPr>
                  <w:r>
                    <w:rPr>
                      <w:rFonts w:hint="eastAsia"/>
                      <w:color w:val="auto"/>
                      <w:lang w:val="en-US" w:eastAsia="zh-CN"/>
                    </w:rPr>
                    <w:t>3.</w:t>
                  </w:r>
                  <w:r>
                    <w:rPr>
                      <w:color w:val="auto"/>
                    </w:rPr>
                    <w:t>临界量及其计算方法可参考《建设项目环境风险评价技术导则》（</w:t>
                  </w:r>
                  <w:r>
                    <w:rPr>
                      <w:rFonts w:hint="eastAsia"/>
                      <w:color w:val="auto"/>
                      <w:lang w:eastAsia="zh-CN"/>
                    </w:rPr>
                    <w:t>HJ 169-2018</w:t>
                  </w:r>
                  <w:r>
                    <w:rPr>
                      <w:color w:val="auto"/>
                    </w:rPr>
                    <w:t>）附录B和附录C。</w:t>
                  </w:r>
                </w:p>
              </w:tc>
            </w:tr>
          </w:tbl>
          <w:p w14:paraId="5C81BBC6">
            <w:pPr>
              <w:pStyle w:val="20"/>
              <w:bidi w:val="0"/>
              <w:rPr>
                <w:rFonts w:hint="eastAsia"/>
                <w:color w:val="auto"/>
              </w:rPr>
            </w:pPr>
          </w:p>
          <w:p w14:paraId="75ED1380">
            <w:pPr>
              <w:pStyle w:val="5"/>
              <w:ind w:firstLine="480"/>
              <w:rPr>
                <w:rFonts w:hint="default"/>
                <w:color w:val="auto"/>
              </w:rPr>
            </w:pPr>
            <w:r>
              <w:rPr>
                <w:rFonts w:hint="eastAsia"/>
                <w:color w:val="auto"/>
              </w:rPr>
              <w:t>根据《中华人民共和国生态环境法典》第一编第五章及建设项目生态环境影响报告表编制技术指南（污染影响类），土壤、声环境不开展专项评价。地下水原则上不开展专项评价，涉及集中式饮用水水源和热水、矿泉水、温泉等特殊地下水资源保护区的开展地下水专项评价工作。本项目</w:t>
            </w:r>
            <w:r>
              <w:rPr>
                <w:rFonts w:hint="eastAsia"/>
                <w:color w:val="auto"/>
                <w:lang w:eastAsia="zh-CN"/>
              </w:rPr>
              <w:t>位于</w:t>
            </w:r>
            <w:r>
              <w:rPr>
                <w:rFonts w:hint="eastAsia"/>
                <w:color w:val="auto"/>
              </w:rPr>
              <w:t>库尔勒经济技术开发区，厂界</w:t>
            </w:r>
            <w:r>
              <w:rPr>
                <w:color w:val="auto"/>
              </w:rPr>
              <w:t>500m</w:t>
            </w:r>
            <w:r>
              <w:rPr>
                <w:rFonts w:hint="eastAsia"/>
                <w:color w:val="auto"/>
              </w:rPr>
              <w:t>范围内不涉及集中式饮用水水源和热水、矿泉水、温泉等特殊地下水资源保护区，因此不需要开展地下水专项评价工作。</w:t>
            </w:r>
          </w:p>
        </w:tc>
      </w:tr>
      <w:tr w14:paraId="0B7F7D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Align w:val="center"/>
          </w:tcPr>
          <w:p w14:paraId="58E01651">
            <w:pPr>
              <w:pStyle w:val="5"/>
              <w:bidi w:val="0"/>
              <w:ind w:left="0" w:leftChars="0" w:firstLine="0" w:firstLineChars="0"/>
              <w:jc w:val="center"/>
              <w:rPr>
                <w:rFonts w:hint="eastAsia" w:ascii="宋体" w:hAnsi="宋体" w:cs="宋体"/>
                <w:color w:val="auto"/>
                <w:kern w:val="0"/>
              </w:rPr>
            </w:pPr>
            <w:r>
              <w:rPr>
                <w:rFonts w:hint="eastAsia"/>
                <w:color w:val="auto"/>
              </w:rPr>
              <w:t>规划情况</w:t>
            </w:r>
          </w:p>
        </w:tc>
        <w:tc>
          <w:tcPr>
            <w:tcW w:w="7158" w:type="dxa"/>
            <w:gridSpan w:val="3"/>
            <w:vAlign w:val="center"/>
          </w:tcPr>
          <w:p w14:paraId="24A51417">
            <w:pPr>
              <w:pStyle w:val="5"/>
              <w:jc w:val="both"/>
              <w:rPr>
                <w:color w:val="auto"/>
              </w:rPr>
            </w:pPr>
            <w:r>
              <w:rPr>
                <w:rFonts w:hint="eastAsia" w:ascii="宋体" w:hAnsi="宋体"/>
                <w:color w:val="auto"/>
              </w:rPr>
              <w:t>规划名称：</w:t>
            </w:r>
            <w:r>
              <w:rPr>
                <w:rFonts w:hint="eastAsia" w:ascii="宋体" w:hAnsi="宋体"/>
                <w:color w:val="auto"/>
                <w:lang w:eastAsia="zh-CN"/>
              </w:rPr>
              <w:t>《库尔勒经济技术开发区重点产业发展规划》</w:t>
            </w:r>
            <w:r>
              <w:rPr>
                <w:rFonts w:hint="eastAsia" w:ascii="宋体" w:hAnsi="宋体"/>
                <w:color w:val="auto"/>
              </w:rPr>
              <w:t>；</w:t>
            </w:r>
          </w:p>
          <w:p w14:paraId="58FB3F81">
            <w:pPr>
              <w:pStyle w:val="5"/>
              <w:ind w:firstLine="480"/>
              <w:rPr>
                <w:rFonts w:hint="eastAsia" w:ascii="宋体" w:hAnsi="宋体"/>
                <w:color w:val="auto"/>
                <w:highlight w:val="none"/>
              </w:rPr>
            </w:pPr>
            <w:r>
              <w:rPr>
                <w:rFonts w:hint="eastAsia" w:ascii="宋体" w:hAnsi="宋体"/>
                <w:color w:val="auto"/>
              </w:rPr>
              <w:t>审批机关：</w:t>
            </w:r>
            <w:r>
              <w:rPr>
                <w:rFonts w:hint="eastAsia" w:ascii="宋体" w:hAnsi="宋体"/>
                <w:color w:val="auto"/>
                <w:highlight w:val="none"/>
              </w:rPr>
              <w:t>巴音郭楞蒙古自治州人民政府；</w:t>
            </w:r>
          </w:p>
          <w:p w14:paraId="0A848D09">
            <w:pPr>
              <w:pStyle w:val="5"/>
              <w:ind w:firstLine="480"/>
              <w:rPr>
                <w:rFonts w:hint="eastAsia" w:ascii="宋体" w:hAnsi="宋体" w:eastAsia="宋体"/>
                <w:color w:val="auto"/>
                <w:highlight w:val="none"/>
                <w:lang w:val="en-US" w:eastAsia="zh-CN"/>
              </w:rPr>
            </w:pPr>
            <w:r>
              <w:rPr>
                <w:rFonts w:hint="eastAsia" w:ascii="宋体" w:hAnsi="宋体"/>
                <w:color w:val="auto"/>
                <w:highlight w:val="none"/>
                <w:lang w:val="en-US" w:eastAsia="zh-CN"/>
              </w:rPr>
              <w:t>审批文号：巴政函〔2026〕196号；</w:t>
            </w:r>
          </w:p>
          <w:p w14:paraId="13E9A990">
            <w:pPr>
              <w:pStyle w:val="5"/>
              <w:bidi w:val="0"/>
              <w:rPr>
                <w:rFonts w:hint="default" w:eastAsia="宋体"/>
                <w:color w:val="auto"/>
                <w:highlight w:val="yellow"/>
                <w:lang w:val="en-US" w:eastAsia="zh-CN"/>
              </w:rPr>
            </w:pPr>
            <w:r>
              <w:rPr>
                <w:rFonts w:hint="eastAsia"/>
                <w:color w:val="auto"/>
                <w:highlight w:val="none"/>
                <w:lang w:val="en-US" w:eastAsia="zh-CN"/>
              </w:rPr>
              <w:t>新版《库尔勒经济技术开发区国土空间专项规划（2026 - 2035年）》目前正处于编制阶段。</w:t>
            </w:r>
          </w:p>
        </w:tc>
      </w:tr>
      <w:tr w14:paraId="1B635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Align w:val="center"/>
          </w:tcPr>
          <w:p w14:paraId="6A0272D2">
            <w:pPr>
              <w:pStyle w:val="5"/>
              <w:bidi w:val="0"/>
              <w:ind w:left="0" w:leftChars="0" w:firstLine="0" w:firstLineChars="0"/>
              <w:jc w:val="center"/>
              <w:rPr>
                <w:rFonts w:hint="eastAsia" w:ascii="宋体" w:hAnsi="宋体" w:cs="宋体"/>
                <w:color w:val="auto"/>
                <w:kern w:val="0"/>
              </w:rPr>
            </w:pPr>
            <w:r>
              <w:rPr>
                <w:rFonts w:hint="eastAsia"/>
                <w:color w:val="auto"/>
              </w:rPr>
              <w:t>规划环境影响评价情况</w:t>
            </w:r>
          </w:p>
        </w:tc>
        <w:tc>
          <w:tcPr>
            <w:tcW w:w="7158" w:type="dxa"/>
            <w:gridSpan w:val="3"/>
            <w:vAlign w:val="top"/>
          </w:tcPr>
          <w:p w14:paraId="3427632B">
            <w:pPr>
              <w:pStyle w:val="5"/>
              <w:ind w:firstLine="480"/>
              <w:rPr>
                <w:color w:val="auto"/>
              </w:rPr>
            </w:pPr>
            <w:r>
              <w:rPr>
                <w:rFonts w:ascii="宋体" w:hAnsi="宋体"/>
                <w:color w:val="auto"/>
              </w:rPr>
              <w:t>规划环评名称：</w:t>
            </w:r>
            <w:r>
              <w:rPr>
                <w:rFonts w:hint="eastAsia" w:ascii="宋体" w:hAnsi="宋体"/>
                <w:color w:val="auto"/>
              </w:rPr>
              <w:t>《库尔勒经济技术开发区重点产业发展规划环境影响报告书》；</w:t>
            </w:r>
          </w:p>
          <w:p w14:paraId="2BDE760F">
            <w:pPr>
              <w:pStyle w:val="5"/>
              <w:ind w:firstLine="480"/>
              <w:rPr>
                <w:rFonts w:hint="eastAsia" w:ascii="宋体" w:hAnsi="宋体" w:eastAsia="宋体"/>
                <w:color w:val="auto"/>
                <w:lang w:eastAsia="zh-CN"/>
              </w:rPr>
            </w:pPr>
            <w:r>
              <w:rPr>
                <w:rFonts w:ascii="宋体" w:hAnsi="宋体"/>
                <w:color w:val="auto"/>
              </w:rPr>
              <w:t>审查机关：</w:t>
            </w:r>
            <w:r>
              <w:rPr>
                <w:rFonts w:hint="eastAsia" w:ascii="宋体" w:hAnsi="宋体"/>
                <w:color w:val="auto"/>
              </w:rPr>
              <w:t>巴音郭楞蒙古自治州生态环境局</w:t>
            </w:r>
            <w:r>
              <w:rPr>
                <w:rFonts w:hint="eastAsia" w:ascii="宋体" w:hAnsi="宋体"/>
                <w:color w:val="auto"/>
                <w:lang w:eastAsia="zh-CN"/>
              </w:rPr>
              <w:t>；</w:t>
            </w:r>
          </w:p>
          <w:p w14:paraId="4DB41424">
            <w:pPr>
              <w:pStyle w:val="5"/>
              <w:ind w:firstLine="480"/>
              <w:rPr>
                <w:rFonts w:hint="eastAsia"/>
                <w:color w:val="auto"/>
                <w:highlight w:val="yellow"/>
              </w:rPr>
            </w:pPr>
            <w:r>
              <w:rPr>
                <w:rFonts w:hint="eastAsia"/>
                <w:color w:val="auto"/>
                <w:highlight w:val="none"/>
                <w:lang w:val="en-US" w:eastAsia="zh-CN"/>
              </w:rPr>
              <w:t>新版《库尔勒经济技术开发区国土空间专项规划（2026 - 2035年）环境影响报告书》目前正处于编制阶段。</w:t>
            </w:r>
          </w:p>
        </w:tc>
      </w:tr>
      <w:tr w14:paraId="2F993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2" w:type="dxa"/>
            <w:vAlign w:val="center"/>
          </w:tcPr>
          <w:p w14:paraId="24E932B5">
            <w:pPr>
              <w:pStyle w:val="5"/>
              <w:bidi w:val="0"/>
              <w:ind w:left="0" w:leftChars="0" w:firstLine="0" w:firstLineChars="0"/>
              <w:jc w:val="center"/>
              <w:rPr>
                <w:rFonts w:hint="eastAsia" w:ascii="宋体" w:hAnsi="宋体" w:cs="宋体"/>
                <w:color w:val="auto"/>
                <w:kern w:val="0"/>
              </w:rPr>
            </w:pPr>
            <w:r>
              <w:rPr>
                <w:rFonts w:hint="eastAsia"/>
                <w:color w:val="auto"/>
              </w:rPr>
              <w:t>规划及规划环境影响评价符合性分析</w:t>
            </w:r>
          </w:p>
        </w:tc>
        <w:tc>
          <w:tcPr>
            <w:tcW w:w="7158" w:type="dxa"/>
            <w:gridSpan w:val="3"/>
            <w:vAlign w:val="center"/>
          </w:tcPr>
          <w:p w14:paraId="2C2DF5FD">
            <w:pPr>
              <w:pStyle w:val="5"/>
              <w:bidi w:val="0"/>
              <w:rPr>
                <w:rFonts w:hint="eastAsia"/>
                <w:color w:val="auto"/>
                <w:lang w:eastAsia="zh-CN"/>
              </w:rPr>
            </w:pPr>
            <w:r>
              <w:rPr>
                <w:rFonts w:hint="eastAsia"/>
                <w:color w:val="auto"/>
                <w:lang w:val="en-US" w:eastAsia="zh-CN"/>
              </w:rPr>
              <w:t>根据《库尔勒经济技术开发区重点产业发展规划环境影响报告书》，库尔勒经济技术开发区落实国家、自治区打造炼化纺一体化产业链战略，壮大“炼化纺”下游化纤及纺织服装产业能级，推动精细化工与纺织服装两大优势产业协同融合发展；依托区域天然气及石油化工产能基础，创新引领精细化工向先进化工新材料延伸；聚焦新能源新材料、装备制造等战略性新兴产业，引领巴州新兴产业生态打造；推动农副产品精深加工产业向绿色食品及生物医药高附加值方向延伸；聚焦产业价值链中高端跃升与产城融合发展，推动现代服务业提档升级；加强区域协同，重点在化纤及纺织服装、新能源新材料、装备制造等领域开展区域协作。</w:t>
            </w:r>
          </w:p>
          <w:p w14:paraId="387289C6">
            <w:pPr>
              <w:pStyle w:val="5"/>
              <w:bidi w:val="0"/>
              <w:rPr>
                <w:rFonts w:hint="eastAsia"/>
                <w:color w:val="auto"/>
                <w:lang w:val="en-US" w:eastAsia="zh-CN"/>
              </w:rPr>
            </w:pPr>
            <w:r>
              <w:rPr>
                <w:rFonts w:hint="eastAsia"/>
                <w:color w:val="auto"/>
                <w:lang w:eastAsia="zh-CN"/>
              </w:rPr>
              <w:t>本项目为新型环保防水背衬板制造，属于新型材料范畴，符合</w:t>
            </w:r>
            <w:r>
              <w:rPr>
                <w:rFonts w:hint="eastAsia"/>
                <w:color w:val="auto"/>
                <w:lang w:val="en-US" w:eastAsia="zh-CN"/>
              </w:rPr>
              <w:t>库尔勒经济技术开发区重点发展战略性新兴产业中新能源新材料的产业定位，与《库尔勒经济技术开发区重点产业发展规划》</w:t>
            </w:r>
            <w:r>
              <w:rPr>
                <w:rFonts w:hint="eastAsia"/>
                <w:color w:val="auto"/>
                <w:lang w:eastAsia="zh-CN"/>
              </w:rPr>
              <w:t>产业发展方向相符，选址符合开发区规划要求。</w:t>
            </w:r>
            <w:r>
              <w:rPr>
                <w:rFonts w:hint="eastAsia"/>
                <w:color w:val="auto"/>
                <w:lang w:val="en-US" w:eastAsia="zh-CN"/>
              </w:rPr>
              <w:t>对于新版国土空间专项规划及其环评，待其正式批复后，本项目将进一步对照其要求进行合规性分析，确保与最新规划及环评要求保持一致。</w:t>
            </w:r>
          </w:p>
          <w:p w14:paraId="58A656AA">
            <w:pPr>
              <w:pStyle w:val="5"/>
              <w:bidi w:val="0"/>
              <w:rPr>
                <w:rFonts w:hint="eastAsia"/>
                <w:color w:val="auto"/>
                <w:lang w:val="en-US" w:eastAsia="zh-CN"/>
              </w:rPr>
            </w:pPr>
          </w:p>
          <w:p w14:paraId="247A66DA">
            <w:pPr>
              <w:pStyle w:val="5"/>
              <w:bidi w:val="0"/>
              <w:rPr>
                <w:rFonts w:hint="eastAsia"/>
                <w:color w:val="auto"/>
                <w:lang w:val="en-US" w:eastAsia="zh-CN"/>
              </w:rPr>
            </w:pPr>
          </w:p>
          <w:p w14:paraId="67F51A62">
            <w:pPr>
              <w:pStyle w:val="5"/>
              <w:bidi w:val="0"/>
              <w:rPr>
                <w:rFonts w:hint="eastAsia"/>
                <w:color w:val="auto"/>
                <w:lang w:val="en-US" w:eastAsia="zh-CN"/>
              </w:rPr>
            </w:pPr>
          </w:p>
          <w:p w14:paraId="279741C1">
            <w:pPr>
              <w:pStyle w:val="5"/>
              <w:bidi w:val="0"/>
              <w:rPr>
                <w:rFonts w:hint="eastAsia"/>
                <w:color w:val="auto"/>
                <w:lang w:val="en-US" w:eastAsia="zh-CN"/>
              </w:rPr>
            </w:pPr>
          </w:p>
          <w:p w14:paraId="6FE11774">
            <w:pPr>
              <w:pStyle w:val="5"/>
              <w:bidi w:val="0"/>
              <w:rPr>
                <w:rFonts w:hint="eastAsia"/>
                <w:color w:val="auto"/>
                <w:lang w:val="en-US" w:eastAsia="zh-CN"/>
              </w:rPr>
            </w:pPr>
          </w:p>
          <w:p w14:paraId="4429608B">
            <w:pPr>
              <w:pStyle w:val="5"/>
              <w:bidi w:val="0"/>
              <w:rPr>
                <w:rFonts w:hint="eastAsia"/>
                <w:color w:val="auto"/>
                <w:lang w:val="en-US" w:eastAsia="zh-CN"/>
              </w:rPr>
            </w:pPr>
          </w:p>
          <w:p w14:paraId="06BBC691">
            <w:pPr>
              <w:pStyle w:val="5"/>
              <w:bidi w:val="0"/>
              <w:rPr>
                <w:rFonts w:hint="eastAsia"/>
                <w:color w:val="auto"/>
                <w:lang w:val="en-US" w:eastAsia="zh-CN"/>
              </w:rPr>
            </w:pPr>
          </w:p>
          <w:p w14:paraId="45ADF70B">
            <w:pPr>
              <w:pStyle w:val="5"/>
              <w:bidi w:val="0"/>
              <w:ind w:left="0" w:leftChars="0" w:firstLine="0" w:firstLineChars="0"/>
              <w:rPr>
                <w:rFonts w:hint="eastAsia"/>
                <w:color w:val="auto"/>
                <w:lang w:val="en-US" w:eastAsia="zh-CN"/>
              </w:rPr>
            </w:pPr>
          </w:p>
        </w:tc>
      </w:tr>
    </w:tbl>
    <w:p w14:paraId="01170619">
      <w:pPr>
        <w:pStyle w:val="12"/>
        <w:outlineLvl w:val="9"/>
        <w:rPr>
          <w:color w:val="auto"/>
        </w:rPr>
      </w:pPr>
    </w:p>
    <w:p w14:paraId="7D360E5E">
      <w:pPr>
        <w:rPr>
          <w:color w:val="auto"/>
        </w:rPr>
      </w:pPr>
    </w:p>
    <w:p w14:paraId="01C96B12">
      <w:pPr>
        <w:rPr>
          <w:color w:val="auto"/>
        </w:rPr>
      </w:pPr>
    </w:p>
    <w:p w14:paraId="1AAD4311">
      <w:pPr>
        <w:pStyle w:val="12"/>
        <w:outlineLvl w:val="9"/>
        <w:rPr>
          <w:color w:val="auto"/>
        </w:rPr>
      </w:pPr>
    </w:p>
    <w:p w14:paraId="22A8573F">
      <w:pPr>
        <w:pStyle w:val="12"/>
        <w:outlineLvl w:val="9"/>
        <w:rPr>
          <w:rFonts w:hint="default" w:eastAsia="黑体"/>
          <w:color w:val="auto"/>
          <w:lang w:val="en-US" w:eastAsia="zh-CN"/>
        </w:rPr>
        <w:sectPr>
          <w:pgSz w:w="11906" w:h="16838"/>
          <w:pgMar w:top="1701" w:right="1531" w:bottom="1701" w:left="1531" w:header="851" w:footer="1077" w:gutter="0"/>
          <w:pgNumType w:fmt="decimal" w:start="1"/>
          <w:cols w:space="720" w:num="1"/>
          <w:docGrid w:linePitch="312" w:charSpace="0"/>
        </w:sect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1</w:t>
      </w:r>
      <w:r>
        <w:rPr>
          <w:color w:val="auto"/>
        </w:rPr>
        <w:fldChar w:fldCharType="end"/>
      </w:r>
      <w:r>
        <w:rPr>
          <w:rFonts w:hint="eastAsia"/>
          <w:color w:val="auto"/>
          <w:lang w:val="en-US" w:eastAsia="zh-CN"/>
        </w:rPr>
        <w:t xml:space="preserve">  本项目与库尔勒经济技术开发区重点产业发展规划区划的关系</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7158"/>
      </w:tblGrid>
      <w:tr w14:paraId="46446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Align w:val="center"/>
          </w:tcPr>
          <w:p w14:paraId="6B0039C7">
            <w:pPr>
              <w:pStyle w:val="5"/>
              <w:bidi w:val="0"/>
              <w:ind w:left="0" w:leftChars="0" w:firstLine="0" w:firstLineChars="0"/>
              <w:jc w:val="center"/>
              <w:rPr>
                <w:rFonts w:hint="eastAsia"/>
                <w:color w:val="auto"/>
              </w:rPr>
            </w:pPr>
            <w:r>
              <w:rPr>
                <w:rFonts w:hint="eastAsia"/>
                <w:color w:val="auto"/>
              </w:rPr>
              <w:t>其他符合性</w:t>
            </w:r>
          </w:p>
          <w:p w14:paraId="2979B8AA">
            <w:pPr>
              <w:pStyle w:val="5"/>
              <w:bidi w:val="0"/>
              <w:ind w:left="0" w:leftChars="0" w:firstLine="0" w:firstLineChars="0"/>
              <w:jc w:val="center"/>
              <w:rPr>
                <w:rFonts w:hint="eastAsia" w:ascii="宋体" w:hAnsi="宋体" w:cs="宋体"/>
                <w:color w:val="auto"/>
                <w:kern w:val="0"/>
              </w:rPr>
            </w:pPr>
            <w:r>
              <w:rPr>
                <w:rFonts w:hint="eastAsia"/>
                <w:color w:val="auto"/>
              </w:rPr>
              <w:t>分析</w:t>
            </w:r>
          </w:p>
        </w:tc>
        <w:tc>
          <w:tcPr>
            <w:tcW w:w="7158" w:type="dxa"/>
            <w:vAlign w:val="center"/>
          </w:tcPr>
          <w:p w14:paraId="28D1A5E6">
            <w:pPr>
              <w:pStyle w:val="3"/>
              <w:rPr>
                <w:rFonts w:hint="default"/>
                <w:color w:val="auto"/>
              </w:rPr>
            </w:pPr>
            <w:r>
              <w:rPr>
                <w:color w:val="auto"/>
              </w:rPr>
              <w:t>与《产业结构调整指导目录（</w:t>
            </w:r>
            <w:r>
              <w:rPr>
                <w:rFonts w:hint="default"/>
                <w:color w:val="auto"/>
              </w:rPr>
              <w:t>2024</w:t>
            </w:r>
            <w:r>
              <w:rPr>
                <w:color w:val="auto"/>
              </w:rPr>
              <w:t>年本）》符合性分析</w:t>
            </w:r>
          </w:p>
          <w:p w14:paraId="1EE07BF8">
            <w:pPr>
              <w:pStyle w:val="5"/>
              <w:ind w:firstLine="480"/>
              <w:jc w:val="both"/>
              <w:rPr>
                <w:rFonts w:hint="eastAsia"/>
                <w:color w:val="auto"/>
              </w:rPr>
            </w:pPr>
            <w:r>
              <w:rPr>
                <w:rFonts w:hint="eastAsia"/>
                <w:color w:val="auto"/>
              </w:rPr>
              <w:t>对照《产业结构调整指导目录（2024年本）》，本项目属于鼓励类</w:t>
            </w:r>
            <w:r>
              <w:rPr>
                <w:rFonts w:hint="eastAsia"/>
                <w:color w:val="auto"/>
                <w:lang w:val="en-US" w:eastAsia="zh-CN"/>
              </w:rPr>
              <w:t>十二、建材</w:t>
            </w:r>
            <w:r>
              <w:rPr>
                <w:rFonts w:hint="eastAsia"/>
                <w:color w:val="auto"/>
                <w:lang w:eastAsia="zh-CN"/>
              </w:rPr>
              <w:t>“</w:t>
            </w:r>
            <w:r>
              <w:rPr>
                <w:rFonts w:hint="eastAsia"/>
                <w:color w:val="auto"/>
                <w:lang w:val="en-US" w:eastAsia="zh-CN"/>
              </w:rPr>
              <w:t>A 级阻燃保温材料制品，复合真空绝热保温材料，聚酯纤维类吸音板材，保温、装饰等功能一体化复合板材</w:t>
            </w:r>
            <w:r>
              <w:rPr>
                <w:rFonts w:hint="eastAsia"/>
                <w:color w:val="auto"/>
                <w:lang w:eastAsia="zh-CN"/>
              </w:rPr>
              <w:t>”范畴，符合国家产业政策导向，不属于限制类或淘汰类项目。</w:t>
            </w:r>
            <w:r>
              <w:rPr>
                <w:rFonts w:hint="eastAsia"/>
                <w:color w:val="auto"/>
              </w:rPr>
              <w:t>符合国家产业政策。本项目已于2025年</w:t>
            </w:r>
            <w:r>
              <w:rPr>
                <w:rFonts w:hint="eastAsia"/>
                <w:color w:val="auto"/>
                <w:lang w:val="en-US" w:eastAsia="zh-CN"/>
              </w:rPr>
              <w:t>10</w:t>
            </w:r>
            <w:r>
              <w:rPr>
                <w:rFonts w:hint="eastAsia"/>
                <w:color w:val="auto"/>
              </w:rPr>
              <w:t>月</w:t>
            </w:r>
            <w:r>
              <w:rPr>
                <w:rFonts w:hint="eastAsia"/>
                <w:color w:val="auto"/>
                <w:lang w:val="en-US" w:eastAsia="zh-CN"/>
              </w:rPr>
              <w:t>22</w:t>
            </w:r>
            <w:r>
              <w:rPr>
                <w:rFonts w:hint="eastAsia"/>
                <w:color w:val="auto"/>
              </w:rPr>
              <w:t>日经库尔勒经济技术开发区管理委员会经济发展局备案，项目代码为2510-652871-89-01-198834。</w:t>
            </w:r>
          </w:p>
          <w:p w14:paraId="24FC844B">
            <w:pPr>
              <w:pStyle w:val="3"/>
              <w:rPr>
                <w:rFonts w:hint="default"/>
                <w:color w:val="auto"/>
              </w:rPr>
            </w:pPr>
            <w:r>
              <w:rPr>
                <w:color w:val="auto"/>
              </w:rPr>
              <w:t>与《市场准入负面清单（2025版）》符合性分析</w:t>
            </w:r>
          </w:p>
          <w:p w14:paraId="333D68CA">
            <w:pPr>
              <w:pStyle w:val="5"/>
              <w:ind w:firstLine="480"/>
              <w:rPr>
                <w:rFonts w:hint="default"/>
                <w:color w:val="auto"/>
              </w:rPr>
            </w:pPr>
            <w:r>
              <w:rPr>
                <w:color w:val="auto"/>
              </w:rPr>
              <w:t>根据《市场准入负面清单（2025版）》，禁止准入类：①</w:t>
            </w:r>
            <w:r>
              <w:rPr>
                <w:rFonts w:hint="eastAsia"/>
                <w:color w:val="auto"/>
                <w:lang w:eastAsia="zh-CN"/>
              </w:rPr>
              <w:t>法律法规</w:t>
            </w:r>
            <w:r>
              <w:rPr>
                <w:color w:val="auto"/>
              </w:rPr>
              <w:t>、国务院决定等明确设立且与市场准入相关的禁止性规定；②国家产业政策明令淘汰和限制的产品、技术、工艺、设备及行为；③不符合主体功能区建设要求的各类开发活动；④禁止违规开展金融相关经营活动；⑤禁止违规开展互联网相关经营活动；⑥禁止违规开展新闻传媒相关业务；</w:t>
            </w:r>
          </w:p>
          <w:p w14:paraId="0582901F">
            <w:pPr>
              <w:pStyle w:val="5"/>
              <w:ind w:firstLine="480"/>
              <w:rPr>
                <w:rFonts w:hint="eastAsia" w:eastAsia="宋体"/>
                <w:color w:val="auto"/>
                <w:lang w:eastAsia="zh-CN"/>
              </w:rPr>
            </w:pPr>
            <w:r>
              <w:rPr>
                <w:color w:val="auto"/>
              </w:rPr>
              <w:t>本项目不涉及国家产业政策明令淘汰和限制的产品、技术、工艺、设备、行为及业务经营活动</w:t>
            </w:r>
            <w:r>
              <w:rPr>
                <w:rFonts w:hint="eastAsia"/>
                <w:color w:val="auto"/>
                <w:lang w:eastAsia="zh-CN"/>
              </w:rPr>
              <w:t>。</w:t>
            </w:r>
          </w:p>
          <w:p w14:paraId="369E6862">
            <w:pPr>
              <w:pStyle w:val="5"/>
              <w:ind w:firstLine="480"/>
              <w:rPr>
                <w:color w:val="auto"/>
              </w:rPr>
            </w:pPr>
            <w:r>
              <w:rPr>
                <w:color w:val="auto"/>
              </w:rPr>
              <w:t>综上，本项目符合《市场准入负面清单（2025版）》中的相关要求。</w:t>
            </w:r>
          </w:p>
          <w:p w14:paraId="5125A4FF">
            <w:pPr>
              <w:pStyle w:val="3"/>
              <w:bidi w:val="0"/>
              <w:rPr>
                <w:color w:val="auto"/>
              </w:rPr>
            </w:pPr>
            <w:r>
              <w:rPr>
                <w:rFonts w:hint="eastAsia"/>
                <w:color w:val="auto"/>
              </w:rPr>
              <w:t>与《新疆维吾尔自治区生态环境分区管控动态更新成果》（新环环评发〔2024〕157号）符合性分析</w:t>
            </w:r>
          </w:p>
          <w:p w14:paraId="0EE19540">
            <w:pPr>
              <w:pStyle w:val="5"/>
              <w:rPr>
                <w:rFonts w:hint="default" w:eastAsia="宋体"/>
                <w:color w:val="auto"/>
                <w:lang w:val="en-US" w:eastAsia="zh-CN"/>
              </w:rPr>
            </w:pPr>
            <w:r>
              <w:rPr>
                <w:rFonts w:hint="eastAsia"/>
                <w:color w:val="auto"/>
                <w:lang w:val="en-US" w:eastAsia="zh-CN"/>
              </w:rPr>
              <w:t>本项目与《新疆维吾尔自治区生态环境分区管控动态更新成果》（新环环评发〔2024〕157号）符合性分析见下表：</w:t>
            </w:r>
          </w:p>
          <w:p w14:paraId="4E0FD6C7">
            <w:pPr>
              <w:pStyle w:val="12"/>
              <w:bidi w:val="0"/>
              <w:rPr>
                <w:rFonts w:hint="default"/>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w:t>
            </w:r>
            <w:r>
              <w:rPr>
                <w:color w:val="auto"/>
              </w:rPr>
              <w:fldChar w:fldCharType="end"/>
            </w:r>
            <w:r>
              <w:rPr>
                <w:rFonts w:hint="eastAsia"/>
                <w:color w:val="auto"/>
                <w:lang w:val="en-US" w:eastAsia="zh-CN"/>
              </w:rPr>
              <w:t xml:space="preserve">  与《新疆维吾尔自治区生态环境分区管控动态更新成果》（新环环评发〔2024〕157号）符合性分析</w:t>
            </w:r>
          </w:p>
          <w:tbl>
            <w:tblPr>
              <w:tblStyle w:val="15"/>
              <w:tblW w:w="720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8"/>
              <w:gridCol w:w="369"/>
              <w:gridCol w:w="572"/>
              <w:gridCol w:w="3152"/>
              <w:gridCol w:w="1628"/>
              <w:gridCol w:w="610"/>
            </w:tblGrid>
            <w:tr w14:paraId="646368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8" w:type="pct"/>
                  <w:vAlign w:val="center"/>
                </w:tcPr>
                <w:p w14:paraId="58F23E7C">
                  <w:pPr>
                    <w:pStyle w:val="19"/>
                    <w:bidi w:val="0"/>
                    <w:rPr>
                      <w:b w:val="0"/>
                      <w:bCs w:val="0"/>
                      <w:color w:val="auto"/>
                    </w:rPr>
                  </w:pPr>
                  <w:r>
                    <w:rPr>
                      <w:rFonts w:hint="eastAsia"/>
                      <w:b w:val="0"/>
                      <w:bCs w:val="0"/>
                      <w:color w:val="auto"/>
                    </w:rPr>
                    <w:t>名称</w:t>
                  </w:r>
                </w:p>
              </w:tc>
              <w:tc>
                <w:tcPr>
                  <w:tcW w:w="2838" w:type="pct"/>
                  <w:gridSpan w:val="3"/>
                  <w:vAlign w:val="center"/>
                </w:tcPr>
                <w:p w14:paraId="3DC093BD">
                  <w:pPr>
                    <w:pStyle w:val="19"/>
                    <w:bidi w:val="0"/>
                    <w:rPr>
                      <w:b w:val="0"/>
                      <w:bCs w:val="0"/>
                      <w:color w:val="auto"/>
                    </w:rPr>
                  </w:pPr>
                  <w:r>
                    <w:rPr>
                      <w:rFonts w:hint="eastAsia"/>
                      <w:b w:val="0"/>
                      <w:bCs w:val="0"/>
                      <w:color w:val="auto"/>
                    </w:rPr>
                    <w:t>文件要求</w:t>
                  </w:r>
                </w:p>
              </w:tc>
              <w:tc>
                <w:tcPr>
                  <w:tcW w:w="1129" w:type="pct"/>
                  <w:vAlign w:val="center"/>
                </w:tcPr>
                <w:p w14:paraId="5CD519C5">
                  <w:pPr>
                    <w:pStyle w:val="19"/>
                    <w:bidi w:val="0"/>
                    <w:rPr>
                      <w:b w:val="0"/>
                      <w:bCs w:val="0"/>
                      <w:color w:val="auto"/>
                    </w:rPr>
                  </w:pPr>
                  <w:r>
                    <w:rPr>
                      <w:rFonts w:hint="eastAsia"/>
                      <w:b w:val="0"/>
                      <w:bCs w:val="0"/>
                      <w:color w:val="auto"/>
                    </w:rPr>
                    <w:t>本项目</w:t>
                  </w:r>
                </w:p>
              </w:tc>
              <w:tc>
                <w:tcPr>
                  <w:tcW w:w="423" w:type="pct"/>
                  <w:vAlign w:val="center"/>
                </w:tcPr>
                <w:p w14:paraId="015E6C7C">
                  <w:pPr>
                    <w:pStyle w:val="19"/>
                    <w:bidi w:val="0"/>
                    <w:rPr>
                      <w:b w:val="0"/>
                      <w:bCs w:val="0"/>
                      <w:color w:val="auto"/>
                    </w:rPr>
                  </w:pPr>
                  <w:r>
                    <w:rPr>
                      <w:rFonts w:hint="eastAsia"/>
                      <w:b w:val="0"/>
                      <w:bCs w:val="0"/>
                      <w:color w:val="auto"/>
                    </w:rPr>
                    <w:t>符合性</w:t>
                  </w:r>
                </w:p>
              </w:tc>
            </w:tr>
            <w:tr w14:paraId="7CD521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8" w:type="pct"/>
                  <w:vMerge w:val="restart"/>
                  <w:vAlign w:val="center"/>
                </w:tcPr>
                <w:p w14:paraId="6FBEE0F0">
                  <w:pPr>
                    <w:pStyle w:val="19"/>
                    <w:bidi w:val="0"/>
                    <w:rPr>
                      <w:color w:val="auto"/>
                    </w:rPr>
                  </w:pPr>
                  <w:r>
                    <w:rPr>
                      <w:rFonts w:hint="eastAsia"/>
                      <w:color w:val="auto"/>
                    </w:rPr>
                    <w:t>《新疆维吾尔自治区“三线一单”生态环境分区管控方案》</w:t>
                  </w:r>
                </w:p>
              </w:tc>
              <w:tc>
                <w:tcPr>
                  <w:tcW w:w="652" w:type="pct"/>
                  <w:gridSpan w:val="2"/>
                  <w:vAlign w:val="center"/>
                </w:tcPr>
                <w:p w14:paraId="559B7D80">
                  <w:pPr>
                    <w:pStyle w:val="19"/>
                    <w:bidi w:val="0"/>
                    <w:rPr>
                      <w:color w:val="auto"/>
                    </w:rPr>
                  </w:pPr>
                  <w:r>
                    <w:rPr>
                      <w:rFonts w:hint="eastAsia"/>
                      <w:color w:val="auto"/>
                    </w:rPr>
                    <w:t>生态保护红线</w:t>
                  </w:r>
                </w:p>
              </w:tc>
              <w:tc>
                <w:tcPr>
                  <w:tcW w:w="2186" w:type="pct"/>
                  <w:vAlign w:val="center"/>
                </w:tcPr>
                <w:p w14:paraId="0E3C1200">
                  <w:pPr>
                    <w:pStyle w:val="19"/>
                    <w:bidi w:val="0"/>
                    <w:jc w:val="both"/>
                    <w:rPr>
                      <w:color w:val="auto"/>
                    </w:rPr>
                  </w:pPr>
                  <w:r>
                    <w:rPr>
                      <w:rFonts w:hint="eastAsia"/>
                      <w:color w:val="auto"/>
                    </w:rPr>
                    <w:t>按照“生态功能不降低、面积不减少、性质不改变”的基本要求，对划定的生态保护红线实施严格管控，保障和维护国家生态安全的底线和生命线</w:t>
                  </w:r>
                </w:p>
              </w:tc>
              <w:tc>
                <w:tcPr>
                  <w:tcW w:w="1129" w:type="pct"/>
                  <w:vAlign w:val="center"/>
                </w:tcPr>
                <w:p w14:paraId="2433F309">
                  <w:pPr>
                    <w:pStyle w:val="19"/>
                    <w:bidi w:val="0"/>
                    <w:rPr>
                      <w:color w:val="auto"/>
                    </w:rPr>
                  </w:pPr>
                  <w:r>
                    <w:rPr>
                      <w:rFonts w:hint="eastAsia"/>
                      <w:color w:val="auto"/>
                    </w:rPr>
                    <w:t>本项目不在生态保护红线范围内</w:t>
                  </w:r>
                </w:p>
              </w:tc>
              <w:tc>
                <w:tcPr>
                  <w:tcW w:w="423" w:type="pct"/>
                  <w:vAlign w:val="center"/>
                </w:tcPr>
                <w:p w14:paraId="20AAECE3">
                  <w:pPr>
                    <w:pStyle w:val="19"/>
                    <w:bidi w:val="0"/>
                    <w:rPr>
                      <w:color w:val="auto"/>
                    </w:rPr>
                  </w:pPr>
                  <w:r>
                    <w:rPr>
                      <w:rFonts w:hint="eastAsia"/>
                      <w:color w:val="auto"/>
                    </w:rPr>
                    <w:t>符合</w:t>
                  </w:r>
                </w:p>
              </w:tc>
            </w:tr>
            <w:tr w14:paraId="64697C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8" w:type="pct"/>
                  <w:vMerge w:val="continue"/>
                  <w:vAlign w:val="center"/>
                </w:tcPr>
                <w:p w14:paraId="3B210888">
                  <w:pPr>
                    <w:pStyle w:val="19"/>
                    <w:bidi w:val="0"/>
                    <w:rPr>
                      <w:color w:val="auto"/>
                    </w:rPr>
                  </w:pPr>
                </w:p>
              </w:tc>
              <w:tc>
                <w:tcPr>
                  <w:tcW w:w="652" w:type="pct"/>
                  <w:gridSpan w:val="2"/>
                  <w:vAlign w:val="center"/>
                </w:tcPr>
                <w:p w14:paraId="6DEE5FB0">
                  <w:pPr>
                    <w:pStyle w:val="19"/>
                    <w:bidi w:val="0"/>
                    <w:rPr>
                      <w:color w:val="auto"/>
                    </w:rPr>
                  </w:pPr>
                  <w:r>
                    <w:rPr>
                      <w:rFonts w:hint="eastAsia"/>
                      <w:color w:val="auto"/>
                    </w:rPr>
                    <w:t>环境质量底线</w:t>
                  </w:r>
                </w:p>
              </w:tc>
              <w:tc>
                <w:tcPr>
                  <w:tcW w:w="2186" w:type="pct"/>
                  <w:vAlign w:val="center"/>
                </w:tcPr>
                <w:p w14:paraId="4D9A4899">
                  <w:pPr>
                    <w:pStyle w:val="19"/>
                    <w:bidi w:val="0"/>
                    <w:jc w:val="both"/>
                    <w:rPr>
                      <w:color w:val="auto"/>
                    </w:rPr>
                  </w:pPr>
                  <w:r>
                    <w:rPr>
                      <w:rFonts w:hint="eastAsia"/>
                      <w:color w:val="auto"/>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129" w:type="pct"/>
                  <w:vAlign w:val="center"/>
                </w:tcPr>
                <w:p w14:paraId="368EB398">
                  <w:pPr>
                    <w:pStyle w:val="19"/>
                    <w:bidi w:val="0"/>
                    <w:rPr>
                      <w:color w:val="auto"/>
                    </w:rPr>
                  </w:pPr>
                  <w:r>
                    <w:rPr>
                      <w:rFonts w:hint="eastAsia"/>
                      <w:color w:val="auto"/>
                    </w:rPr>
                    <w:t>本项目运营期采取相应措施后能够满足相关排放要求，对周边环境影响可接受</w:t>
                  </w:r>
                </w:p>
              </w:tc>
              <w:tc>
                <w:tcPr>
                  <w:tcW w:w="423" w:type="pct"/>
                  <w:vAlign w:val="center"/>
                </w:tcPr>
                <w:p w14:paraId="626B6D20">
                  <w:pPr>
                    <w:pStyle w:val="19"/>
                    <w:bidi w:val="0"/>
                    <w:rPr>
                      <w:color w:val="auto"/>
                    </w:rPr>
                  </w:pPr>
                  <w:r>
                    <w:rPr>
                      <w:rFonts w:hint="eastAsia"/>
                      <w:color w:val="auto"/>
                    </w:rPr>
                    <w:t>符合</w:t>
                  </w:r>
                </w:p>
              </w:tc>
            </w:tr>
            <w:tr w14:paraId="72DDC9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8" w:type="pct"/>
                  <w:vMerge w:val="continue"/>
                  <w:vAlign w:val="center"/>
                </w:tcPr>
                <w:p w14:paraId="3679F5A6">
                  <w:pPr>
                    <w:pStyle w:val="19"/>
                    <w:bidi w:val="0"/>
                    <w:rPr>
                      <w:color w:val="auto"/>
                    </w:rPr>
                  </w:pPr>
                </w:p>
              </w:tc>
              <w:tc>
                <w:tcPr>
                  <w:tcW w:w="652" w:type="pct"/>
                  <w:gridSpan w:val="2"/>
                  <w:vAlign w:val="center"/>
                </w:tcPr>
                <w:p w14:paraId="0F788685">
                  <w:pPr>
                    <w:pStyle w:val="19"/>
                    <w:bidi w:val="0"/>
                    <w:rPr>
                      <w:color w:val="auto"/>
                    </w:rPr>
                  </w:pPr>
                  <w:r>
                    <w:rPr>
                      <w:rFonts w:hint="eastAsia"/>
                      <w:color w:val="auto"/>
                    </w:rPr>
                    <w:t>资源利用上线</w:t>
                  </w:r>
                </w:p>
              </w:tc>
              <w:tc>
                <w:tcPr>
                  <w:tcW w:w="2186" w:type="pct"/>
                  <w:vAlign w:val="center"/>
                </w:tcPr>
                <w:p w14:paraId="47F66277">
                  <w:pPr>
                    <w:pStyle w:val="19"/>
                    <w:bidi w:val="0"/>
                    <w:jc w:val="both"/>
                    <w:rPr>
                      <w:color w:val="auto"/>
                    </w:rPr>
                  </w:pPr>
                  <w:r>
                    <w:rPr>
                      <w:rFonts w:hint="eastAsia"/>
                      <w:color w:val="auto"/>
                    </w:rPr>
                    <w:t>强化节约集约利用，持续提升资源能源利用效率，水资源、土地资源、能源消耗等达到国家、自治区下达的总量和强度控制目标</w:t>
                  </w:r>
                </w:p>
              </w:tc>
              <w:tc>
                <w:tcPr>
                  <w:tcW w:w="1129" w:type="pct"/>
                  <w:vAlign w:val="center"/>
                </w:tcPr>
                <w:p w14:paraId="6C6F2D77">
                  <w:pPr>
                    <w:pStyle w:val="19"/>
                    <w:bidi w:val="0"/>
                    <w:rPr>
                      <w:color w:val="auto"/>
                    </w:rPr>
                  </w:pPr>
                  <w:r>
                    <w:rPr>
                      <w:rFonts w:hint="eastAsia"/>
                      <w:color w:val="auto"/>
                    </w:rPr>
                    <w:t>本项目主要利用资源为生产、生活用水及生产用电，本项目用水量及耗电量较小，占地面积较小，对区域水资源、土地资源、能源消耗较小，不会超过资源利用</w:t>
                  </w:r>
                  <w:r>
                    <w:rPr>
                      <w:rFonts w:hint="eastAsia"/>
                      <w:color w:val="auto"/>
                      <w:lang w:eastAsia="zh-CN"/>
                    </w:rPr>
                    <w:t>上限</w:t>
                  </w:r>
                </w:p>
              </w:tc>
              <w:tc>
                <w:tcPr>
                  <w:tcW w:w="423" w:type="pct"/>
                  <w:vAlign w:val="center"/>
                </w:tcPr>
                <w:p w14:paraId="4C2AC00A">
                  <w:pPr>
                    <w:pStyle w:val="19"/>
                    <w:bidi w:val="0"/>
                    <w:rPr>
                      <w:color w:val="auto"/>
                    </w:rPr>
                  </w:pPr>
                  <w:r>
                    <w:rPr>
                      <w:rFonts w:hint="eastAsia"/>
                      <w:color w:val="auto"/>
                    </w:rPr>
                    <w:t>符合</w:t>
                  </w:r>
                </w:p>
              </w:tc>
            </w:tr>
            <w:tr w14:paraId="1F7AE3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8" w:type="pct"/>
                  <w:vMerge w:val="continue"/>
                  <w:vAlign w:val="center"/>
                </w:tcPr>
                <w:p w14:paraId="19B4A172">
                  <w:pPr>
                    <w:pStyle w:val="19"/>
                    <w:bidi w:val="0"/>
                    <w:rPr>
                      <w:color w:val="auto"/>
                    </w:rPr>
                  </w:pPr>
                </w:p>
              </w:tc>
              <w:tc>
                <w:tcPr>
                  <w:tcW w:w="255" w:type="pct"/>
                  <w:vAlign w:val="center"/>
                </w:tcPr>
                <w:p w14:paraId="5127D5D5">
                  <w:pPr>
                    <w:pStyle w:val="19"/>
                    <w:bidi w:val="0"/>
                    <w:rPr>
                      <w:color w:val="auto"/>
                    </w:rPr>
                  </w:pPr>
                  <w:r>
                    <w:rPr>
                      <w:rFonts w:hint="eastAsia"/>
                      <w:color w:val="auto"/>
                    </w:rPr>
                    <w:t>环境管控单元</w:t>
                  </w:r>
                </w:p>
              </w:tc>
              <w:tc>
                <w:tcPr>
                  <w:tcW w:w="396" w:type="pct"/>
                  <w:vAlign w:val="center"/>
                </w:tcPr>
                <w:p w14:paraId="2CE74BD6">
                  <w:pPr>
                    <w:pStyle w:val="19"/>
                    <w:bidi w:val="0"/>
                    <w:rPr>
                      <w:color w:val="auto"/>
                    </w:rPr>
                  </w:pPr>
                  <w:r>
                    <w:rPr>
                      <w:color w:val="auto"/>
                    </w:rPr>
                    <w:t>本项目属于重点管控单元</w:t>
                  </w:r>
                </w:p>
              </w:tc>
              <w:tc>
                <w:tcPr>
                  <w:tcW w:w="2186" w:type="pct"/>
                  <w:vAlign w:val="center"/>
                </w:tcPr>
                <w:p w14:paraId="2F946076">
                  <w:pPr>
                    <w:pStyle w:val="19"/>
                    <w:bidi w:val="0"/>
                    <w:jc w:val="both"/>
                    <w:rPr>
                      <w:color w:val="auto"/>
                    </w:rPr>
                  </w:pPr>
                  <w:r>
                    <w:rPr>
                      <w:rFonts w:hint="eastAsia"/>
                      <w:color w:val="auto"/>
                    </w:rPr>
                    <w:t>自治区划定环境管控单元，分为优先保护单元、重点管控单元和一般管控单元三类，实施分类管控。重点管控单元主要针对环境质量是否达标以及经济社会发展水平等因素，制定差别化的生态环境准入要求，对环境质量不达标区域，提出污染物削减比例要求，对环境质量达标区域，提出允许排放量建议指标</w:t>
                  </w:r>
                </w:p>
              </w:tc>
              <w:tc>
                <w:tcPr>
                  <w:tcW w:w="1129" w:type="pct"/>
                  <w:vAlign w:val="center"/>
                </w:tcPr>
                <w:p w14:paraId="6B1AA478">
                  <w:pPr>
                    <w:pStyle w:val="19"/>
                    <w:bidi w:val="0"/>
                    <w:rPr>
                      <w:color w:val="auto"/>
                    </w:rPr>
                  </w:pPr>
                  <w:r>
                    <w:rPr>
                      <w:rFonts w:hint="eastAsia"/>
                      <w:color w:val="auto"/>
                    </w:rPr>
                    <w:t>本工程实施后通过采取完善的污染治理措施，不会对厂区周围大气环境、地表水环境、声环境、地下水、土壤环境产生明显影响</w:t>
                  </w:r>
                </w:p>
              </w:tc>
              <w:tc>
                <w:tcPr>
                  <w:tcW w:w="423" w:type="pct"/>
                  <w:vAlign w:val="center"/>
                </w:tcPr>
                <w:p w14:paraId="0104476D">
                  <w:pPr>
                    <w:pStyle w:val="19"/>
                    <w:bidi w:val="0"/>
                    <w:rPr>
                      <w:color w:val="auto"/>
                    </w:rPr>
                  </w:pPr>
                  <w:r>
                    <w:rPr>
                      <w:rFonts w:hint="eastAsia"/>
                      <w:color w:val="auto"/>
                    </w:rPr>
                    <w:t>符合</w:t>
                  </w:r>
                </w:p>
              </w:tc>
            </w:tr>
          </w:tbl>
          <w:p w14:paraId="7285AC69">
            <w:pPr>
              <w:pStyle w:val="20"/>
              <w:bidi w:val="0"/>
              <w:rPr>
                <w:color w:val="auto"/>
              </w:rPr>
            </w:pPr>
          </w:p>
          <w:p w14:paraId="1D0E55D9">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w:t>
            </w:r>
            <w:r>
              <w:rPr>
                <w:color w:val="auto"/>
              </w:rPr>
              <w:fldChar w:fldCharType="end"/>
            </w:r>
            <w:r>
              <w:rPr>
                <w:rFonts w:hint="eastAsia"/>
                <w:color w:val="auto"/>
                <w:lang w:val="en-US" w:eastAsia="zh-CN"/>
              </w:rPr>
              <w:t xml:space="preserve">  本项目与自治区重点环境管控单元分类管控要求符合性分析</w:t>
            </w:r>
          </w:p>
          <w:tbl>
            <w:tblPr>
              <w:tblStyle w:val="15"/>
              <w:tblW w:w="7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96"/>
              <w:gridCol w:w="708"/>
              <w:gridCol w:w="4152"/>
              <w:gridCol w:w="1106"/>
              <w:gridCol w:w="446"/>
            </w:tblGrid>
            <w:tr w14:paraId="39BE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tcBorders>
                    <w:right w:val="single" w:color="auto" w:sz="4" w:space="0"/>
                  </w:tcBorders>
                  <w:vAlign w:val="center"/>
                </w:tcPr>
                <w:p w14:paraId="3031AE80">
                  <w:pPr>
                    <w:autoSpaceDE w:val="0"/>
                    <w:autoSpaceDN w:val="0"/>
                    <w:spacing w:line="240" w:lineRule="atLeast"/>
                    <w:ind w:firstLine="0" w:firstLineChars="0"/>
                    <w:jc w:val="center"/>
                    <w:rPr>
                      <w:rFonts w:hint="eastAsia"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名称</w:t>
                  </w:r>
                </w:p>
              </w:tc>
              <w:tc>
                <w:tcPr>
                  <w:tcW w:w="4860" w:type="dxa"/>
                  <w:gridSpan w:val="2"/>
                  <w:tcBorders>
                    <w:left w:val="single" w:color="auto" w:sz="4" w:space="0"/>
                    <w:bottom w:val="single" w:color="auto" w:sz="4" w:space="0"/>
                    <w:right w:val="single" w:color="auto" w:sz="4" w:space="0"/>
                  </w:tcBorders>
                  <w:vAlign w:val="center"/>
                </w:tcPr>
                <w:p w14:paraId="306817C5">
                  <w:pPr>
                    <w:autoSpaceDE w:val="0"/>
                    <w:autoSpaceDN w:val="0"/>
                    <w:spacing w:line="240" w:lineRule="atLeast"/>
                    <w:ind w:firstLine="0" w:firstLineChars="0"/>
                    <w:jc w:val="center"/>
                    <w:rPr>
                      <w:rFonts w:cs="Times New Roman"/>
                      <w:b w:val="0"/>
                      <w:bCs w:val="0"/>
                      <w:color w:val="auto"/>
                      <w:sz w:val="21"/>
                      <w:szCs w:val="21"/>
                    </w:rPr>
                  </w:pPr>
                  <w:r>
                    <w:rPr>
                      <w:rFonts w:cs="Times New Roman"/>
                      <w:b w:val="0"/>
                      <w:bCs w:val="0"/>
                      <w:color w:val="auto"/>
                      <w:sz w:val="21"/>
                      <w:szCs w:val="21"/>
                    </w:rPr>
                    <w:t>管控要求</w:t>
                  </w:r>
                </w:p>
              </w:tc>
              <w:tc>
                <w:tcPr>
                  <w:tcW w:w="1106" w:type="dxa"/>
                  <w:tcBorders>
                    <w:left w:val="single" w:color="auto" w:sz="4" w:space="0"/>
                    <w:bottom w:val="single" w:color="auto" w:sz="4" w:space="0"/>
                    <w:right w:val="single" w:color="auto" w:sz="4" w:space="0"/>
                  </w:tcBorders>
                  <w:vAlign w:val="center"/>
                </w:tcPr>
                <w:p w14:paraId="021937AC">
                  <w:pPr>
                    <w:autoSpaceDE w:val="0"/>
                    <w:autoSpaceDN w:val="0"/>
                    <w:spacing w:line="240" w:lineRule="atLeast"/>
                    <w:ind w:firstLine="0" w:firstLineChars="0"/>
                    <w:jc w:val="center"/>
                    <w:rPr>
                      <w:rFonts w:cs="Times New Roman"/>
                      <w:b w:val="0"/>
                      <w:bCs w:val="0"/>
                      <w:color w:val="auto"/>
                      <w:sz w:val="21"/>
                      <w:szCs w:val="21"/>
                    </w:rPr>
                  </w:pPr>
                  <w:r>
                    <w:rPr>
                      <w:rFonts w:cs="Times New Roman"/>
                      <w:b w:val="0"/>
                      <w:bCs w:val="0"/>
                      <w:color w:val="auto"/>
                      <w:sz w:val="21"/>
                      <w:szCs w:val="21"/>
                    </w:rPr>
                    <w:t>本项目</w:t>
                  </w:r>
                </w:p>
              </w:tc>
              <w:tc>
                <w:tcPr>
                  <w:tcW w:w="446" w:type="dxa"/>
                  <w:tcBorders>
                    <w:left w:val="single" w:color="auto" w:sz="4" w:space="0"/>
                    <w:bottom w:val="single" w:color="auto" w:sz="4" w:space="0"/>
                  </w:tcBorders>
                  <w:vAlign w:val="center"/>
                </w:tcPr>
                <w:p w14:paraId="104C9836">
                  <w:pPr>
                    <w:autoSpaceDE w:val="0"/>
                    <w:autoSpaceDN w:val="0"/>
                    <w:spacing w:line="240" w:lineRule="atLeast"/>
                    <w:ind w:firstLine="0" w:firstLineChars="0"/>
                    <w:jc w:val="center"/>
                    <w:rPr>
                      <w:rFonts w:cs="Times New Roman"/>
                      <w:color w:val="auto"/>
                      <w:sz w:val="21"/>
                      <w:szCs w:val="21"/>
                    </w:rPr>
                  </w:pPr>
                  <w:r>
                    <w:rPr>
                      <w:rFonts w:cs="Times New Roman"/>
                      <w:color w:val="auto"/>
                      <w:sz w:val="21"/>
                      <w:szCs w:val="21"/>
                    </w:rPr>
                    <w:t>符合性</w:t>
                  </w:r>
                </w:p>
              </w:tc>
            </w:tr>
            <w:tr w14:paraId="6AE8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restart"/>
                  <w:tcBorders>
                    <w:right w:val="single" w:color="auto" w:sz="4" w:space="0"/>
                  </w:tcBorders>
                  <w:vAlign w:val="center"/>
                </w:tcPr>
                <w:p w14:paraId="23B454B3">
                  <w:pPr>
                    <w:autoSpaceDE w:val="0"/>
                    <w:autoSpaceDN w:val="0"/>
                    <w:spacing w:line="240" w:lineRule="atLeast"/>
                    <w:ind w:firstLine="0" w:firstLineChars="0"/>
                    <w:jc w:val="center"/>
                    <w:rPr>
                      <w:rFonts w:cs="Times New Roman"/>
                      <w:color w:val="auto"/>
                      <w:sz w:val="21"/>
                      <w:szCs w:val="21"/>
                    </w:rPr>
                  </w:pPr>
                  <w:r>
                    <w:rPr>
                      <w:rFonts w:cs="Times New Roman"/>
                      <w:color w:val="auto"/>
                      <w:sz w:val="21"/>
                      <w:szCs w:val="21"/>
                    </w:rPr>
                    <w:t>A6</w:t>
                  </w:r>
                </w:p>
                <w:p w14:paraId="352465C2">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重点</w:t>
                  </w:r>
                </w:p>
                <w:p w14:paraId="21ED5B42">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管控</w:t>
                  </w:r>
                </w:p>
                <w:p w14:paraId="2793C8FB">
                  <w:pPr>
                    <w:widowControl/>
                    <w:spacing w:line="240" w:lineRule="atLeast"/>
                    <w:ind w:firstLine="0" w:firstLineChars="0"/>
                    <w:jc w:val="center"/>
                    <w:rPr>
                      <w:rFonts w:cs="Times New Roman"/>
                      <w:color w:val="auto"/>
                      <w:sz w:val="21"/>
                      <w:szCs w:val="21"/>
                    </w:rPr>
                  </w:pPr>
                  <w:r>
                    <w:rPr>
                      <w:rFonts w:hint="eastAsia" w:cs="Times New Roman"/>
                      <w:color w:val="auto"/>
                      <w:sz w:val="21"/>
                      <w:szCs w:val="21"/>
                    </w:rPr>
                    <w:t>单元</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02B600DA">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A6.1空间布局约束</w:t>
                  </w:r>
                </w:p>
              </w:tc>
              <w:tc>
                <w:tcPr>
                  <w:tcW w:w="4152" w:type="dxa"/>
                  <w:tcBorders>
                    <w:top w:val="single" w:color="auto" w:sz="4" w:space="0"/>
                    <w:left w:val="single" w:color="auto" w:sz="4" w:space="0"/>
                    <w:bottom w:val="single" w:color="auto" w:sz="4" w:space="0"/>
                    <w:right w:val="single" w:color="auto" w:sz="4" w:space="0"/>
                  </w:tcBorders>
                  <w:vAlign w:val="center"/>
                </w:tcPr>
                <w:p w14:paraId="0890D98E">
                  <w:pPr>
                    <w:autoSpaceDE w:val="0"/>
                    <w:autoSpaceDN w:val="0"/>
                    <w:spacing w:line="240" w:lineRule="atLeast"/>
                    <w:ind w:firstLine="0" w:firstLineChars="0"/>
                    <w:jc w:val="both"/>
                    <w:rPr>
                      <w:rFonts w:cs="Times New Roman"/>
                      <w:color w:val="auto"/>
                      <w:sz w:val="21"/>
                      <w:szCs w:val="21"/>
                    </w:rPr>
                  </w:pPr>
                  <w:r>
                    <w:rPr>
                      <w:rFonts w:cs="Times New Roman"/>
                      <w:color w:val="auto"/>
                      <w:sz w:val="21"/>
                      <w:szCs w:val="21"/>
                    </w:rPr>
                    <w:t>【A6.1-1】</w:t>
                  </w:r>
                  <w:r>
                    <w:rPr>
                      <w:rFonts w:hint="eastAsia" w:cs="Times New Roman"/>
                      <w:color w:val="auto"/>
                      <w:sz w:val="21"/>
                      <w:szCs w:val="21"/>
                    </w:rPr>
                    <w:t>根据产业集聚区块的功能定位，建立分区差别化的产业准入条件。严格控制重要水系源头地区和</w:t>
                  </w:r>
                  <w:r>
                    <w:rPr>
                      <w:rFonts w:hint="eastAsia" w:cs="Times New Roman"/>
                      <w:color w:val="auto"/>
                      <w:sz w:val="21"/>
                      <w:szCs w:val="21"/>
                      <w:lang w:eastAsia="zh-CN"/>
                    </w:rPr>
                    <w:t>重点生态功能区</w:t>
                  </w:r>
                  <w:r>
                    <w:rPr>
                      <w:rFonts w:hint="eastAsia" w:cs="Times New Roman"/>
                      <w:color w:val="auto"/>
                      <w:sz w:val="21"/>
                      <w:szCs w:val="21"/>
                    </w:rPr>
                    <w:t>“高污染、高环境风险产品”工业项目准入。优化完善区域产业布局，合理规划布局“高污染、高环境风险产品”工业项目，鼓励对“高污染、高环境风险产品”工业项目进行淘汰和提升改造。合理规划居住区与工业功能区，在居住区和工业区、工业企业之间设置防护绿化隔离带</w:t>
                  </w:r>
                  <w:r>
                    <w:rPr>
                      <w:rFonts w:cs="Times New Roman"/>
                      <w:color w:val="auto"/>
                      <w:sz w:val="21"/>
                      <w:szCs w:val="21"/>
                    </w:rPr>
                    <w:t>。</w:t>
                  </w:r>
                </w:p>
              </w:tc>
              <w:tc>
                <w:tcPr>
                  <w:tcW w:w="1106" w:type="dxa"/>
                  <w:vMerge w:val="restart"/>
                  <w:tcBorders>
                    <w:top w:val="single" w:color="auto" w:sz="4" w:space="0"/>
                    <w:left w:val="single" w:color="auto" w:sz="4" w:space="0"/>
                    <w:right w:val="single" w:color="auto" w:sz="4" w:space="0"/>
                  </w:tcBorders>
                  <w:vAlign w:val="center"/>
                </w:tcPr>
                <w:p w14:paraId="6A385BE0">
                  <w:pPr>
                    <w:spacing w:line="240" w:lineRule="atLeast"/>
                    <w:ind w:firstLine="0" w:firstLineChars="0"/>
                    <w:jc w:val="center"/>
                    <w:rPr>
                      <w:rFonts w:cs="Times New Roman"/>
                      <w:color w:val="auto"/>
                      <w:sz w:val="21"/>
                      <w:szCs w:val="21"/>
                    </w:rPr>
                  </w:pPr>
                  <w:r>
                    <w:rPr>
                      <w:rFonts w:hint="eastAsia" w:cs="Times New Roman"/>
                      <w:color w:val="auto"/>
                      <w:sz w:val="21"/>
                      <w:szCs w:val="21"/>
                    </w:rPr>
                    <w:t>本项目行业类别为C3034隔热和隔音材料制造，不属于“三高”项目，符合国家政策</w:t>
                  </w:r>
                </w:p>
              </w:tc>
              <w:tc>
                <w:tcPr>
                  <w:tcW w:w="446" w:type="dxa"/>
                  <w:vMerge w:val="restart"/>
                  <w:tcBorders>
                    <w:top w:val="single" w:color="auto" w:sz="4" w:space="0"/>
                    <w:left w:val="single" w:color="auto" w:sz="4" w:space="0"/>
                  </w:tcBorders>
                  <w:vAlign w:val="center"/>
                </w:tcPr>
                <w:p w14:paraId="6DD2EAAE">
                  <w:pPr>
                    <w:autoSpaceDE w:val="0"/>
                    <w:autoSpaceDN w:val="0"/>
                    <w:spacing w:line="240" w:lineRule="atLeast"/>
                    <w:ind w:firstLine="0" w:firstLineChars="0"/>
                    <w:jc w:val="center"/>
                    <w:rPr>
                      <w:rFonts w:cs="Times New Roman"/>
                      <w:color w:val="auto"/>
                      <w:sz w:val="21"/>
                      <w:szCs w:val="21"/>
                    </w:rPr>
                  </w:pPr>
                  <w:r>
                    <w:rPr>
                      <w:rFonts w:cs="Times New Roman"/>
                      <w:color w:val="auto"/>
                      <w:sz w:val="21"/>
                      <w:szCs w:val="21"/>
                    </w:rPr>
                    <w:t>符合</w:t>
                  </w:r>
                </w:p>
                <w:p w14:paraId="58E3A86A">
                  <w:pPr>
                    <w:autoSpaceDE w:val="0"/>
                    <w:autoSpaceDN w:val="0"/>
                    <w:spacing w:line="240" w:lineRule="atLeast"/>
                    <w:ind w:firstLine="420"/>
                    <w:jc w:val="center"/>
                    <w:rPr>
                      <w:rFonts w:cs="Times New Roman"/>
                      <w:color w:val="auto"/>
                      <w:sz w:val="21"/>
                      <w:szCs w:val="21"/>
                    </w:rPr>
                  </w:pPr>
                </w:p>
              </w:tc>
            </w:tr>
            <w:tr w14:paraId="784D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continue"/>
                  <w:tcBorders>
                    <w:right w:val="single" w:color="auto" w:sz="4" w:space="0"/>
                  </w:tcBorders>
                  <w:vAlign w:val="center"/>
                </w:tcPr>
                <w:p w14:paraId="06E3D083">
                  <w:pPr>
                    <w:widowControl/>
                    <w:spacing w:line="240" w:lineRule="atLeast"/>
                    <w:ind w:firstLine="0" w:firstLineChars="0"/>
                    <w:jc w:val="center"/>
                    <w:rPr>
                      <w:rFonts w:cs="Times New Roman"/>
                      <w:color w:val="auto"/>
                      <w:sz w:val="21"/>
                      <w:szCs w:val="21"/>
                    </w:rPr>
                  </w:pP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333693E8">
                  <w:pPr>
                    <w:widowControl/>
                    <w:spacing w:line="240" w:lineRule="atLeast"/>
                    <w:ind w:firstLine="0" w:firstLineChars="0"/>
                    <w:jc w:val="center"/>
                    <w:rPr>
                      <w:rFonts w:cs="Times New Roman"/>
                      <w:color w:val="auto"/>
                      <w:sz w:val="21"/>
                      <w:szCs w:val="21"/>
                    </w:rPr>
                  </w:pPr>
                </w:p>
              </w:tc>
              <w:tc>
                <w:tcPr>
                  <w:tcW w:w="4152" w:type="dxa"/>
                  <w:tcBorders>
                    <w:top w:val="single" w:color="auto" w:sz="4" w:space="0"/>
                    <w:left w:val="single" w:color="auto" w:sz="4" w:space="0"/>
                    <w:bottom w:val="single" w:color="auto" w:sz="4" w:space="0"/>
                    <w:right w:val="single" w:color="auto" w:sz="4" w:space="0"/>
                  </w:tcBorders>
                  <w:vAlign w:val="center"/>
                </w:tcPr>
                <w:p w14:paraId="6B507EAA">
                  <w:pPr>
                    <w:autoSpaceDE w:val="0"/>
                    <w:autoSpaceDN w:val="0"/>
                    <w:spacing w:line="240" w:lineRule="atLeast"/>
                    <w:ind w:firstLine="0" w:firstLineChars="0"/>
                    <w:jc w:val="both"/>
                    <w:rPr>
                      <w:rFonts w:cs="Times New Roman"/>
                      <w:color w:val="auto"/>
                      <w:sz w:val="21"/>
                      <w:szCs w:val="21"/>
                    </w:rPr>
                  </w:pPr>
                  <w:r>
                    <w:rPr>
                      <w:rFonts w:cs="Times New Roman"/>
                      <w:color w:val="auto"/>
                      <w:sz w:val="21"/>
                      <w:szCs w:val="21"/>
                    </w:rPr>
                    <w:t>【A6.1-2】</w:t>
                  </w:r>
                  <w:r>
                    <w:rPr>
                      <w:rFonts w:hint="eastAsia" w:cs="Times New Roman"/>
                      <w:color w:val="auto"/>
                      <w:sz w:val="21"/>
                      <w:szCs w:val="21"/>
                    </w:rPr>
                    <w:t>大气环境重点管控区内：禁止引进国家和自治区明令禁止或淘汰的产业及工艺、园区规划的项目；引进符合国家产业政策和清洁生产要求的、采用先进生产工艺和设备的、自动化程度高的、具有可靠先进的污染治理技术的生产项目</w:t>
                  </w:r>
                  <w:r>
                    <w:rPr>
                      <w:rFonts w:cs="Times New Roman"/>
                      <w:color w:val="auto"/>
                      <w:sz w:val="21"/>
                      <w:szCs w:val="21"/>
                    </w:rPr>
                    <w:t>。</w:t>
                  </w:r>
                </w:p>
              </w:tc>
              <w:tc>
                <w:tcPr>
                  <w:tcW w:w="1106" w:type="dxa"/>
                  <w:vMerge w:val="continue"/>
                  <w:tcBorders>
                    <w:left w:val="single" w:color="auto" w:sz="4" w:space="0"/>
                    <w:right w:val="single" w:color="auto" w:sz="4" w:space="0"/>
                  </w:tcBorders>
                  <w:vAlign w:val="center"/>
                </w:tcPr>
                <w:p w14:paraId="74DCDAFF">
                  <w:pPr>
                    <w:spacing w:line="240" w:lineRule="atLeast"/>
                    <w:ind w:firstLine="420"/>
                    <w:jc w:val="center"/>
                    <w:rPr>
                      <w:rFonts w:cs="Times New Roman"/>
                      <w:color w:val="auto"/>
                      <w:sz w:val="21"/>
                      <w:szCs w:val="21"/>
                    </w:rPr>
                  </w:pPr>
                </w:p>
              </w:tc>
              <w:tc>
                <w:tcPr>
                  <w:tcW w:w="446" w:type="dxa"/>
                  <w:vMerge w:val="continue"/>
                  <w:tcBorders>
                    <w:left w:val="single" w:color="auto" w:sz="4" w:space="0"/>
                  </w:tcBorders>
                  <w:vAlign w:val="center"/>
                </w:tcPr>
                <w:p w14:paraId="4902B979">
                  <w:pPr>
                    <w:autoSpaceDE w:val="0"/>
                    <w:autoSpaceDN w:val="0"/>
                    <w:spacing w:line="240" w:lineRule="atLeast"/>
                    <w:ind w:firstLine="420"/>
                    <w:jc w:val="center"/>
                    <w:rPr>
                      <w:rFonts w:cs="Times New Roman"/>
                      <w:color w:val="auto"/>
                      <w:sz w:val="21"/>
                      <w:szCs w:val="21"/>
                    </w:rPr>
                  </w:pPr>
                </w:p>
              </w:tc>
            </w:tr>
            <w:tr w14:paraId="67C0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796" w:type="dxa"/>
                  <w:vMerge w:val="continue"/>
                  <w:tcBorders>
                    <w:right w:val="single" w:color="auto" w:sz="4" w:space="0"/>
                  </w:tcBorders>
                  <w:vAlign w:val="center"/>
                </w:tcPr>
                <w:p w14:paraId="13567A25">
                  <w:pPr>
                    <w:widowControl/>
                    <w:spacing w:line="240" w:lineRule="atLeast"/>
                    <w:ind w:firstLine="0" w:firstLineChars="0"/>
                    <w:jc w:val="center"/>
                    <w:rPr>
                      <w:rFonts w:cs="Times New Roman"/>
                      <w:color w:val="auto"/>
                      <w:sz w:val="21"/>
                      <w:szCs w:val="21"/>
                    </w:rPr>
                  </w:pP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2B9CEE4A">
                  <w:pPr>
                    <w:widowControl/>
                    <w:spacing w:line="240" w:lineRule="atLeast"/>
                    <w:ind w:firstLine="0" w:firstLineChars="0"/>
                    <w:jc w:val="center"/>
                    <w:rPr>
                      <w:rFonts w:cs="Times New Roman"/>
                      <w:color w:val="auto"/>
                      <w:sz w:val="21"/>
                      <w:szCs w:val="21"/>
                    </w:rPr>
                  </w:pPr>
                </w:p>
              </w:tc>
              <w:tc>
                <w:tcPr>
                  <w:tcW w:w="4152" w:type="dxa"/>
                  <w:tcBorders>
                    <w:top w:val="single" w:color="auto" w:sz="4" w:space="0"/>
                    <w:left w:val="single" w:color="auto" w:sz="4" w:space="0"/>
                    <w:bottom w:val="single" w:color="auto" w:sz="4" w:space="0"/>
                    <w:right w:val="single" w:color="auto" w:sz="4" w:space="0"/>
                  </w:tcBorders>
                  <w:vAlign w:val="center"/>
                </w:tcPr>
                <w:p w14:paraId="1A8EE4F8">
                  <w:pPr>
                    <w:autoSpaceDE w:val="0"/>
                    <w:autoSpaceDN w:val="0"/>
                    <w:spacing w:line="240" w:lineRule="atLeast"/>
                    <w:ind w:firstLine="0" w:firstLineChars="0"/>
                    <w:jc w:val="both"/>
                    <w:rPr>
                      <w:rFonts w:cs="Times New Roman"/>
                      <w:color w:val="auto"/>
                      <w:sz w:val="21"/>
                      <w:szCs w:val="21"/>
                    </w:rPr>
                  </w:pPr>
                  <w:r>
                    <w:rPr>
                      <w:rFonts w:cs="Times New Roman"/>
                      <w:color w:val="auto"/>
                      <w:sz w:val="21"/>
                      <w:szCs w:val="21"/>
                    </w:rPr>
                    <w:t>【A6.1-3】</w:t>
                  </w:r>
                  <w:r>
                    <w:rPr>
                      <w:rFonts w:hint="eastAsia" w:cs="Times New Roman"/>
                      <w:color w:val="auto"/>
                      <w:sz w:val="21"/>
                      <w:szCs w:val="21"/>
                    </w:rPr>
                    <w:t>水环境重点管控区内：制定产业准入对污染排放不达标的企业限期整改，确保水污染物达标排放；加快推进生态园区建设和循环化改造，完善污水集中处理设施及再生水回用系统，加强配套管网建设，并确保稳定运行，工业废水必须经预处理达到集中处理要求后，方可进入污水集中处理设施，不断提高污水集中处理中水回用率。加强城镇配套管网建设，提高城镇生活污水出水排放标准，推进城镇生活污水深度治理，提高污水厂脱氮除磷效率。对农业污染重点管控区，推进畜禽养殖禁养区、限养区的划定，限期依法关闭或搬迁禁养区内的畜禽养殖场，对现有规模化畜禽养殖配套建设粪便污水贮存、处理、利用设施，鼓励设施农业循环发展模式，推进养殖废弃物资源化利用。控制化肥农药使用量，推进农膜回收及加工再利用，农药化肥等包装废弃物的安全收集处置设施建设，降低农业污染负荷</w:t>
                  </w:r>
                </w:p>
              </w:tc>
              <w:tc>
                <w:tcPr>
                  <w:tcW w:w="1106" w:type="dxa"/>
                  <w:vMerge w:val="continue"/>
                  <w:tcBorders>
                    <w:left w:val="single" w:color="auto" w:sz="4" w:space="0"/>
                    <w:right w:val="single" w:color="auto" w:sz="4" w:space="0"/>
                  </w:tcBorders>
                  <w:vAlign w:val="center"/>
                </w:tcPr>
                <w:p w14:paraId="21F9F42D">
                  <w:pPr>
                    <w:spacing w:line="240" w:lineRule="atLeast"/>
                    <w:ind w:firstLine="0" w:firstLineChars="0"/>
                    <w:jc w:val="center"/>
                    <w:rPr>
                      <w:rFonts w:cs="Times New Roman"/>
                      <w:color w:val="auto"/>
                      <w:sz w:val="21"/>
                      <w:szCs w:val="21"/>
                    </w:rPr>
                  </w:pPr>
                </w:p>
              </w:tc>
              <w:tc>
                <w:tcPr>
                  <w:tcW w:w="446" w:type="dxa"/>
                  <w:vMerge w:val="continue"/>
                  <w:tcBorders>
                    <w:left w:val="single" w:color="auto" w:sz="4" w:space="0"/>
                  </w:tcBorders>
                  <w:vAlign w:val="center"/>
                </w:tcPr>
                <w:p w14:paraId="3A601E92">
                  <w:pPr>
                    <w:autoSpaceDE w:val="0"/>
                    <w:autoSpaceDN w:val="0"/>
                    <w:spacing w:line="240" w:lineRule="atLeast"/>
                    <w:ind w:firstLine="0" w:firstLineChars="0"/>
                    <w:jc w:val="center"/>
                    <w:rPr>
                      <w:rFonts w:cs="Times New Roman"/>
                      <w:color w:val="auto"/>
                      <w:sz w:val="21"/>
                      <w:szCs w:val="21"/>
                    </w:rPr>
                  </w:pPr>
                </w:p>
              </w:tc>
            </w:tr>
            <w:tr w14:paraId="2202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continue"/>
                  <w:tcBorders>
                    <w:right w:val="single" w:color="auto" w:sz="4" w:space="0"/>
                  </w:tcBorders>
                  <w:vAlign w:val="center"/>
                </w:tcPr>
                <w:p w14:paraId="598CBEDE">
                  <w:pPr>
                    <w:widowControl/>
                    <w:spacing w:line="240" w:lineRule="atLeast"/>
                    <w:ind w:firstLine="0" w:firstLineChars="0"/>
                    <w:jc w:val="center"/>
                    <w:rPr>
                      <w:rFonts w:cs="Times New Roman"/>
                      <w:color w:val="auto"/>
                      <w:sz w:val="21"/>
                      <w:szCs w:val="21"/>
                    </w:rPr>
                  </w:pP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11461EF1">
                  <w:pPr>
                    <w:widowControl/>
                    <w:spacing w:line="240" w:lineRule="atLeast"/>
                    <w:ind w:firstLine="0" w:firstLineChars="0"/>
                    <w:jc w:val="center"/>
                    <w:rPr>
                      <w:rFonts w:cs="Times New Roman"/>
                      <w:color w:val="auto"/>
                      <w:sz w:val="21"/>
                      <w:szCs w:val="21"/>
                    </w:rPr>
                  </w:pPr>
                </w:p>
              </w:tc>
              <w:tc>
                <w:tcPr>
                  <w:tcW w:w="4152" w:type="dxa"/>
                  <w:tcBorders>
                    <w:top w:val="single" w:color="auto" w:sz="4" w:space="0"/>
                    <w:left w:val="single" w:color="auto" w:sz="4" w:space="0"/>
                    <w:bottom w:val="single" w:color="auto" w:sz="4" w:space="0"/>
                    <w:right w:val="single" w:color="auto" w:sz="4" w:space="0"/>
                  </w:tcBorders>
                  <w:vAlign w:val="center"/>
                </w:tcPr>
                <w:p w14:paraId="3A4A03A8">
                  <w:pPr>
                    <w:autoSpaceDE w:val="0"/>
                    <w:autoSpaceDN w:val="0"/>
                    <w:spacing w:line="240" w:lineRule="atLeast"/>
                    <w:ind w:firstLine="0" w:firstLineChars="0"/>
                    <w:jc w:val="both"/>
                    <w:rPr>
                      <w:rFonts w:cs="Times New Roman"/>
                      <w:color w:val="auto"/>
                      <w:sz w:val="21"/>
                      <w:szCs w:val="21"/>
                    </w:rPr>
                  </w:pPr>
                  <w:r>
                    <w:rPr>
                      <w:rFonts w:cs="Times New Roman"/>
                      <w:color w:val="auto"/>
                      <w:sz w:val="21"/>
                      <w:szCs w:val="21"/>
                    </w:rPr>
                    <w:t>【A6.1-4】</w:t>
                  </w:r>
                  <w:r>
                    <w:rPr>
                      <w:rFonts w:hint="eastAsia" w:cs="Times New Roman"/>
                      <w:color w:val="auto"/>
                      <w:sz w:val="21"/>
                      <w:szCs w:val="21"/>
                    </w:rPr>
                    <w:t>土壤环境重点管控区内：引入新建产业或企业时，应结合产业发展规划，充分考虑企业类型、污染物排放特征以及外环境情况等因素，避免企业形成交叉污染；涉重金属、持久性有机物等有毒有害污染物工业企业退出用地，须经评估、治理，满足后续相应用地土壤环境质量要求</w:t>
                  </w:r>
                  <w:r>
                    <w:rPr>
                      <w:rFonts w:cs="Times New Roman"/>
                      <w:color w:val="auto"/>
                      <w:sz w:val="21"/>
                      <w:szCs w:val="21"/>
                    </w:rPr>
                    <w:t>。</w:t>
                  </w:r>
                </w:p>
              </w:tc>
              <w:tc>
                <w:tcPr>
                  <w:tcW w:w="1106" w:type="dxa"/>
                  <w:vMerge w:val="continue"/>
                  <w:tcBorders>
                    <w:left w:val="single" w:color="auto" w:sz="4" w:space="0"/>
                    <w:bottom w:val="single" w:color="auto" w:sz="4" w:space="0"/>
                    <w:right w:val="single" w:color="auto" w:sz="4" w:space="0"/>
                  </w:tcBorders>
                  <w:vAlign w:val="center"/>
                </w:tcPr>
                <w:p w14:paraId="0FF41FE5">
                  <w:pPr>
                    <w:autoSpaceDE w:val="0"/>
                    <w:autoSpaceDN w:val="0"/>
                    <w:spacing w:line="240" w:lineRule="atLeast"/>
                    <w:ind w:firstLine="0" w:firstLineChars="0"/>
                    <w:jc w:val="center"/>
                    <w:rPr>
                      <w:rFonts w:cs="Times New Roman"/>
                      <w:color w:val="auto"/>
                      <w:sz w:val="21"/>
                      <w:szCs w:val="21"/>
                    </w:rPr>
                  </w:pPr>
                </w:p>
              </w:tc>
              <w:tc>
                <w:tcPr>
                  <w:tcW w:w="446" w:type="dxa"/>
                  <w:vMerge w:val="continue"/>
                  <w:tcBorders>
                    <w:left w:val="single" w:color="auto" w:sz="4" w:space="0"/>
                    <w:bottom w:val="single" w:color="auto" w:sz="4" w:space="0"/>
                  </w:tcBorders>
                  <w:vAlign w:val="center"/>
                </w:tcPr>
                <w:p w14:paraId="27E043A5">
                  <w:pPr>
                    <w:widowControl/>
                    <w:spacing w:line="240" w:lineRule="atLeast"/>
                    <w:ind w:firstLine="0" w:firstLineChars="0"/>
                    <w:jc w:val="center"/>
                    <w:rPr>
                      <w:rFonts w:cs="Times New Roman"/>
                      <w:color w:val="auto"/>
                      <w:sz w:val="21"/>
                      <w:szCs w:val="21"/>
                    </w:rPr>
                  </w:pPr>
                </w:p>
              </w:tc>
            </w:tr>
            <w:tr w14:paraId="24F8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continue"/>
                  <w:tcBorders>
                    <w:right w:val="single" w:color="auto" w:sz="4" w:space="0"/>
                  </w:tcBorders>
                  <w:vAlign w:val="center"/>
                </w:tcPr>
                <w:p w14:paraId="7FF3B32A">
                  <w:pPr>
                    <w:widowControl/>
                    <w:spacing w:line="240" w:lineRule="atLeast"/>
                    <w:ind w:firstLine="0" w:firstLineChars="0"/>
                    <w:jc w:val="center"/>
                    <w:rPr>
                      <w:rFonts w:cs="Times New Roman"/>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1B8B9145">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A6.2污染物排</w:t>
                  </w:r>
                </w:p>
                <w:p w14:paraId="252BB403">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放管控</w:t>
                  </w:r>
                </w:p>
              </w:tc>
              <w:tc>
                <w:tcPr>
                  <w:tcW w:w="4152" w:type="dxa"/>
                  <w:tcBorders>
                    <w:top w:val="single" w:color="auto" w:sz="4" w:space="0"/>
                    <w:left w:val="single" w:color="auto" w:sz="4" w:space="0"/>
                    <w:bottom w:val="single" w:color="auto" w:sz="4" w:space="0"/>
                    <w:right w:val="single" w:color="auto" w:sz="4" w:space="0"/>
                  </w:tcBorders>
                  <w:vAlign w:val="center"/>
                </w:tcPr>
                <w:p w14:paraId="390BC187">
                  <w:pPr>
                    <w:widowControl/>
                    <w:spacing w:line="240" w:lineRule="atLeast"/>
                    <w:ind w:firstLine="0" w:firstLineChars="0"/>
                    <w:jc w:val="both"/>
                    <w:rPr>
                      <w:rFonts w:cs="Times New Roman"/>
                      <w:color w:val="auto"/>
                      <w:sz w:val="21"/>
                      <w:szCs w:val="21"/>
                    </w:rPr>
                  </w:pPr>
                  <w:r>
                    <w:rPr>
                      <w:rFonts w:hint="eastAsia" w:cs="Times New Roman"/>
                      <w:color w:val="auto"/>
                      <w:sz w:val="21"/>
                      <w:szCs w:val="21"/>
                    </w:rPr>
                    <w:t>【A6.2-1】严格实施污染物总量控制制度，根据区域环境质量改善目标，削减污染物排放总量。新建工业项目污染物排放水平要达到同行业国内先进水平。加快落实污水处理厂建设及提升改造，推进工业园区（工业企业）污水处理综合利用设施建设，所有企业实现稳定达标排放。加强土壤和地下水污染防治与修复</w:t>
                  </w:r>
                  <w:r>
                    <w:rPr>
                      <w:rFonts w:cs="Times New Roman"/>
                      <w:color w:val="auto"/>
                      <w:sz w:val="21"/>
                      <w:szCs w:val="21"/>
                    </w:rPr>
                    <w:t>。</w:t>
                  </w:r>
                </w:p>
              </w:tc>
              <w:tc>
                <w:tcPr>
                  <w:tcW w:w="1106" w:type="dxa"/>
                  <w:tcBorders>
                    <w:top w:val="single" w:color="auto" w:sz="4" w:space="0"/>
                    <w:left w:val="single" w:color="auto" w:sz="4" w:space="0"/>
                    <w:bottom w:val="single" w:color="auto" w:sz="4" w:space="0"/>
                    <w:right w:val="single" w:color="auto" w:sz="4" w:space="0"/>
                  </w:tcBorders>
                  <w:vAlign w:val="center"/>
                </w:tcPr>
                <w:p w14:paraId="6295C40B">
                  <w:pPr>
                    <w:spacing w:line="240" w:lineRule="atLeast"/>
                    <w:ind w:firstLine="0" w:firstLineChars="0"/>
                    <w:jc w:val="center"/>
                    <w:rPr>
                      <w:rFonts w:cs="Times New Roman"/>
                      <w:color w:val="auto"/>
                      <w:sz w:val="21"/>
                      <w:szCs w:val="21"/>
                    </w:rPr>
                  </w:pPr>
                  <w:r>
                    <w:rPr>
                      <w:color w:val="auto"/>
                      <w:sz w:val="21"/>
                      <w:szCs w:val="21"/>
                    </w:rPr>
                    <w:t>本项目污染物列入总量控制指标因子。</w:t>
                  </w:r>
                </w:p>
              </w:tc>
              <w:tc>
                <w:tcPr>
                  <w:tcW w:w="446" w:type="dxa"/>
                  <w:tcBorders>
                    <w:top w:val="single" w:color="auto" w:sz="4" w:space="0"/>
                    <w:left w:val="single" w:color="auto" w:sz="4" w:space="0"/>
                    <w:bottom w:val="single" w:color="auto" w:sz="4" w:space="0"/>
                  </w:tcBorders>
                  <w:vAlign w:val="center"/>
                </w:tcPr>
                <w:p w14:paraId="10E29086">
                  <w:pPr>
                    <w:autoSpaceDE w:val="0"/>
                    <w:autoSpaceDN w:val="0"/>
                    <w:spacing w:line="240" w:lineRule="atLeast"/>
                    <w:ind w:firstLine="0" w:firstLineChars="0"/>
                    <w:jc w:val="center"/>
                    <w:rPr>
                      <w:rFonts w:cs="Times New Roman"/>
                      <w:color w:val="auto"/>
                      <w:sz w:val="21"/>
                      <w:szCs w:val="21"/>
                    </w:rPr>
                  </w:pPr>
                  <w:r>
                    <w:rPr>
                      <w:rFonts w:cs="Times New Roman"/>
                      <w:color w:val="auto"/>
                      <w:sz w:val="21"/>
                      <w:szCs w:val="21"/>
                    </w:rPr>
                    <w:t>符合</w:t>
                  </w:r>
                </w:p>
              </w:tc>
            </w:tr>
            <w:tr w14:paraId="1CBB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continue"/>
                  <w:tcBorders>
                    <w:right w:val="single" w:color="auto" w:sz="4" w:space="0"/>
                  </w:tcBorders>
                  <w:vAlign w:val="center"/>
                </w:tcPr>
                <w:p w14:paraId="6E04F96E">
                  <w:pPr>
                    <w:widowControl/>
                    <w:spacing w:line="240" w:lineRule="atLeast"/>
                    <w:ind w:firstLine="0" w:firstLineChars="0"/>
                    <w:jc w:val="center"/>
                    <w:rPr>
                      <w:rFonts w:cs="Times New Roman"/>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10F6C301">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A6.3环境风险</w:t>
                  </w:r>
                </w:p>
                <w:p w14:paraId="4870C475">
                  <w:pPr>
                    <w:autoSpaceDE w:val="0"/>
                    <w:autoSpaceDN w:val="0"/>
                    <w:spacing w:line="240" w:lineRule="atLeast"/>
                    <w:ind w:firstLine="0" w:firstLineChars="0"/>
                    <w:jc w:val="center"/>
                    <w:rPr>
                      <w:rFonts w:cs="Times New Roman"/>
                      <w:color w:val="auto"/>
                      <w:sz w:val="21"/>
                      <w:szCs w:val="21"/>
                    </w:rPr>
                  </w:pPr>
                  <w:r>
                    <w:rPr>
                      <w:rFonts w:hint="eastAsia" w:cs="Times New Roman"/>
                      <w:color w:val="auto"/>
                      <w:sz w:val="21"/>
                      <w:szCs w:val="21"/>
                    </w:rPr>
                    <w:t>防控</w:t>
                  </w:r>
                </w:p>
              </w:tc>
              <w:tc>
                <w:tcPr>
                  <w:tcW w:w="4152" w:type="dxa"/>
                  <w:tcBorders>
                    <w:top w:val="single" w:color="auto" w:sz="4" w:space="0"/>
                    <w:left w:val="single" w:color="auto" w:sz="4" w:space="0"/>
                    <w:bottom w:val="single" w:color="auto" w:sz="4" w:space="0"/>
                    <w:right w:val="single" w:color="auto" w:sz="4" w:space="0"/>
                  </w:tcBorders>
                  <w:vAlign w:val="center"/>
                </w:tcPr>
                <w:p w14:paraId="3D7096A8">
                  <w:pPr>
                    <w:autoSpaceDE w:val="0"/>
                    <w:autoSpaceDN w:val="0"/>
                    <w:spacing w:line="240" w:lineRule="atLeast"/>
                    <w:ind w:firstLine="0" w:firstLineChars="0"/>
                    <w:jc w:val="both"/>
                    <w:rPr>
                      <w:rFonts w:cs="Times New Roman"/>
                      <w:color w:val="auto"/>
                      <w:sz w:val="21"/>
                      <w:szCs w:val="21"/>
                    </w:rPr>
                  </w:pPr>
                  <w:r>
                    <w:rPr>
                      <w:rFonts w:hint="eastAsia" w:cs="Times New Roman"/>
                      <w:color w:val="auto"/>
                      <w:sz w:val="21"/>
                      <w:szCs w:val="21"/>
                    </w:rPr>
                    <w:t>【A6.3-1】定期评估邻近环境敏感区的工业企业、工业集聚区环境和健康风险。强化工业集聚区企业环境风险防范设施设备建设和正常运行监管，加强重点环境风险管控企业应急预案制定，建立常态化的企业隐患排查整治监管机制，加强风险防控体系建设</w:t>
                  </w:r>
                  <w:r>
                    <w:rPr>
                      <w:rFonts w:cs="Times New Roman"/>
                      <w:color w:val="auto"/>
                      <w:sz w:val="21"/>
                      <w:szCs w:val="21"/>
                    </w:rPr>
                    <w:t>。</w:t>
                  </w:r>
                </w:p>
              </w:tc>
              <w:tc>
                <w:tcPr>
                  <w:tcW w:w="1106" w:type="dxa"/>
                  <w:tcBorders>
                    <w:top w:val="single" w:color="auto" w:sz="4" w:space="0"/>
                    <w:left w:val="single" w:color="auto" w:sz="4" w:space="0"/>
                    <w:bottom w:val="single" w:color="auto" w:sz="4" w:space="0"/>
                    <w:right w:val="single" w:color="auto" w:sz="4" w:space="0"/>
                  </w:tcBorders>
                  <w:vAlign w:val="center"/>
                </w:tcPr>
                <w:p w14:paraId="0B3F312D">
                  <w:pPr>
                    <w:spacing w:line="240" w:lineRule="atLeast"/>
                    <w:ind w:firstLine="0" w:firstLineChars="0"/>
                    <w:jc w:val="center"/>
                    <w:rPr>
                      <w:rFonts w:cs="Times New Roman"/>
                      <w:color w:val="auto"/>
                      <w:sz w:val="21"/>
                      <w:szCs w:val="21"/>
                    </w:rPr>
                  </w:pPr>
                  <w:r>
                    <w:rPr>
                      <w:rFonts w:hint="eastAsia" w:cs="Times New Roman"/>
                      <w:color w:val="auto"/>
                      <w:sz w:val="21"/>
                      <w:szCs w:val="21"/>
                    </w:rPr>
                    <w:t>本项目工艺使用的原辅料较少，不产生有毒有害物质，环境风险较小。</w:t>
                  </w:r>
                </w:p>
              </w:tc>
              <w:tc>
                <w:tcPr>
                  <w:tcW w:w="446" w:type="dxa"/>
                  <w:tcBorders>
                    <w:top w:val="single" w:color="auto" w:sz="4" w:space="0"/>
                    <w:left w:val="single" w:color="auto" w:sz="4" w:space="0"/>
                    <w:bottom w:val="single" w:color="auto" w:sz="4" w:space="0"/>
                  </w:tcBorders>
                  <w:vAlign w:val="center"/>
                </w:tcPr>
                <w:p w14:paraId="094C2FFB">
                  <w:pPr>
                    <w:autoSpaceDE w:val="0"/>
                    <w:autoSpaceDN w:val="0"/>
                    <w:spacing w:line="240" w:lineRule="atLeast"/>
                    <w:ind w:firstLine="0" w:firstLineChars="0"/>
                    <w:jc w:val="center"/>
                    <w:rPr>
                      <w:rFonts w:cs="Times New Roman"/>
                      <w:color w:val="auto"/>
                      <w:sz w:val="21"/>
                      <w:szCs w:val="21"/>
                    </w:rPr>
                  </w:pPr>
                  <w:r>
                    <w:rPr>
                      <w:rFonts w:cs="Times New Roman"/>
                      <w:color w:val="auto"/>
                      <w:sz w:val="21"/>
                      <w:szCs w:val="21"/>
                    </w:rPr>
                    <w:t>符合</w:t>
                  </w:r>
                </w:p>
              </w:tc>
            </w:tr>
            <w:tr w14:paraId="3DD7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96" w:type="dxa"/>
                  <w:vMerge w:val="continue"/>
                  <w:tcBorders>
                    <w:right w:val="single" w:color="auto" w:sz="4" w:space="0"/>
                  </w:tcBorders>
                  <w:vAlign w:val="center"/>
                </w:tcPr>
                <w:p w14:paraId="5AB7C846">
                  <w:pPr>
                    <w:widowControl/>
                    <w:spacing w:line="240" w:lineRule="atLeast"/>
                    <w:ind w:firstLine="0" w:firstLineChars="0"/>
                    <w:jc w:val="center"/>
                    <w:rPr>
                      <w:rFonts w:cs="Times New Roman"/>
                      <w:color w:val="auto"/>
                      <w:sz w:val="21"/>
                      <w:szCs w:val="21"/>
                    </w:rPr>
                  </w:pPr>
                </w:p>
              </w:tc>
              <w:tc>
                <w:tcPr>
                  <w:tcW w:w="708" w:type="dxa"/>
                  <w:tcBorders>
                    <w:top w:val="single" w:color="auto" w:sz="4" w:space="0"/>
                    <w:left w:val="single" w:color="auto" w:sz="4" w:space="0"/>
                    <w:right w:val="single" w:color="auto" w:sz="4" w:space="0"/>
                  </w:tcBorders>
                  <w:vAlign w:val="center"/>
                </w:tcPr>
                <w:p w14:paraId="33A85C19">
                  <w:pPr>
                    <w:widowControl/>
                    <w:spacing w:line="240" w:lineRule="atLeast"/>
                    <w:ind w:firstLine="0" w:firstLineChars="0"/>
                    <w:jc w:val="both"/>
                    <w:rPr>
                      <w:rFonts w:cs="Times New Roman"/>
                      <w:color w:val="auto"/>
                      <w:sz w:val="21"/>
                      <w:szCs w:val="21"/>
                    </w:rPr>
                  </w:pPr>
                  <w:r>
                    <w:rPr>
                      <w:rFonts w:hint="eastAsia" w:cs="Times New Roman"/>
                      <w:color w:val="auto"/>
                      <w:sz w:val="21"/>
                      <w:szCs w:val="21"/>
                    </w:rPr>
                    <w:t>A6.4 资源利用要求</w:t>
                  </w:r>
                </w:p>
              </w:tc>
              <w:tc>
                <w:tcPr>
                  <w:tcW w:w="4152" w:type="dxa"/>
                  <w:tcBorders>
                    <w:top w:val="single" w:color="auto" w:sz="4" w:space="0"/>
                    <w:left w:val="single" w:color="auto" w:sz="4" w:space="0"/>
                    <w:right w:val="single" w:color="auto" w:sz="4" w:space="0"/>
                  </w:tcBorders>
                  <w:vAlign w:val="center"/>
                </w:tcPr>
                <w:p w14:paraId="4BB8CD57">
                  <w:pPr>
                    <w:widowControl/>
                    <w:spacing w:line="240" w:lineRule="atLeast"/>
                    <w:ind w:firstLine="0" w:firstLineChars="0"/>
                    <w:jc w:val="both"/>
                    <w:rPr>
                      <w:rFonts w:cs="Times New Roman"/>
                      <w:color w:val="auto"/>
                      <w:sz w:val="21"/>
                      <w:szCs w:val="21"/>
                    </w:rPr>
                  </w:pPr>
                  <w:r>
                    <w:rPr>
                      <w:rFonts w:hint="eastAsia" w:cs="Times New Roman"/>
                      <w:color w:val="auto"/>
                      <w:sz w:val="21"/>
                      <w:szCs w:val="21"/>
                    </w:rPr>
                    <w:t>【A6.4-1】推进工业集聚区生态化改造，强化企业清洁生产改造，推进节水型企业、节水型工业园区建设，提高资源能源利用效率</w:t>
                  </w:r>
                  <w:r>
                    <w:rPr>
                      <w:rFonts w:cs="Times New Roman"/>
                      <w:color w:val="auto"/>
                      <w:sz w:val="21"/>
                      <w:szCs w:val="21"/>
                    </w:rPr>
                    <w:t>。</w:t>
                  </w:r>
                </w:p>
              </w:tc>
              <w:tc>
                <w:tcPr>
                  <w:tcW w:w="1106" w:type="dxa"/>
                  <w:tcBorders>
                    <w:top w:val="single" w:color="auto" w:sz="4" w:space="0"/>
                    <w:left w:val="single" w:color="auto" w:sz="4" w:space="0"/>
                    <w:right w:val="single" w:color="auto" w:sz="4" w:space="0"/>
                  </w:tcBorders>
                  <w:vAlign w:val="center"/>
                </w:tcPr>
                <w:p w14:paraId="5B2B42B3">
                  <w:pPr>
                    <w:widowControl/>
                    <w:spacing w:line="240" w:lineRule="atLeast"/>
                    <w:ind w:firstLine="0" w:firstLineChars="0"/>
                    <w:jc w:val="center"/>
                    <w:rPr>
                      <w:rFonts w:cs="Times New Roman"/>
                      <w:color w:val="auto"/>
                      <w:sz w:val="21"/>
                      <w:szCs w:val="21"/>
                    </w:rPr>
                  </w:pPr>
                  <w:r>
                    <w:rPr>
                      <w:rFonts w:hint="eastAsia" w:cs="Times New Roman"/>
                      <w:color w:val="auto"/>
                      <w:sz w:val="21"/>
                      <w:szCs w:val="21"/>
                    </w:rPr>
                    <w:t>本项目主要利用资源为生产、生活用水及生产用电，本项目用水量及耗电量较小，占地面积较小，对区域水资源、土地资源、能源消耗较小。</w:t>
                  </w:r>
                </w:p>
              </w:tc>
              <w:tc>
                <w:tcPr>
                  <w:tcW w:w="446" w:type="dxa"/>
                  <w:tcBorders>
                    <w:top w:val="single" w:color="auto" w:sz="4" w:space="0"/>
                    <w:left w:val="single" w:color="auto" w:sz="4" w:space="0"/>
                  </w:tcBorders>
                  <w:vAlign w:val="center"/>
                </w:tcPr>
                <w:p w14:paraId="26B3466E">
                  <w:pPr>
                    <w:widowControl/>
                    <w:spacing w:line="240" w:lineRule="atLeast"/>
                    <w:ind w:firstLine="0" w:firstLineChars="0"/>
                    <w:jc w:val="center"/>
                    <w:rPr>
                      <w:rFonts w:cs="Times New Roman"/>
                      <w:color w:val="auto"/>
                      <w:sz w:val="21"/>
                      <w:szCs w:val="21"/>
                    </w:rPr>
                  </w:pPr>
                  <w:r>
                    <w:rPr>
                      <w:rFonts w:cs="Times New Roman"/>
                      <w:color w:val="auto"/>
                      <w:sz w:val="21"/>
                      <w:szCs w:val="21"/>
                    </w:rPr>
                    <w:t>符合</w:t>
                  </w:r>
                </w:p>
              </w:tc>
            </w:tr>
          </w:tbl>
          <w:p w14:paraId="1EF5B24B">
            <w:pPr>
              <w:pStyle w:val="20"/>
              <w:bidi w:val="0"/>
              <w:rPr>
                <w:color w:val="auto"/>
              </w:rPr>
            </w:pPr>
          </w:p>
          <w:p w14:paraId="20747C52">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w:t>
            </w:r>
            <w:r>
              <w:rPr>
                <w:color w:val="auto"/>
              </w:rPr>
              <w:fldChar w:fldCharType="end"/>
            </w:r>
            <w:r>
              <w:rPr>
                <w:rFonts w:hint="eastAsia"/>
                <w:color w:val="auto"/>
                <w:lang w:val="en-US" w:eastAsia="zh-CN"/>
              </w:rPr>
              <w:t xml:space="preserve">  本项目与七大片天山南坡片区总体管控要求符合性分析</w:t>
            </w:r>
          </w:p>
          <w:tbl>
            <w:tblPr>
              <w:tblStyle w:val="15"/>
              <w:tblW w:w="720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56"/>
              <w:gridCol w:w="3725"/>
              <w:gridCol w:w="1883"/>
              <w:gridCol w:w="645"/>
            </w:tblGrid>
            <w:tr w14:paraId="1CF72B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Align w:val="center"/>
                </w:tcPr>
                <w:p w14:paraId="343C1C0E">
                  <w:pPr>
                    <w:pStyle w:val="19"/>
                    <w:bidi w:val="0"/>
                    <w:rPr>
                      <w:rFonts w:hint="eastAsia" w:eastAsia="宋体"/>
                      <w:b w:val="0"/>
                      <w:bCs w:val="0"/>
                      <w:color w:val="auto"/>
                      <w:lang w:val="en-US" w:eastAsia="zh-CN"/>
                    </w:rPr>
                  </w:pPr>
                  <w:r>
                    <w:rPr>
                      <w:rFonts w:hint="eastAsia"/>
                      <w:b w:val="0"/>
                      <w:bCs w:val="0"/>
                      <w:color w:val="auto"/>
                      <w:lang w:val="en-US" w:eastAsia="zh-CN"/>
                    </w:rPr>
                    <w:t>名称</w:t>
                  </w:r>
                </w:p>
              </w:tc>
              <w:tc>
                <w:tcPr>
                  <w:tcW w:w="2583" w:type="pct"/>
                  <w:vAlign w:val="center"/>
                </w:tcPr>
                <w:p w14:paraId="5728F155">
                  <w:pPr>
                    <w:pStyle w:val="19"/>
                    <w:bidi w:val="0"/>
                    <w:rPr>
                      <w:b w:val="0"/>
                      <w:bCs w:val="0"/>
                      <w:color w:val="auto"/>
                    </w:rPr>
                  </w:pPr>
                  <w:r>
                    <w:rPr>
                      <w:rFonts w:hint="eastAsia"/>
                      <w:b w:val="0"/>
                      <w:bCs w:val="0"/>
                      <w:color w:val="auto"/>
                    </w:rPr>
                    <w:t>管控要求</w:t>
                  </w:r>
                </w:p>
              </w:tc>
              <w:tc>
                <w:tcPr>
                  <w:tcW w:w="1306" w:type="pct"/>
                  <w:vAlign w:val="center"/>
                </w:tcPr>
                <w:p w14:paraId="3D2B1715">
                  <w:pPr>
                    <w:pStyle w:val="19"/>
                    <w:bidi w:val="0"/>
                    <w:rPr>
                      <w:b w:val="0"/>
                      <w:bCs w:val="0"/>
                      <w:color w:val="auto"/>
                    </w:rPr>
                  </w:pPr>
                  <w:r>
                    <w:rPr>
                      <w:rFonts w:hint="eastAsia"/>
                      <w:b w:val="0"/>
                      <w:bCs w:val="0"/>
                      <w:color w:val="auto"/>
                    </w:rPr>
                    <w:t>本项目</w:t>
                  </w:r>
                </w:p>
              </w:tc>
              <w:tc>
                <w:tcPr>
                  <w:tcW w:w="447" w:type="pct"/>
                  <w:vAlign w:val="center"/>
                </w:tcPr>
                <w:p w14:paraId="16BC294E">
                  <w:pPr>
                    <w:pStyle w:val="19"/>
                    <w:bidi w:val="0"/>
                    <w:rPr>
                      <w:b w:val="0"/>
                      <w:bCs w:val="0"/>
                      <w:color w:val="auto"/>
                    </w:rPr>
                  </w:pPr>
                  <w:r>
                    <w:rPr>
                      <w:rFonts w:hint="eastAsia"/>
                      <w:b w:val="0"/>
                      <w:bCs w:val="0"/>
                      <w:color w:val="auto"/>
                    </w:rPr>
                    <w:t>符合性</w:t>
                  </w:r>
                </w:p>
              </w:tc>
            </w:tr>
            <w:tr w14:paraId="0567D5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Merge w:val="restart"/>
                  <w:vAlign w:val="center"/>
                </w:tcPr>
                <w:p w14:paraId="7FCF7A16">
                  <w:pPr>
                    <w:pStyle w:val="19"/>
                    <w:bidi w:val="0"/>
                    <w:rPr>
                      <w:color w:val="auto"/>
                    </w:rPr>
                  </w:pPr>
                  <w:r>
                    <w:rPr>
                      <w:rFonts w:hint="eastAsia"/>
                      <w:color w:val="auto"/>
                    </w:rPr>
                    <w:t>天山南坡片区总体管控要求</w:t>
                  </w:r>
                </w:p>
              </w:tc>
              <w:tc>
                <w:tcPr>
                  <w:tcW w:w="2583" w:type="pct"/>
                  <w:vAlign w:val="center"/>
                </w:tcPr>
                <w:p w14:paraId="33504E6E">
                  <w:pPr>
                    <w:pStyle w:val="19"/>
                    <w:bidi w:val="0"/>
                    <w:rPr>
                      <w:color w:val="auto"/>
                    </w:rPr>
                  </w:pPr>
                  <w:r>
                    <w:rPr>
                      <w:rFonts w:hint="eastAsia"/>
                      <w:color w:val="auto"/>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306" w:type="pct"/>
                  <w:vAlign w:val="center"/>
                </w:tcPr>
                <w:p w14:paraId="5A234A60">
                  <w:pPr>
                    <w:pStyle w:val="19"/>
                    <w:bidi w:val="0"/>
                    <w:rPr>
                      <w:color w:val="auto"/>
                    </w:rPr>
                  </w:pPr>
                  <w:r>
                    <w:rPr>
                      <w:rFonts w:hint="eastAsia"/>
                      <w:color w:val="auto"/>
                    </w:rPr>
                    <w:t>本项目不在托木尔峰和天山南坡中段冰雪水源及生物多样性保护生态功能区</w:t>
                  </w:r>
                </w:p>
              </w:tc>
              <w:tc>
                <w:tcPr>
                  <w:tcW w:w="447" w:type="pct"/>
                  <w:vAlign w:val="center"/>
                </w:tcPr>
                <w:p w14:paraId="1111B894">
                  <w:pPr>
                    <w:pStyle w:val="19"/>
                    <w:bidi w:val="0"/>
                    <w:rPr>
                      <w:color w:val="auto"/>
                    </w:rPr>
                  </w:pPr>
                  <w:r>
                    <w:rPr>
                      <w:rFonts w:hint="eastAsia"/>
                      <w:color w:val="auto"/>
                    </w:rPr>
                    <w:t>符合</w:t>
                  </w:r>
                </w:p>
              </w:tc>
            </w:tr>
            <w:tr w14:paraId="442FCD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Merge w:val="continue"/>
                  <w:vAlign w:val="center"/>
                </w:tcPr>
                <w:p w14:paraId="3E531AF8">
                  <w:pPr>
                    <w:pStyle w:val="19"/>
                    <w:bidi w:val="0"/>
                    <w:rPr>
                      <w:color w:val="auto"/>
                    </w:rPr>
                  </w:pPr>
                </w:p>
              </w:tc>
              <w:tc>
                <w:tcPr>
                  <w:tcW w:w="2583" w:type="pct"/>
                  <w:vAlign w:val="center"/>
                </w:tcPr>
                <w:p w14:paraId="72887948">
                  <w:pPr>
                    <w:pStyle w:val="19"/>
                    <w:bidi w:val="0"/>
                    <w:rPr>
                      <w:color w:val="auto"/>
                    </w:rPr>
                  </w:pPr>
                  <w:r>
                    <w:rPr>
                      <w:rFonts w:hint="eastAsia"/>
                      <w:color w:val="auto"/>
                    </w:rPr>
                    <w:t>重点做好塔里木盆地北缘荒漠化防治。加强荒漠植被及河岸荒漠林保护，规范油气勘探开发作业，建立油田和公路扰动区域工程与生物相结合的防风固沙体系，逐步形成生态屏障。</w:t>
                  </w:r>
                </w:p>
              </w:tc>
              <w:tc>
                <w:tcPr>
                  <w:tcW w:w="1306" w:type="pct"/>
                  <w:vAlign w:val="center"/>
                </w:tcPr>
                <w:p w14:paraId="1263E2D2">
                  <w:pPr>
                    <w:pStyle w:val="19"/>
                    <w:bidi w:val="0"/>
                    <w:rPr>
                      <w:color w:val="auto"/>
                    </w:rPr>
                  </w:pPr>
                  <w:r>
                    <w:rPr>
                      <w:rFonts w:hint="eastAsia"/>
                      <w:color w:val="auto"/>
                    </w:rPr>
                    <w:t>本项目不涉及油气勘探开发</w:t>
                  </w:r>
                </w:p>
              </w:tc>
              <w:tc>
                <w:tcPr>
                  <w:tcW w:w="447" w:type="pct"/>
                  <w:vAlign w:val="center"/>
                </w:tcPr>
                <w:p w14:paraId="2137EE19">
                  <w:pPr>
                    <w:pStyle w:val="19"/>
                    <w:bidi w:val="0"/>
                    <w:rPr>
                      <w:color w:val="auto"/>
                    </w:rPr>
                  </w:pPr>
                  <w:r>
                    <w:rPr>
                      <w:rFonts w:hint="eastAsia"/>
                      <w:color w:val="auto"/>
                    </w:rPr>
                    <w:t>符合</w:t>
                  </w:r>
                </w:p>
              </w:tc>
            </w:tr>
            <w:tr w14:paraId="318216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Merge w:val="continue"/>
                  <w:vAlign w:val="center"/>
                </w:tcPr>
                <w:p w14:paraId="5C628236">
                  <w:pPr>
                    <w:pStyle w:val="19"/>
                    <w:bidi w:val="0"/>
                    <w:rPr>
                      <w:color w:val="auto"/>
                    </w:rPr>
                  </w:pPr>
                </w:p>
              </w:tc>
              <w:tc>
                <w:tcPr>
                  <w:tcW w:w="2583" w:type="pct"/>
                  <w:vAlign w:val="center"/>
                </w:tcPr>
                <w:p w14:paraId="106AD962">
                  <w:pPr>
                    <w:pStyle w:val="19"/>
                    <w:bidi w:val="0"/>
                    <w:rPr>
                      <w:color w:val="auto"/>
                    </w:rPr>
                  </w:pPr>
                  <w:r>
                    <w:rPr>
                      <w:rFonts w:hint="eastAsia"/>
                      <w:color w:val="auto"/>
                    </w:rPr>
                    <w:t>推进塔里木河流域用水结构调整，维护塔里木河、博斯腾湖基本生态用水</w:t>
                  </w:r>
                </w:p>
              </w:tc>
              <w:tc>
                <w:tcPr>
                  <w:tcW w:w="1306" w:type="pct"/>
                  <w:vAlign w:val="center"/>
                </w:tcPr>
                <w:p w14:paraId="413B3F8B">
                  <w:pPr>
                    <w:pStyle w:val="19"/>
                    <w:bidi w:val="0"/>
                    <w:rPr>
                      <w:color w:val="auto"/>
                    </w:rPr>
                  </w:pPr>
                  <w:r>
                    <w:rPr>
                      <w:rFonts w:hint="eastAsia"/>
                      <w:color w:val="auto"/>
                    </w:rPr>
                    <w:t>本项目不涉及塔里木河、博斯腾湖生态用水</w:t>
                  </w:r>
                </w:p>
              </w:tc>
              <w:tc>
                <w:tcPr>
                  <w:tcW w:w="447" w:type="pct"/>
                  <w:vAlign w:val="center"/>
                </w:tcPr>
                <w:p w14:paraId="3FB72421">
                  <w:pPr>
                    <w:pStyle w:val="19"/>
                    <w:bidi w:val="0"/>
                    <w:rPr>
                      <w:color w:val="auto"/>
                    </w:rPr>
                  </w:pPr>
                  <w:r>
                    <w:rPr>
                      <w:rFonts w:hint="eastAsia"/>
                      <w:color w:val="auto"/>
                    </w:rPr>
                    <w:t>符合</w:t>
                  </w:r>
                </w:p>
              </w:tc>
            </w:tr>
            <w:tr w14:paraId="0A4E4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Merge w:val="continue"/>
                  <w:vAlign w:val="center"/>
                </w:tcPr>
                <w:p w14:paraId="39C476B5">
                  <w:pPr>
                    <w:pStyle w:val="19"/>
                    <w:bidi w:val="0"/>
                    <w:rPr>
                      <w:color w:val="auto"/>
                    </w:rPr>
                  </w:pPr>
                </w:p>
              </w:tc>
              <w:tc>
                <w:tcPr>
                  <w:tcW w:w="2583" w:type="pct"/>
                  <w:vAlign w:val="center"/>
                </w:tcPr>
                <w:p w14:paraId="1B9976B9">
                  <w:pPr>
                    <w:pStyle w:val="19"/>
                    <w:bidi w:val="0"/>
                    <w:rPr>
                      <w:color w:val="auto"/>
                    </w:rPr>
                  </w:pPr>
                  <w:r>
                    <w:rPr>
                      <w:rFonts w:hint="eastAsia"/>
                      <w:color w:val="auto"/>
                    </w:rPr>
                    <w:t>加强塔里木河流域水环境风险管控。加大博斯腾湖污染源头达标排放治理和监督力度，实施博斯腾湖综合治理。</w:t>
                  </w:r>
                </w:p>
              </w:tc>
              <w:tc>
                <w:tcPr>
                  <w:tcW w:w="1306" w:type="pct"/>
                  <w:vAlign w:val="center"/>
                </w:tcPr>
                <w:p w14:paraId="107E7982">
                  <w:pPr>
                    <w:pStyle w:val="19"/>
                    <w:bidi w:val="0"/>
                    <w:rPr>
                      <w:color w:val="auto"/>
                    </w:rPr>
                  </w:pPr>
                  <w:r>
                    <w:rPr>
                      <w:rFonts w:hint="eastAsia"/>
                      <w:color w:val="auto"/>
                    </w:rPr>
                    <w:t>本项目不涉及</w:t>
                  </w:r>
                </w:p>
              </w:tc>
              <w:tc>
                <w:tcPr>
                  <w:tcW w:w="447" w:type="pct"/>
                  <w:vAlign w:val="center"/>
                </w:tcPr>
                <w:p w14:paraId="1D6F929B">
                  <w:pPr>
                    <w:pStyle w:val="19"/>
                    <w:bidi w:val="0"/>
                    <w:rPr>
                      <w:color w:val="auto"/>
                    </w:rPr>
                  </w:pPr>
                  <w:r>
                    <w:rPr>
                      <w:rFonts w:hint="eastAsia"/>
                      <w:color w:val="auto"/>
                    </w:rPr>
                    <w:t>符合</w:t>
                  </w:r>
                </w:p>
              </w:tc>
            </w:tr>
            <w:tr w14:paraId="5A7310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663" w:type="pct"/>
                  <w:vMerge w:val="continue"/>
                  <w:vAlign w:val="center"/>
                </w:tcPr>
                <w:p w14:paraId="28CE492D">
                  <w:pPr>
                    <w:pStyle w:val="19"/>
                    <w:bidi w:val="0"/>
                    <w:rPr>
                      <w:color w:val="auto"/>
                    </w:rPr>
                  </w:pPr>
                </w:p>
              </w:tc>
              <w:tc>
                <w:tcPr>
                  <w:tcW w:w="2583" w:type="pct"/>
                  <w:vAlign w:val="center"/>
                </w:tcPr>
                <w:p w14:paraId="05E2FEB3">
                  <w:pPr>
                    <w:pStyle w:val="19"/>
                    <w:bidi w:val="0"/>
                    <w:rPr>
                      <w:color w:val="auto"/>
                    </w:rPr>
                  </w:pPr>
                  <w:r>
                    <w:rPr>
                      <w:rFonts w:hint="eastAsia"/>
                      <w:color w:val="auto"/>
                    </w:rPr>
                    <w:t>加强油（气）资源开发区土壤环境污染综合整治。强化涉重金属行业污染防控与工业废物处理处置。</w:t>
                  </w:r>
                </w:p>
              </w:tc>
              <w:tc>
                <w:tcPr>
                  <w:tcW w:w="1306" w:type="pct"/>
                  <w:vAlign w:val="center"/>
                </w:tcPr>
                <w:p w14:paraId="6F956EE9">
                  <w:pPr>
                    <w:pStyle w:val="19"/>
                    <w:bidi w:val="0"/>
                    <w:rPr>
                      <w:color w:val="auto"/>
                    </w:rPr>
                  </w:pPr>
                  <w:r>
                    <w:rPr>
                      <w:rFonts w:hint="eastAsia"/>
                      <w:color w:val="auto"/>
                    </w:rPr>
                    <w:t>本项目不涉及油气开发，不涉及重金属排放</w:t>
                  </w:r>
                </w:p>
              </w:tc>
              <w:tc>
                <w:tcPr>
                  <w:tcW w:w="447" w:type="pct"/>
                  <w:vAlign w:val="center"/>
                </w:tcPr>
                <w:p w14:paraId="6BEF3667">
                  <w:pPr>
                    <w:pStyle w:val="19"/>
                    <w:bidi w:val="0"/>
                    <w:rPr>
                      <w:color w:val="auto"/>
                    </w:rPr>
                  </w:pPr>
                  <w:r>
                    <w:rPr>
                      <w:rFonts w:hint="eastAsia"/>
                      <w:color w:val="auto"/>
                    </w:rPr>
                    <w:t>符合</w:t>
                  </w:r>
                </w:p>
              </w:tc>
            </w:tr>
          </w:tbl>
          <w:p w14:paraId="0856D121">
            <w:pPr>
              <w:pStyle w:val="20"/>
              <w:bidi w:val="0"/>
              <w:rPr>
                <w:color w:val="auto"/>
              </w:rPr>
            </w:pPr>
          </w:p>
          <w:p w14:paraId="3833D5D7">
            <w:pPr>
              <w:pStyle w:val="3"/>
              <w:bidi w:val="0"/>
              <w:rPr>
                <w:rFonts w:hint="eastAsia"/>
                <w:color w:val="auto"/>
              </w:rPr>
            </w:pPr>
            <w:r>
              <w:rPr>
                <w:rFonts w:hint="eastAsia"/>
                <w:color w:val="auto"/>
              </w:rPr>
              <w:t>与</w:t>
            </w:r>
            <w:r>
              <w:rPr>
                <w:color w:val="auto"/>
              </w:rPr>
              <w:t>巴音郭楞蒙古自治州</w:t>
            </w:r>
            <w:r>
              <w:rPr>
                <w:rFonts w:hint="eastAsia"/>
                <w:color w:val="auto"/>
              </w:rPr>
              <w:t>“生态环境分区管控”符合性分析</w:t>
            </w:r>
          </w:p>
          <w:p w14:paraId="02F4CC2D">
            <w:pPr>
              <w:pStyle w:val="5"/>
              <w:rPr>
                <w:rFonts w:hint="eastAsia" w:ascii="宋体" w:hAnsi="宋体" w:cs="宋体"/>
                <w:color w:val="auto"/>
                <w:kern w:val="0"/>
              </w:rPr>
            </w:pPr>
            <w:r>
              <w:rPr>
                <w:rFonts w:hint="eastAsia"/>
                <w:color w:val="auto"/>
                <w:lang w:val="en-US" w:eastAsia="zh-CN"/>
              </w:rPr>
              <w:t>经查询“新疆维吾尔自治区‘三线一单’信息应用平台”最新数据，本项目选址于新疆巴音郭楞蒙古自治州库尔勒市库尔勒经济技术开发区，用地范围不涉及国家公园、自然保护区、自然公园等自然保护地，亦未进入世界自然遗产或饮用水水源保护区等环境敏感区域。项目所在区域属重点管控单元（库尔勒市城区地下水禁采区，单元编码：ZH65280120011），且不涉及生态保护红线。项目与该重点管控单元的关系详见下图及下表。</w:t>
            </w:r>
          </w:p>
        </w:tc>
      </w:tr>
    </w:tbl>
    <w:p w14:paraId="3628A48C">
      <w:pPr>
        <w:pStyle w:val="5"/>
        <w:bidi w:val="0"/>
        <w:rPr>
          <w:rFonts w:hint="eastAsia"/>
          <w:color w:val="auto"/>
        </w:rPr>
        <w:sectPr>
          <w:pgSz w:w="11906" w:h="16838"/>
          <w:pgMar w:top="1701" w:right="1531" w:bottom="1701" w:left="1531" w:header="851" w:footer="1077" w:gutter="0"/>
          <w:pgNumType w:fmt="decimal" w:start="1"/>
          <w:cols w:space="720" w:num="1"/>
          <w:docGrid w:linePitch="312" w:charSpace="0"/>
        </w:sectPr>
      </w:pPr>
    </w:p>
    <w:p w14:paraId="0D4467D6">
      <w:pPr>
        <w:pStyle w:val="5"/>
        <w:bidi w:val="0"/>
        <w:rPr>
          <w:color w:val="auto"/>
        </w:rPr>
      </w:pPr>
    </w:p>
    <w:p w14:paraId="6B6E9F34">
      <w:pPr>
        <w:pStyle w:val="12"/>
        <w:bidi w:val="0"/>
        <w:outlineLvl w:val="9"/>
        <w:rPr>
          <w:rFonts w:hint="default" w:eastAsia="黑体"/>
          <w:color w:val="auto"/>
          <w:lang w:val="en-US" w:eastAsia="zh-CN"/>
        </w:rPr>
        <w:sectPr>
          <w:pgSz w:w="16838" w:h="11906" w:orient="landscape"/>
          <w:pgMar w:top="1531" w:right="1701" w:bottom="1531" w:left="1701" w:header="851" w:footer="1077" w:gutter="0"/>
          <w:pgNumType w:fmt="decimal"/>
          <w:cols w:space="720" w:num="1"/>
          <w:docGrid w:linePitch="312" w:charSpace="0"/>
        </w:sectPr>
      </w:pPr>
      <w:r>
        <w:rPr>
          <w:color w:val="auto"/>
        </w:rPr>
        <w:t xml:space="preserve">图 </w:t>
      </w:r>
      <w:r>
        <w:rPr>
          <w:color w:val="auto"/>
        </w:rPr>
        <w:fldChar w:fldCharType="begin"/>
      </w:r>
      <w:r>
        <w:rPr>
          <w:color w:val="auto"/>
        </w:rPr>
        <w:instrText xml:space="preserve"> SEQ 图 \* ARABIC </w:instrText>
      </w:r>
      <w:r>
        <w:rPr>
          <w:color w:val="auto"/>
        </w:rPr>
        <w:fldChar w:fldCharType="separate"/>
      </w:r>
      <w:r>
        <w:rPr>
          <w:color w:val="auto"/>
        </w:rPr>
        <w:t>2</w:t>
      </w:r>
      <w:r>
        <w:rPr>
          <w:color w:val="auto"/>
        </w:rPr>
        <w:fldChar w:fldCharType="end"/>
      </w:r>
      <w:r>
        <w:rPr>
          <w:rFonts w:hint="eastAsia"/>
          <w:color w:val="auto"/>
          <w:lang w:val="en-US" w:eastAsia="zh-CN"/>
        </w:rPr>
        <w:t xml:space="preserve">  本项目与巴音郭楞蒙古自治州环境管控单元关系图</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7301"/>
      </w:tblGrid>
      <w:tr w14:paraId="41778E54">
        <w:tblPrEx>
          <w:tblCellMar>
            <w:top w:w="0" w:type="dxa"/>
            <w:left w:w="108" w:type="dxa"/>
            <w:bottom w:w="0" w:type="dxa"/>
            <w:right w:w="108" w:type="dxa"/>
          </w:tblCellMar>
        </w:tblPrEx>
        <w:trPr>
          <w:trHeight w:val="2789" w:hRule="atLeast"/>
          <w:jc w:val="center"/>
        </w:trPr>
        <w:tc>
          <w:tcPr>
            <w:tcW w:w="1712" w:type="dxa"/>
            <w:vAlign w:val="center"/>
          </w:tcPr>
          <w:p w14:paraId="29390A8E">
            <w:pPr>
              <w:pStyle w:val="5"/>
              <w:bidi w:val="0"/>
              <w:ind w:left="0" w:leftChars="0" w:firstLine="0" w:firstLineChars="0"/>
              <w:jc w:val="center"/>
              <w:rPr>
                <w:rFonts w:hint="eastAsia"/>
                <w:color w:val="auto"/>
              </w:rPr>
            </w:pPr>
            <w:r>
              <w:rPr>
                <w:rFonts w:hint="eastAsia"/>
                <w:color w:val="auto"/>
              </w:rPr>
              <w:t>其他符合性</w:t>
            </w:r>
          </w:p>
          <w:p w14:paraId="03D35841">
            <w:pPr>
              <w:pStyle w:val="5"/>
              <w:bidi w:val="0"/>
              <w:ind w:left="0" w:leftChars="0" w:firstLine="0" w:firstLineChars="0"/>
              <w:jc w:val="center"/>
              <w:rPr>
                <w:rFonts w:hint="eastAsia"/>
                <w:color w:val="auto"/>
                <w:vertAlign w:val="baseline"/>
              </w:rPr>
            </w:pPr>
            <w:r>
              <w:rPr>
                <w:rFonts w:hint="eastAsia"/>
                <w:color w:val="auto"/>
              </w:rPr>
              <w:t>分析</w:t>
            </w:r>
          </w:p>
        </w:tc>
        <w:tc>
          <w:tcPr>
            <w:tcW w:w="7301" w:type="dxa"/>
          </w:tcPr>
          <w:p w14:paraId="3AA7DA9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5</w:t>
            </w:r>
            <w:r>
              <w:rPr>
                <w:color w:val="auto"/>
              </w:rPr>
              <w:fldChar w:fldCharType="end"/>
            </w:r>
            <w:r>
              <w:rPr>
                <w:rFonts w:hint="eastAsia"/>
                <w:color w:val="auto"/>
                <w:lang w:val="en-US" w:eastAsia="zh-CN"/>
              </w:rPr>
              <w:t xml:space="preserve">  本项目与《巴音郭楞蒙古自治州生态环境分区管控方案》符合性</w:t>
            </w:r>
          </w:p>
          <w:tbl>
            <w:tblPr>
              <w:tblStyle w:val="15"/>
              <w:tblW w:w="52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4365"/>
              <w:gridCol w:w="1625"/>
              <w:gridCol w:w="701"/>
            </w:tblGrid>
            <w:tr w14:paraId="2AD576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53" w:type="pct"/>
                  <w:tcBorders>
                    <w:bottom w:val="single" w:color="auto" w:sz="6" w:space="0"/>
                    <w:right w:val="single" w:color="auto" w:sz="6" w:space="0"/>
                  </w:tcBorders>
                  <w:vAlign w:val="center"/>
                </w:tcPr>
                <w:p w14:paraId="7FED682E">
                  <w:pPr>
                    <w:spacing w:line="240" w:lineRule="auto"/>
                    <w:ind w:firstLine="0" w:firstLineChars="0"/>
                    <w:contextualSpacing/>
                    <w:jc w:val="center"/>
                    <w:rPr>
                      <w:rFonts w:cs="Times New Roman"/>
                      <w:b w:val="0"/>
                      <w:bCs w:val="0"/>
                      <w:color w:val="auto"/>
                      <w:sz w:val="21"/>
                    </w:rPr>
                  </w:pPr>
                  <w:r>
                    <w:rPr>
                      <w:rFonts w:hint="eastAsia" w:cs="Times New Roman"/>
                      <w:b w:val="0"/>
                      <w:bCs w:val="0"/>
                      <w:color w:val="auto"/>
                      <w:sz w:val="21"/>
                    </w:rPr>
                    <w:t>名称</w:t>
                  </w:r>
                </w:p>
              </w:tc>
              <w:tc>
                <w:tcPr>
                  <w:tcW w:w="2965" w:type="pct"/>
                  <w:tcBorders>
                    <w:left w:val="single" w:color="auto" w:sz="6" w:space="0"/>
                    <w:bottom w:val="single" w:color="auto" w:sz="6" w:space="0"/>
                    <w:right w:val="single" w:color="auto" w:sz="6" w:space="0"/>
                  </w:tcBorders>
                  <w:vAlign w:val="center"/>
                </w:tcPr>
                <w:p w14:paraId="10BE509D">
                  <w:pPr>
                    <w:spacing w:line="240" w:lineRule="auto"/>
                    <w:ind w:firstLine="0" w:firstLineChars="0"/>
                    <w:contextualSpacing/>
                    <w:jc w:val="center"/>
                    <w:rPr>
                      <w:rFonts w:cs="Times New Roman"/>
                      <w:b w:val="0"/>
                      <w:bCs w:val="0"/>
                      <w:color w:val="auto"/>
                      <w:sz w:val="21"/>
                    </w:rPr>
                  </w:pPr>
                  <w:r>
                    <w:rPr>
                      <w:rFonts w:hint="eastAsia" w:cs="Times New Roman"/>
                      <w:b w:val="0"/>
                      <w:bCs w:val="0"/>
                      <w:color w:val="auto"/>
                      <w:sz w:val="21"/>
                    </w:rPr>
                    <w:t>符合性分析</w:t>
                  </w:r>
                </w:p>
              </w:tc>
              <w:tc>
                <w:tcPr>
                  <w:tcW w:w="1104" w:type="pct"/>
                  <w:tcBorders>
                    <w:left w:val="single" w:color="auto" w:sz="6" w:space="0"/>
                    <w:bottom w:val="single" w:color="auto" w:sz="6" w:space="0"/>
                    <w:right w:val="single" w:color="auto" w:sz="6" w:space="0"/>
                  </w:tcBorders>
                  <w:vAlign w:val="center"/>
                </w:tcPr>
                <w:p w14:paraId="788CA789">
                  <w:pPr>
                    <w:spacing w:line="240" w:lineRule="auto"/>
                    <w:ind w:firstLine="0" w:firstLineChars="0"/>
                    <w:contextualSpacing/>
                    <w:jc w:val="center"/>
                    <w:rPr>
                      <w:rFonts w:cs="Times New Roman"/>
                      <w:b w:val="0"/>
                      <w:bCs w:val="0"/>
                      <w:color w:val="auto"/>
                      <w:sz w:val="21"/>
                    </w:rPr>
                  </w:pPr>
                  <w:r>
                    <w:rPr>
                      <w:rFonts w:hint="eastAsia" w:cs="Times New Roman"/>
                      <w:b w:val="0"/>
                      <w:bCs w:val="0"/>
                      <w:color w:val="auto"/>
                      <w:sz w:val="21"/>
                    </w:rPr>
                    <w:t>本项目</w:t>
                  </w:r>
                </w:p>
              </w:tc>
              <w:tc>
                <w:tcPr>
                  <w:tcW w:w="476" w:type="pct"/>
                  <w:tcBorders>
                    <w:left w:val="single" w:color="auto" w:sz="6" w:space="0"/>
                    <w:bottom w:val="single" w:color="auto" w:sz="6" w:space="0"/>
                  </w:tcBorders>
                  <w:vAlign w:val="center"/>
                </w:tcPr>
                <w:p w14:paraId="1F93ACDF">
                  <w:pPr>
                    <w:spacing w:line="240" w:lineRule="auto"/>
                    <w:ind w:firstLine="0" w:firstLineChars="0"/>
                    <w:contextualSpacing/>
                    <w:jc w:val="center"/>
                    <w:rPr>
                      <w:rFonts w:cs="Times New Roman"/>
                      <w:b w:val="0"/>
                      <w:bCs w:val="0"/>
                      <w:color w:val="auto"/>
                      <w:sz w:val="21"/>
                    </w:rPr>
                  </w:pPr>
                  <w:r>
                    <w:rPr>
                      <w:rFonts w:hint="eastAsia" w:cs="Times New Roman"/>
                      <w:b w:val="0"/>
                      <w:bCs w:val="0"/>
                      <w:color w:val="auto"/>
                      <w:sz w:val="21"/>
                    </w:rPr>
                    <w:t>符合性</w:t>
                  </w:r>
                </w:p>
              </w:tc>
            </w:tr>
            <w:tr w14:paraId="0DCB05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53" w:type="pct"/>
                  <w:tcBorders>
                    <w:top w:val="single" w:color="auto" w:sz="6" w:space="0"/>
                    <w:bottom w:val="single" w:color="auto" w:sz="6" w:space="0"/>
                    <w:right w:val="single" w:color="auto" w:sz="6" w:space="0"/>
                  </w:tcBorders>
                  <w:vAlign w:val="center"/>
                </w:tcPr>
                <w:p w14:paraId="465B2576">
                  <w:pPr>
                    <w:spacing w:line="240" w:lineRule="auto"/>
                    <w:ind w:firstLine="0" w:firstLineChars="0"/>
                    <w:contextualSpacing/>
                    <w:rPr>
                      <w:rFonts w:cs="Times New Roman"/>
                      <w:color w:val="auto"/>
                      <w:sz w:val="21"/>
                    </w:rPr>
                  </w:pPr>
                  <w:r>
                    <w:rPr>
                      <w:rFonts w:hint="eastAsia" w:cs="Times New Roman"/>
                      <w:color w:val="auto"/>
                      <w:sz w:val="21"/>
                    </w:rPr>
                    <w:t>生态保护红线</w:t>
                  </w:r>
                </w:p>
              </w:tc>
              <w:tc>
                <w:tcPr>
                  <w:tcW w:w="2965" w:type="pct"/>
                  <w:tcBorders>
                    <w:top w:val="single" w:color="auto" w:sz="6" w:space="0"/>
                    <w:left w:val="single" w:color="auto" w:sz="6" w:space="0"/>
                    <w:bottom w:val="single" w:color="auto" w:sz="6" w:space="0"/>
                    <w:right w:val="single" w:color="auto" w:sz="6" w:space="0"/>
                  </w:tcBorders>
                  <w:vAlign w:val="center"/>
                </w:tcPr>
                <w:p w14:paraId="42CD9584">
                  <w:pPr>
                    <w:spacing w:line="240" w:lineRule="auto"/>
                    <w:ind w:firstLine="0" w:firstLineChars="0"/>
                    <w:contextualSpacing/>
                    <w:rPr>
                      <w:rFonts w:cs="Times New Roman"/>
                      <w:color w:val="auto"/>
                      <w:sz w:val="21"/>
                    </w:rPr>
                  </w:pPr>
                  <w:r>
                    <w:rPr>
                      <w:rFonts w:hint="eastAsia" w:hAnsi="宋体" w:cs="宋体"/>
                      <w:color w:val="auto"/>
                      <w:sz w:val="21"/>
                    </w:rPr>
                    <w:t>按照“生态功能不降低、面积不减少、性质不改变”的基本要求，对划定的生态保护红线实施严格管控，保障和维护国家生态安全的底线和生命线</w:t>
                  </w:r>
                </w:p>
              </w:tc>
              <w:tc>
                <w:tcPr>
                  <w:tcW w:w="1104" w:type="pct"/>
                  <w:tcBorders>
                    <w:top w:val="single" w:color="auto" w:sz="6" w:space="0"/>
                    <w:left w:val="single" w:color="auto" w:sz="6" w:space="0"/>
                    <w:bottom w:val="single" w:color="auto" w:sz="6" w:space="0"/>
                    <w:right w:val="single" w:color="auto" w:sz="6" w:space="0"/>
                  </w:tcBorders>
                  <w:vAlign w:val="center"/>
                </w:tcPr>
                <w:p w14:paraId="5FB05235">
                  <w:pPr>
                    <w:spacing w:line="240" w:lineRule="auto"/>
                    <w:ind w:firstLine="0" w:firstLineChars="0"/>
                    <w:contextualSpacing/>
                    <w:rPr>
                      <w:rFonts w:cs="Times New Roman"/>
                      <w:color w:val="auto"/>
                      <w:sz w:val="21"/>
                    </w:rPr>
                  </w:pPr>
                  <w:r>
                    <w:rPr>
                      <w:rFonts w:hint="eastAsia" w:hAnsi="宋体" w:cs="宋体"/>
                      <w:color w:val="auto"/>
                      <w:sz w:val="21"/>
                    </w:rPr>
                    <w:t>本项目不在生态保护红线范围内</w:t>
                  </w:r>
                </w:p>
              </w:tc>
              <w:tc>
                <w:tcPr>
                  <w:tcW w:w="476" w:type="pct"/>
                  <w:tcBorders>
                    <w:top w:val="single" w:color="auto" w:sz="6" w:space="0"/>
                    <w:left w:val="single" w:color="auto" w:sz="6" w:space="0"/>
                    <w:bottom w:val="single" w:color="auto" w:sz="6" w:space="0"/>
                  </w:tcBorders>
                  <w:vAlign w:val="center"/>
                </w:tcPr>
                <w:p w14:paraId="0D146549">
                  <w:pPr>
                    <w:spacing w:line="240" w:lineRule="auto"/>
                    <w:ind w:firstLine="0" w:firstLineChars="0"/>
                    <w:contextualSpacing/>
                    <w:rPr>
                      <w:rFonts w:cs="Times New Roman"/>
                      <w:color w:val="auto"/>
                      <w:sz w:val="21"/>
                    </w:rPr>
                  </w:pPr>
                  <w:r>
                    <w:rPr>
                      <w:rFonts w:hint="eastAsia" w:cs="Times New Roman"/>
                      <w:color w:val="auto"/>
                      <w:sz w:val="21"/>
                    </w:rPr>
                    <w:t>符合</w:t>
                  </w:r>
                </w:p>
              </w:tc>
            </w:tr>
            <w:tr w14:paraId="646A48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53" w:type="pct"/>
                  <w:tcBorders>
                    <w:top w:val="single" w:color="auto" w:sz="6" w:space="0"/>
                    <w:bottom w:val="single" w:color="auto" w:sz="6" w:space="0"/>
                    <w:right w:val="single" w:color="auto" w:sz="6" w:space="0"/>
                  </w:tcBorders>
                  <w:vAlign w:val="center"/>
                </w:tcPr>
                <w:p w14:paraId="19816DDB">
                  <w:pPr>
                    <w:spacing w:line="240" w:lineRule="auto"/>
                    <w:ind w:firstLine="0" w:firstLineChars="0"/>
                    <w:contextualSpacing/>
                    <w:rPr>
                      <w:rFonts w:cs="Times New Roman"/>
                      <w:color w:val="auto"/>
                      <w:sz w:val="21"/>
                    </w:rPr>
                  </w:pPr>
                  <w:r>
                    <w:rPr>
                      <w:rFonts w:cs="Times New Roman"/>
                      <w:color w:val="auto"/>
                      <w:sz w:val="21"/>
                    </w:rPr>
                    <w:t>环境质量底线</w:t>
                  </w:r>
                </w:p>
              </w:tc>
              <w:tc>
                <w:tcPr>
                  <w:tcW w:w="2965" w:type="pct"/>
                  <w:tcBorders>
                    <w:top w:val="single" w:color="auto" w:sz="6" w:space="0"/>
                    <w:left w:val="single" w:color="auto" w:sz="6" w:space="0"/>
                    <w:bottom w:val="single" w:color="auto" w:sz="6" w:space="0"/>
                    <w:right w:val="single" w:color="auto" w:sz="6" w:space="0"/>
                  </w:tcBorders>
                  <w:vAlign w:val="center"/>
                </w:tcPr>
                <w:p w14:paraId="530B0C20">
                  <w:pPr>
                    <w:spacing w:line="240" w:lineRule="auto"/>
                    <w:ind w:firstLine="0" w:firstLineChars="0"/>
                    <w:contextualSpacing/>
                    <w:rPr>
                      <w:rFonts w:cs="Times New Roman"/>
                      <w:color w:val="auto"/>
                      <w:sz w:val="21"/>
                    </w:rPr>
                  </w:pPr>
                  <w:r>
                    <w:rPr>
                      <w:rFonts w:cs="Times New Roman"/>
                      <w:color w:val="auto"/>
                      <w:sz w:val="21"/>
                    </w:rPr>
                    <w:t>全州水环境质量持续改善，开都河、塔里木河、迪那河、车尔臣河、黄水沟5条河流13个监测断面稳定达到Ⅱ类水（塔里木河氟化物不参与考核，其他指标均为Ⅱ类），孔雀河4个监测断面达到</w:t>
                  </w:r>
                  <w:r>
                    <w:rPr>
                      <w:rFonts w:hint="eastAsia" w:cs="Times New Roman"/>
                      <w:color w:val="auto"/>
                      <w:sz w:val="21"/>
                      <w:lang w:eastAsia="zh-CN"/>
                    </w:rPr>
                    <w:t>Ⅱ类</w:t>
                  </w:r>
                  <w:r>
                    <w:rPr>
                      <w:rFonts w:cs="Times New Roman"/>
                      <w:color w:val="auto"/>
                      <w:sz w:val="21"/>
                    </w:rPr>
                    <w:t>水，博斯腾湖17个重点点位中1、7、14监测点均值Ⅲ类，其余监测点均值Ⅳ类；受污染地表水体得到有效治理，饮用水安全保障水平持续提升，地下水超采得到严格控制，地下水水质保持稳定。全州环境空气质量有所提升，SO</w:t>
                  </w:r>
                  <w:r>
                    <w:rPr>
                      <w:rFonts w:cs="Times New Roman"/>
                      <w:color w:val="auto"/>
                      <w:sz w:val="21"/>
                      <w:vertAlign w:val="subscript"/>
                    </w:rPr>
                    <w:t>2</w:t>
                  </w:r>
                  <w:r>
                    <w:rPr>
                      <w:rFonts w:cs="Times New Roman"/>
                      <w:color w:val="auto"/>
                      <w:sz w:val="21"/>
                    </w:rPr>
                    <w:t>、NO</w:t>
                  </w:r>
                  <w:r>
                    <w:rPr>
                      <w:rFonts w:cs="Times New Roman"/>
                      <w:color w:val="auto"/>
                      <w:sz w:val="21"/>
                      <w:vertAlign w:val="subscript"/>
                    </w:rPr>
                    <w:t>2</w:t>
                  </w:r>
                  <w:r>
                    <w:rPr>
                      <w:rFonts w:cs="Times New Roman"/>
                      <w:color w:val="auto"/>
                      <w:sz w:val="21"/>
                    </w:rPr>
                    <w:t>浓度长期维持在较低水平，达到环境空气质量一级标准；逐步减少颗粒物排放，PM</w:t>
                  </w:r>
                  <w:r>
                    <w:rPr>
                      <w:rFonts w:cs="Times New Roman"/>
                      <w:color w:val="auto"/>
                      <w:sz w:val="21"/>
                      <w:vertAlign w:val="subscript"/>
                    </w:rPr>
                    <w:t>10</w:t>
                  </w:r>
                  <w:r>
                    <w:rPr>
                      <w:rFonts w:cs="Times New Roman"/>
                      <w:color w:val="auto"/>
                      <w:sz w:val="21"/>
                    </w:rPr>
                    <w:t>、PM</w:t>
                  </w:r>
                  <w:r>
                    <w:rPr>
                      <w:rFonts w:cs="Times New Roman"/>
                      <w:color w:val="auto"/>
                      <w:sz w:val="21"/>
                      <w:vertAlign w:val="subscript"/>
                    </w:rPr>
                    <w:t>2.5</w:t>
                  </w:r>
                  <w:r>
                    <w:rPr>
                      <w:rFonts w:cs="Times New Roman"/>
                      <w:color w:val="auto"/>
                      <w:sz w:val="21"/>
                    </w:rPr>
                    <w:t>平均浓度分别低于81μg/m</w:t>
                  </w:r>
                  <w:r>
                    <w:rPr>
                      <w:rFonts w:cs="Times New Roman"/>
                      <w:color w:val="auto"/>
                      <w:sz w:val="21"/>
                      <w:vertAlign w:val="superscript"/>
                    </w:rPr>
                    <w:t>3</w:t>
                  </w:r>
                  <w:r>
                    <w:rPr>
                      <w:rFonts w:cs="Times New Roman"/>
                      <w:color w:val="auto"/>
                      <w:sz w:val="21"/>
                    </w:rPr>
                    <w:t>、31.5μg/m</w:t>
                  </w:r>
                  <w:r>
                    <w:rPr>
                      <w:rFonts w:cs="Times New Roman"/>
                      <w:color w:val="auto"/>
                      <w:sz w:val="21"/>
                      <w:vertAlign w:val="superscript"/>
                    </w:rPr>
                    <w:t>3</w:t>
                  </w:r>
                  <w:r>
                    <w:rPr>
                      <w:rFonts w:hint="eastAsia" w:cs="Times New Roman"/>
                      <w:color w:val="auto"/>
                      <w:sz w:val="21"/>
                      <w:vertAlign w:val="superscript"/>
                      <w:lang w:eastAsia="zh-CN"/>
                    </w:rPr>
                    <w:t>（</w:t>
                  </w:r>
                  <w:r>
                    <w:rPr>
                      <w:rFonts w:cs="Times New Roman"/>
                      <w:color w:val="auto"/>
                      <w:sz w:val="21"/>
                    </w:rPr>
                    <w:t>库尔勒市，扣除沙尘天气影响</w:t>
                  </w:r>
                  <w:r>
                    <w:rPr>
                      <w:rFonts w:hint="eastAsia" w:cs="Times New Roman"/>
                      <w:color w:val="auto"/>
                      <w:sz w:val="21"/>
                      <w:lang w:eastAsia="zh-CN"/>
                    </w:rPr>
                    <w:t>）</w:t>
                  </w:r>
                  <w:r>
                    <w:rPr>
                      <w:rFonts w:cs="Times New Roman"/>
                      <w:color w:val="auto"/>
                      <w:sz w:val="21"/>
                    </w:rPr>
                    <w:t>，空气优良天数比例大于75.2%</w:t>
                  </w:r>
                  <w:r>
                    <w:rPr>
                      <w:rFonts w:hint="eastAsia" w:cs="Times New Roman"/>
                      <w:color w:val="auto"/>
                      <w:sz w:val="21"/>
                      <w:lang w:eastAsia="zh-CN"/>
                    </w:rPr>
                    <w:t>（</w:t>
                  </w:r>
                  <w:r>
                    <w:rPr>
                      <w:rFonts w:cs="Times New Roman"/>
                      <w:color w:val="auto"/>
                      <w:sz w:val="21"/>
                    </w:rPr>
                    <w:t>库尔勒市</w:t>
                  </w:r>
                  <w:r>
                    <w:rPr>
                      <w:rFonts w:hint="eastAsia" w:cs="Times New Roman"/>
                      <w:color w:val="auto"/>
                      <w:sz w:val="21"/>
                      <w:lang w:eastAsia="zh-CN"/>
                    </w:rPr>
                    <w:t>）</w:t>
                  </w:r>
                  <w:r>
                    <w:rPr>
                      <w:rFonts w:cs="Times New Roman"/>
                      <w:color w:val="auto"/>
                      <w:sz w:val="21"/>
                    </w:rPr>
                    <w:t>，重污染天数持续减少，沙尘影响严重地区做好防风固沙、生态环境保护修复等工作；全州土壤环境质量保持稳定，受污染耕地安全利用率达到98%以上，污染地块安全利用率不低于93%，土壤环境风险得到进一步管控</w:t>
                  </w:r>
                </w:p>
              </w:tc>
              <w:tc>
                <w:tcPr>
                  <w:tcW w:w="1104" w:type="pct"/>
                  <w:vMerge w:val="restart"/>
                  <w:tcBorders>
                    <w:top w:val="single" w:color="auto" w:sz="6" w:space="0"/>
                    <w:left w:val="single" w:color="auto" w:sz="6" w:space="0"/>
                    <w:right w:val="single" w:color="auto" w:sz="6" w:space="0"/>
                  </w:tcBorders>
                  <w:vAlign w:val="center"/>
                </w:tcPr>
                <w:p w14:paraId="2E155FD1">
                  <w:pPr>
                    <w:spacing w:line="240" w:lineRule="auto"/>
                    <w:ind w:firstLine="0" w:firstLineChars="0"/>
                    <w:contextualSpacing/>
                    <w:jc w:val="center"/>
                    <w:rPr>
                      <w:rFonts w:hint="eastAsia" w:cs="Times New Roman"/>
                      <w:color w:val="auto"/>
                      <w:sz w:val="21"/>
                      <w:szCs w:val="21"/>
                      <w:lang w:val="en-US" w:eastAsia="zh-CN"/>
                    </w:rPr>
                  </w:pPr>
                  <w:r>
                    <w:rPr>
                      <w:rFonts w:cs="Times New Roman"/>
                      <w:color w:val="auto"/>
                      <w:sz w:val="21"/>
                      <w:szCs w:val="21"/>
                    </w:rPr>
                    <w:t>本项目</w:t>
                  </w:r>
                  <w:r>
                    <w:rPr>
                      <w:rFonts w:hint="eastAsia" w:cs="Times New Roman"/>
                      <w:color w:val="auto"/>
                      <w:sz w:val="21"/>
                      <w:szCs w:val="21"/>
                      <w:lang w:val="en-US" w:eastAsia="zh-CN"/>
                    </w:rPr>
                    <w:t>不涉及生产废水排放</w:t>
                  </w:r>
                  <w:r>
                    <w:rPr>
                      <w:rFonts w:hint="eastAsia" w:cs="Times New Roman"/>
                      <w:color w:val="auto"/>
                      <w:sz w:val="21"/>
                      <w:szCs w:val="21"/>
                    </w:rPr>
                    <w:t>；</w:t>
                  </w:r>
                  <w:r>
                    <w:rPr>
                      <w:rFonts w:hint="eastAsia" w:cs="Times New Roman"/>
                      <w:color w:val="auto"/>
                      <w:sz w:val="21"/>
                      <w:szCs w:val="21"/>
                      <w:lang w:val="en-US" w:eastAsia="zh-CN"/>
                    </w:rPr>
                    <w:t>生活废水依托园区污水处理厂处理；</w:t>
                  </w:r>
                </w:p>
                <w:p w14:paraId="0A71E3E2">
                  <w:pPr>
                    <w:spacing w:line="240" w:lineRule="auto"/>
                    <w:ind w:firstLine="0" w:firstLineChars="0"/>
                    <w:contextualSpacing/>
                    <w:jc w:val="center"/>
                    <w:rPr>
                      <w:rFonts w:cs="Times New Roman"/>
                      <w:color w:val="auto"/>
                      <w:sz w:val="21"/>
                    </w:rPr>
                  </w:pPr>
                  <w:r>
                    <w:rPr>
                      <w:rFonts w:cs="Times New Roman"/>
                      <w:color w:val="auto"/>
                      <w:sz w:val="21"/>
                    </w:rPr>
                    <w:t>废气严格控制各类污染物达标排放</w:t>
                  </w:r>
                </w:p>
              </w:tc>
              <w:tc>
                <w:tcPr>
                  <w:tcW w:w="476" w:type="pct"/>
                  <w:tcBorders>
                    <w:top w:val="single" w:color="auto" w:sz="6" w:space="0"/>
                    <w:left w:val="single" w:color="auto" w:sz="6" w:space="0"/>
                    <w:bottom w:val="single" w:color="auto" w:sz="6" w:space="0"/>
                  </w:tcBorders>
                  <w:vAlign w:val="center"/>
                </w:tcPr>
                <w:p w14:paraId="675AB3DD">
                  <w:pPr>
                    <w:spacing w:line="240" w:lineRule="auto"/>
                    <w:ind w:firstLine="0" w:firstLineChars="0"/>
                    <w:contextualSpacing/>
                    <w:jc w:val="center"/>
                    <w:rPr>
                      <w:rFonts w:cs="Times New Roman"/>
                      <w:color w:val="auto"/>
                      <w:sz w:val="21"/>
                    </w:rPr>
                  </w:pPr>
                  <w:r>
                    <w:rPr>
                      <w:rFonts w:hint="eastAsia" w:cs="Times New Roman"/>
                      <w:color w:val="auto"/>
                      <w:sz w:val="21"/>
                    </w:rPr>
                    <w:t>符合</w:t>
                  </w:r>
                </w:p>
              </w:tc>
            </w:tr>
            <w:tr w14:paraId="6B5E3F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5" w:hRule="atLeast"/>
                <w:jc w:val="center"/>
              </w:trPr>
              <w:tc>
                <w:tcPr>
                  <w:tcW w:w="453" w:type="pct"/>
                  <w:tcBorders>
                    <w:top w:val="single" w:color="auto" w:sz="6" w:space="0"/>
                    <w:right w:val="single" w:color="auto" w:sz="6" w:space="0"/>
                  </w:tcBorders>
                  <w:vAlign w:val="center"/>
                </w:tcPr>
                <w:p w14:paraId="37D1CEDC">
                  <w:pPr>
                    <w:spacing w:line="240" w:lineRule="auto"/>
                    <w:ind w:firstLine="0" w:firstLineChars="0"/>
                    <w:contextualSpacing/>
                    <w:rPr>
                      <w:rFonts w:cs="Times New Roman"/>
                      <w:color w:val="auto"/>
                      <w:sz w:val="21"/>
                    </w:rPr>
                  </w:pPr>
                  <w:r>
                    <w:rPr>
                      <w:rFonts w:hint="eastAsia" w:cs="Times New Roman"/>
                      <w:color w:val="auto"/>
                      <w:sz w:val="21"/>
                    </w:rPr>
                    <w:t>资源利用上线</w:t>
                  </w:r>
                </w:p>
              </w:tc>
              <w:tc>
                <w:tcPr>
                  <w:tcW w:w="2965" w:type="pct"/>
                  <w:tcBorders>
                    <w:top w:val="single" w:color="auto" w:sz="6" w:space="0"/>
                    <w:left w:val="single" w:color="auto" w:sz="6" w:space="0"/>
                    <w:right w:val="single" w:color="auto" w:sz="6" w:space="0"/>
                  </w:tcBorders>
                  <w:vAlign w:val="center"/>
                </w:tcPr>
                <w:p w14:paraId="27853376">
                  <w:pPr>
                    <w:spacing w:line="240" w:lineRule="auto"/>
                    <w:ind w:firstLine="0" w:firstLineChars="0"/>
                    <w:contextualSpacing/>
                    <w:rPr>
                      <w:rFonts w:cs="Times New Roman"/>
                      <w:color w:val="auto"/>
                      <w:sz w:val="21"/>
                    </w:rPr>
                  </w:pPr>
                  <w:r>
                    <w:rPr>
                      <w:rFonts w:hint="eastAsia" w:hAnsi="宋体" w:cs="宋体"/>
                      <w:color w:val="auto"/>
                      <w:sz w:val="21"/>
                    </w:rPr>
                    <w:t>强化节约集约利用，持续提升资源能源利用效率，水资源、土地资源、能源消耗等达到国家、自治区下达的总量和强度控制目标，</w:t>
                  </w:r>
                  <w:r>
                    <w:rPr>
                      <w:rFonts w:hint="eastAsia" w:cs="Times New Roman"/>
                      <w:color w:val="auto"/>
                      <w:sz w:val="21"/>
                    </w:rPr>
                    <w:t>加快低碳发展，提升碳汇能力，做好</w:t>
                  </w:r>
                  <w:r>
                    <w:rPr>
                      <w:rFonts w:hint="eastAsia" w:cs="Times New Roman"/>
                      <w:color w:val="auto"/>
                      <w:sz w:val="21"/>
                      <w:lang w:eastAsia="zh-CN"/>
                    </w:rPr>
                    <w:t>碳达峰碳中和</w:t>
                  </w:r>
                  <w:r>
                    <w:rPr>
                      <w:rFonts w:hint="eastAsia" w:cs="Times New Roman"/>
                      <w:color w:val="auto"/>
                      <w:sz w:val="21"/>
                    </w:rPr>
                    <w:t>工作</w:t>
                  </w:r>
                </w:p>
              </w:tc>
              <w:tc>
                <w:tcPr>
                  <w:tcW w:w="1104" w:type="pct"/>
                  <w:vMerge w:val="continue"/>
                  <w:tcBorders>
                    <w:left w:val="single" w:color="auto" w:sz="6" w:space="0"/>
                    <w:right w:val="single" w:color="auto" w:sz="6" w:space="0"/>
                  </w:tcBorders>
                  <w:vAlign w:val="center"/>
                </w:tcPr>
                <w:p w14:paraId="5D315D98">
                  <w:pPr>
                    <w:spacing w:line="240" w:lineRule="auto"/>
                    <w:ind w:firstLine="0" w:firstLineChars="0"/>
                    <w:contextualSpacing/>
                    <w:rPr>
                      <w:rFonts w:cs="Times New Roman"/>
                      <w:color w:val="auto"/>
                      <w:sz w:val="21"/>
                    </w:rPr>
                  </w:pPr>
                </w:p>
              </w:tc>
              <w:tc>
                <w:tcPr>
                  <w:tcW w:w="476" w:type="pct"/>
                  <w:tcBorders>
                    <w:top w:val="single" w:color="auto" w:sz="6" w:space="0"/>
                    <w:left w:val="single" w:color="auto" w:sz="6" w:space="0"/>
                  </w:tcBorders>
                  <w:vAlign w:val="center"/>
                </w:tcPr>
                <w:p w14:paraId="1F0EC2B4">
                  <w:pPr>
                    <w:spacing w:line="240" w:lineRule="auto"/>
                    <w:ind w:firstLine="0" w:firstLineChars="0"/>
                    <w:contextualSpacing/>
                    <w:rPr>
                      <w:rFonts w:cs="Times New Roman"/>
                      <w:color w:val="auto"/>
                      <w:sz w:val="21"/>
                    </w:rPr>
                  </w:pPr>
                  <w:r>
                    <w:rPr>
                      <w:rFonts w:hint="eastAsia" w:cs="Times New Roman"/>
                      <w:color w:val="auto"/>
                      <w:sz w:val="21"/>
                    </w:rPr>
                    <w:t>符合</w:t>
                  </w:r>
                </w:p>
              </w:tc>
            </w:tr>
          </w:tbl>
          <w:p w14:paraId="4593BCED">
            <w:pPr>
              <w:pStyle w:val="20"/>
              <w:bidi w:val="0"/>
              <w:jc w:val="both"/>
              <w:rPr>
                <w:rFonts w:hint="eastAsia"/>
                <w:color w:val="auto"/>
              </w:rPr>
            </w:pPr>
          </w:p>
          <w:p w14:paraId="6D54BBAA">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6</w:t>
            </w:r>
            <w:r>
              <w:rPr>
                <w:color w:val="auto"/>
              </w:rPr>
              <w:fldChar w:fldCharType="end"/>
            </w:r>
            <w:r>
              <w:rPr>
                <w:rFonts w:hint="eastAsia"/>
                <w:color w:val="auto"/>
                <w:lang w:val="en-US" w:eastAsia="zh-CN"/>
              </w:rPr>
              <w:t xml:space="preserve">  本项目与巴州总体管控要求符合性分析</w:t>
            </w:r>
          </w:p>
          <w:tbl>
            <w:tblPr>
              <w:tblStyle w:val="15"/>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8"/>
              <w:gridCol w:w="395"/>
              <w:gridCol w:w="4210"/>
              <w:gridCol w:w="1553"/>
              <w:gridCol w:w="622"/>
            </w:tblGrid>
            <w:tr w14:paraId="4626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Align w:val="center"/>
                </w:tcPr>
                <w:p w14:paraId="24833978">
                  <w:pPr>
                    <w:pStyle w:val="19"/>
                    <w:bidi w:val="0"/>
                    <w:rPr>
                      <w:rFonts w:hint="eastAsia"/>
                      <w:b/>
                      <w:bCs/>
                      <w:color w:val="auto"/>
                      <w:lang w:val="en-US" w:eastAsia="zh-CN"/>
                    </w:rPr>
                  </w:pPr>
                  <w:r>
                    <w:rPr>
                      <w:rFonts w:hint="eastAsia"/>
                      <w:color w:val="auto"/>
                      <w:lang w:val="en-US" w:eastAsia="zh-CN"/>
                    </w:rPr>
                    <w:t>名称</w:t>
                  </w:r>
                </w:p>
              </w:tc>
              <w:tc>
                <w:tcPr>
                  <w:tcW w:w="409" w:type="dxa"/>
                  <w:vAlign w:val="center"/>
                </w:tcPr>
                <w:p w14:paraId="72E50CFA">
                  <w:pPr>
                    <w:pStyle w:val="19"/>
                    <w:bidi w:val="0"/>
                    <w:rPr>
                      <w:b/>
                      <w:bCs/>
                      <w:color w:val="auto"/>
                    </w:rPr>
                  </w:pPr>
                  <w:r>
                    <w:rPr>
                      <w:color w:val="auto"/>
                    </w:rPr>
                    <w:t>管控类别</w:t>
                  </w:r>
                </w:p>
              </w:tc>
              <w:tc>
                <w:tcPr>
                  <w:tcW w:w="4382" w:type="dxa"/>
                  <w:vAlign w:val="center"/>
                </w:tcPr>
                <w:p w14:paraId="4172F7CE">
                  <w:pPr>
                    <w:pStyle w:val="19"/>
                    <w:bidi w:val="0"/>
                    <w:rPr>
                      <w:b/>
                      <w:bCs/>
                      <w:color w:val="auto"/>
                    </w:rPr>
                  </w:pPr>
                  <w:r>
                    <w:rPr>
                      <w:color w:val="auto"/>
                    </w:rPr>
                    <w:t>管控要求</w:t>
                  </w:r>
                </w:p>
              </w:tc>
              <w:tc>
                <w:tcPr>
                  <w:tcW w:w="1055" w:type="pct"/>
                  <w:vAlign w:val="center"/>
                </w:tcPr>
                <w:p w14:paraId="1ECEF952">
                  <w:pPr>
                    <w:pStyle w:val="19"/>
                    <w:bidi w:val="0"/>
                    <w:rPr>
                      <w:b/>
                      <w:bCs/>
                      <w:color w:val="auto"/>
                    </w:rPr>
                  </w:pPr>
                  <w:r>
                    <w:rPr>
                      <w:color w:val="auto"/>
                    </w:rPr>
                    <w:t>本项目</w:t>
                  </w:r>
                </w:p>
              </w:tc>
              <w:tc>
                <w:tcPr>
                  <w:tcW w:w="423" w:type="pct"/>
                  <w:vAlign w:val="center"/>
                </w:tcPr>
                <w:p w14:paraId="4C8C63FD">
                  <w:pPr>
                    <w:pStyle w:val="19"/>
                    <w:bidi w:val="0"/>
                    <w:rPr>
                      <w:b/>
                      <w:bCs/>
                      <w:color w:val="auto"/>
                    </w:rPr>
                  </w:pPr>
                  <w:r>
                    <w:rPr>
                      <w:color w:val="auto"/>
                    </w:rPr>
                    <w:t>符合性</w:t>
                  </w:r>
                </w:p>
              </w:tc>
            </w:tr>
            <w:tr w14:paraId="4D63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restart"/>
                  <w:vAlign w:val="center"/>
                </w:tcPr>
                <w:p w14:paraId="73B465D3">
                  <w:pPr>
                    <w:pStyle w:val="19"/>
                    <w:bidi w:val="0"/>
                    <w:rPr>
                      <w:color w:val="auto"/>
                    </w:rPr>
                  </w:pPr>
                  <w:r>
                    <w:rPr>
                      <w:color w:val="auto"/>
                    </w:rPr>
                    <w:t>巴音郭楞蒙古自治州总体管控要求</w:t>
                  </w:r>
                </w:p>
              </w:tc>
              <w:tc>
                <w:tcPr>
                  <w:tcW w:w="409" w:type="dxa"/>
                  <w:vMerge w:val="restart"/>
                  <w:vAlign w:val="center"/>
                </w:tcPr>
                <w:p w14:paraId="71C733BB">
                  <w:pPr>
                    <w:pStyle w:val="19"/>
                    <w:bidi w:val="0"/>
                    <w:rPr>
                      <w:color w:val="auto"/>
                    </w:rPr>
                  </w:pPr>
                  <w:r>
                    <w:rPr>
                      <w:color w:val="auto"/>
                    </w:rPr>
                    <w:t>污染物排放管控</w:t>
                  </w:r>
                </w:p>
              </w:tc>
              <w:tc>
                <w:tcPr>
                  <w:tcW w:w="4382" w:type="dxa"/>
                  <w:vAlign w:val="center"/>
                </w:tcPr>
                <w:p w14:paraId="21C1CE05">
                  <w:pPr>
                    <w:pStyle w:val="19"/>
                    <w:bidi w:val="0"/>
                    <w:jc w:val="both"/>
                    <w:rPr>
                      <w:color w:val="auto"/>
                    </w:rPr>
                  </w:pPr>
                  <w:r>
                    <w:rPr>
                      <w:color w:val="auto"/>
                    </w:rPr>
                    <w:t>1.4禁止在自治州行政区域内引进能（水）耗不符合相关国家标准中准入值要求，且污染物排放和环境风险防控不符合国家（地方）标准及有关产业准入条件的高污染（排放）、高能（水）耗、高环境风险的工业项目。</w:t>
                  </w:r>
                </w:p>
              </w:tc>
              <w:tc>
                <w:tcPr>
                  <w:tcW w:w="1055" w:type="pct"/>
                  <w:vAlign w:val="center"/>
                </w:tcPr>
                <w:p w14:paraId="3F6468DF">
                  <w:pPr>
                    <w:pStyle w:val="19"/>
                    <w:bidi w:val="0"/>
                    <w:rPr>
                      <w:color w:val="auto"/>
                    </w:rPr>
                  </w:pPr>
                  <w:r>
                    <w:rPr>
                      <w:color w:val="auto"/>
                    </w:rPr>
                    <w:t>本项目不属于“三高”行业</w:t>
                  </w:r>
                </w:p>
              </w:tc>
              <w:tc>
                <w:tcPr>
                  <w:tcW w:w="423" w:type="pct"/>
                  <w:vAlign w:val="center"/>
                </w:tcPr>
                <w:p w14:paraId="24F623A4">
                  <w:pPr>
                    <w:pStyle w:val="19"/>
                    <w:bidi w:val="0"/>
                    <w:rPr>
                      <w:color w:val="auto"/>
                    </w:rPr>
                  </w:pPr>
                  <w:r>
                    <w:rPr>
                      <w:color w:val="auto"/>
                    </w:rPr>
                    <w:t>符合</w:t>
                  </w:r>
                </w:p>
              </w:tc>
            </w:tr>
            <w:tr w14:paraId="2D41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13D362F0">
                  <w:pPr>
                    <w:pStyle w:val="21"/>
                    <w:bidi w:val="0"/>
                    <w:rPr>
                      <w:color w:val="auto"/>
                    </w:rPr>
                  </w:pPr>
                </w:p>
              </w:tc>
              <w:tc>
                <w:tcPr>
                  <w:tcW w:w="409" w:type="dxa"/>
                  <w:vMerge w:val="continue"/>
                  <w:vAlign w:val="center"/>
                </w:tcPr>
                <w:p w14:paraId="4C24366D">
                  <w:pPr>
                    <w:pStyle w:val="21"/>
                    <w:bidi w:val="0"/>
                    <w:rPr>
                      <w:color w:val="auto"/>
                    </w:rPr>
                  </w:pPr>
                </w:p>
              </w:tc>
              <w:tc>
                <w:tcPr>
                  <w:tcW w:w="4382" w:type="dxa"/>
                  <w:vAlign w:val="center"/>
                </w:tcPr>
                <w:p w14:paraId="5D127151">
                  <w:pPr>
                    <w:pStyle w:val="19"/>
                    <w:bidi w:val="0"/>
                    <w:jc w:val="both"/>
                    <w:rPr>
                      <w:color w:val="auto"/>
                    </w:rPr>
                  </w:pPr>
                  <w:r>
                    <w:rPr>
                      <w:color w:val="auto"/>
                    </w:rPr>
                    <w:t>1.5禁止新建、改建、扩建严重污染大气环境的项目。工业和信息化主管部门应当会同发展和改革、生态环境等部门，根据巴州生态环境局提供的大气监测数据制定工业产业转型升级行动计划和严重污染大气项目退出计划，报本级人民政府批准后向社会公布。对城市建成区大气环境质量造成明显影响的项目，自治州、各县（市）人民政府规定</w:t>
                  </w:r>
                  <w:r>
                    <w:rPr>
                      <w:rFonts w:hint="eastAsia"/>
                      <w:color w:val="auto"/>
                      <w:lang w:eastAsia="zh-CN"/>
                    </w:rPr>
                    <w:t>的期限内</w:t>
                  </w:r>
                  <w:r>
                    <w:rPr>
                      <w:color w:val="auto"/>
                    </w:rPr>
                    <w:t>未达到治理要求的项目，应当停产、限期搬迁或者关闭。</w:t>
                  </w:r>
                </w:p>
              </w:tc>
              <w:tc>
                <w:tcPr>
                  <w:tcW w:w="1055" w:type="pct"/>
                  <w:vAlign w:val="center"/>
                </w:tcPr>
                <w:p w14:paraId="770F3423">
                  <w:pPr>
                    <w:pStyle w:val="19"/>
                    <w:bidi w:val="0"/>
                    <w:rPr>
                      <w:color w:val="auto"/>
                    </w:rPr>
                  </w:pPr>
                  <w:r>
                    <w:rPr>
                      <w:rFonts w:hint="eastAsia"/>
                      <w:color w:val="auto"/>
                    </w:rPr>
                    <w:t>本项目行业类别为C3034隔热和隔音材料制造</w:t>
                  </w:r>
                  <w:r>
                    <w:rPr>
                      <w:rFonts w:hint="eastAsia"/>
                      <w:color w:val="auto"/>
                      <w:lang w:eastAsia="zh-CN"/>
                    </w:rPr>
                    <w:t>，</w:t>
                  </w:r>
                  <w:r>
                    <w:rPr>
                      <w:color w:val="auto"/>
                    </w:rPr>
                    <w:t>不属于重污染行业</w:t>
                  </w:r>
                </w:p>
              </w:tc>
              <w:tc>
                <w:tcPr>
                  <w:tcW w:w="423" w:type="pct"/>
                  <w:vAlign w:val="center"/>
                </w:tcPr>
                <w:p w14:paraId="4B42A7E4">
                  <w:pPr>
                    <w:pStyle w:val="19"/>
                    <w:bidi w:val="0"/>
                    <w:rPr>
                      <w:color w:val="auto"/>
                    </w:rPr>
                  </w:pPr>
                  <w:r>
                    <w:rPr>
                      <w:color w:val="auto"/>
                    </w:rPr>
                    <w:t>符合</w:t>
                  </w:r>
                </w:p>
              </w:tc>
            </w:tr>
            <w:tr w14:paraId="621C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64C6E67A">
                  <w:pPr>
                    <w:pStyle w:val="21"/>
                    <w:bidi w:val="0"/>
                    <w:rPr>
                      <w:color w:val="auto"/>
                    </w:rPr>
                  </w:pPr>
                </w:p>
              </w:tc>
              <w:tc>
                <w:tcPr>
                  <w:tcW w:w="409" w:type="dxa"/>
                  <w:vMerge w:val="continue"/>
                  <w:vAlign w:val="center"/>
                </w:tcPr>
                <w:p w14:paraId="1F13781E">
                  <w:pPr>
                    <w:pStyle w:val="21"/>
                    <w:bidi w:val="0"/>
                    <w:rPr>
                      <w:color w:val="auto"/>
                    </w:rPr>
                  </w:pPr>
                </w:p>
              </w:tc>
              <w:tc>
                <w:tcPr>
                  <w:tcW w:w="4382" w:type="dxa"/>
                  <w:vAlign w:val="center"/>
                </w:tcPr>
                <w:p w14:paraId="7B405DB2">
                  <w:pPr>
                    <w:pStyle w:val="19"/>
                    <w:bidi w:val="0"/>
                    <w:jc w:val="both"/>
                    <w:rPr>
                      <w:color w:val="auto"/>
                    </w:rPr>
                  </w:pPr>
                  <w:r>
                    <w:rPr>
                      <w:color w:val="auto"/>
                    </w:rPr>
                    <w:t>1.6在饮用水水源保护区内，禁止设置排污口。</w:t>
                  </w:r>
                </w:p>
              </w:tc>
              <w:tc>
                <w:tcPr>
                  <w:tcW w:w="1055" w:type="pct"/>
                  <w:vAlign w:val="center"/>
                </w:tcPr>
                <w:p w14:paraId="71F0F2FF">
                  <w:pPr>
                    <w:pStyle w:val="19"/>
                    <w:bidi w:val="0"/>
                    <w:rPr>
                      <w:color w:val="auto"/>
                    </w:rPr>
                  </w:pPr>
                  <w:r>
                    <w:rPr>
                      <w:color w:val="auto"/>
                    </w:rPr>
                    <w:t>生活污水</w:t>
                  </w:r>
                  <w:r>
                    <w:rPr>
                      <w:rFonts w:hint="eastAsia"/>
                      <w:color w:val="auto"/>
                    </w:rPr>
                    <w:t>进入</w:t>
                  </w:r>
                  <w:r>
                    <w:rPr>
                      <w:rFonts w:hint="eastAsia"/>
                      <w:color w:val="auto"/>
                      <w:lang w:val="en-US" w:eastAsia="zh-CN"/>
                    </w:rPr>
                    <w:t>园区</w:t>
                  </w:r>
                  <w:r>
                    <w:rPr>
                      <w:rFonts w:hint="eastAsia"/>
                      <w:color w:val="auto"/>
                    </w:rPr>
                    <w:t>污水处理站处理</w:t>
                  </w:r>
                </w:p>
              </w:tc>
              <w:tc>
                <w:tcPr>
                  <w:tcW w:w="423" w:type="pct"/>
                  <w:vAlign w:val="center"/>
                </w:tcPr>
                <w:p w14:paraId="79F089F6">
                  <w:pPr>
                    <w:pStyle w:val="19"/>
                    <w:bidi w:val="0"/>
                    <w:rPr>
                      <w:color w:val="auto"/>
                    </w:rPr>
                  </w:pPr>
                  <w:r>
                    <w:rPr>
                      <w:color w:val="auto"/>
                    </w:rPr>
                    <w:t>符合</w:t>
                  </w:r>
                </w:p>
              </w:tc>
            </w:tr>
            <w:tr w14:paraId="4FC3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2F4CA2C9">
                  <w:pPr>
                    <w:pStyle w:val="21"/>
                    <w:bidi w:val="0"/>
                    <w:rPr>
                      <w:color w:val="auto"/>
                    </w:rPr>
                  </w:pPr>
                </w:p>
              </w:tc>
              <w:tc>
                <w:tcPr>
                  <w:tcW w:w="409" w:type="dxa"/>
                  <w:vMerge w:val="continue"/>
                  <w:vAlign w:val="center"/>
                </w:tcPr>
                <w:p w14:paraId="636D96C0">
                  <w:pPr>
                    <w:pStyle w:val="21"/>
                    <w:bidi w:val="0"/>
                    <w:rPr>
                      <w:color w:val="auto"/>
                    </w:rPr>
                  </w:pPr>
                </w:p>
              </w:tc>
              <w:tc>
                <w:tcPr>
                  <w:tcW w:w="4382" w:type="dxa"/>
                  <w:vAlign w:val="center"/>
                </w:tcPr>
                <w:p w14:paraId="7453039F">
                  <w:pPr>
                    <w:pStyle w:val="19"/>
                    <w:bidi w:val="0"/>
                    <w:jc w:val="both"/>
                    <w:rPr>
                      <w:color w:val="auto"/>
                    </w:rPr>
                  </w:pPr>
                  <w:r>
                    <w:rPr>
                      <w:color w:val="auto"/>
                    </w:rPr>
                    <w:t>1.7开都</w:t>
                  </w:r>
                  <w:r>
                    <w:rPr>
                      <w:rFonts w:hint="eastAsia"/>
                      <w:color w:val="auto"/>
                      <w:lang w:eastAsia="zh-CN"/>
                    </w:rPr>
                    <w:t>－</w:t>
                  </w:r>
                  <w:r>
                    <w:rPr>
                      <w:color w:val="auto"/>
                    </w:rPr>
                    <w:t>孔雀河流域、塔里木河流域沿岸，要严格控制石油加工、化学原料和化学制品制造、医药制造、化学纤维制造、有色金属冶炼、纺织印染等项目环境风险，合理布局生产装置及危险化学品仓储等设施。</w:t>
                  </w:r>
                </w:p>
              </w:tc>
              <w:tc>
                <w:tcPr>
                  <w:tcW w:w="1055" w:type="pct"/>
                  <w:vMerge w:val="restart"/>
                  <w:vAlign w:val="center"/>
                </w:tcPr>
                <w:p w14:paraId="35415EE6">
                  <w:pPr>
                    <w:pStyle w:val="19"/>
                    <w:bidi w:val="0"/>
                    <w:rPr>
                      <w:color w:val="auto"/>
                    </w:rPr>
                  </w:pPr>
                  <w:r>
                    <w:rPr>
                      <w:color w:val="auto"/>
                    </w:rPr>
                    <w:t>本项目位</w:t>
                  </w:r>
                  <w:r>
                    <w:rPr>
                      <w:rFonts w:hint="eastAsia"/>
                      <w:color w:val="auto"/>
                    </w:rPr>
                    <w:t>于</w:t>
                  </w:r>
                  <w:r>
                    <w:rPr>
                      <w:color w:val="auto"/>
                    </w:rPr>
                    <w:t>库尔勒经济技术开发区，不在开都</w:t>
                  </w:r>
                  <w:r>
                    <w:rPr>
                      <w:rFonts w:hint="eastAsia"/>
                      <w:color w:val="auto"/>
                      <w:lang w:eastAsia="zh-CN"/>
                    </w:rPr>
                    <w:t>－</w:t>
                  </w:r>
                  <w:r>
                    <w:rPr>
                      <w:color w:val="auto"/>
                    </w:rPr>
                    <w:t>孔雀河流域、塔里木河流域沿岸范围内</w:t>
                  </w:r>
                </w:p>
              </w:tc>
              <w:tc>
                <w:tcPr>
                  <w:tcW w:w="423" w:type="pct"/>
                  <w:vAlign w:val="center"/>
                </w:tcPr>
                <w:p w14:paraId="701A436A">
                  <w:pPr>
                    <w:pStyle w:val="19"/>
                    <w:bidi w:val="0"/>
                    <w:rPr>
                      <w:color w:val="auto"/>
                    </w:rPr>
                  </w:pPr>
                  <w:r>
                    <w:rPr>
                      <w:color w:val="auto"/>
                    </w:rPr>
                    <w:t>符合</w:t>
                  </w:r>
                </w:p>
              </w:tc>
            </w:tr>
            <w:tr w14:paraId="3DAC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2469D01C">
                  <w:pPr>
                    <w:pStyle w:val="21"/>
                    <w:bidi w:val="0"/>
                    <w:rPr>
                      <w:color w:val="auto"/>
                    </w:rPr>
                  </w:pPr>
                </w:p>
              </w:tc>
              <w:tc>
                <w:tcPr>
                  <w:tcW w:w="409" w:type="dxa"/>
                  <w:vMerge w:val="continue"/>
                  <w:vAlign w:val="center"/>
                </w:tcPr>
                <w:p w14:paraId="5643FDF6">
                  <w:pPr>
                    <w:pStyle w:val="21"/>
                    <w:bidi w:val="0"/>
                    <w:rPr>
                      <w:color w:val="auto"/>
                    </w:rPr>
                  </w:pPr>
                </w:p>
              </w:tc>
              <w:tc>
                <w:tcPr>
                  <w:tcW w:w="4382" w:type="dxa"/>
                  <w:vAlign w:val="center"/>
                </w:tcPr>
                <w:p w14:paraId="1F08D07D">
                  <w:pPr>
                    <w:pStyle w:val="19"/>
                    <w:bidi w:val="0"/>
                    <w:jc w:val="both"/>
                    <w:rPr>
                      <w:color w:val="auto"/>
                    </w:rPr>
                  </w:pPr>
                  <w:r>
                    <w:rPr>
                      <w:color w:val="auto"/>
                    </w:rPr>
                    <w:t>1.8开都</w:t>
                  </w:r>
                  <w:r>
                    <w:rPr>
                      <w:rFonts w:hint="eastAsia"/>
                      <w:color w:val="auto"/>
                      <w:lang w:eastAsia="zh-CN"/>
                    </w:rPr>
                    <w:t>－</w:t>
                  </w:r>
                  <w:r>
                    <w:rPr>
                      <w:color w:val="auto"/>
                    </w:rPr>
                    <w:t>孔雀河流域、塔里木河流域沿岸，要严格控制石油加工、化学原料和化学制品制造、医药制造、化学纤维制造、有色金属冶炼、纺织、印染等项目环境风险，合理布局生产装置及危险化学品仓储等设施。</w:t>
                  </w:r>
                </w:p>
              </w:tc>
              <w:tc>
                <w:tcPr>
                  <w:tcW w:w="1055" w:type="pct"/>
                  <w:vMerge w:val="continue"/>
                  <w:vAlign w:val="center"/>
                </w:tcPr>
                <w:p w14:paraId="569AD56C">
                  <w:pPr>
                    <w:pStyle w:val="21"/>
                    <w:bidi w:val="0"/>
                    <w:rPr>
                      <w:color w:val="auto"/>
                    </w:rPr>
                  </w:pPr>
                </w:p>
              </w:tc>
              <w:tc>
                <w:tcPr>
                  <w:tcW w:w="423" w:type="pct"/>
                  <w:vAlign w:val="center"/>
                </w:tcPr>
                <w:p w14:paraId="6E1AF7C9">
                  <w:pPr>
                    <w:pStyle w:val="19"/>
                    <w:bidi w:val="0"/>
                    <w:rPr>
                      <w:color w:val="auto"/>
                    </w:rPr>
                  </w:pPr>
                  <w:r>
                    <w:rPr>
                      <w:color w:val="auto"/>
                    </w:rPr>
                    <w:t>符合</w:t>
                  </w:r>
                </w:p>
              </w:tc>
            </w:tr>
            <w:tr w14:paraId="18DF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4B1DF486">
                  <w:pPr>
                    <w:pStyle w:val="21"/>
                    <w:bidi w:val="0"/>
                    <w:rPr>
                      <w:color w:val="auto"/>
                    </w:rPr>
                  </w:pPr>
                </w:p>
              </w:tc>
              <w:tc>
                <w:tcPr>
                  <w:tcW w:w="409" w:type="dxa"/>
                  <w:vMerge w:val="continue"/>
                  <w:vAlign w:val="center"/>
                </w:tcPr>
                <w:p w14:paraId="0EE7100B">
                  <w:pPr>
                    <w:pStyle w:val="21"/>
                    <w:bidi w:val="0"/>
                    <w:rPr>
                      <w:color w:val="auto"/>
                    </w:rPr>
                  </w:pPr>
                </w:p>
              </w:tc>
              <w:tc>
                <w:tcPr>
                  <w:tcW w:w="4382" w:type="dxa"/>
                  <w:vAlign w:val="center"/>
                </w:tcPr>
                <w:p w14:paraId="7C87F648">
                  <w:pPr>
                    <w:pStyle w:val="19"/>
                    <w:bidi w:val="0"/>
                    <w:jc w:val="both"/>
                    <w:rPr>
                      <w:color w:val="auto"/>
                    </w:rPr>
                  </w:pPr>
                  <w:r>
                    <w:rPr>
                      <w:color w:val="auto"/>
                    </w:rPr>
                    <w:t>1.9县级以上地方人民政府应当依法将符合条件的优先保护类耕地划为永久基本农田，实行严格保护。在永久基本农田集中区域，不得新建可能造成土壤污染的建设项目；已经建成的，应当限期关闭拆除。</w:t>
                  </w:r>
                </w:p>
              </w:tc>
              <w:tc>
                <w:tcPr>
                  <w:tcW w:w="1055" w:type="pct"/>
                  <w:vMerge w:val="restart"/>
                  <w:vAlign w:val="center"/>
                </w:tcPr>
                <w:p w14:paraId="146E9933">
                  <w:pPr>
                    <w:pStyle w:val="19"/>
                    <w:bidi w:val="0"/>
                    <w:rPr>
                      <w:color w:val="auto"/>
                    </w:rPr>
                  </w:pPr>
                  <w:r>
                    <w:rPr>
                      <w:rFonts w:hint="eastAsia"/>
                      <w:color w:val="auto"/>
                    </w:rPr>
                    <w:t>本项目为隔热和隔音材料制造</w:t>
                  </w:r>
                  <w:r>
                    <w:rPr>
                      <w:color w:val="auto"/>
                    </w:rPr>
                    <w:t>，不会造成周边土壤环境污染</w:t>
                  </w:r>
                </w:p>
              </w:tc>
              <w:tc>
                <w:tcPr>
                  <w:tcW w:w="423" w:type="pct"/>
                  <w:vAlign w:val="center"/>
                </w:tcPr>
                <w:p w14:paraId="0407A4E4">
                  <w:pPr>
                    <w:pStyle w:val="19"/>
                    <w:bidi w:val="0"/>
                    <w:rPr>
                      <w:color w:val="auto"/>
                    </w:rPr>
                  </w:pPr>
                  <w:r>
                    <w:rPr>
                      <w:color w:val="auto"/>
                    </w:rPr>
                    <w:t>符合</w:t>
                  </w:r>
                </w:p>
              </w:tc>
            </w:tr>
            <w:tr w14:paraId="73A3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228ABD49">
                  <w:pPr>
                    <w:pStyle w:val="21"/>
                    <w:bidi w:val="0"/>
                    <w:rPr>
                      <w:color w:val="auto"/>
                    </w:rPr>
                  </w:pPr>
                </w:p>
              </w:tc>
              <w:tc>
                <w:tcPr>
                  <w:tcW w:w="409" w:type="dxa"/>
                  <w:vMerge w:val="continue"/>
                  <w:vAlign w:val="center"/>
                </w:tcPr>
                <w:p w14:paraId="1C30D4E9">
                  <w:pPr>
                    <w:pStyle w:val="21"/>
                    <w:bidi w:val="0"/>
                    <w:rPr>
                      <w:color w:val="auto"/>
                    </w:rPr>
                  </w:pPr>
                </w:p>
              </w:tc>
              <w:tc>
                <w:tcPr>
                  <w:tcW w:w="4382" w:type="dxa"/>
                  <w:vAlign w:val="center"/>
                </w:tcPr>
                <w:p w14:paraId="4D8ECEE7">
                  <w:pPr>
                    <w:pStyle w:val="19"/>
                    <w:bidi w:val="0"/>
                    <w:jc w:val="both"/>
                    <w:rPr>
                      <w:color w:val="auto"/>
                    </w:rPr>
                  </w:pPr>
                  <w:r>
                    <w:rPr>
                      <w:color w:val="auto"/>
                    </w:rPr>
                    <w:t>1.10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055" w:type="pct"/>
                  <w:vMerge w:val="continue"/>
                  <w:vAlign w:val="center"/>
                </w:tcPr>
                <w:p w14:paraId="5528BA67">
                  <w:pPr>
                    <w:pStyle w:val="21"/>
                    <w:bidi w:val="0"/>
                    <w:rPr>
                      <w:color w:val="auto"/>
                    </w:rPr>
                  </w:pPr>
                </w:p>
              </w:tc>
              <w:tc>
                <w:tcPr>
                  <w:tcW w:w="423" w:type="pct"/>
                  <w:vAlign w:val="center"/>
                </w:tcPr>
                <w:p w14:paraId="1125D10C">
                  <w:pPr>
                    <w:pStyle w:val="19"/>
                    <w:bidi w:val="0"/>
                    <w:rPr>
                      <w:color w:val="auto"/>
                    </w:rPr>
                  </w:pPr>
                  <w:r>
                    <w:rPr>
                      <w:color w:val="auto"/>
                    </w:rPr>
                    <w:t>符合</w:t>
                  </w:r>
                </w:p>
              </w:tc>
            </w:tr>
            <w:tr w14:paraId="13F1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10A6830D">
                  <w:pPr>
                    <w:pStyle w:val="21"/>
                    <w:bidi w:val="0"/>
                    <w:rPr>
                      <w:color w:val="auto"/>
                    </w:rPr>
                  </w:pPr>
                </w:p>
              </w:tc>
              <w:tc>
                <w:tcPr>
                  <w:tcW w:w="409" w:type="dxa"/>
                  <w:vMerge w:val="continue"/>
                  <w:vAlign w:val="center"/>
                </w:tcPr>
                <w:p w14:paraId="191D49CE">
                  <w:pPr>
                    <w:pStyle w:val="21"/>
                    <w:bidi w:val="0"/>
                    <w:rPr>
                      <w:color w:val="auto"/>
                    </w:rPr>
                  </w:pPr>
                </w:p>
              </w:tc>
              <w:tc>
                <w:tcPr>
                  <w:tcW w:w="4382" w:type="dxa"/>
                  <w:vAlign w:val="center"/>
                </w:tcPr>
                <w:p w14:paraId="5D7145FC">
                  <w:pPr>
                    <w:pStyle w:val="19"/>
                    <w:bidi w:val="0"/>
                    <w:jc w:val="both"/>
                    <w:rPr>
                      <w:color w:val="auto"/>
                    </w:rPr>
                  </w:pPr>
                  <w:r>
                    <w:rPr>
                      <w:color w:val="auto"/>
                    </w:rPr>
                    <w:t>2.1水源涵养和生物多样性维护型重点生态功能区水质达到地表水、地下水I类，空气质量达到一级。</w:t>
                  </w:r>
                </w:p>
              </w:tc>
              <w:tc>
                <w:tcPr>
                  <w:tcW w:w="1055" w:type="pct"/>
                  <w:vAlign w:val="center"/>
                </w:tcPr>
                <w:p w14:paraId="1FC15627">
                  <w:pPr>
                    <w:pStyle w:val="19"/>
                    <w:bidi w:val="0"/>
                    <w:rPr>
                      <w:color w:val="auto"/>
                    </w:rPr>
                  </w:pPr>
                  <w:r>
                    <w:rPr>
                      <w:color w:val="auto"/>
                    </w:rPr>
                    <w:t>本项目不涉及重点生态功能区</w:t>
                  </w:r>
                </w:p>
              </w:tc>
              <w:tc>
                <w:tcPr>
                  <w:tcW w:w="423" w:type="pct"/>
                  <w:vAlign w:val="center"/>
                </w:tcPr>
                <w:p w14:paraId="3E5AC166">
                  <w:pPr>
                    <w:pStyle w:val="19"/>
                    <w:bidi w:val="0"/>
                    <w:rPr>
                      <w:color w:val="auto"/>
                    </w:rPr>
                  </w:pPr>
                  <w:r>
                    <w:rPr>
                      <w:color w:val="auto"/>
                    </w:rPr>
                    <w:t>符合</w:t>
                  </w:r>
                </w:p>
              </w:tc>
            </w:tr>
            <w:tr w14:paraId="3C8C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4798AF82">
                  <w:pPr>
                    <w:pStyle w:val="21"/>
                    <w:bidi w:val="0"/>
                    <w:rPr>
                      <w:color w:val="auto"/>
                    </w:rPr>
                  </w:pPr>
                </w:p>
              </w:tc>
              <w:tc>
                <w:tcPr>
                  <w:tcW w:w="409" w:type="dxa"/>
                  <w:vMerge w:val="continue"/>
                  <w:vAlign w:val="center"/>
                </w:tcPr>
                <w:p w14:paraId="0D6787FA">
                  <w:pPr>
                    <w:pStyle w:val="21"/>
                    <w:bidi w:val="0"/>
                    <w:rPr>
                      <w:color w:val="auto"/>
                    </w:rPr>
                  </w:pPr>
                </w:p>
              </w:tc>
              <w:tc>
                <w:tcPr>
                  <w:tcW w:w="4382" w:type="dxa"/>
                  <w:vAlign w:val="center"/>
                </w:tcPr>
                <w:p w14:paraId="7AA6C519">
                  <w:pPr>
                    <w:pStyle w:val="19"/>
                    <w:bidi w:val="0"/>
                    <w:jc w:val="both"/>
                    <w:rPr>
                      <w:color w:val="auto"/>
                    </w:rPr>
                  </w:pPr>
                  <w:r>
                    <w:rPr>
                      <w:color w:val="auto"/>
                    </w:rPr>
                    <w:t>2.9所有排污单位必须依法实现全面达标排放。逐一排查工业企业排污情况，重点排污单位应按要求安装污染物在线监控设施，达标企业应采取措施确保稳定达标。实行“红黄牌”警示制度，对超标和超总量的企业予以“黄牌”警示，一律限制生产或停产整治；对整治仍不能达到要求且情节严重的企业予以“红牌”处罚，一律停业、关闭。定期公布环保“黄牌</w:t>
                  </w:r>
                  <w:r>
                    <w:rPr>
                      <w:rFonts w:hint="eastAsia"/>
                      <w:color w:val="auto"/>
                      <w:lang w:eastAsia="zh-CN"/>
                    </w:rPr>
                    <w:t>”“</w:t>
                  </w:r>
                  <w:r>
                    <w:rPr>
                      <w:color w:val="auto"/>
                    </w:rPr>
                    <w:t>红牌”企业名单。定期抽查排污单位达标排放情况，结果向社会公布。加大综合惩处和处罚执行力度，建立环保领域非诉案件执行联动配合机制，对行政处罚、行政命令执行情况实施后督察。</w:t>
                  </w:r>
                </w:p>
              </w:tc>
              <w:tc>
                <w:tcPr>
                  <w:tcW w:w="1055" w:type="pct"/>
                  <w:vMerge w:val="restart"/>
                  <w:vAlign w:val="center"/>
                </w:tcPr>
                <w:p w14:paraId="000E179D">
                  <w:pPr>
                    <w:pStyle w:val="19"/>
                    <w:bidi w:val="0"/>
                    <w:rPr>
                      <w:color w:val="auto"/>
                    </w:rPr>
                  </w:pPr>
                  <w:r>
                    <w:rPr>
                      <w:rFonts w:hint="eastAsia"/>
                      <w:color w:val="auto"/>
                    </w:rPr>
                    <w:t>本项目为隔热和隔音材料</w:t>
                  </w:r>
                  <w:r>
                    <w:rPr>
                      <w:rFonts w:hint="eastAsia"/>
                      <w:color w:val="auto"/>
                      <w:lang w:eastAsia="zh-CN"/>
                    </w:rPr>
                    <w:t>制造</w:t>
                  </w:r>
                  <w:r>
                    <w:rPr>
                      <w:color w:val="auto"/>
                    </w:rPr>
                    <w:t>，不属于重点排污单位，且各项污染物均可达标排放</w:t>
                  </w:r>
                </w:p>
              </w:tc>
              <w:tc>
                <w:tcPr>
                  <w:tcW w:w="423" w:type="pct"/>
                  <w:vAlign w:val="center"/>
                </w:tcPr>
                <w:p w14:paraId="5FDC0171">
                  <w:pPr>
                    <w:pStyle w:val="19"/>
                    <w:bidi w:val="0"/>
                    <w:rPr>
                      <w:color w:val="auto"/>
                    </w:rPr>
                  </w:pPr>
                  <w:r>
                    <w:rPr>
                      <w:color w:val="auto"/>
                    </w:rPr>
                    <w:t>符合</w:t>
                  </w:r>
                </w:p>
              </w:tc>
            </w:tr>
            <w:tr w14:paraId="55A9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2E89C4B4">
                  <w:pPr>
                    <w:pStyle w:val="21"/>
                    <w:bidi w:val="0"/>
                    <w:rPr>
                      <w:color w:val="auto"/>
                    </w:rPr>
                  </w:pPr>
                </w:p>
              </w:tc>
              <w:tc>
                <w:tcPr>
                  <w:tcW w:w="409" w:type="dxa"/>
                  <w:vMerge w:val="continue"/>
                  <w:vAlign w:val="center"/>
                </w:tcPr>
                <w:p w14:paraId="0F738998">
                  <w:pPr>
                    <w:pStyle w:val="21"/>
                    <w:bidi w:val="0"/>
                    <w:rPr>
                      <w:color w:val="auto"/>
                    </w:rPr>
                  </w:pPr>
                </w:p>
              </w:tc>
              <w:tc>
                <w:tcPr>
                  <w:tcW w:w="4382" w:type="dxa"/>
                  <w:vAlign w:val="center"/>
                </w:tcPr>
                <w:p w14:paraId="6916981F">
                  <w:pPr>
                    <w:pStyle w:val="19"/>
                    <w:bidi w:val="0"/>
                    <w:jc w:val="both"/>
                    <w:rPr>
                      <w:color w:val="auto"/>
                    </w:rPr>
                  </w:pPr>
                  <w:r>
                    <w:rPr>
                      <w:color w:val="auto"/>
                    </w:rPr>
                    <w:t>3.7强化对水源周边可能影响水源安全的制药、化工、造纸、采选、制革、印染、电镀、农药等重点行业企业的执法监管。</w:t>
                  </w:r>
                </w:p>
              </w:tc>
              <w:tc>
                <w:tcPr>
                  <w:tcW w:w="1055" w:type="pct"/>
                  <w:vMerge w:val="continue"/>
                  <w:vAlign w:val="center"/>
                </w:tcPr>
                <w:p w14:paraId="7B75BBCB">
                  <w:pPr>
                    <w:pStyle w:val="21"/>
                    <w:bidi w:val="0"/>
                    <w:rPr>
                      <w:color w:val="auto"/>
                    </w:rPr>
                  </w:pPr>
                </w:p>
              </w:tc>
              <w:tc>
                <w:tcPr>
                  <w:tcW w:w="423" w:type="pct"/>
                  <w:vAlign w:val="center"/>
                </w:tcPr>
                <w:p w14:paraId="3223C5B2">
                  <w:pPr>
                    <w:pStyle w:val="19"/>
                    <w:bidi w:val="0"/>
                    <w:rPr>
                      <w:color w:val="auto"/>
                    </w:rPr>
                  </w:pPr>
                  <w:r>
                    <w:rPr>
                      <w:color w:val="auto"/>
                    </w:rPr>
                    <w:t>符合</w:t>
                  </w:r>
                </w:p>
              </w:tc>
            </w:tr>
            <w:tr w14:paraId="7A5B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52AB9D77">
                  <w:pPr>
                    <w:pStyle w:val="21"/>
                    <w:bidi w:val="0"/>
                    <w:rPr>
                      <w:color w:val="auto"/>
                    </w:rPr>
                  </w:pPr>
                </w:p>
              </w:tc>
              <w:tc>
                <w:tcPr>
                  <w:tcW w:w="409" w:type="dxa"/>
                  <w:vMerge w:val="continue"/>
                  <w:vAlign w:val="center"/>
                </w:tcPr>
                <w:p w14:paraId="367F60C2">
                  <w:pPr>
                    <w:pStyle w:val="21"/>
                    <w:bidi w:val="0"/>
                    <w:rPr>
                      <w:color w:val="auto"/>
                    </w:rPr>
                  </w:pPr>
                </w:p>
              </w:tc>
              <w:tc>
                <w:tcPr>
                  <w:tcW w:w="4382" w:type="dxa"/>
                  <w:vAlign w:val="center"/>
                </w:tcPr>
                <w:p w14:paraId="300A5E8C">
                  <w:pPr>
                    <w:pStyle w:val="19"/>
                    <w:bidi w:val="0"/>
                    <w:jc w:val="both"/>
                    <w:rPr>
                      <w:color w:val="auto"/>
                    </w:rPr>
                  </w:pPr>
                  <w:r>
                    <w:rPr>
                      <w:color w:val="auto"/>
                    </w:rPr>
                    <w:t>3.8禁止从事下列危及城镇排水与污水处理设施安全的活动：</w:t>
                  </w:r>
                  <w:r>
                    <w:rPr>
                      <w:rFonts w:hint="eastAsia"/>
                      <w:color w:val="auto"/>
                      <w:lang w:eastAsia="zh-CN"/>
                    </w:rPr>
                    <w:t>（</w:t>
                  </w:r>
                  <w:r>
                    <w:rPr>
                      <w:color w:val="auto"/>
                    </w:rPr>
                    <w:t>一</w:t>
                  </w:r>
                  <w:r>
                    <w:rPr>
                      <w:rFonts w:hint="eastAsia"/>
                      <w:color w:val="auto"/>
                      <w:lang w:eastAsia="zh-CN"/>
                    </w:rPr>
                    <w:t>）</w:t>
                  </w:r>
                  <w:r>
                    <w:rPr>
                      <w:color w:val="auto"/>
                    </w:rPr>
                    <w:t>损毁、盗窃城镇排水与污水处理设施；</w:t>
                  </w:r>
                  <w:r>
                    <w:rPr>
                      <w:rFonts w:hint="eastAsia"/>
                      <w:color w:val="auto"/>
                      <w:lang w:eastAsia="zh-CN"/>
                    </w:rPr>
                    <w:t>（</w:t>
                  </w:r>
                  <w:r>
                    <w:rPr>
                      <w:color w:val="auto"/>
                    </w:rPr>
                    <w:t>二</w:t>
                  </w:r>
                  <w:r>
                    <w:rPr>
                      <w:rFonts w:hint="eastAsia"/>
                      <w:color w:val="auto"/>
                      <w:lang w:eastAsia="zh-CN"/>
                    </w:rPr>
                    <w:t>）</w:t>
                  </w:r>
                  <w:r>
                    <w:rPr>
                      <w:color w:val="auto"/>
                    </w:rPr>
                    <w:t>穿凿、堵塞城镇排水与污水处理设施；</w:t>
                  </w:r>
                  <w:r>
                    <w:rPr>
                      <w:rFonts w:hint="eastAsia"/>
                      <w:color w:val="auto"/>
                      <w:lang w:eastAsia="zh-CN"/>
                    </w:rPr>
                    <w:t>（</w:t>
                  </w:r>
                  <w:r>
                    <w:rPr>
                      <w:color w:val="auto"/>
                    </w:rPr>
                    <w:t>三</w:t>
                  </w:r>
                  <w:r>
                    <w:rPr>
                      <w:rFonts w:hint="eastAsia"/>
                      <w:color w:val="auto"/>
                      <w:lang w:eastAsia="zh-CN"/>
                    </w:rPr>
                    <w:t>）</w:t>
                  </w:r>
                  <w:r>
                    <w:rPr>
                      <w:color w:val="auto"/>
                    </w:rPr>
                    <w:t>向城镇排水与污水处理设施排放、倾倒剧毒、易燃易爆、腐蚀性废液和废渣；</w:t>
                  </w:r>
                  <w:r>
                    <w:rPr>
                      <w:rFonts w:hint="eastAsia"/>
                      <w:color w:val="auto"/>
                      <w:lang w:eastAsia="zh-CN"/>
                    </w:rPr>
                    <w:t>（</w:t>
                  </w:r>
                  <w:r>
                    <w:rPr>
                      <w:color w:val="auto"/>
                    </w:rPr>
                    <w:t>四</w:t>
                  </w:r>
                  <w:r>
                    <w:rPr>
                      <w:rFonts w:hint="eastAsia"/>
                      <w:color w:val="auto"/>
                      <w:lang w:eastAsia="zh-CN"/>
                    </w:rPr>
                    <w:t>）</w:t>
                  </w:r>
                  <w:r>
                    <w:rPr>
                      <w:color w:val="auto"/>
                    </w:rPr>
                    <w:t>向城镇排水与污水处理设施倾倒垃圾、渣土、施工泥浆等废弃物；</w:t>
                  </w:r>
                  <w:r>
                    <w:rPr>
                      <w:rFonts w:hint="eastAsia"/>
                      <w:color w:val="auto"/>
                      <w:lang w:eastAsia="zh-CN"/>
                    </w:rPr>
                    <w:t>（</w:t>
                  </w:r>
                  <w:r>
                    <w:rPr>
                      <w:color w:val="auto"/>
                    </w:rPr>
                    <w:t>五</w:t>
                  </w:r>
                  <w:r>
                    <w:rPr>
                      <w:rFonts w:hint="eastAsia"/>
                      <w:color w:val="auto"/>
                      <w:lang w:eastAsia="zh-CN"/>
                    </w:rPr>
                    <w:t>）</w:t>
                  </w:r>
                  <w:r>
                    <w:rPr>
                      <w:color w:val="auto"/>
                    </w:rPr>
                    <w:t>建设占压城镇排水与污水处理设施的建筑物、构筑物或者其他设施；</w:t>
                  </w:r>
                  <w:r>
                    <w:rPr>
                      <w:rFonts w:hint="eastAsia"/>
                      <w:color w:val="auto"/>
                      <w:lang w:eastAsia="zh-CN"/>
                    </w:rPr>
                    <w:t>（</w:t>
                  </w:r>
                  <w:r>
                    <w:rPr>
                      <w:color w:val="auto"/>
                    </w:rPr>
                    <w:t>六</w:t>
                  </w:r>
                  <w:r>
                    <w:rPr>
                      <w:rFonts w:hint="eastAsia"/>
                      <w:color w:val="auto"/>
                      <w:lang w:eastAsia="zh-CN"/>
                    </w:rPr>
                    <w:t>）</w:t>
                  </w:r>
                  <w:r>
                    <w:rPr>
                      <w:color w:val="auto"/>
                    </w:rPr>
                    <w:t>其他危及城镇排水与污水处理设施安全的活动。</w:t>
                  </w:r>
                </w:p>
              </w:tc>
              <w:tc>
                <w:tcPr>
                  <w:tcW w:w="1055" w:type="pct"/>
                  <w:vAlign w:val="center"/>
                </w:tcPr>
                <w:p w14:paraId="1F2F8240">
                  <w:pPr>
                    <w:pStyle w:val="19"/>
                    <w:bidi w:val="0"/>
                    <w:rPr>
                      <w:color w:val="auto"/>
                    </w:rPr>
                  </w:pPr>
                  <w:r>
                    <w:rPr>
                      <w:rFonts w:hint="eastAsia"/>
                      <w:color w:val="auto"/>
                    </w:rPr>
                    <w:t>本项目不涉及</w:t>
                  </w:r>
                  <w:r>
                    <w:rPr>
                      <w:rFonts w:hint="eastAsia"/>
                      <w:color w:val="auto"/>
                      <w:lang w:val="en-US" w:eastAsia="zh-CN"/>
                    </w:rPr>
                    <w:t>生产</w:t>
                  </w:r>
                  <w:r>
                    <w:rPr>
                      <w:rFonts w:hint="eastAsia"/>
                      <w:color w:val="auto"/>
                    </w:rPr>
                    <w:t>废水排放；生活废水依托园区污水处理厂处理</w:t>
                  </w:r>
                  <w:r>
                    <w:rPr>
                      <w:rFonts w:hint="eastAsia"/>
                      <w:color w:val="auto"/>
                      <w:lang w:eastAsia="zh-CN"/>
                    </w:rPr>
                    <w:t>。</w:t>
                  </w:r>
                </w:p>
              </w:tc>
              <w:tc>
                <w:tcPr>
                  <w:tcW w:w="423" w:type="pct"/>
                  <w:vAlign w:val="center"/>
                </w:tcPr>
                <w:p w14:paraId="4AC444E1">
                  <w:pPr>
                    <w:pStyle w:val="19"/>
                    <w:bidi w:val="0"/>
                    <w:rPr>
                      <w:color w:val="auto"/>
                    </w:rPr>
                  </w:pPr>
                  <w:r>
                    <w:rPr>
                      <w:color w:val="auto"/>
                    </w:rPr>
                    <w:t>符合</w:t>
                  </w:r>
                </w:p>
              </w:tc>
            </w:tr>
            <w:tr w14:paraId="222E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0CED20A8">
                  <w:pPr>
                    <w:pStyle w:val="21"/>
                    <w:bidi w:val="0"/>
                    <w:rPr>
                      <w:color w:val="auto"/>
                    </w:rPr>
                  </w:pPr>
                </w:p>
              </w:tc>
              <w:tc>
                <w:tcPr>
                  <w:tcW w:w="409" w:type="dxa"/>
                  <w:vMerge w:val="continue"/>
                  <w:vAlign w:val="center"/>
                </w:tcPr>
                <w:p w14:paraId="270EC9BD">
                  <w:pPr>
                    <w:pStyle w:val="21"/>
                    <w:bidi w:val="0"/>
                    <w:rPr>
                      <w:color w:val="auto"/>
                    </w:rPr>
                  </w:pPr>
                </w:p>
              </w:tc>
              <w:tc>
                <w:tcPr>
                  <w:tcW w:w="4382" w:type="dxa"/>
                  <w:vAlign w:val="center"/>
                </w:tcPr>
                <w:p w14:paraId="17D1B97F">
                  <w:pPr>
                    <w:pStyle w:val="19"/>
                    <w:bidi w:val="0"/>
                    <w:jc w:val="both"/>
                    <w:rPr>
                      <w:color w:val="auto"/>
                    </w:rPr>
                  </w:pPr>
                  <w:r>
                    <w:rPr>
                      <w:color w:val="auto"/>
                    </w:rPr>
                    <w:t>3.10严格环境风险控制。防范环境风险。定期评估沿河流湖库的工业企业、工业集聚区环境和健康风险，加强预案管理，落实防控措施，排除水污染隐患。评估现有化学物质环境和健康风险，根据国家公布的优先控制化学品名录，对高风险化学品生产、使用进行严格限制，并逐步淘汰替代。</w:t>
                  </w:r>
                </w:p>
              </w:tc>
              <w:tc>
                <w:tcPr>
                  <w:tcW w:w="1055" w:type="pct"/>
                  <w:vAlign w:val="center"/>
                </w:tcPr>
                <w:p w14:paraId="57A8FBAA">
                  <w:pPr>
                    <w:pStyle w:val="19"/>
                    <w:bidi w:val="0"/>
                    <w:rPr>
                      <w:color w:val="auto"/>
                    </w:rPr>
                  </w:pPr>
                  <w:r>
                    <w:rPr>
                      <w:color w:val="auto"/>
                    </w:rPr>
                    <w:t>本项目已制定环境风险防范措施</w:t>
                  </w:r>
                </w:p>
              </w:tc>
              <w:tc>
                <w:tcPr>
                  <w:tcW w:w="423" w:type="pct"/>
                  <w:vAlign w:val="center"/>
                </w:tcPr>
                <w:p w14:paraId="7D42C86B">
                  <w:pPr>
                    <w:pStyle w:val="19"/>
                    <w:bidi w:val="0"/>
                    <w:rPr>
                      <w:color w:val="auto"/>
                    </w:rPr>
                  </w:pPr>
                  <w:r>
                    <w:rPr>
                      <w:color w:val="auto"/>
                    </w:rPr>
                    <w:t>符合</w:t>
                  </w:r>
                </w:p>
              </w:tc>
            </w:tr>
            <w:tr w14:paraId="164E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4EF06908">
                  <w:pPr>
                    <w:pStyle w:val="21"/>
                    <w:bidi w:val="0"/>
                    <w:rPr>
                      <w:color w:val="auto"/>
                    </w:rPr>
                  </w:pPr>
                </w:p>
              </w:tc>
              <w:tc>
                <w:tcPr>
                  <w:tcW w:w="409" w:type="dxa"/>
                  <w:vMerge w:val="continue"/>
                  <w:vAlign w:val="center"/>
                </w:tcPr>
                <w:p w14:paraId="55D3168B">
                  <w:pPr>
                    <w:pStyle w:val="21"/>
                    <w:bidi w:val="0"/>
                    <w:rPr>
                      <w:color w:val="auto"/>
                    </w:rPr>
                  </w:pPr>
                </w:p>
              </w:tc>
              <w:tc>
                <w:tcPr>
                  <w:tcW w:w="4382" w:type="dxa"/>
                  <w:vAlign w:val="center"/>
                </w:tcPr>
                <w:p w14:paraId="3D097F9E">
                  <w:pPr>
                    <w:pStyle w:val="19"/>
                    <w:bidi w:val="0"/>
                    <w:jc w:val="both"/>
                    <w:rPr>
                      <w:color w:val="auto"/>
                    </w:rPr>
                  </w:pPr>
                  <w:r>
                    <w:rPr>
                      <w:color w:val="auto"/>
                    </w:rPr>
                    <w:t>4.2提高能源利用效率。继续实施能源消耗总量和强度双控行动。大力开发、推广节能高效技术和产品，实现重点用能行业、设备节能标准全覆盖。</w:t>
                  </w:r>
                </w:p>
              </w:tc>
              <w:tc>
                <w:tcPr>
                  <w:tcW w:w="1055" w:type="pct"/>
                  <w:vAlign w:val="center"/>
                </w:tcPr>
                <w:p w14:paraId="37765717">
                  <w:pPr>
                    <w:pStyle w:val="19"/>
                    <w:bidi w:val="0"/>
                    <w:rPr>
                      <w:color w:val="auto"/>
                    </w:rPr>
                  </w:pPr>
                  <w:r>
                    <w:rPr>
                      <w:color w:val="auto"/>
                    </w:rPr>
                    <w:t>本项目采用先进节能高效工艺和设备</w:t>
                  </w:r>
                </w:p>
              </w:tc>
              <w:tc>
                <w:tcPr>
                  <w:tcW w:w="423" w:type="pct"/>
                  <w:vAlign w:val="center"/>
                </w:tcPr>
                <w:p w14:paraId="4508A1ED">
                  <w:pPr>
                    <w:pStyle w:val="19"/>
                    <w:bidi w:val="0"/>
                    <w:rPr>
                      <w:color w:val="auto"/>
                    </w:rPr>
                  </w:pPr>
                  <w:r>
                    <w:rPr>
                      <w:color w:val="auto"/>
                    </w:rPr>
                    <w:t>符合</w:t>
                  </w:r>
                </w:p>
              </w:tc>
            </w:tr>
            <w:tr w14:paraId="15D0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13EC5E5B">
                  <w:pPr>
                    <w:pStyle w:val="21"/>
                    <w:bidi w:val="0"/>
                    <w:rPr>
                      <w:color w:val="auto"/>
                    </w:rPr>
                  </w:pPr>
                </w:p>
              </w:tc>
              <w:tc>
                <w:tcPr>
                  <w:tcW w:w="409" w:type="dxa"/>
                  <w:vMerge w:val="continue"/>
                  <w:vAlign w:val="center"/>
                </w:tcPr>
                <w:p w14:paraId="3BE193D8">
                  <w:pPr>
                    <w:pStyle w:val="21"/>
                    <w:bidi w:val="0"/>
                    <w:rPr>
                      <w:color w:val="auto"/>
                    </w:rPr>
                  </w:pPr>
                </w:p>
              </w:tc>
              <w:tc>
                <w:tcPr>
                  <w:tcW w:w="4382" w:type="dxa"/>
                  <w:vAlign w:val="center"/>
                </w:tcPr>
                <w:p w14:paraId="0B303D2C">
                  <w:pPr>
                    <w:pStyle w:val="19"/>
                    <w:bidi w:val="0"/>
                    <w:jc w:val="both"/>
                    <w:rPr>
                      <w:color w:val="auto"/>
                    </w:rPr>
                  </w:pPr>
                  <w:r>
                    <w:rPr>
                      <w:color w:val="auto"/>
                    </w:rPr>
                    <w:t>4.3推进循环发展。加强工业水循环利用。推进矿井水综合利用，煤炭矿区的补充用水、周边地区生产和生态用水应优先使用矿井水，加强洗煤废水循环利用。鼓励钢铁、纺织印染、造纸、石油石化、化工、制革等高耗水企业废水深度处理回用。</w:t>
                  </w:r>
                </w:p>
              </w:tc>
              <w:tc>
                <w:tcPr>
                  <w:tcW w:w="1055" w:type="pct"/>
                  <w:vAlign w:val="center"/>
                </w:tcPr>
                <w:p w14:paraId="702659A7">
                  <w:pPr>
                    <w:pStyle w:val="19"/>
                    <w:bidi w:val="0"/>
                    <w:rPr>
                      <w:color w:val="auto"/>
                    </w:rPr>
                  </w:pPr>
                  <w:r>
                    <w:rPr>
                      <w:rFonts w:hint="eastAsia"/>
                      <w:color w:val="auto"/>
                    </w:rPr>
                    <w:t>本项目不涉及</w:t>
                  </w:r>
                  <w:r>
                    <w:rPr>
                      <w:rFonts w:hint="eastAsia"/>
                      <w:color w:val="auto"/>
                      <w:lang w:val="en-US" w:eastAsia="zh-CN"/>
                    </w:rPr>
                    <w:t>生产</w:t>
                  </w:r>
                  <w:r>
                    <w:rPr>
                      <w:rFonts w:hint="eastAsia"/>
                      <w:color w:val="auto"/>
                    </w:rPr>
                    <w:t>废水排放</w:t>
                  </w:r>
                </w:p>
              </w:tc>
              <w:tc>
                <w:tcPr>
                  <w:tcW w:w="423" w:type="pct"/>
                  <w:vAlign w:val="center"/>
                </w:tcPr>
                <w:p w14:paraId="6EF6B253">
                  <w:pPr>
                    <w:pStyle w:val="19"/>
                    <w:bidi w:val="0"/>
                    <w:rPr>
                      <w:color w:val="auto"/>
                    </w:rPr>
                  </w:pPr>
                  <w:r>
                    <w:rPr>
                      <w:color w:val="auto"/>
                    </w:rPr>
                    <w:t>符合</w:t>
                  </w:r>
                </w:p>
              </w:tc>
            </w:tr>
            <w:tr w14:paraId="0E02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99" w:type="dxa"/>
                  <w:vMerge w:val="continue"/>
                  <w:vAlign w:val="center"/>
                </w:tcPr>
                <w:p w14:paraId="50D400D5">
                  <w:pPr>
                    <w:pStyle w:val="21"/>
                    <w:bidi w:val="0"/>
                    <w:rPr>
                      <w:color w:val="auto"/>
                    </w:rPr>
                  </w:pPr>
                </w:p>
              </w:tc>
              <w:tc>
                <w:tcPr>
                  <w:tcW w:w="409" w:type="dxa"/>
                  <w:vMerge w:val="continue"/>
                  <w:vAlign w:val="center"/>
                </w:tcPr>
                <w:p w14:paraId="3C0B89E1">
                  <w:pPr>
                    <w:pStyle w:val="21"/>
                    <w:bidi w:val="0"/>
                    <w:rPr>
                      <w:color w:val="auto"/>
                    </w:rPr>
                  </w:pPr>
                </w:p>
              </w:tc>
              <w:tc>
                <w:tcPr>
                  <w:tcW w:w="4382" w:type="dxa"/>
                  <w:vAlign w:val="center"/>
                </w:tcPr>
                <w:p w14:paraId="1BEBF3C7">
                  <w:pPr>
                    <w:pStyle w:val="19"/>
                    <w:bidi w:val="0"/>
                    <w:jc w:val="both"/>
                    <w:rPr>
                      <w:color w:val="auto"/>
                    </w:rPr>
                  </w:pPr>
                  <w:r>
                    <w:rPr>
                      <w:color w:val="auto"/>
                    </w:rPr>
                    <w:t>4.4促进再生水利用。制定促进再生水利用的政策，以城市及产业集聚区为重点，实施再生水利用工程，完善再生水利用设施，工业生产、城市绿化、道路清扫、车辆冲洗、建筑施工以及生态景观等用水，要优先使用再生水。推进高速公路服务区污水处理和利用。具备使用再生水条件但未充分利用的钢铁、火电、化工、制浆造纸、印染等项目，不得批准其新增取水许可。单体建筑面积超过2万平方米的新建公共建筑应安装建筑中水设施。积极推动其他新建住房安装建筑中水设施。</w:t>
                  </w:r>
                </w:p>
              </w:tc>
              <w:tc>
                <w:tcPr>
                  <w:tcW w:w="1055" w:type="pct"/>
                  <w:vAlign w:val="center"/>
                </w:tcPr>
                <w:p w14:paraId="47FCDF8F">
                  <w:pPr>
                    <w:pStyle w:val="19"/>
                    <w:bidi w:val="0"/>
                    <w:rPr>
                      <w:color w:val="auto"/>
                    </w:rPr>
                  </w:pPr>
                  <w:r>
                    <w:rPr>
                      <w:rFonts w:hint="eastAsia"/>
                      <w:color w:val="auto"/>
                    </w:rPr>
                    <w:t>本项目不涉及</w:t>
                  </w:r>
                  <w:r>
                    <w:rPr>
                      <w:rFonts w:hint="eastAsia"/>
                      <w:color w:val="auto"/>
                      <w:lang w:val="en-US" w:eastAsia="zh-CN"/>
                    </w:rPr>
                    <w:t>生产</w:t>
                  </w:r>
                  <w:r>
                    <w:rPr>
                      <w:rFonts w:hint="eastAsia"/>
                      <w:color w:val="auto"/>
                    </w:rPr>
                    <w:t>废水排放；生活废水依托园区污水处理厂处理；</w:t>
                  </w:r>
                </w:p>
              </w:tc>
              <w:tc>
                <w:tcPr>
                  <w:tcW w:w="423" w:type="pct"/>
                  <w:vAlign w:val="center"/>
                </w:tcPr>
                <w:p w14:paraId="5E1451BE">
                  <w:pPr>
                    <w:pStyle w:val="19"/>
                    <w:bidi w:val="0"/>
                    <w:rPr>
                      <w:color w:val="auto"/>
                    </w:rPr>
                  </w:pPr>
                  <w:r>
                    <w:rPr>
                      <w:color w:val="auto"/>
                    </w:rPr>
                    <w:t>符合</w:t>
                  </w:r>
                </w:p>
              </w:tc>
            </w:tr>
          </w:tbl>
          <w:p w14:paraId="0C5AB8CE">
            <w:pPr>
              <w:pStyle w:val="20"/>
              <w:bidi w:val="0"/>
              <w:jc w:val="both"/>
              <w:rPr>
                <w:rFonts w:hint="eastAsia"/>
                <w:color w:val="auto"/>
              </w:rPr>
            </w:pPr>
          </w:p>
          <w:p w14:paraId="1D8955B9">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7</w:t>
            </w:r>
            <w:r>
              <w:rPr>
                <w:color w:val="auto"/>
              </w:rPr>
              <w:fldChar w:fldCharType="end"/>
            </w:r>
            <w:r>
              <w:rPr>
                <w:rFonts w:hint="eastAsia"/>
                <w:color w:val="auto"/>
                <w:lang w:val="en-US" w:eastAsia="zh-CN"/>
              </w:rPr>
              <w:t xml:space="preserve">  本项目与库尔勒市城区地下水禁采区环境管控单元准入清单</w:t>
            </w:r>
          </w:p>
          <w:p w14:paraId="13A2DEDD">
            <w:pPr>
              <w:pStyle w:val="12"/>
              <w:rPr>
                <w:rFonts w:hint="default" w:eastAsia="黑体"/>
                <w:color w:val="auto"/>
                <w:lang w:val="en-US" w:eastAsia="zh-CN"/>
              </w:rPr>
            </w:pPr>
            <w:r>
              <w:rPr>
                <w:rFonts w:hint="eastAsia"/>
                <w:color w:val="auto"/>
                <w:lang w:val="en-US" w:eastAsia="zh-CN"/>
              </w:rPr>
              <w:t>符合性分析</w:t>
            </w:r>
          </w:p>
          <w:tbl>
            <w:tblPr>
              <w:tblStyle w:val="15"/>
              <w:tblW w:w="73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00"/>
              <w:gridCol w:w="884"/>
              <w:gridCol w:w="408"/>
              <w:gridCol w:w="2922"/>
              <w:gridCol w:w="1510"/>
              <w:gridCol w:w="634"/>
            </w:tblGrid>
            <w:tr w14:paraId="2FD33B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57" w:type="pct"/>
                  <w:gridSpan w:val="3"/>
                  <w:vAlign w:val="center"/>
                </w:tcPr>
                <w:p w14:paraId="0768F4AE">
                  <w:pPr>
                    <w:spacing w:line="240" w:lineRule="auto"/>
                    <w:ind w:firstLine="0" w:firstLineChars="0"/>
                    <w:contextualSpacing/>
                    <w:jc w:val="center"/>
                    <w:rPr>
                      <w:rFonts w:cs="Times New Roman"/>
                      <w:color w:val="auto"/>
                      <w:sz w:val="21"/>
                      <w:szCs w:val="21"/>
                    </w:rPr>
                  </w:pPr>
                  <w:r>
                    <w:rPr>
                      <w:rFonts w:cs="Times New Roman"/>
                      <w:color w:val="auto"/>
                      <w:sz w:val="21"/>
                      <w:szCs w:val="21"/>
                    </w:rPr>
                    <w:t>管控类型</w:t>
                  </w:r>
                </w:p>
              </w:tc>
              <w:tc>
                <w:tcPr>
                  <w:tcW w:w="1985" w:type="pct"/>
                  <w:vAlign w:val="center"/>
                </w:tcPr>
                <w:p w14:paraId="440C7121">
                  <w:pPr>
                    <w:spacing w:line="240" w:lineRule="auto"/>
                    <w:ind w:firstLine="0" w:firstLineChars="0"/>
                    <w:contextualSpacing/>
                    <w:jc w:val="center"/>
                    <w:rPr>
                      <w:rFonts w:cs="Times New Roman"/>
                      <w:color w:val="auto"/>
                      <w:sz w:val="21"/>
                      <w:szCs w:val="21"/>
                    </w:rPr>
                  </w:pPr>
                  <w:r>
                    <w:rPr>
                      <w:rFonts w:cs="Times New Roman"/>
                      <w:color w:val="auto"/>
                      <w:sz w:val="21"/>
                      <w:szCs w:val="21"/>
                    </w:rPr>
                    <w:t>管控要求</w:t>
                  </w:r>
                </w:p>
              </w:tc>
              <w:tc>
                <w:tcPr>
                  <w:tcW w:w="1026" w:type="pct"/>
                  <w:vAlign w:val="center"/>
                </w:tcPr>
                <w:p w14:paraId="4C65FA63">
                  <w:pPr>
                    <w:spacing w:line="240" w:lineRule="auto"/>
                    <w:ind w:firstLine="0" w:firstLineChars="0"/>
                    <w:contextualSpacing/>
                    <w:jc w:val="center"/>
                    <w:rPr>
                      <w:rFonts w:cs="Times New Roman"/>
                      <w:color w:val="auto"/>
                      <w:sz w:val="21"/>
                      <w:szCs w:val="21"/>
                    </w:rPr>
                  </w:pPr>
                  <w:r>
                    <w:rPr>
                      <w:rFonts w:cs="Times New Roman"/>
                      <w:color w:val="auto"/>
                      <w:sz w:val="21"/>
                      <w:szCs w:val="21"/>
                    </w:rPr>
                    <w:t>本项目</w:t>
                  </w:r>
                </w:p>
              </w:tc>
              <w:tc>
                <w:tcPr>
                  <w:tcW w:w="430" w:type="pct"/>
                  <w:vAlign w:val="center"/>
                </w:tcPr>
                <w:p w14:paraId="373D2F9F">
                  <w:pPr>
                    <w:spacing w:line="240" w:lineRule="auto"/>
                    <w:ind w:firstLine="0" w:firstLineChars="0"/>
                    <w:contextualSpacing/>
                    <w:jc w:val="center"/>
                    <w:rPr>
                      <w:rFonts w:cs="Times New Roman"/>
                      <w:color w:val="auto"/>
                      <w:sz w:val="21"/>
                      <w:szCs w:val="21"/>
                    </w:rPr>
                  </w:pPr>
                  <w:r>
                    <w:rPr>
                      <w:rFonts w:cs="Times New Roman"/>
                      <w:color w:val="auto"/>
                      <w:sz w:val="21"/>
                      <w:szCs w:val="21"/>
                    </w:rPr>
                    <w:t>符合性</w:t>
                  </w:r>
                </w:p>
              </w:tc>
            </w:tr>
            <w:tr w14:paraId="2FE766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9" w:type="pct"/>
                  <w:vMerge w:val="restart"/>
                  <w:vAlign w:val="center"/>
                </w:tcPr>
                <w:p w14:paraId="36765863">
                  <w:pPr>
                    <w:spacing w:line="240" w:lineRule="auto"/>
                    <w:ind w:firstLine="0" w:firstLineChars="0"/>
                    <w:contextualSpacing/>
                    <w:jc w:val="center"/>
                    <w:rPr>
                      <w:rFonts w:cs="Times New Roman"/>
                      <w:color w:val="auto"/>
                      <w:sz w:val="21"/>
                      <w:szCs w:val="21"/>
                    </w:rPr>
                  </w:pPr>
                  <w:r>
                    <w:rPr>
                      <w:rFonts w:hint="eastAsia" w:cs="Times New Roman"/>
                      <w:color w:val="auto"/>
                      <w:sz w:val="21"/>
                      <w:szCs w:val="21"/>
                    </w:rPr>
                    <w:t>ZH65280120011</w:t>
                  </w:r>
                </w:p>
              </w:tc>
              <w:tc>
                <w:tcPr>
                  <w:tcW w:w="600" w:type="pct"/>
                  <w:vMerge w:val="restart"/>
                  <w:vAlign w:val="center"/>
                </w:tcPr>
                <w:p w14:paraId="761B6C13">
                  <w:pPr>
                    <w:spacing w:line="240" w:lineRule="auto"/>
                    <w:ind w:firstLine="0" w:firstLineChars="0"/>
                    <w:contextualSpacing/>
                    <w:jc w:val="center"/>
                    <w:rPr>
                      <w:rFonts w:cs="Times New Roman"/>
                      <w:color w:val="auto"/>
                      <w:sz w:val="21"/>
                      <w:szCs w:val="21"/>
                    </w:rPr>
                  </w:pPr>
                  <w:r>
                    <w:rPr>
                      <w:rFonts w:hint="eastAsia"/>
                      <w:color w:val="auto"/>
                    </w:rPr>
                    <w:t>库尔勒市城区地下水禁采区</w:t>
                  </w:r>
                </w:p>
              </w:tc>
              <w:tc>
                <w:tcPr>
                  <w:tcW w:w="277" w:type="pct"/>
                  <w:vAlign w:val="center"/>
                </w:tcPr>
                <w:p w14:paraId="42E1B608">
                  <w:pPr>
                    <w:spacing w:line="240" w:lineRule="auto"/>
                    <w:ind w:firstLine="0" w:firstLineChars="0"/>
                    <w:contextualSpacing/>
                    <w:jc w:val="center"/>
                    <w:rPr>
                      <w:rFonts w:cs="Times New Roman"/>
                      <w:color w:val="auto"/>
                      <w:sz w:val="21"/>
                      <w:szCs w:val="21"/>
                    </w:rPr>
                  </w:pPr>
                  <w:r>
                    <w:rPr>
                      <w:rFonts w:cs="Times New Roman"/>
                      <w:color w:val="auto"/>
                      <w:sz w:val="21"/>
                      <w:szCs w:val="21"/>
                    </w:rPr>
                    <w:t>空间布局约束</w:t>
                  </w:r>
                </w:p>
              </w:tc>
              <w:tc>
                <w:tcPr>
                  <w:tcW w:w="1985" w:type="pct"/>
                  <w:vAlign w:val="center"/>
                </w:tcPr>
                <w:p w14:paraId="26602A4A">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1.执行总体管控要求中关于地下水重点管控区的空间布局约束准入要求。</w:t>
                  </w:r>
                </w:p>
                <w:p w14:paraId="49CD6645">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2.除城乡生活饮用水或者战略储备、旱灾、火灾、地震等应急需要取水外，原有的地下水取水工程全部限期封停。</w:t>
                  </w:r>
                </w:p>
                <w:p w14:paraId="082E0255">
                  <w:pPr>
                    <w:spacing w:line="240" w:lineRule="auto"/>
                    <w:ind w:firstLine="0" w:firstLineChars="0"/>
                    <w:contextualSpacing/>
                    <w:rPr>
                      <w:rFonts w:cs="Times New Roman"/>
                      <w:color w:val="auto"/>
                      <w:sz w:val="21"/>
                      <w:szCs w:val="21"/>
                    </w:rPr>
                  </w:pPr>
                  <w:r>
                    <w:rPr>
                      <w:rFonts w:hint="eastAsia" w:cs="Times New Roman"/>
                      <w:color w:val="auto"/>
                      <w:sz w:val="21"/>
                      <w:szCs w:val="21"/>
                    </w:rPr>
                    <w:t>3.县级以上人民政府水行政主管部门应当会同有关部门制定封停方案，经本级人民政府批准后实施。</w:t>
                  </w:r>
                </w:p>
              </w:tc>
              <w:tc>
                <w:tcPr>
                  <w:tcW w:w="1026" w:type="pct"/>
                  <w:vAlign w:val="center"/>
                </w:tcPr>
                <w:p w14:paraId="791F134A">
                  <w:pPr>
                    <w:spacing w:line="240" w:lineRule="auto"/>
                    <w:ind w:firstLine="0" w:firstLineChars="0"/>
                    <w:contextualSpacing/>
                    <w:rPr>
                      <w:rFonts w:hint="eastAsia" w:cs="Times New Roman"/>
                      <w:color w:val="auto"/>
                      <w:sz w:val="21"/>
                      <w:szCs w:val="21"/>
                      <w:lang w:eastAsia="zh-CN"/>
                    </w:rPr>
                  </w:pPr>
                  <w:r>
                    <w:rPr>
                      <w:rFonts w:hint="eastAsia" w:cs="Times New Roman"/>
                      <w:color w:val="auto"/>
                      <w:sz w:val="21"/>
                      <w:szCs w:val="21"/>
                      <w:lang w:eastAsia="zh-CN"/>
                    </w:rPr>
                    <w:t>本项目不取用地下水，用水由园区管网统一供给</w:t>
                  </w:r>
                </w:p>
              </w:tc>
              <w:tc>
                <w:tcPr>
                  <w:tcW w:w="430" w:type="pct"/>
                  <w:vAlign w:val="center"/>
                </w:tcPr>
                <w:p w14:paraId="3F28DC19">
                  <w:pPr>
                    <w:spacing w:line="240" w:lineRule="auto"/>
                    <w:ind w:firstLine="0" w:firstLineChars="0"/>
                    <w:contextualSpacing/>
                    <w:jc w:val="center"/>
                    <w:rPr>
                      <w:rFonts w:cs="Times New Roman"/>
                      <w:color w:val="auto"/>
                      <w:sz w:val="21"/>
                      <w:szCs w:val="21"/>
                    </w:rPr>
                  </w:pPr>
                  <w:r>
                    <w:rPr>
                      <w:rFonts w:cs="Times New Roman"/>
                      <w:color w:val="auto"/>
                      <w:sz w:val="21"/>
                      <w:szCs w:val="21"/>
                    </w:rPr>
                    <w:t>符合</w:t>
                  </w:r>
                </w:p>
              </w:tc>
            </w:tr>
            <w:tr w14:paraId="4DC299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9" w:type="pct"/>
                  <w:vMerge w:val="continue"/>
                  <w:vAlign w:val="center"/>
                </w:tcPr>
                <w:p w14:paraId="124DA5FF">
                  <w:pPr>
                    <w:spacing w:line="240" w:lineRule="auto"/>
                    <w:ind w:firstLine="0" w:firstLineChars="0"/>
                    <w:contextualSpacing/>
                    <w:jc w:val="center"/>
                    <w:rPr>
                      <w:rFonts w:cs="Times New Roman"/>
                      <w:color w:val="auto"/>
                      <w:sz w:val="21"/>
                      <w:szCs w:val="21"/>
                    </w:rPr>
                  </w:pPr>
                </w:p>
              </w:tc>
              <w:tc>
                <w:tcPr>
                  <w:tcW w:w="600" w:type="pct"/>
                  <w:vMerge w:val="continue"/>
                  <w:vAlign w:val="center"/>
                </w:tcPr>
                <w:p w14:paraId="43C04ADF">
                  <w:pPr>
                    <w:spacing w:line="240" w:lineRule="auto"/>
                    <w:ind w:firstLine="0" w:firstLineChars="0"/>
                    <w:contextualSpacing/>
                    <w:jc w:val="center"/>
                    <w:rPr>
                      <w:rFonts w:cs="Times New Roman"/>
                      <w:color w:val="auto"/>
                      <w:sz w:val="21"/>
                      <w:szCs w:val="21"/>
                    </w:rPr>
                  </w:pPr>
                </w:p>
              </w:tc>
              <w:tc>
                <w:tcPr>
                  <w:tcW w:w="277" w:type="pct"/>
                  <w:vAlign w:val="center"/>
                </w:tcPr>
                <w:p w14:paraId="5003C2B7">
                  <w:pPr>
                    <w:spacing w:line="240" w:lineRule="auto"/>
                    <w:ind w:firstLine="0" w:firstLineChars="0"/>
                    <w:contextualSpacing/>
                    <w:jc w:val="center"/>
                    <w:rPr>
                      <w:rFonts w:cs="Times New Roman"/>
                      <w:color w:val="auto"/>
                      <w:sz w:val="21"/>
                      <w:szCs w:val="21"/>
                    </w:rPr>
                  </w:pPr>
                  <w:r>
                    <w:rPr>
                      <w:rFonts w:cs="Times New Roman"/>
                      <w:color w:val="auto"/>
                      <w:sz w:val="21"/>
                      <w:szCs w:val="21"/>
                    </w:rPr>
                    <w:t>污染物排放管控</w:t>
                  </w:r>
                </w:p>
              </w:tc>
              <w:tc>
                <w:tcPr>
                  <w:tcW w:w="1985" w:type="pct"/>
                  <w:vAlign w:val="center"/>
                </w:tcPr>
                <w:p w14:paraId="19D283A4">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1.执行总体管控要求中关于地下水重点管控区的污染物排放管控要求。</w:t>
                  </w:r>
                </w:p>
                <w:p w14:paraId="646895D6">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2.禁止私设暗管或者利用渗井、渗坑和裂隙排放、倾倒含有毒污染物的废水、含病原体的污水和其他废弃物。禁止利用无防渗漏措施的沟渠、坑塘等输送或者存贮含有毒污染物的废水、含病原体的污水和其他废弃物。</w:t>
                  </w:r>
                </w:p>
                <w:p w14:paraId="45B03645">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3.禁止向地表及水体排放、倾倒下列物质：（一）油类、酸液、碱液或者剧毒废液及未达标的工业及生活废水；（二）放射性固体废物或者含有高放射性和中放射性物质的废水；（三）工业废渣、城镇垃圾和其他废弃物。</w:t>
                  </w:r>
                </w:p>
                <w:p w14:paraId="1DC86335">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4.建设单位建设危险废物堆存场、垃圾填埋场、矿山渣场（含尾矿）、储灰场、加油站、贮存有毒有害物质的场所应当按照有关规定落实有关水污染防治措施，制定防渗处理方案，并按照规定定时向环境保护主管部门和水行政主管部门报告水质监测数据。禁止将含有汞、镉、砷、铬、铅、氰化物、黄磷等可溶性剧毒废渣及难降解有机物或者含油废弃物直接埋入地下。</w:t>
                  </w:r>
                </w:p>
                <w:p w14:paraId="75447D7E">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5.工矿企业应当优先利用基坑水、矿坑水和疏干水。无法全部利用的，应当处理达标后排放。</w:t>
                  </w:r>
                </w:p>
                <w:p w14:paraId="2689C9F1">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6.人工回灌补给地下水，不得恶化地下水水质。</w:t>
                  </w:r>
                </w:p>
                <w:p w14:paraId="026BBF65">
                  <w:pPr>
                    <w:spacing w:line="240" w:lineRule="auto"/>
                    <w:ind w:firstLine="0" w:firstLineChars="0"/>
                    <w:contextualSpacing/>
                    <w:rPr>
                      <w:rFonts w:cs="Times New Roman"/>
                      <w:color w:val="auto"/>
                      <w:sz w:val="21"/>
                      <w:szCs w:val="21"/>
                    </w:rPr>
                  </w:pPr>
                  <w:r>
                    <w:rPr>
                      <w:rFonts w:hint="eastAsia" w:cs="Times New Roman"/>
                      <w:color w:val="auto"/>
                      <w:sz w:val="21"/>
                      <w:szCs w:val="21"/>
                    </w:rPr>
                    <w:t>7.定期调查评估集中式地下水型</w:t>
                  </w:r>
                  <w:r>
                    <w:rPr>
                      <w:rFonts w:hint="eastAsia" w:cs="Times New Roman"/>
                      <w:color w:val="auto"/>
                      <w:sz w:val="21"/>
                      <w:szCs w:val="21"/>
                      <w:lang w:eastAsia="zh-CN"/>
                    </w:rPr>
                    <w:t>饮用水水源保护区</w:t>
                  </w:r>
                  <w:r>
                    <w:rPr>
                      <w:rFonts w:hint="eastAsia" w:cs="Times New Roman"/>
                      <w:color w:val="auto"/>
                      <w:sz w:val="21"/>
                      <w:szCs w:val="21"/>
                    </w:rPr>
                    <w:t>等区域环境状况，严格控制地下水富集区污染物排放。组织实施地下水监测工程建设，建立较完整的地下水监测网。定期评估地下水环境安全隐患，检查重点工业企业周边地下水污染状况，并定期公布污染地下水的企业名单。</w:t>
                  </w:r>
                </w:p>
              </w:tc>
              <w:tc>
                <w:tcPr>
                  <w:tcW w:w="1026" w:type="pct"/>
                  <w:vAlign w:val="center"/>
                </w:tcPr>
                <w:p w14:paraId="2EF3FC41">
                  <w:pPr>
                    <w:spacing w:line="240" w:lineRule="auto"/>
                    <w:ind w:firstLine="0" w:firstLineChars="0"/>
                    <w:contextualSpacing/>
                    <w:jc w:val="center"/>
                    <w:rPr>
                      <w:rFonts w:hint="eastAsia" w:cs="Times New Roman"/>
                      <w:color w:val="auto"/>
                      <w:sz w:val="21"/>
                      <w:szCs w:val="21"/>
                      <w:lang w:eastAsia="zh-CN"/>
                    </w:rPr>
                  </w:pPr>
                  <w:r>
                    <w:rPr>
                      <w:rFonts w:hint="eastAsia" w:cs="Times New Roman"/>
                      <w:color w:val="auto"/>
                      <w:sz w:val="21"/>
                      <w:szCs w:val="21"/>
                      <w:lang w:eastAsia="zh-CN"/>
                    </w:rPr>
                    <w:t>本项目不取用地下水，用水由园区管网统一供给，不涉及上述禁止排放行为，各类污染物均达标处置，符合管控要求。</w:t>
                  </w:r>
                </w:p>
                <w:p w14:paraId="25B818A6">
                  <w:pPr>
                    <w:spacing w:line="240" w:lineRule="auto"/>
                    <w:ind w:firstLine="0" w:firstLineChars="0"/>
                    <w:contextualSpacing/>
                    <w:jc w:val="center"/>
                    <w:rPr>
                      <w:rFonts w:hint="eastAsia" w:cs="Times New Roman"/>
                      <w:color w:val="auto"/>
                      <w:sz w:val="21"/>
                      <w:szCs w:val="21"/>
                      <w:lang w:eastAsia="zh-CN"/>
                    </w:rPr>
                  </w:pPr>
                </w:p>
              </w:tc>
              <w:tc>
                <w:tcPr>
                  <w:tcW w:w="430" w:type="pct"/>
                  <w:vAlign w:val="center"/>
                </w:tcPr>
                <w:p w14:paraId="4979FB42">
                  <w:pPr>
                    <w:spacing w:line="240" w:lineRule="auto"/>
                    <w:ind w:firstLine="0" w:firstLineChars="0"/>
                    <w:contextualSpacing/>
                    <w:jc w:val="center"/>
                    <w:rPr>
                      <w:rFonts w:cs="Times New Roman"/>
                      <w:color w:val="auto"/>
                      <w:sz w:val="21"/>
                      <w:szCs w:val="21"/>
                    </w:rPr>
                  </w:pPr>
                  <w:r>
                    <w:rPr>
                      <w:rFonts w:cs="Times New Roman"/>
                      <w:color w:val="auto"/>
                      <w:sz w:val="21"/>
                      <w:szCs w:val="21"/>
                    </w:rPr>
                    <w:t>符合</w:t>
                  </w:r>
                </w:p>
              </w:tc>
            </w:tr>
            <w:tr w14:paraId="26BF55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9" w:type="pct"/>
                  <w:vMerge w:val="continue"/>
                  <w:vAlign w:val="center"/>
                </w:tcPr>
                <w:p w14:paraId="23344B18">
                  <w:pPr>
                    <w:spacing w:line="240" w:lineRule="auto"/>
                    <w:ind w:firstLine="0" w:firstLineChars="0"/>
                    <w:contextualSpacing/>
                    <w:jc w:val="center"/>
                    <w:rPr>
                      <w:rFonts w:cs="Times New Roman"/>
                      <w:color w:val="auto"/>
                      <w:sz w:val="21"/>
                      <w:szCs w:val="21"/>
                    </w:rPr>
                  </w:pPr>
                </w:p>
              </w:tc>
              <w:tc>
                <w:tcPr>
                  <w:tcW w:w="600" w:type="pct"/>
                  <w:vMerge w:val="continue"/>
                  <w:vAlign w:val="center"/>
                </w:tcPr>
                <w:p w14:paraId="57DDC98F">
                  <w:pPr>
                    <w:spacing w:line="240" w:lineRule="auto"/>
                    <w:ind w:firstLine="0" w:firstLineChars="0"/>
                    <w:contextualSpacing/>
                    <w:jc w:val="center"/>
                    <w:rPr>
                      <w:rFonts w:cs="Times New Roman"/>
                      <w:color w:val="auto"/>
                      <w:sz w:val="21"/>
                      <w:szCs w:val="21"/>
                    </w:rPr>
                  </w:pPr>
                </w:p>
              </w:tc>
              <w:tc>
                <w:tcPr>
                  <w:tcW w:w="277" w:type="pct"/>
                  <w:vAlign w:val="center"/>
                </w:tcPr>
                <w:p w14:paraId="638571C7">
                  <w:pPr>
                    <w:spacing w:line="240" w:lineRule="auto"/>
                    <w:ind w:firstLine="0" w:firstLineChars="0"/>
                    <w:contextualSpacing/>
                    <w:jc w:val="center"/>
                    <w:rPr>
                      <w:rFonts w:cs="Times New Roman"/>
                      <w:color w:val="auto"/>
                      <w:sz w:val="21"/>
                      <w:szCs w:val="21"/>
                    </w:rPr>
                  </w:pPr>
                  <w:r>
                    <w:rPr>
                      <w:rFonts w:cs="Times New Roman"/>
                      <w:color w:val="auto"/>
                      <w:sz w:val="21"/>
                      <w:szCs w:val="21"/>
                    </w:rPr>
                    <w:t>环境风险防控</w:t>
                  </w:r>
                </w:p>
              </w:tc>
              <w:tc>
                <w:tcPr>
                  <w:tcW w:w="1985" w:type="pct"/>
                  <w:vAlign w:val="center"/>
                </w:tcPr>
                <w:p w14:paraId="07B4567A">
                  <w:pPr>
                    <w:spacing w:line="240" w:lineRule="auto"/>
                    <w:ind w:firstLine="0" w:firstLineChars="0"/>
                    <w:contextualSpacing/>
                    <w:rPr>
                      <w:rFonts w:hint="eastAsia" w:cs="Times New Roman"/>
                      <w:color w:val="auto"/>
                      <w:sz w:val="21"/>
                      <w:szCs w:val="21"/>
                    </w:rPr>
                  </w:pPr>
                  <w:r>
                    <w:rPr>
                      <w:rFonts w:hint="eastAsia" w:cs="Times New Roman"/>
                      <w:color w:val="auto"/>
                      <w:sz w:val="21"/>
                      <w:szCs w:val="21"/>
                    </w:rPr>
                    <w:t>1.执行总体管控要求中关于地下水重点管控区的环境风险防控要求。</w:t>
                  </w:r>
                </w:p>
                <w:p w14:paraId="32F38429">
                  <w:pPr>
                    <w:spacing w:line="240" w:lineRule="auto"/>
                    <w:ind w:firstLine="0" w:firstLineChars="0"/>
                    <w:contextualSpacing/>
                    <w:rPr>
                      <w:rFonts w:cs="Times New Roman"/>
                      <w:color w:val="auto"/>
                      <w:sz w:val="21"/>
                      <w:szCs w:val="21"/>
                    </w:rPr>
                  </w:pPr>
                  <w:r>
                    <w:rPr>
                      <w:rFonts w:hint="eastAsia" w:cs="Times New Roman"/>
                      <w:color w:val="auto"/>
                      <w:sz w:val="21"/>
                      <w:szCs w:val="21"/>
                    </w:rPr>
                    <w:t>2.应当统筹规划、合理布局地下水监测站网，加强地下水监测能力建设，组织做好地下水水位、水量、水质、水温等地下水动态监测工作，及时采集、传输、处理、储存监测数据，定期向社会公布监测结果。建成常规监测、移动监测、动态预警监测三位一体的水环境质量监测网络。</w:t>
                  </w:r>
                </w:p>
              </w:tc>
              <w:tc>
                <w:tcPr>
                  <w:tcW w:w="1026" w:type="pct"/>
                  <w:vAlign w:val="center"/>
                </w:tcPr>
                <w:p w14:paraId="1BDEF91C">
                  <w:pPr>
                    <w:spacing w:line="240" w:lineRule="auto"/>
                    <w:ind w:firstLine="0" w:firstLineChars="0"/>
                    <w:contextualSpacing/>
                    <w:jc w:val="center"/>
                    <w:rPr>
                      <w:rFonts w:hint="eastAsia" w:cs="Times New Roman"/>
                      <w:color w:val="auto"/>
                      <w:sz w:val="21"/>
                      <w:szCs w:val="21"/>
                      <w:lang w:eastAsia="zh-CN"/>
                    </w:rPr>
                  </w:pPr>
                  <w:r>
                    <w:rPr>
                      <w:rFonts w:hint="eastAsia" w:cs="Times New Roman"/>
                      <w:color w:val="auto"/>
                      <w:sz w:val="21"/>
                      <w:szCs w:val="21"/>
                      <w:lang w:eastAsia="zh-CN"/>
                    </w:rPr>
                    <w:t>本项目已按要求落实地下水环境风险防范措施，将配合园区做好地下水环境监测相关工作，不涉及违规风险</w:t>
                  </w:r>
                </w:p>
              </w:tc>
              <w:tc>
                <w:tcPr>
                  <w:tcW w:w="430" w:type="pct"/>
                  <w:vAlign w:val="center"/>
                </w:tcPr>
                <w:p w14:paraId="25579946">
                  <w:pPr>
                    <w:spacing w:line="240" w:lineRule="auto"/>
                    <w:ind w:firstLine="0" w:firstLineChars="0"/>
                    <w:contextualSpacing/>
                    <w:jc w:val="center"/>
                    <w:rPr>
                      <w:rFonts w:cs="Times New Roman"/>
                      <w:color w:val="auto"/>
                      <w:sz w:val="21"/>
                      <w:szCs w:val="21"/>
                    </w:rPr>
                  </w:pPr>
                  <w:r>
                    <w:rPr>
                      <w:rFonts w:cs="Times New Roman"/>
                      <w:color w:val="auto"/>
                      <w:sz w:val="21"/>
                      <w:szCs w:val="21"/>
                    </w:rPr>
                    <w:t>符合</w:t>
                  </w:r>
                </w:p>
              </w:tc>
            </w:tr>
            <w:tr w14:paraId="55FC7B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9" w:type="pct"/>
                  <w:vMerge w:val="continue"/>
                  <w:vAlign w:val="center"/>
                </w:tcPr>
                <w:p w14:paraId="262F8E95">
                  <w:pPr>
                    <w:spacing w:line="240" w:lineRule="auto"/>
                    <w:ind w:firstLine="0" w:firstLineChars="0"/>
                    <w:contextualSpacing/>
                    <w:jc w:val="center"/>
                    <w:rPr>
                      <w:rFonts w:cs="Times New Roman"/>
                      <w:color w:val="auto"/>
                      <w:sz w:val="21"/>
                      <w:szCs w:val="21"/>
                    </w:rPr>
                  </w:pPr>
                </w:p>
              </w:tc>
              <w:tc>
                <w:tcPr>
                  <w:tcW w:w="600" w:type="pct"/>
                  <w:vMerge w:val="continue"/>
                  <w:vAlign w:val="center"/>
                </w:tcPr>
                <w:p w14:paraId="3528963E">
                  <w:pPr>
                    <w:spacing w:line="240" w:lineRule="auto"/>
                    <w:ind w:firstLine="0" w:firstLineChars="0"/>
                    <w:contextualSpacing/>
                    <w:jc w:val="center"/>
                    <w:rPr>
                      <w:rFonts w:cs="Times New Roman"/>
                      <w:color w:val="auto"/>
                      <w:sz w:val="21"/>
                      <w:szCs w:val="21"/>
                    </w:rPr>
                  </w:pPr>
                </w:p>
              </w:tc>
              <w:tc>
                <w:tcPr>
                  <w:tcW w:w="277" w:type="pct"/>
                  <w:vAlign w:val="center"/>
                </w:tcPr>
                <w:p w14:paraId="1D90261A">
                  <w:pPr>
                    <w:spacing w:line="240" w:lineRule="auto"/>
                    <w:ind w:firstLine="0" w:firstLineChars="0"/>
                    <w:contextualSpacing/>
                    <w:jc w:val="center"/>
                    <w:rPr>
                      <w:rFonts w:cs="Times New Roman"/>
                      <w:color w:val="auto"/>
                      <w:sz w:val="21"/>
                      <w:szCs w:val="21"/>
                    </w:rPr>
                  </w:pPr>
                  <w:r>
                    <w:rPr>
                      <w:rFonts w:cs="Times New Roman"/>
                      <w:color w:val="auto"/>
                      <w:sz w:val="21"/>
                      <w:szCs w:val="21"/>
                    </w:rPr>
                    <w:t>资源利用效率</w:t>
                  </w:r>
                </w:p>
              </w:tc>
              <w:tc>
                <w:tcPr>
                  <w:tcW w:w="1985" w:type="pct"/>
                  <w:vAlign w:val="center"/>
                </w:tcPr>
                <w:p w14:paraId="297CB07A">
                  <w:pPr>
                    <w:spacing w:line="240" w:lineRule="auto"/>
                    <w:ind w:firstLine="0" w:firstLineChars="0"/>
                    <w:contextualSpacing/>
                    <w:rPr>
                      <w:rFonts w:hint="eastAsia" w:ascii="TimesNewRomanPSMT" w:hAnsi="TimesNewRomanPSMT"/>
                      <w:color w:val="auto"/>
                      <w:sz w:val="21"/>
                      <w:szCs w:val="21"/>
                    </w:rPr>
                  </w:pPr>
                  <w:r>
                    <w:rPr>
                      <w:rFonts w:hint="eastAsia" w:ascii="TimesNewRomanPSMT" w:hAnsi="TimesNewRomanPSMT"/>
                      <w:color w:val="auto"/>
                      <w:sz w:val="21"/>
                      <w:szCs w:val="21"/>
                    </w:rPr>
                    <w:t>1.执行总体管控要求中关于地下水重点管控区的资源利用效率要求。</w:t>
                  </w:r>
                </w:p>
                <w:p w14:paraId="13485C22">
                  <w:pPr>
                    <w:spacing w:line="240" w:lineRule="auto"/>
                    <w:ind w:firstLine="0" w:firstLineChars="0"/>
                    <w:contextualSpacing/>
                    <w:rPr>
                      <w:rFonts w:hint="eastAsia" w:ascii="TimesNewRomanPSMT" w:hAnsi="TimesNewRomanPSMT"/>
                      <w:color w:val="auto"/>
                      <w:sz w:val="21"/>
                      <w:szCs w:val="21"/>
                    </w:rPr>
                  </w:pPr>
                  <w:r>
                    <w:rPr>
                      <w:rFonts w:hint="eastAsia" w:ascii="TimesNewRomanPSMT" w:hAnsi="TimesNewRomanPSMT"/>
                      <w:color w:val="auto"/>
                      <w:sz w:val="21"/>
                      <w:szCs w:val="21"/>
                    </w:rPr>
                    <w:t>2.编制重点超采区域地下水压采方案，禁止工农业生产及服务业新增取用地下水。</w:t>
                  </w:r>
                </w:p>
                <w:p w14:paraId="56CCBD89">
                  <w:pPr>
                    <w:spacing w:line="240" w:lineRule="auto"/>
                    <w:ind w:firstLine="0" w:firstLineChars="0"/>
                    <w:contextualSpacing/>
                    <w:rPr>
                      <w:rFonts w:cs="Times New Roman"/>
                      <w:color w:val="auto"/>
                      <w:sz w:val="21"/>
                      <w:szCs w:val="21"/>
                    </w:rPr>
                  </w:pPr>
                  <w:r>
                    <w:rPr>
                      <w:rFonts w:hint="eastAsia" w:ascii="TimesNewRomanPSMT" w:hAnsi="TimesNewRomanPSMT"/>
                      <w:color w:val="auto"/>
                      <w:sz w:val="21"/>
                      <w:szCs w:val="21"/>
                    </w:rPr>
                    <w:t>3.大力发展高效节水，加强水源置换。</w:t>
                  </w:r>
                </w:p>
              </w:tc>
              <w:tc>
                <w:tcPr>
                  <w:tcW w:w="1026" w:type="pct"/>
                  <w:vAlign w:val="center"/>
                </w:tcPr>
                <w:p w14:paraId="7F44ADE8">
                  <w:pPr>
                    <w:spacing w:line="240" w:lineRule="auto"/>
                    <w:ind w:firstLine="0" w:firstLineChars="0"/>
                    <w:contextualSpacing/>
                    <w:rPr>
                      <w:rFonts w:hint="eastAsia" w:cs="Times New Roman"/>
                      <w:color w:val="auto"/>
                      <w:sz w:val="21"/>
                      <w:szCs w:val="21"/>
                      <w:lang w:eastAsia="zh-CN"/>
                    </w:rPr>
                  </w:pPr>
                  <w:r>
                    <w:rPr>
                      <w:rFonts w:hint="eastAsia" w:cs="Times New Roman"/>
                      <w:color w:val="auto"/>
                      <w:sz w:val="21"/>
                      <w:szCs w:val="21"/>
                      <w:lang w:eastAsia="zh-CN"/>
                    </w:rPr>
                    <w:t>本项目不取用地下水，用水由园区管网统一供给，符合管控要求。</w:t>
                  </w:r>
                </w:p>
              </w:tc>
              <w:tc>
                <w:tcPr>
                  <w:tcW w:w="430" w:type="pct"/>
                  <w:vAlign w:val="center"/>
                </w:tcPr>
                <w:p w14:paraId="2BFCECAD">
                  <w:pPr>
                    <w:spacing w:line="240" w:lineRule="auto"/>
                    <w:ind w:firstLine="0" w:firstLineChars="0"/>
                    <w:contextualSpacing/>
                    <w:jc w:val="center"/>
                    <w:rPr>
                      <w:rFonts w:cs="Times New Roman"/>
                      <w:color w:val="auto"/>
                      <w:sz w:val="21"/>
                      <w:szCs w:val="21"/>
                    </w:rPr>
                  </w:pPr>
                  <w:r>
                    <w:rPr>
                      <w:rFonts w:cs="Times New Roman"/>
                      <w:color w:val="auto"/>
                      <w:sz w:val="21"/>
                      <w:szCs w:val="21"/>
                    </w:rPr>
                    <w:t>符合</w:t>
                  </w:r>
                </w:p>
              </w:tc>
            </w:tr>
          </w:tbl>
          <w:p w14:paraId="4BEC88B8">
            <w:pPr>
              <w:pStyle w:val="20"/>
              <w:bidi w:val="0"/>
              <w:jc w:val="both"/>
              <w:rPr>
                <w:rFonts w:hint="eastAsia"/>
                <w:color w:val="auto"/>
              </w:rPr>
            </w:pPr>
          </w:p>
          <w:p w14:paraId="625BB404">
            <w:pPr>
              <w:pStyle w:val="3"/>
              <w:bidi w:val="0"/>
              <w:jc w:val="both"/>
              <w:rPr>
                <w:rFonts w:hint="eastAsia"/>
                <w:color w:val="auto"/>
              </w:rPr>
            </w:pPr>
            <w:r>
              <w:rPr>
                <w:rFonts w:hint="eastAsia"/>
                <w:color w:val="auto"/>
                <w:lang w:val="en-US" w:eastAsia="zh-CN"/>
              </w:rPr>
              <w:t>项目与新疆维吾尔自治区“十四五”生态环境保护规划符合性分析</w:t>
            </w:r>
          </w:p>
          <w:p w14:paraId="15963319">
            <w:pPr>
              <w:pStyle w:val="5"/>
              <w:bidi w:val="0"/>
              <w:ind w:left="0" w:leftChars="0" w:firstLine="480" w:firstLineChars="200"/>
              <w:jc w:val="both"/>
              <w:rPr>
                <w:rFonts w:hint="eastAsia"/>
                <w:color w:val="auto"/>
                <w:lang w:eastAsia="zh-CN"/>
              </w:rPr>
            </w:pPr>
            <w:r>
              <w:rPr>
                <w:rFonts w:hint="eastAsia"/>
                <w:color w:val="auto"/>
                <w:lang w:eastAsia="zh-CN"/>
              </w:rPr>
              <w:t>新疆维吾尔自治区“十四五”生态环境保护规划旨在深入贯彻习近平生态文明思想，坚持生态优先、绿色发展，持续改善生态环境质量，协同推进经济高质量发展和生态环境高水平保护。本项目在规划符合性方面主要体现在以下几个方面：首先，规划强调严格环境准入，推动产业结构优化升级，发展绿色低碳产业。本项目属于国家鼓励类建材项目，其生产的A级阻燃保温材料等产品本身具有节能、环保的特性，符合规划中关于发展绿色建材、推动建材行业绿色转型的要求。其次，规划要求加强水污染防治，保障水生态环境安全。本项目不涉及生产废水排放，生活废水依托园区污水处理厂处理，不会对区域水环境造成不利影响，符合规划中对水污染防治的相关规定。此外，规划还注重区域生态保护和环境风险防范，本项目在建设和运营过程中将严格遵守环境保护相关法律法规，采取有效的污染防治措施，避免对区域生态环境造成破坏，符合规划的总体要求。</w:t>
            </w:r>
          </w:p>
          <w:p w14:paraId="68E11503">
            <w:pPr>
              <w:pStyle w:val="5"/>
              <w:bidi w:val="0"/>
              <w:jc w:val="both"/>
              <w:rPr>
                <w:rFonts w:hint="eastAsia"/>
                <w:color w:val="auto"/>
                <w:lang w:eastAsia="zh-CN"/>
              </w:rPr>
            </w:pPr>
            <w:r>
              <w:rPr>
                <w:rFonts w:hint="eastAsia"/>
                <w:color w:val="auto"/>
                <w:lang w:eastAsia="zh-CN"/>
              </w:rPr>
              <w:t>综上所述，本项目的建设与新疆维吾尔自治区“十四五”生态环境保护规划的各项要求是相符的，有利于促进区域经济与生态环境的协调可持续发展。</w:t>
            </w:r>
          </w:p>
          <w:p w14:paraId="781618E2">
            <w:pPr>
              <w:pStyle w:val="3"/>
              <w:jc w:val="both"/>
              <w:rPr>
                <w:rFonts w:hint="eastAsia"/>
                <w:color w:val="auto"/>
              </w:rPr>
            </w:pPr>
            <w:r>
              <w:rPr>
                <w:rFonts w:hint="eastAsia"/>
                <w:color w:val="auto"/>
                <w:lang w:val="en-US" w:eastAsia="zh-CN"/>
              </w:rPr>
              <w:t>项目与《新疆维吾尔自治区大气污染防治条例》符合性</w:t>
            </w:r>
          </w:p>
          <w:p w14:paraId="0A88262E">
            <w:pPr>
              <w:pStyle w:val="5"/>
              <w:bidi w:val="0"/>
              <w:jc w:val="both"/>
              <w:rPr>
                <w:rFonts w:hint="eastAsia"/>
                <w:color w:val="auto"/>
                <w:lang w:eastAsia="zh-CN"/>
              </w:rPr>
            </w:pPr>
            <w:r>
              <w:rPr>
                <w:rFonts w:hint="eastAsia"/>
                <w:color w:val="auto"/>
                <w:lang w:eastAsia="zh-CN"/>
              </w:rPr>
              <w:t>本项目在生产过程中严格遵循《新疆维吾尔自治区大气污染防治条例》的各项要求。条例中明确规定，工业企业应当采取有效措施，控制和减少大气污染物的排放。本项目在生产环节产生少量粉尘，对此，企业计划安装高效的布袋除尘器，对粉尘进行收集处理，确保粉尘排放浓度符合国家及地方相关排放标准。在运输方面，企业将加强对运输车辆的管理，确保物料运输过程中覆盖篷布，防止扬尘污染，严格遵守条例中关于物料运输扬尘控制的规定。项目的各项大气污染防治措施均符合《新疆维吾尔自治区大气污染防治条例》中对工业企业大气污染防治的要求，能够有效控制大气污染物排放，保护区域大气环境质量。</w:t>
            </w:r>
          </w:p>
          <w:p w14:paraId="6EED58AC">
            <w:pPr>
              <w:pStyle w:val="3"/>
              <w:bidi w:val="0"/>
              <w:jc w:val="both"/>
              <w:rPr>
                <w:rFonts w:hint="eastAsia"/>
                <w:color w:val="auto"/>
              </w:rPr>
            </w:pPr>
            <w:r>
              <w:rPr>
                <w:rFonts w:hint="eastAsia"/>
                <w:color w:val="auto"/>
                <w:lang w:val="en-US" w:eastAsia="zh-CN"/>
              </w:rPr>
              <w:t>项目与新疆维吾尔自治区2025年空气质量持续改善行动实施方案的通知符合性</w:t>
            </w:r>
          </w:p>
          <w:p w14:paraId="1A80420E">
            <w:pPr>
              <w:pStyle w:val="5"/>
              <w:bidi w:val="0"/>
              <w:jc w:val="both"/>
              <w:rPr>
                <w:rFonts w:hint="eastAsia"/>
                <w:color w:val="auto"/>
                <w:lang w:eastAsia="zh-CN"/>
              </w:rPr>
            </w:pPr>
            <w:r>
              <w:rPr>
                <w:rFonts w:hint="eastAsia"/>
                <w:color w:val="auto"/>
                <w:lang w:eastAsia="zh-CN"/>
              </w:rPr>
              <w:t>新疆维吾尔自治区2025年空气质量持续改善行动实施方案的通知旨在进一步巩固提升区域空气质量，推动环境空气质量持续改善，保障人民群众身体健康。本项目在与该方案的符合性方面主要体现在以下几点：方案强调深化工业污染治理，持续推进重点行业大气污染综合治理，加强粉尘、挥发性有机物等污染物的排放管控。本项目在生产过程中产生的粉尘，将通过安装布袋除尘器等高效治理设施进行处理，确保粉尘排放稳定达标，符合方案中对工业粉尘污染防治的要求。同时，方案鼓励发展绿色环保产业，支持节能低碳、环境友好型项目的建设。本项目作为国家鼓励类的隔热和隔音材料制造项目，其产品具有良好的节能、环保特性，符合方案中推动产业结构优化升级、发展绿色产业的导向。此外，方案要求加强环境监管执法，确保企业污染治理设施正常运行。本项目将建立完善的内部环境管理制度，加强对污染治理设施的日常维护和管理，确保其稳定运行，严格遵守方案中关于环境监管的各项规定。</w:t>
            </w:r>
          </w:p>
          <w:p w14:paraId="5AE79A9A">
            <w:pPr>
              <w:pStyle w:val="5"/>
              <w:bidi w:val="0"/>
              <w:jc w:val="both"/>
              <w:rPr>
                <w:rFonts w:hint="eastAsia"/>
                <w:color w:val="auto"/>
                <w:lang w:eastAsia="zh-CN"/>
              </w:rPr>
            </w:pPr>
            <w:r>
              <w:rPr>
                <w:rFonts w:hint="eastAsia"/>
                <w:color w:val="auto"/>
                <w:lang w:eastAsia="zh-CN"/>
              </w:rPr>
              <w:t>综上所述，本项目的建设与运营符合新疆维吾尔自治区2025年空气质量持续改善行动实施方案的通知要求，能够为区域空气质量的持续改善贡献积极力量。</w:t>
            </w:r>
          </w:p>
          <w:p w14:paraId="4F04CD06">
            <w:pPr>
              <w:pStyle w:val="3"/>
              <w:jc w:val="both"/>
              <w:rPr>
                <w:rFonts w:hint="eastAsia"/>
                <w:color w:val="auto"/>
              </w:rPr>
            </w:pPr>
            <w:r>
              <w:rPr>
                <w:rFonts w:hint="eastAsia"/>
                <w:color w:val="auto"/>
                <w:lang w:val="en-US" w:eastAsia="zh-CN"/>
              </w:rPr>
              <w:t>项目选址合理性分析</w:t>
            </w:r>
          </w:p>
          <w:p w14:paraId="5F08BF1C">
            <w:pPr>
              <w:pStyle w:val="5"/>
              <w:bidi w:val="0"/>
              <w:jc w:val="both"/>
              <w:rPr>
                <w:rFonts w:hint="eastAsia"/>
                <w:color w:val="auto"/>
                <w:lang w:eastAsia="zh-CN"/>
              </w:rPr>
            </w:pPr>
            <w:r>
              <w:rPr>
                <w:rFonts w:hint="eastAsia"/>
                <w:color w:val="auto"/>
                <w:lang w:eastAsia="zh-CN"/>
              </w:rPr>
              <w:t>本项目选址于库尔勒经济技术开发区内，该开发区是经国家批准设立的经济技术开发区，具备完善的基础设施条件，包括道路、供水、供电、排水、通讯等，能够满足本项目建设和运营的需求。开发区内产业定位明确，已形成一定的产业集聚效应，本项目作为隔热和隔音材料制造企业，属于建材领域的鼓励类项目，与开发区的产业发展方向相契合，能够实现产业互补和资源共享。从环境敏感因素来看，项目选址不在开都－孔雀河流域、塔里木河流域沿岸范围内，不涉及水源涵养和生物多样性维护型重点生态功能区，也不位于永久基本农田集中区域及重度污染土地管控区，周边无重要的生态保护目标和环境敏感点。同时，项目用地为工业用地，符合库尔勒经济技术开发区的土地利用规划和总体规划。此外，开发区已建成污水处理厂等环保基础设施，本项目产生的生活废水可依托园区污水处理厂处理，为项目的污染物治理提供了保障。</w:t>
            </w:r>
          </w:p>
          <w:p w14:paraId="43751E74">
            <w:pPr>
              <w:pStyle w:val="5"/>
              <w:bidi w:val="0"/>
              <w:jc w:val="both"/>
              <w:rPr>
                <w:rFonts w:hint="eastAsia"/>
                <w:color w:val="auto"/>
                <w:lang w:eastAsia="zh-CN"/>
              </w:rPr>
            </w:pPr>
            <w:r>
              <w:rPr>
                <w:rFonts w:hint="eastAsia"/>
                <w:color w:val="auto"/>
                <w:lang w:eastAsia="zh-CN"/>
              </w:rPr>
              <w:t>综合考虑选址的政策符合性、基础设施配套、环境敏感性以及与区域发展规划的协调性等因素，本项目选址是合理可行的。</w:t>
            </w:r>
          </w:p>
          <w:p w14:paraId="77F8D3C8">
            <w:pPr>
              <w:pStyle w:val="3"/>
              <w:bidi w:val="0"/>
              <w:jc w:val="both"/>
              <w:rPr>
                <w:rFonts w:hint="eastAsia"/>
                <w:color w:val="auto"/>
              </w:rPr>
            </w:pPr>
            <w:r>
              <w:rPr>
                <w:rFonts w:hint="eastAsia"/>
                <w:color w:val="auto"/>
                <w:lang w:val="en-US" w:eastAsia="zh-CN"/>
              </w:rPr>
              <w:t>项目建设情况的必要性分析</w:t>
            </w:r>
          </w:p>
          <w:p w14:paraId="21E6AEE1">
            <w:pPr>
              <w:pStyle w:val="5"/>
              <w:jc w:val="both"/>
              <w:rPr>
                <w:rFonts w:hint="eastAsia"/>
                <w:color w:val="auto"/>
                <w:lang w:eastAsia="zh-CN"/>
              </w:rPr>
            </w:pPr>
            <w:r>
              <w:rPr>
                <w:rFonts w:hint="eastAsia"/>
                <w:color w:val="auto"/>
                <w:lang w:eastAsia="zh-CN"/>
              </w:rPr>
              <w:t>项目的建设意义重大，不仅能够在很大程度上满足当前市场对隔热和隔音材料日益增长的需求，而且还能为当地的居民提供更多的就业机会，从而有效地推动区域经济的蓬勃发展。与此同时，本项目在实施的全过程中，始终严格地遵循国家以及地方所制定的各项环保法规和政策要求。无论是在项目的初始设计阶段、中期的施工建设阶段，还是后期的正式运营阶段，都全方位地充分考虑到环境保护这一关键因素。通过积极采用先进的生产工艺技术，并且配套实施有效的污染治理措施，从而确保在项目运营过程中所产生的各项污染物都能够实现达标排放，进而将对周边环境所产生的影响控制在极小的范围内。</w:t>
            </w:r>
          </w:p>
          <w:p w14:paraId="2D7D0365">
            <w:pPr>
              <w:pStyle w:val="5"/>
              <w:jc w:val="both"/>
              <w:rPr>
                <w:rFonts w:hint="eastAsia"/>
                <w:color w:val="auto"/>
                <w:lang w:eastAsia="zh-CN"/>
              </w:rPr>
            </w:pPr>
            <w:r>
              <w:rPr>
                <w:rFonts w:hint="eastAsia"/>
                <w:color w:val="auto"/>
                <w:lang w:eastAsia="zh-CN"/>
              </w:rPr>
              <w:t>此外，从宏观角度来看，本项目的建设完全符合库尔勒经济技术开发区整体的产业发展规划布局。项目的落地与推进有助于优化该区域现有的产业结构，促使产业向更加合理化、高端化的方向发展，进一步提升整个区域产业的综合竞争力。而这种竞争力的提升，又能够极大地促进开发区朝着可持续发展的目标稳步迈进，为开发区在未来实现更高质量的发展奠定坚实的基础。</w:t>
            </w:r>
          </w:p>
          <w:p w14:paraId="4EAA2E81">
            <w:pPr>
              <w:pStyle w:val="5"/>
              <w:jc w:val="both"/>
              <w:rPr>
                <w:rFonts w:hint="eastAsia"/>
                <w:color w:val="auto"/>
                <w:lang w:eastAsia="zh-CN"/>
              </w:rPr>
            </w:pPr>
          </w:p>
          <w:p w14:paraId="2E74EC86">
            <w:pPr>
              <w:pStyle w:val="5"/>
              <w:jc w:val="both"/>
              <w:rPr>
                <w:rFonts w:hint="eastAsia"/>
                <w:color w:val="auto"/>
                <w:lang w:eastAsia="zh-CN"/>
              </w:rPr>
            </w:pPr>
          </w:p>
          <w:p w14:paraId="640A4CF9">
            <w:pPr>
              <w:pStyle w:val="5"/>
              <w:jc w:val="both"/>
              <w:rPr>
                <w:rFonts w:hint="eastAsia"/>
                <w:color w:val="auto"/>
                <w:lang w:eastAsia="zh-CN"/>
              </w:rPr>
            </w:pPr>
          </w:p>
          <w:p w14:paraId="2D07565C">
            <w:pPr>
              <w:pStyle w:val="5"/>
              <w:jc w:val="both"/>
              <w:rPr>
                <w:rFonts w:hint="eastAsia"/>
                <w:color w:val="auto"/>
                <w:lang w:eastAsia="zh-CN"/>
              </w:rPr>
            </w:pPr>
          </w:p>
          <w:p w14:paraId="4CFD5BF4">
            <w:pPr>
              <w:pStyle w:val="5"/>
              <w:jc w:val="both"/>
              <w:rPr>
                <w:rFonts w:hint="eastAsia"/>
                <w:color w:val="auto"/>
                <w:lang w:eastAsia="zh-CN"/>
              </w:rPr>
            </w:pPr>
          </w:p>
          <w:p w14:paraId="73E307A5">
            <w:pPr>
              <w:pStyle w:val="5"/>
              <w:jc w:val="both"/>
              <w:rPr>
                <w:rFonts w:hint="eastAsia"/>
                <w:color w:val="auto"/>
                <w:lang w:eastAsia="zh-CN"/>
              </w:rPr>
            </w:pPr>
          </w:p>
          <w:p w14:paraId="6C194FBC">
            <w:pPr>
              <w:pStyle w:val="5"/>
              <w:jc w:val="both"/>
              <w:rPr>
                <w:rFonts w:hint="eastAsia"/>
                <w:color w:val="auto"/>
                <w:lang w:eastAsia="zh-CN"/>
              </w:rPr>
            </w:pPr>
          </w:p>
          <w:p w14:paraId="57F46CC3">
            <w:pPr>
              <w:pStyle w:val="5"/>
              <w:jc w:val="both"/>
              <w:rPr>
                <w:rFonts w:hint="eastAsia"/>
                <w:color w:val="auto"/>
                <w:lang w:eastAsia="zh-CN"/>
              </w:rPr>
            </w:pPr>
          </w:p>
          <w:p w14:paraId="430A23C8">
            <w:pPr>
              <w:pStyle w:val="5"/>
              <w:jc w:val="both"/>
              <w:rPr>
                <w:rFonts w:hint="eastAsia"/>
                <w:color w:val="auto"/>
                <w:lang w:eastAsia="zh-CN"/>
              </w:rPr>
            </w:pPr>
          </w:p>
          <w:p w14:paraId="24208621">
            <w:pPr>
              <w:pStyle w:val="5"/>
              <w:jc w:val="both"/>
              <w:rPr>
                <w:rFonts w:hint="eastAsia"/>
                <w:color w:val="auto"/>
                <w:lang w:eastAsia="zh-CN"/>
              </w:rPr>
            </w:pPr>
          </w:p>
          <w:p w14:paraId="5D9DB4F6">
            <w:pPr>
              <w:pStyle w:val="5"/>
              <w:jc w:val="both"/>
              <w:rPr>
                <w:rFonts w:hint="eastAsia"/>
                <w:color w:val="auto"/>
                <w:lang w:eastAsia="zh-CN"/>
              </w:rPr>
            </w:pPr>
          </w:p>
          <w:p w14:paraId="42256D76">
            <w:pPr>
              <w:pStyle w:val="5"/>
              <w:jc w:val="both"/>
              <w:rPr>
                <w:rFonts w:hint="eastAsia"/>
                <w:color w:val="auto"/>
                <w:lang w:eastAsia="zh-CN"/>
              </w:rPr>
            </w:pPr>
          </w:p>
          <w:p w14:paraId="1F8D9E98">
            <w:pPr>
              <w:pStyle w:val="5"/>
              <w:jc w:val="both"/>
              <w:rPr>
                <w:rFonts w:hint="eastAsia"/>
                <w:color w:val="auto"/>
                <w:lang w:eastAsia="zh-CN"/>
              </w:rPr>
            </w:pPr>
          </w:p>
          <w:p w14:paraId="7EC9C38C">
            <w:pPr>
              <w:pStyle w:val="5"/>
              <w:jc w:val="both"/>
              <w:rPr>
                <w:rFonts w:hint="eastAsia"/>
                <w:color w:val="auto"/>
                <w:lang w:eastAsia="zh-CN"/>
              </w:rPr>
            </w:pPr>
          </w:p>
          <w:p w14:paraId="139FA857">
            <w:pPr>
              <w:pStyle w:val="5"/>
              <w:jc w:val="both"/>
              <w:rPr>
                <w:rFonts w:hint="eastAsia"/>
                <w:color w:val="auto"/>
                <w:lang w:eastAsia="zh-CN"/>
              </w:rPr>
            </w:pPr>
          </w:p>
          <w:p w14:paraId="4EBF0271">
            <w:pPr>
              <w:pStyle w:val="5"/>
              <w:ind w:left="0" w:leftChars="0" w:firstLine="0" w:firstLineChars="0"/>
              <w:jc w:val="both"/>
              <w:rPr>
                <w:rFonts w:hint="eastAsia"/>
                <w:color w:val="auto"/>
                <w:lang w:eastAsia="zh-CN"/>
              </w:rPr>
            </w:pPr>
          </w:p>
        </w:tc>
      </w:tr>
    </w:tbl>
    <w:p w14:paraId="56F14590">
      <w:pPr>
        <w:pStyle w:val="5"/>
        <w:bidi w:val="0"/>
        <w:rPr>
          <w:rFonts w:hint="eastAsia"/>
          <w:color w:val="auto"/>
        </w:rPr>
        <w:sectPr>
          <w:pgSz w:w="11906" w:h="16838"/>
          <w:pgMar w:top="1701" w:right="1531" w:bottom="1701" w:left="1531" w:header="851" w:footer="1077" w:gutter="0"/>
          <w:pgNumType w:fmt="decimal" w:start="1"/>
          <w:cols w:space="720" w:num="1"/>
          <w:docGrid w:linePitch="312" w:charSpace="0"/>
        </w:sectPr>
      </w:pPr>
    </w:p>
    <w:p w14:paraId="42A20293">
      <w:pPr>
        <w:pStyle w:val="2"/>
        <w:bidi w:val="0"/>
        <w:rPr>
          <w:color w:val="auto"/>
        </w:rPr>
      </w:pPr>
      <w:r>
        <w:rPr>
          <w:rFonts w:hint="eastAsia"/>
          <w:color w:val="auto"/>
        </w:rPr>
        <w:t>建设项目工程分析</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7357"/>
      </w:tblGrid>
      <w:tr w14:paraId="1EDC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Align w:val="center"/>
          </w:tcPr>
          <w:p w14:paraId="604F0F6E">
            <w:pPr>
              <w:jc w:val="center"/>
              <w:rPr>
                <w:color w:val="auto"/>
                <w:vertAlign w:val="baseline"/>
              </w:rPr>
            </w:pPr>
            <w:r>
              <w:rPr>
                <w:rFonts w:hint="eastAsia"/>
                <w:color w:val="auto"/>
              </w:rPr>
              <w:t>建设内容</w:t>
            </w:r>
          </w:p>
        </w:tc>
        <w:tc>
          <w:tcPr>
            <w:tcW w:w="7357" w:type="dxa"/>
          </w:tcPr>
          <w:p w14:paraId="3032CB7F">
            <w:pPr>
              <w:pStyle w:val="3"/>
              <w:jc w:val="both"/>
              <w:rPr>
                <w:color w:val="auto"/>
              </w:rPr>
            </w:pPr>
            <w:r>
              <w:rPr>
                <w:rFonts w:hint="eastAsia"/>
                <w:color w:val="auto"/>
                <w:lang w:val="en-US" w:eastAsia="zh-CN"/>
              </w:rPr>
              <w:t>工程概况</w:t>
            </w:r>
          </w:p>
          <w:p w14:paraId="7563D158">
            <w:pPr>
              <w:pStyle w:val="5"/>
              <w:ind w:firstLine="480"/>
              <w:jc w:val="both"/>
              <w:rPr>
                <w:rFonts w:hint="default" w:eastAsia="宋体"/>
                <w:color w:val="auto"/>
                <w:lang w:val="en-US" w:eastAsia="zh-CN"/>
              </w:rPr>
            </w:pPr>
            <w:r>
              <w:rPr>
                <w:rFonts w:hint="eastAsia"/>
                <w:color w:val="auto"/>
                <w:lang w:val="en-US" w:eastAsia="zh-CN"/>
              </w:rPr>
              <w:t>本项目于</w:t>
            </w:r>
            <w:r>
              <w:rPr>
                <w:rFonts w:hint="eastAsia"/>
                <w:color w:val="auto"/>
              </w:rPr>
              <w:t>2025年</w:t>
            </w:r>
            <w:r>
              <w:rPr>
                <w:rFonts w:hint="eastAsia"/>
                <w:color w:val="auto"/>
                <w:lang w:val="en-US" w:eastAsia="zh-CN"/>
              </w:rPr>
              <w:t>10</w:t>
            </w:r>
            <w:r>
              <w:rPr>
                <w:rFonts w:hint="eastAsia"/>
                <w:color w:val="auto"/>
              </w:rPr>
              <w:t>月</w:t>
            </w:r>
            <w:r>
              <w:rPr>
                <w:rFonts w:hint="eastAsia"/>
                <w:color w:val="auto"/>
                <w:lang w:val="en-US" w:eastAsia="zh-CN"/>
              </w:rPr>
              <w:t>22</w:t>
            </w:r>
            <w:r>
              <w:rPr>
                <w:rFonts w:hint="eastAsia"/>
                <w:color w:val="auto"/>
              </w:rPr>
              <w:t>日经库尔勒经济技术开发区管理委员会经济发展局备案，项目代码为</w:t>
            </w:r>
            <w:r>
              <w:rPr>
                <w:rFonts w:hint="eastAsia"/>
                <w:color w:val="auto"/>
                <w:lang w:val="en-US" w:eastAsia="zh-CN"/>
              </w:rPr>
              <w:t xml:space="preserve">     项目中心地理坐标为</w:t>
            </w:r>
            <w:r>
              <w:rPr>
                <w:rFonts w:hint="default" w:ascii="Times New Roman" w:hAnsi="Times New Roman" w:cs="Times New Roman"/>
                <w:color w:val="auto"/>
                <w:lang w:val="en-US" w:eastAsia="zh-CN"/>
              </w:rPr>
              <w:t>E:86°13′18.030″，N</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41°</w:t>
            </w:r>
            <w:r>
              <w:rPr>
                <w:rFonts w:hint="eastAsia" w:cs="Times New Roman"/>
                <w:color w:val="auto"/>
                <w:lang w:val="en-US" w:eastAsia="zh-CN"/>
              </w:rPr>
              <w:t>40</w:t>
            </w:r>
            <w:r>
              <w:rPr>
                <w:rFonts w:hint="default" w:ascii="Times New Roman" w:hAnsi="Times New Roman" w:cs="Times New Roman"/>
                <w:color w:val="auto"/>
                <w:lang w:val="en-US" w:eastAsia="zh-CN"/>
              </w:rPr>
              <w:t>′</w:t>
            </w:r>
            <w:r>
              <w:rPr>
                <w:rFonts w:hint="eastAsia" w:cs="Times New Roman"/>
                <w:color w:val="auto"/>
                <w:lang w:val="en-US" w:eastAsia="zh-CN"/>
              </w:rPr>
              <w:t>19.926</w:t>
            </w:r>
            <w:r>
              <w:rPr>
                <w:rFonts w:hint="default" w:ascii="Times New Roman" w:hAnsi="Times New Roman" w:cs="Times New Roman"/>
                <w:color w:val="auto"/>
                <w:lang w:val="en-US" w:eastAsia="zh-CN"/>
              </w:rPr>
              <w:t>″</w:t>
            </w:r>
            <w:r>
              <w:rPr>
                <w:rFonts w:hint="eastAsia"/>
                <w:color w:val="auto"/>
                <w:lang w:val="en-US" w:eastAsia="zh-CN"/>
              </w:rPr>
              <w:t>。项目西侧为巴州美邦建材有限公司，北侧为君奥管道防腐保温工程有限公司，南侧为巴州拓尉路桥建设有限责任公司，东侧为空地。</w:t>
            </w:r>
          </w:p>
          <w:p w14:paraId="5F220BB9">
            <w:pPr>
              <w:pStyle w:val="5"/>
              <w:bidi w:val="0"/>
              <w:jc w:val="both"/>
              <w:rPr>
                <w:rFonts w:hint="default" w:eastAsia="宋体"/>
                <w:color w:val="auto"/>
                <w:lang w:val="en-US" w:eastAsia="zh-CN"/>
              </w:rPr>
            </w:pPr>
            <w:r>
              <w:rPr>
                <w:rFonts w:hint="eastAsia"/>
                <w:color w:val="auto"/>
                <w:lang w:val="en-US" w:eastAsia="zh-CN"/>
              </w:rPr>
              <w:t>具体地理位置如下图。</w:t>
            </w:r>
          </w:p>
          <w:p w14:paraId="08646A62">
            <w:pPr>
              <w:jc w:val="both"/>
              <w:rPr>
                <w:color w:val="auto"/>
              </w:rPr>
            </w:pPr>
          </w:p>
          <w:p w14:paraId="752B2B6E">
            <w:pPr>
              <w:pStyle w:val="5"/>
              <w:bidi w:val="0"/>
              <w:jc w:val="both"/>
              <w:rPr>
                <w:color w:val="auto"/>
              </w:rPr>
            </w:pPr>
          </w:p>
          <w:p w14:paraId="5DF50338">
            <w:pPr>
              <w:pStyle w:val="5"/>
              <w:bidi w:val="0"/>
              <w:jc w:val="both"/>
              <w:rPr>
                <w:color w:val="auto"/>
              </w:rPr>
            </w:pPr>
          </w:p>
          <w:p w14:paraId="757EA4F9">
            <w:pPr>
              <w:pStyle w:val="5"/>
              <w:bidi w:val="0"/>
              <w:jc w:val="both"/>
              <w:rPr>
                <w:color w:val="auto"/>
              </w:rPr>
            </w:pPr>
          </w:p>
          <w:p w14:paraId="111585F4">
            <w:pPr>
              <w:pStyle w:val="5"/>
              <w:bidi w:val="0"/>
              <w:jc w:val="both"/>
              <w:rPr>
                <w:color w:val="auto"/>
              </w:rPr>
            </w:pPr>
          </w:p>
          <w:p w14:paraId="7EBC1506">
            <w:pPr>
              <w:pStyle w:val="5"/>
              <w:bidi w:val="0"/>
              <w:jc w:val="both"/>
              <w:rPr>
                <w:color w:val="auto"/>
              </w:rPr>
            </w:pPr>
          </w:p>
          <w:p w14:paraId="12EEE236">
            <w:pPr>
              <w:pStyle w:val="5"/>
              <w:bidi w:val="0"/>
              <w:jc w:val="both"/>
              <w:rPr>
                <w:color w:val="auto"/>
              </w:rPr>
            </w:pPr>
          </w:p>
          <w:p w14:paraId="770C321F">
            <w:pPr>
              <w:pStyle w:val="5"/>
              <w:bidi w:val="0"/>
              <w:jc w:val="both"/>
              <w:rPr>
                <w:color w:val="auto"/>
              </w:rPr>
            </w:pPr>
          </w:p>
          <w:p w14:paraId="77D9139D">
            <w:pPr>
              <w:pStyle w:val="5"/>
              <w:bidi w:val="0"/>
              <w:jc w:val="both"/>
              <w:rPr>
                <w:color w:val="auto"/>
              </w:rPr>
            </w:pPr>
          </w:p>
          <w:p w14:paraId="130CD63A">
            <w:pPr>
              <w:pStyle w:val="5"/>
              <w:bidi w:val="0"/>
              <w:jc w:val="both"/>
              <w:rPr>
                <w:color w:val="auto"/>
              </w:rPr>
            </w:pPr>
          </w:p>
          <w:p w14:paraId="52F585AF">
            <w:pPr>
              <w:pStyle w:val="5"/>
              <w:bidi w:val="0"/>
              <w:jc w:val="both"/>
              <w:rPr>
                <w:color w:val="auto"/>
              </w:rPr>
            </w:pPr>
          </w:p>
          <w:p w14:paraId="65F619F7">
            <w:pPr>
              <w:pStyle w:val="5"/>
              <w:bidi w:val="0"/>
              <w:jc w:val="both"/>
              <w:rPr>
                <w:color w:val="auto"/>
              </w:rPr>
            </w:pPr>
          </w:p>
          <w:p w14:paraId="0D89E4B3">
            <w:pPr>
              <w:pStyle w:val="5"/>
              <w:bidi w:val="0"/>
              <w:jc w:val="both"/>
              <w:rPr>
                <w:color w:val="auto"/>
              </w:rPr>
            </w:pPr>
          </w:p>
          <w:p w14:paraId="04A56F4B">
            <w:pPr>
              <w:pStyle w:val="5"/>
              <w:bidi w:val="0"/>
              <w:jc w:val="both"/>
              <w:rPr>
                <w:color w:val="auto"/>
              </w:rPr>
            </w:pPr>
          </w:p>
          <w:p w14:paraId="477BA945">
            <w:pPr>
              <w:pStyle w:val="5"/>
              <w:bidi w:val="0"/>
              <w:jc w:val="both"/>
              <w:rPr>
                <w:color w:val="auto"/>
              </w:rPr>
            </w:pPr>
          </w:p>
          <w:p w14:paraId="713C8220">
            <w:pPr>
              <w:pStyle w:val="5"/>
              <w:bidi w:val="0"/>
              <w:jc w:val="both"/>
              <w:rPr>
                <w:color w:val="auto"/>
              </w:rPr>
            </w:pPr>
          </w:p>
          <w:p w14:paraId="754B707D">
            <w:pPr>
              <w:pStyle w:val="5"/>
              <w:bidi w:val="0"/>
              <w:jc w:val="both"/>
              <w:rPr>
                <w:color w:val="auto"/>
              </w:rPr>
            </w:pPr>
          </w:p>
          <w:p w14:paraId="23653C63">
            <w:pPr>
              <w:pStyle w:val="5"/>
              <w:bidi w:val="0"/>
              <w:jc w:val="both"/>
              <w:rPr>
                <w:color w:val="auto"/>
              </w:rPr>
            </w:pPr>
          </w:p>
          <w:p w14:paraId="25927F82">
            <w:pPr>
              <w:pStyle w:val="5"/>
              <w:bidi w:val="0"/>
              <w:jc w:val="both"/>
              <w:rPr>
                <w:color w:val="auto"/>
              </w:rPr>
            </w:pPr>
          </w:p>
          <w:p w14:paraId="1C9FA130">
            <w:pPr>
              <w:pStyle w:val="5"/>
              <w:bidi w:val="0"/>
              <w:jc w:val="both"/>
              <w:rPr>
                <w:color w:val="auto"/>
              </w:rPr>
            </w:pPr>
          </w:p>
          <w:p w14:paraId="28A05A96">
            <w:pPr>
              <w:pStyle w:val="5"/>
              <w:bidi w:val="0"/>
              <w:jc w:val="both"/>
              <w:rPr>
                <w:color w:val="auto"/>
              </w:rPr>
            </w:pPr>
          </w:p>
          <w:p w14:paraId="513E8E9A">
            <w:pPr>
              <w:pStyle w:val="5"/>
              <w:bidi w:val="0"/>
              <w:jc w:val="both"/>
              <w:rPr>
                <w:color w:val="auto"/>
              </w:rPr>
            </w:pPr>
          </w:p>
          <w:p w14:paraId="2D4A6CD1">
            <w:pPr>
              <w:jc w:val="both"/>
              <w:rPr>
                <w:color w:val="auto"/>
              </w:rPr>
            </w:pPr>
          </w:p>
        </w:tc>
      </w:tr>
    </w:tbl>
    <w:p w14:paraId="47A620B8">
      <w:pPr>
        <w:rPr>
          <w:color w:val="auto"/>
        </w:rPr>
        <w:sectPr>
          <w:footerReference r:id="rId8" w:type="default"/>
          <w:pgSz w:w="11906" w:h="16838"/>
          <w:pgMar w:top="1701" w:right="1531" w:bottom="1701" w:left="1531" w:header="851" w:footer="851" w:gutter="0"/>
          <w:pgNumType w:fmt="decimal"/>
          <w:cols w:space="720" w:num="1"/>
          <w:docGrid w:linePitch="312" w:charSpace="0"/>
        </w:sectPr>
      </w:pPr>
    </w:p>
    <w:p w14:paraId="2A46CC8F">
      <w:pPr>
        <w:pStyle w:val="5"/>
        <w:bidi w:val="0"/>
        <w:ind w:left="0" w:leftChars="0" w:firstLine="0" w:firstLineChars="0"/>
        <w:rPr>
          <w:rFonts w:hint="eastAsia" w:eastAsia="宋体"/>
          <w:color w:val="auto"/>
          <w:lang w:eastAsia="zh-CN"/>
        </w:rPr>
      </w:pPr>
    </w:p>
    <w:p w14:paraId="4B2C1ECA">
      <w:pPr>
        <w:pStyle w:val="12"/>
        <w:bidi w:val="0"/>
        <w:ind w:left="0" w:leftChars="0" w:firstLine="0" w:firstLineChars="0"/>
        <w:outlineLvl w:val="9"/>
        <w:rPr>
          <w:rFonts w:hint="default" w:eastAsia="黑体"/>
          <w:color w:val="auto"/>
          <w:lang w:val="en-US" w:eastAsia="zh-CN"/>
        </w:rPr>
      </w:pPr>
      <w:r>
        <w:t xml:space="preserve">图 </w:t>
      </w:r>
      <w:r>
        <w:fldChar w:fldCharType="begin"/>
      </w:r>
      <w:r>
        <w:instrText xml:space="preserve"> SEQ 图 \* ARABIC </w:instrText>
      </w:r>
      <w:r>
        <w:fldChar w:fldCharType="separate"/>
      </w:r>
      <w:r>
        <w:t>3</w:t>
      </w:r>
      <w:r>
        <w:fldChar w:fldCharType="end"/>
      </w:r>
      <w:r>
        <w:rPr>
          <w:rFonts w:hint="eastAsia"/>
          <w:lang w:val="en-US" w:eastAsia="zh-CN"/>
        </w:rPr>
        <w:t xml:space="preserve">  地理位置示意图</w:t>
      </w:r>
    </w:p>
    <w:p w14:paraId="06F9215F">
      <w:pPr>
        <w:pStyle w:val="12"/>
        <w:bidi w:val="0"/>
        <w:ind w:left="0" w:leftChars="0" w:firstLine="0" w:firstLineChars="0"/>
        <w:outlineLvl w:val="9"/>
        <w:rPr>
          <w:rFonts w:hint="eastAsia"/>
          <w:color w:val="auto"/>
          <w:lang w:val="en-US" w:eastAsia="zh-CN"/>
        </w:rPr>
        <w:sectPr>
          <w:pgSz w:w="11906" w:h="16838"/>
          <w:pgMar w:top="1701" w:right="1531" w:bottom="1701" w:left="1531" w:header="851" w:footer="851" w:gutter="0"/>
          <w:pgNumType w:fmt="decimal"/>
          <w:cols w:space="720" w:num="1"/>
          <w:docGrid w:linePitch="312" w:charSpace="0"/>
        </w:sectPr>
      </w:pP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29"/>
        <w:gridCol w:w="7310"/>
      </w:tblGrid>
      <w:tr w14:paraId="4F5EC8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95" w:hRule="atLeast"/>
          <w:jc w:val="center"/>
        </w:trPr>
        <w:tc>
          <w:tcPr>
            <w:tcW w:w="1729" w:type="dxa"/>
            <w:vAlign w:val="center"/>
          </w:tcPr>
          <w:p w14:paraId="7D3A07BE">
            <w:pPr>
              <w:pStyle w:val="5"/>
              <w:bidi w:val="0"/>
              <w:ind w:left="0" w:leftChars="0" w:firstLine="0" w:firstLineChars="0"/>
              <w:jc w:val="center"/>
              <w:rPr>
                <w:color w:val="auto"/>
              </w:rPr>
            </w:pPr>
            <w:r>
              <w:rPr>
                <w:rFonts w:hint="eastAsia"/>
                <w:color w:val="auto"/>
              </w:rPr>
              <w:t>建设内容</w:t>
            </w:r>
          </w:p>
        </w:tc>
        <w:tc>
          <w:tcPr>
            <w:tcW w:w="7310" w:type="dxa"/>
          </w:tcPr>
          <w:p w14:paraId="1FC26C08">
            <w:pPr>
              <w:pStyle w:val="4"/>
              <w:bidi w:val="0"/>
              <w:rPr>
                <w:rFonts w:hint="default"/>
                <w:color w:val="auto"/>
              </w:rPr>
            </w:pPr>
            <w:r>
              <w:rPr>
                <w:rFonts w:hint="eastAsia"/>
                <w:color w:val="auto"/>
                <w:lang w:val="en-US" w:eastAsia="zh-CN"/>
              </w:rPr>
              <w:t>项目组成</w:t>
            </w:r>
          </w:p>
          <w:p w14:paraId="09DC88EF">
            <w:pPr>
              <w:pStyle w:val="5"/>
              <w:ind w:firstLine="480"/>
              <w:rPr>
                <w:rFonts w:hint="eastAsia" w:eastAsia="宋体"/>
                <w:color w:val="auto"/>
                <w:lang w:eastAsia="zh-CN"/>
              </w:rPr>
            </w:pPr>
            <w:r>
              <w:rPr>
                <w:rFonts w:hint="eastAsia"/>
                <w:color w:val="auto"/>
                <w:lang w:val="en-US" w:eastAsia="zh-CN"/>
              </w:rPr>
              <w:t>本项目新建约7300m</w:t>
            </w:r>
            <w:r>
              <w:rPr>
                <w:rFonts w:hint="eastAsia"/>
                <w:color w:val="auto"/>
                <w:vertAlign w:val="superscript"/>
                <w:lang w:val="en-US" w:eastAsia="zh-CN"/>
              </w:rPr>
              <w:t>2</w:t>
            </w:r>
            <w:r>
              <w:rPr>
                <w:rFonts w:hint="eastAsia"/>
                <w:color w:val="auto"/>
                <w:lang w:val="en-US" w:eastAsia="zh-CN"/>
              </w:rPr>
              <w:t>制造车间，引进刮平放卷一体机、平移机、烘干机、裁切开槽机、旋转机等设备，构成一条新型环保防水背衬板加工生产线，并配备辅助设备。同时，配套建设设备间、配电房、环保处理站及门卫室等公共设施。项目建成后，可实现年产新型环保防水背衬板100万m</w:t>
            </w:r>
            <w:r>
              <w:rPr>
                <w:rFonts w:hint="eastAsia"/>
                <w:color w:val="auto"/>
                <w:vertAlign w:val="superscript"/>
                <w:lang w:val="en-US" w:eastAsia="zh-CN"/>
              </w:rPr>
              <w:t>2</w:t>
            </w:r>
            <w:r>
              <w:rPr>
                <w:rFonts w:hint="eastAsia"/>
                <w:color w:val="auto"/>
                <w:lang w:val="en-US" w:eastAsia="zh-CN"/>
              </w:rPr>
              <w:t>。</w:t>
            </w:r>
          </w:p>
          <w:p w14:paraId="179908E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8</w:t>
            </w:r>
            <w:r>
              <w:rPr>
                <w:color w:val="auto"/>
              </w:rPr>
              <w:fldChar w:fldCharType="end"/>
            </w:r>
            <w:r>
              <w:rPr>
                <w:rFonts w:hint="eastAsia"/>
                <w:color w:val="auto"/>
                <w:lang w:val="en-US" w:eastAsia="zh-CN"/>
              </w:rPr>
              <w:t xml:space="preserve">  项目组成表</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634"/>
              <w:gridCol w:w="3478"/>
              <w:gridCol w:w="1077"/>
            </w:tblGrid>
            <w:tr w14:paraId="78F4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3C164877">
                  <w:pPr>
                    <w:pStyle w:val="19"/>
                    <w:bidi w:val="0"/>
                    <w:jc w:val="center"/>
                    <w:rPr>
                      <w:rFonts w:hint="default"/>
                      <w:color w:val="auto"/>
                      <w:lang w:val="en-US" w:eastAsia="zh-CN"/>
                    </w:rPr>
                  </w:pPr>
                  <w:r>
                    <w:rPr>
                      <w:rFonts w:hint="eastAsia"/>
                      <w:color w:val="auto"/>
                      <w:lang w:val="en-US" w:eastAsia="zh-CN"/>
                    </w:rPr>
                    <w:t>类别</w:t>
                  </w:r>
                </w:p>
              </w:tc>
              <w:tc>
                <w:tcPr>
                  <w:tcW w:w="5112" w:type="dxa"/>
                  <w:gridSpan w:val="2"/>
                  <w:vAlign w:val="center"/>
                </w:tcPr>
                <w:p w14:paraId="7421BBFA">
                  <w:pPr>
                    <w:pStyle w:val="19"/>
                    <w:bidi w:val="0"/>
                    <w:jc w:val="center"/>
                    <w:rPr>
                      <w:rFonts w:hint="eastAsia"/>
                      <w:color w:val="auto"/>
                      <w:lang w:val="en-US" w:eastAsia="zh-CN"/>
                    </w:rPr>
                  </w:pPr>
                  <w:r>
                    <w:rPr>
                      <w:rFonts w:hint="eastAsia"/>
                      <w:color w:val="auto"/>
                      <w:lang w:val="en-US" w:eastAsia="zh-CN"/>
                    </w:rPr>
                    <w:t>建设内容</w:t>
                  </w:r>
                </w:p>
              </w:tc>
              <w:tc>
                <w:tcPr>
                  <w:tcW w:w="1077" w:type="dxa"/>
                  <w:vAlign w:val="center"/>
                </w:tcPr>
                <w:p w14:paraId="44802A55">
                  <w:pPr>
                    <w:pStyle w:val="19"/>
                    <w:bidi w:val="0"/>
                    <w:jc w:val="center"/>
                    <w:rPr>
                      <w:rFonts w:hint="default"/>
                      <w:color w:val="auto"/>
                      <w:lang w:val="en-US" w:eastAsia="zh-CN"/>
                    </w:rPr>
                  </w:pPr>
                  <w:r>
                    <w:rPr>
                      <w:rFonts w:hint="eastAsia"/>
                      <w:color w:val="auto"/>
                      <w:lang w:val="en-US" w:eastAsia="zh-CN"/>
                    </w:rPr>
                    <w:t>备注</w:t>
                  </w:r>
                </w:p>
              </w:tc>
            </w:tr>
            <w:tr w14:paraId="0EFC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97" w:type="dxa"/>
                  <w:vAlign w:val="center"/>
                </w:tcPr>
                <w:p w14:paraId="5F0E70C0">
                  <w:pPr>
                    <w:pStyle w:val="19"/>
                    <w:bidi w:val="0"/>
                    <w:jc w:val="center"/>
                    <w:rPr>
                      <w:rFonts w:hint="default"/>
                      <w:color w:val="auto"/>
                      <w:lang w:val="en-US" w:eastAsia="zh-CN"/>
                    </w:rPr>
                  </w:pPr>
                  <w:r>
                    <w:rPr>
                      <w:rFonts w:hint="eastAsia"/>
                      <w:color w:val="auto"/>
                      <w:lang w:val="en-US" w:eastAsia="zh-CN"/>
                    </w:rPr>
                    <w:t>主体工程</w:t>
                  </w:r>
                </w:p>
              </w:tc>
              <w:tc>
                <w:tcPr>
                  <w:tcW w:w="1634" w:type="dxa"/>
                  <w:vAlign w:val="center"/>
                </w:tcPr>
                <w:p w14:paraId="013131C2">
                  <w:pPr>
                    <w:pStyle w:val="19"/>
                    <w:bidi w:val="0"/>
                    <w:jc w:val="center"/>
                    <w:rPr>
                      <w:rFonts w:hint="default"/>
                      <w:color w:val="auto"/>
                      <w:lang w:val="en-US" w:eastAsia="zh-CN"/>
                    </w:rPr>
                  </w:pPr>
                  <w:r>
                    <w:rPr>
                      <w:rFonts w:hint="eastAsia"/>
                      <w:color w:val="auto"/>
                      <w:lang w:val="en-US" w:eastAsia="zh-CN"/>
                    </w:rPr>
                    <w:t>生产车间1座</w:t>
                  </w:r>
                </w:p>
              </w:tc>
              <w:tc>
                <w:tcPr>
                  <w:tcW w:w="3478" w:type="dxa"/>
                  <w:vAlign w:val="center"/>
                </w:tcPr>
                <w:p w14:paraId="3D44F3F1">
                  <w:pPr>
                    <w:pStyle w:val="19"/>
                    <w:bidi w:val="0"/>
                    <w:jc w:val="both"/>
                    <w:rPr>
                      <w:rFonts w:hint="default"/>
                      <w:color w:val="auto"/>
                      <w:lang w:val="en-US" w:eastAsia="zh-CN"/>
                    </w:rPr>
                  </w:pPr>
                  <w:r>
                    <w:rPr>
                      <w:rFonts w:hint="eastAsia"/>
                      <w:color w:val="auto"/>
                      <w:lang w:val="en-US" w:eastAsia="zh-CN"/>
                    </w:rPr>
                    <w:t>钢架结构，占地7300m</w:t>
                  </w:r>
                  <w:r>
                    <w:rPr>
                      <w:rFonts w:hint="eastAsia"/>
                      <w:color w:val="auto"/>
                      <w:vertAlign w:val="superscript"/>
                      <w:lang w:val="en-US" w:eastAsia="zh-CN"/>
                    </w:rPr>
                    <w:t>2</w:t>
                  </w:r>
                  <w:r>
                    <w:rPr>
                      <w:rFonts w:hint="eastAsia"/>
                      <w:color w:val="auto"/>
                      <w:lang w:val="en-US" w:eastAsia="zh-CN"/>
                    </w:rPr>
                    <w:t>，高9.5m</w:t>
                  </w:r>
                </w:p>
              </w:tc>
              <w:tc>
                <w:tcPr>
                  <w:tcW w:w="1077" w:type="dxa"/>
                  <w:vAlign w:val="center"/>
                </w:tcPr>
                <w:p w14:paraId="4F84903F">
                  <w:pPr>
                    <w:pStyle w:val="19"/>
                    <w:bidi w:val="0"/>
                    <w:jc w:val="center"/>
                    <w:rPr>
                      <w:rFonts w:hint="default"/>
                      <w:color w:val="auto"/>
                      <w:lang w:val="en-US" w:eastAsia="zh-CN"/>
                    </w:rPr>
                  </w:pPr>
                  <w:r>
                    <w:rPr>
                      <w:rFonts w:hint="eastAsia"/>
                      <w:color w:val="auto"/>
                      <w:lang w:val="en-US" w:eastAsia="zh-CN"/>
                    </w:rPr>
                    <w:t>新建</w:t>
                  </w:r>
                </w:p>
              </w:tc>
            </w:tr>
            <w:tr w14:paraId="20EF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97" w:type="dxa"/>
                  <w:vMerge w:val="restart"/>
                  <w:vAlign w:val="center"/>
                </w:tcPr>
                <w:p w14:paraId="67FC1077">
                  <w:pPr>
                    <w:pStyle w:val="19"/>
                    <w:bidi w:val="0"/>
                    <w:jc w:val="center"/>
                    <w:rPr>
                      <w:rFonts w:hint="default"/>
                      <w:color w:val="auto"/>
                      <w:lang w:val="en-US" w:eastAsia="zh-CN"/>
                    </w:rPr>
                  </w:pPr>
                  <w:r>
                    <w:rPr>
                      <w:rFonts w:hint="eastAsia"/>
                      <w:color w:val="auto"/>
                      <w:lang w:val="en-US" w:eastAsia="zh-CN"/>
                    </w:rPr>
                    <w:t>储运工程</w:t>
                  </w:r>
                </w:p>
              </w:tc>
              <w:tc>
                <w:tcPr>
                  <w:tcW w:w="1634" w:type="dxa"/>
                  <w:vAlign w:val="center"/>
                </w:tcPr>
                <w:p w14:paraId="6314FF06">
                  <w:pPr>
                    <w:pStyle w:val="19"/>
                    <w:bidi w:val="0"/>
                    <w:jc w:val="center"/>
                    <w:rPr>
                      <w:rFonts w:hint="eastAsia"/>
                      <w:color w:val="auto"/>
                      <w:lang w:val="en-US" w:eastAsia="zh-CN"/>
                    </w:rPr>
                  </w:pPr>
                  <w:r>
                    <w:rPr>
                      <w:rFonts w:hint="eastAsia"/>
                      <w:color w:val="auto"/>
                      <w:lang w:val="en-US" w:eastAsia="zh-CN"/>
                    </w:rPr>
                    <w:t>水泥储料仓</w:t>
                  </w:r>
                </w:p>
              </w:tc>
              <w:tc>
                <w:tcPr>
                  <w:tcW w:w="3478" w:type="dxa"/>
                  <w:vAlign w:val="center"/>
                </w:tcPr>
                <w:p w14:paraId="3F951533">
                  <w:pPr>
                    <w:pStyle w:val="19"/>
                    <w:bidi w:val="0"/>
                    <w:jc w:val="center"/>
                    <w:rPr>
                      <w:rFonts w:hint="eastAsia"/>
                      <w:color w:val="auto"/>
                      <w:lang w:val="en-US" w:eastAsia="zh-CN"/>
                    </w:rPr>
                  </w:pPr>
                  <w:r>
                    <w:rPr>
                      <w:rFonts w:hint="eastAsia"/>
                      <w:color w:val="auto"/>
                      <w:lang w:val="en-US" w:eastAsia="zh-CN"/>
                    </w:rPr>
                    <w:t>设置一间340m</w:t>
                  </w:r>
                  <w:r>
                    <w:rPr>
                      <w:rFonts w:hint="eastAsia"/>
                      <w:color w:val="auto"/>
                      <w:vertAlign w:val="superscript"/>
                      <w:lang w:val="en-US" w:eastAsia="zh-CN"/>
                    </w:rPr>
                    <w:t>3</w:t>
                  </w:r>
                  <w:r>
                    <w:rPr>
                      <w:rFonts w:hint="eastAsia"/>
                      <w:color w:val="auto"/>
                      <w:vertAlign w:val="baseline"/>
                      <w:lang w:val="en-US" w:eastAsia="zh-CN"/>
                    </w:rPr>
                    <w:t>的储料仓用于储存水泥</w:t>
                  </w:r>
                </w:p>
              </w:tc>
              <w:tc>
                <w:tcPr>
                  <w:tcW w:w="1077" w:type="dxa"/>
                  <w:vAlign w:val="center"/>
                </w:tcPr>
                <w:p w14:paraId="04F5D08D">
                  <w:pPr>
                    <w:pStyle w:val="19"/>
                    <w:bidi w:val="0"/>
                    <w:jc w:val="center"/>
                    <w:rPr>
                      <w:rFonts w:hint="eastAsia"/>
                      <w:color w:val="auto"/>
                      <w:lang w:val="en-US" w:eastAsia="zh-CN"/>
                    </w:rPr>
                  </w:pPr>
                  <w:r>
                    <w:rPr>
                      <w:rFonts w:hint="eastAsia"/>
                      <w:color w:val="auto"/>
                      <w:lang w:val="en-US" w:eastAsia="zh-CN"/>
                    </w:rPr>
                    <w:t>新建</w:t>
                  </w:r>
                </w:p>
              </w:tc>
            </w:tr>
            <w:tr w14:paraId="2359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97" w:type="dxa"/>
                  <w:vMerge w:val="continue"/>
                  <w:vAlign w:val="center"/>
                </w:tcPr>
                <w:p w14:paraId="3D808CF1">
                  <w:pPr>
                    <w:pStyle w:val="19"/>
                    <w:bidi w:val="0"/>
                    <w:jc w:val="center"/>
                    <w:rPr>
                      <w:rFonts w:hint="eastAsia"/>
                      <w:color w:val="auto"/>
                      <w:lang w:val="en-US" w:eastAsia="zh-CN"/>
                    </w:rPr>
                  </w:pPr>
                </w:p>
              </w:tc>
              <w:tc>
                <w:tcPr>
                  <w:tcW w:w="1634" w:type="dxa"/>
                  <w:vAlign w:val="center"/>
                </w:tcPr>
                <w:p w14:paraId="7F1F080A">
                  <w:pPr>
                    <w:pStyle w:val="19"/>
                    <w:bidi w:val="0"/>
                    <w:jc w:val="center"/>
                    <w:rPr>
                      <w:rFonts w:hint="eastAsia"/>
                      <w:color w:val="auto"/>
                      <w:lang w:val="en-US" w:eastAsia="zh-CN"/>
                    </w:rPr>
                  </w:pPr>
                  <w:r>
                    <w:rPr>
                      <w:rFonts w:hint="eastAsia"/>
                      <w:color w:val="auto"/>
                      <w:lang w:val="en-US" w:eastAsia="zh-CN"/>
                    </w:rPr>
                    <w:t>粉煤灰储料仓</w:t>
                  </w:r>
                </w:p>
              </w:tc>
              <w:tc>
                <w:tcPr>
                  <w:tcW w:w="3478" w:type="dxa"/>
                  <w:vAlign w:val="center"/>
                </w:tcPr>
                <w:p w14:paraId="3C7031B4">
                  <w:pPr>
                    <w:pStyle w:val="19"/>
                    <w:bidi w:val="0"/>
                    <w:jc w:val="center"/>
                    <w:rPr>
                      <w:rFonts w:hint="eastAsia"/>
                      <w:color w:val="auto"/>
                      <w:lang w:val="en-US" w:eastAsia="zh-CN"/>
                    </w:rPr>
                  </w:pPr>
                  <w:r>
                    <w:rPr>
                      <w:rFonts w:hint="eastAsia"/>
                      <w:color w:val="auto"/>
                      <w:lang w:val="en-US" w:eastAsia="zh-CN"/>
                    </w:rPr>
                    <w:t>设置一间360m</w:t>
                  </w:r>
                  <w:r>
                    <w:rPr>
                      <w:rFonts w:hint="eastAsia"/>
                      <w:color w:val="auto"/>
                      <w:vertAlign w:val="superscript"/>
                      <w:lang w:val="en-US" w:eastAsia="zh-CN"/>
                    </w:rPr>
                    <w:t>3</w:t>
                  </w:r>
                  <w:r>
                    <w:rPr>
                      <w:rFonts w:hint="eastAsia"/>
                      <w:color w:val="auto"/>
                      <w:vertAlign w:val="baseline"/>
                      <w:lang w:val="en-US" w:eastAsia="zh-CN"/>
                    </w:rPr>
                    <w:t>的储料仓用于储存粉煤灰</w:t>
                  </w:r>
                </w:p>
              </w:tc>
              <w:tc>
                <w:tcPr>
                  <w:tcW w:w="1077" w:type="dxa"/>
                  <w:vAlign w:val="center"/>
                </w:tcPr>
                <w:p w14:paraId="3C258279">
                  <w:pPr>
                    <w:pStyle w:val="19"/>
                    <w:bidi w:val="0"/>
                    <w:jc w:val="center"/>
                    <w:rPr>
                      <w:rFonts w:hint="default"/>
                      <w:color w:val="auto"/>
                      <w:lang w:val="en-US" w:eastAsia="zh-CN"/>
                    </w:rPr>
                  </w:pPr>
                  <w:r>
                    <w:rPr>
                      <w:rFonts w:hint="eastAsia"/>
                      <w:color w:val="auto"/>
                      <w:lang w:val="en-US" w:eastAsia="zh-CN"/>
                    </w:rPr>
                    <w:t>新建</w:t>
                  </w:r>
                </w:p>
              </w:tc>
            </w:tr>
            <w:tr w14:paraId="59D6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97" w:type="dxa"/>
                  <w:vMerge w:val="continue"/>
                  <w:vAlign w:val="center"/>
                </w:tcPr>
                <w:p w14:paraId="1375CF92">
                  <w:pPr>
                    <w:pStyle w:val="19"/>
                    <w:bidi w:val="0"/>
                    <w:jc w:val="center"/>
                    <w:rPr>
                      <w:rFonts w:hint="eastAsia"/>
                      <w:color w:val="auto"/>
                      <w:lang w:val="en-US" w:eastAsia="zh-CN"/>
                    </w:rPr>
                  </w:pPr>
                </w:p>
              </w:tc>
              <w:tc>
                <w:tcPr>
                  <w:tcW w:w="1634" w:type="dxa"/>
                  <w:vAlign w:val="center"/>
                </w:tcPr>
                <w:p w14:paraId="521623D4">
                  <w:pPr>
                    <w:pStyle w:val="19"/>
                    <w:bidi w:val="0"/>
                    <w:jc w:val="center"/>
                    <w:rPr>
                      <w:rFonts w:hint="eastAsia"/>
                      <w:color w:val="auto"/>
                      <w:lang w:val="en-US" w:eastAsia="zh-CN"/>
                    </w:rPr>
                  </w:pPr>
                  <w:r>
                    <w:rPr>
                      <w:rFonts w:hint="eastAsia"/>
                      <w:color w:val="auto"/>
                      <w:lang w:val="en-US" w:eastAsia="zh-CN"/>
                    </w:rPr>
                    <w:t>自动化筒仓</w:t>
                  </w:r>
                </w:p>
              </w:tc>
              <w:tc>
                <w:tcPr>
                  <w:tcW w:w="3478" w:type="dxa"/>
                  <w:vAlign w:val="center"/>
                </w:tcPr>
                <w:p w14:paraId="6A370CC2">
                  <w:pPr>
                    <w:pStyle w:val="19"/>
                    <w:bidi w:val="0"/>
                    <w:jc w:val="center"/>
                    <w:rPr>
                      <w:rFonts w:hint="eastAsia"/>
                      <w:color w:val="auto"/>
                      <w:lang w:val="en-US" w:eastAsia="zh-CN"/>
                    </w:rPr>
                  </w:pPr>
                  <w:r>
                    <w:rPr>
                      <w:rFonts w:hint="eastAsia"/>
                      <w:color w:val="auto"/>
                      <w:lang w:val="en-US" w:eastAsia="zh-CN"/>
                    </w:rPr>
                    <w:t>设置一个自动化筒仓储存本项目的原材料巴斯夫乳液（水性醋酸乙烯酯一乙烯共聚物乳液）</w:t>
                  </w:r>
                </w:p>
              </w:tc>
              <w:tc>
                <w:tcPr>
                  <w:tcW w:w="1077" w:type="dxa"/>
                  <w:vAlign w:val="center"/>
                </w:tcPr>
                <w:p w14:paraId="02B4B4C1">
                  <w:pPr>
                    <w:pStyle w:val="19"/>
                    <w:bidi w:val="0"/>
                    <w:jc w:val="center"/>
                    <w:rPr>
                      <w:rFonts w:hint="eastAsia"/>
                      <w:color w:val="auto"/>
                      <w:lang w:val="en-US" w:eastAsia="zh-CN"/>
                    </w:rPr>
                  </w:pPr>
                  <w:r>
                    <w:rPr>
                      <w:rFonts w:hint="eastAsia"/>
                      <w:color w:val="auto"/>
                      <w:lang w:val="en-US" w:eastAsia="zh-CN"/>
                    </w:rPr>
                    <w:t>新建</w:t>
                  </w:r>
                </w:p>
              </w:tc>
            </w:tr>
            <w:tr w14:paraId="09E0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197" w:type="dxa"/>
                  <w:vAlign w:val="center"/>
                </w:tcPr>
                <w:p w14:paraId="4E73F687">
                  <w:pPr>
                    <w:pStyle w:val="19"/>
                    <w:bidi w:val="0"/>
                    <w:jc w:val="center"/>
                    <w:rPr>
                      <w:rFonts w:hint="default"/>
                      <w:color w:val="auto"/>
                      <w:lang w:val="en-US" w:eastAsia="zh-CN"/>
                    </w:rPr>
                  </w:pPr>
                  <w:r>
                    <w:rPr>
                      <w:rFonts w:hint="eastAsia"/>
                      <w:color w:val="auto"/>
                      <w:lang w:val="en-US" w:eastAsia="zh-CN"/>
                    </w:rPr>
                    <w:t>辅助工程</w:t>
                  </w:r>
                </w:p>
              </w:tc>
              <w:tc>
                <w:tcPr>
                  <w:tcW w:w="1634" w:type="dxa"/>
                  <w:vAlign w:val="center"/>
                </w:tcPr>
                <w:p w14:paraId="4AADCA3B">
                  <w:pPr>
                    <w:pStyle w:val="19"/>
                    <w:bidi w:val="0"/>
                    <w:jc w:val="center"/>
                    <w:rPr>
                      <w:rFonts w:hint="default"/>
                      <w:color w:val="auto"/>
                      <w:lang w:val="en-US" w:eastAsia="zh-CN"/>
                    </w:rPr>
                  </w:pPr>
                  <w:r>
                    <w:rPr>
                      <w:rFonts w:hint="eastAsia"/>
                      <w:color w:val="auto"/>
                      <w:lang w:val="en-US" w:eastAsia="zh-CN"/>
                    </w:rPr>
                    <w:t>生产辅助设施</w:t>
                  </w:r>
                </w:p>
              </w:tc>
              <w:tc>
                <w:tcPr>
                  <w:tcW w:w="3478" w:type="dxa"/>
                  <w:vAlign w:val="center"/>
                </w:tcPr>
                <w:p w14:paraId="37BBC09E">
                  <w:pPr>
                    <w:pStyle w:val="19"/>
                    <w:bidi w:val="0"/>
                    <w:jc w:val="center"/>
                    <w:rPr>
                      <w:rFonts w:hint="default"/>
                      <w:color w:val="auto"/>
                      <w:lang w:val="en-US" w:eastAsia="zh-CN"/>
                    </w:rPr>
                  </w:pPr>
                  <w:r>
                    <w:rPr>
                      <w:rFonts w:hint="eastAsia"/>
                      <w:color w:val="auto"/>
                      <w:lang w:val="en-US" w:eastAsia="zh-CN"/>
                    </w:rPr>
                    <w:t>设置1座门卫室及硬化厂区路面</w:t>
                  </w:r>
                </w:p>
              </w:tc>
              <w:tc>
                <w:tcPr>
                  <w:tcW w:w="1077" w:type="dxa"/>
                  <w:vAlign w:val="center"/>
                </w:tcPr>
                <w:p w14:paraId="7E6EF64D">
                  <w:pPr>
                    <w:pStyle w:val="19"/>
                    <w:bidi w:val="0"/>
                    <w:jc w:val="center"/>
                    <w:rPr>
                      <w:rFonts w:hint="default"/>
                      <w:color w:val="auto"/>
                      <w:lang w:val="en-US" w:eastAsia="zh-CN"/>
                    </w:rPr>
                  </w:pPr>
                  <w:r>
                    <w:rPr>
                      <w:rFonts w:hint="eastAsia"/>
                      <w:color w:val="auto"/>
                      <w:lang w:val="en-US" w:eastAsia="zh-CN"/>
                    </w:rPr>
                    <w:t>新建</w:t>
                  </w:r>
                </w:p>
              </w:tc>
            </w:tr>
            <w:tr w14:paraId="6AA1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restart"/>
                  <w:vAlign w:val="center"/>
                </w:tcPr>
                <w:p w14:paraId="5A53301E">
                  <w:pPr>
                    <w:pStyle w:val="19"/>
                    <w:bidi w:val="0"/>
                    <w:jc w:val="center"/>
                    <w:rPr>
                      <w:rFonts w:hint="default"/>
                      <w:color w:val="auto"/>
                      <w:lang w:val="en-US" w:eastAsia="zh-CN"/>
                    </w:rPr>
                  </w:pPr>
                  <w:r>
                    <w:rPr>
                      <w:rFonts w:hint="eastAsia"/>
                      <w:color w:val="auto"/>
                      <w:lang w:val="en-US" w:eastAsia="zh-CN"/>
                    </w:rPr>
                    <w:t>公用工程</w:t>
                  </w:r>
                </w:p>
              </w:tc>
              <w:tc>
                <w:tcPr>
                  <w:tcW w:w="1634" w:type="dxa"/>
                  <w:vAlign w:val="center"/>
                </w:tcPr>
                <w:p w14:paraId="7D9C4BC2">
                  <w:pPr>
                    <w:pStyle w:val="19"/>
                    <w:bidi w:val="0"/>
                    <w:jc w:val="center"/>
                    <w:rPr>
                      <w:rFonts w:hint="default"/>
                      <w:color w:val="auto"/>
                      <w:lang w:val="en-US" w:eastAsia="zh-CN"/>
                    </w:rPr>
                  </w:pPr>
                  <w:r>
                    <w:rPr>
                      <w:rFonts w:hint="eastAsia"/>
                      <w:color w:val="auto"/>
                      <w:lang w:val="en-US" w:eastAsia="zh-CN"/>
                    </w:rPr>
                    <w:t>供水</w:t>
                  </w:r>
                </w:p>
              </w:tc>
              <w:tc>
                <w:tcPr>
                  <w:tcW w:w="3478" w:type="dxa"/>
                  <w:vAlign w:val="center"/>
                </w:tcPr>
                <w:p w14:paraId="2A57D001">
                  <w:pPr>
                    <w:adjustRightInd w:val="0"/>
                    <w:snapToGrid w:val="0"/>
                    <w:spacing w:line="240" w:lineRule="auto"/>
                    <w:ind w:firstLine="0" w:firstLineChars="0"/>
                    <w:contextualSpacing/>
                    <w:jc w:val="center"/>
                    <w:textAlignment w:val="auto"/>
                    <w:rPr>
                      <w:rFonts w:hint="default"/>
                      <w:color w:val="auto"/>
                      <w:lang w:val="en-US" w:eastAsia="zh-CN"/>
                    </w:rPr>
                  </w:pPr>
                  <w:r>
                    <w:rPr>
                      <w:rFonts w:hint="eastAsia" w:cs="Times New Roman"/>
                      <w:color w:val="auto"/>
                      <w:sz w:val="21"/>
                      <w:szCs w:val="21"/>
                      <w:lang w:val="en-US" w:eastAsia="zh-CN"/>
                    </w:rPr>
                    <w:t>园区集中</w:t>
                  </w:r>
                  <w:r>
                    <w:rPr>
                      <w:rFonts w:hint="eastAsia" w:cs="Times New Roman"/>
                      <w:color w:val="auto"/>
                      <w:sz w:val="21"/>
                      <w:szCs w:val="21"/>
                    </w:rPr>
                    <w:t>供水</w:t>
                  </w:r>
                </w:p>
              </w:tc>
              <w:tc>
                <w:tcPr>
                  <w:tcW w:w="1077" w:type="dxa"/>
                  <w:vAlign w:val="center"/>
                </w:tcPr>
                <w:p w14:paraId="0D91C7A8">
                  <w:pPr>
                    <w:pStyle w:val="19"/>
                    <w:bidi w:val="0"/>
                    <w:jc w:val="center"/>
                    <w:rPr>
                      <w:rFonts w:hint="default"/>
                      <w:color w:val="auto"/>
                      <w:lang w:val="en-US" w:eastAsia="zh-CN"/>
                    </w:rPr>
                  </w:pPr>
                  <w:r>
                    <w:rPr>
                      <w:rFonts w:hint="eastAsia"/>
                      <w:color w:val="auto"/>
                      <w:lang w:val="en-US" w:eastAsia="zh-CN"/>
                    </w:rPr>
                    <w:t>依托</w:t>
                  </w:r>
                </w:p>
              </w:tc>
            </w:tr>
            <w:tr w14:paraId="7A3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2D26B7B">
                  <w:pPr>
                    <w:pStyle w:val="19"/>
                    <w:bidi w:val="0"/>
                    <w:jc w:val="center"/>
                    <w:rPr>
                      <w:rFonts w:hint="default"/>
                      <w:color w:val="auto"/>
                      <w:lang w:val="en-US" w:eastAsia="zh-CN"/>
                    </w:rPr>
                  </w:pPr>
                </w:p>
              </w:tc>
              <w:tc>
                <w:tcPr>
                  <w:tcW w:w="1634" w:type="dxa"/>
                  <w:vAlign w:val="center"/>
                </w:tcPr>
                <w:p w14:paraId="6291B150">
                  <w:pPr>
                    <w:pStyle w:val="19"/>
                    <w:bidi w:val="0"/>
                    <w:jc w:val="center"/>
                    <w:rPr>
                      <w:rFonts w:hint="default"/>
                      <w:color w:val="auto"/>
                      <w:lang w:val="en-US" w:eastAsia="zh-CN"/>
                    </w:rPr>
                  </w:pPr>
                  <w:r>
                    <w:rPr>
                      <w:rFonts w:hint="eastAsia"/>
                      <w:color w:val="auto"/>
                      <w:lang w:val="en-US" w:eastAsia="zh-CN"/>
                    </w:rPr>
                    <w:t>供电</w:t>
                  </w:r>
                </w:p>
              </w:tc>
              <w:tc>
                <w:tcPr>
                  <w:tcW w:w="3478" w:type="dxa"/>
                  <w:vAlign w:val="center"/>
                </w:tcPr>
                <w:p w14:paraId="3FDA9B05">
                  <w:pPr>
                    <w:adjustRightInd w:val="0"/>
                    <w:snapToGrid w:val="0"/>
                    <w:spacing w:line="240" w:lineRule="auto"/>
                    <w:ind w:firstLine="0" w:firstLineChars="0"/>
                    <w:contextualSpacing/>
                    <w:jc w:val="center"/>
                    <w:textAlignment w:val="auto"/>
                    <w:rPr>
                      <w:rFonts w:hint="default"/>
                      <w:color w:val="auto"/>
                      <w:lang w:val="en-US" w:eastAsia="zh-CN"/>
                    </w:rPr>
                  </w:pPr>
                  <w:r>
                    <w:rPr>
                      <w:rFonts w:hint="eastAsia" w:cs="Times New Roman"/>
                      <w:color w:val="auto"/>
                      <w:sz w:val="21"/>
                      <w:szCs w:val="21"/>
                      <w:lang w:val="en-US" w:eastAsia="zh-CN"/>
                    </w:rPr>
                    <w:t>园区集中</w:t>
                  </w:r>
                  <w:r>
                    <w:rPr>
                      <w:rFonts w:hint="eastAsia" w:cs="Times New Roman"/>
                      <w:color w:val="auto"/>
                      <w:sz w:val="21"/>
                      <w:szCs w:val="21"/>
                    </w:rPr>
                    <w:t>供电</w:t>
                  </w:r>
                </w:p>
              </w:tc>
              <w:tc>
                <w:tcPr>
                  <w:tcW w:w="1077" w:type="dxa"/>
                  <w:vAlign w:val="center"/>
                </w:tcPr>
                <w:p w14:paraId="70A13376">
                  <w:pPr>
                    <w:pStyle w:val="19"/>
                    <w:bidi w:val="0"/>
                    <w:jc w:val="center"/>
                    <w:rPr>
                      <w:rFonts w:hint="default"/>
                      <w:color w:val="auto"/>
                      <w:lang w:val="en-US" w:eastAsia="zh-CN"/>
                    </w:rPr>
                  </w:pPr>
                  <w:r>
                    <w:rPr>
                      <w:rFonts w:hint="eastAsia"/>
                      <w:color w:val="auto"/>
                      <w:lang w:val="en-US" w:eastAsia="zh-CN"/>
                    </w:rPr>
                    <w:t>依托</w:t>
                  </w:r>
                </w:p>
              </w:tc>
            </w:tr>
            <w:tr w14:paraId="7BE1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11332E1">
                  <w:pPr>
                    <w:pStyle w:val="19"/>
                    <w:bidi w:val="0"/>
                    <w:jc w:val="center"/>
                    <w:rPr>
                      <w:rFonts w:hint="default"/>
                      <w:color w:val="auto"/>
                      <w:lang w:val="en-US" w:eastAsia="zh-CN"/>
                    </w:rPr>
                  </w:pPr>
                </w:p>
              </w:tc>
              <w:tc>
                <w:tcPr>
                  <w:tcW w:w="1634" w:type="dxa"/>
                  <w:vAlign w:val="center"/>
                </w:tcPr>
                <w:p w14:paraId="2160F8B8">
                  <w:pPr>
                    <w:pStyle w:val="19"/>
                    <w:bidi w:val="0"/>
                    <w:jc w:val="center"/>
                    <w:rPr>
                      <w:rFonts w:hint="default"/>
                      <w:color w:val="auto"/>
                      <w:lang w:val="en-US" w:eastAsia="zh-CN"/>
                    </w:rPr>
                  </w:pPr>
                  <w:r>
                    <w:rPr>
                      <w:rFonts w:hint="eastAsia"/>
                      <w:color w:val="auto"/>
                      <w:lang w:val="en-US" w:eastAsia="zh-CN"/>
                    </w:rPr>
                    <w:t>供暖</w:t>
                  </w:r>
                </w:p>
              </w:tc>
              <w:tc>
                <w:tcPr>
                  <w:tcW w:w="3478" w:type="dxa"/>
                  <w:vAlign w:val="center"/>
                </w:tcPr>
                <w:p w14:paraId="5FCE74DB">
                  <w:pPr>
                    <w:adjustRightInd w:val="0"/>
                    <w:snapToGrid w:val="0"/>
                    <w:spacing w:line="240" w:lineRule="auto"/>
                    <w:ind w:firstLine="0" w:firstLineChars="0"/>
                    <w:contextualSpacing/>
                    <w:jc w:val="center"/>
                    <w:textAlignment w:val="auto"/>
                    <w:rPr>
                      <w:rFonts w:hint="default"/>
                      <w:color w:val="auto"/>
                      <w:lang w:val="en-US" w:eastAsia="zh-CN"/>
                    </w:rPr>
                  </w:pPr>
                  <w:r>
                    <w:rPr>
                      <w:rFonts w:hint="eastAsia" w:cs="Times New Roman"/>
                      <w:color w:val="auto"/>
                      <w:sz w:val="21"/>
                      <w:szCs w:val="21"/>
                      <w:lang w:val="en-US" w:eastAsia="zh-CN"/>
                    </w:rPr>
                    <w:t>园区</w:t>
                  </w:r>
                  <w:r>
                    <w:rPr>
                      <w:rFonts w:hint="eastAsia" w:cs="Times New Roman"/>
                      <w:color w:val="auto"/>
                      <w:sz w:val="21"/>
                      <w:szCs w:val="21"/>
                    </w:rPr>
                    <w:t>集中供暖</w:t>
                  </w:r>
                </w:p>
              </w:tc>
              <w:tc>
                <w:tcPr>
                  <w:tcW w:w="1077" w:type="dxa"/>
                  <w:vAlign w:val="center"/>
                </w:tcPr>
                <w:p w14:paraId="6663F061">
                  <w:pPr>
                    <w:pStyle w:val="19"/>
                    <w:bidi w:val="0"/>
                    <w:jc w:val="center"/>
                    <w:rPr>
                      <w:rFonts w:hint="default"/>
                      <w:color w:val="auto"/>
                      <w:lang w:val="en-US" w:eastAsia="zh-CN"/>
                    </w:rPr>
                  </w:pPr>
                  <w:r>
                    <w:rPr>
                      <w:rFonts w:hint="eastAsia"/>
                      <w:color w:val="auto"/>
                      <w:lang w:val="en-US" w:eastAsia="zh-CN"/>
                    </w:rPr>
                    <w:t>依托</w:t>
                  </w:r>
                </w:p>
              </w:tc>
            </w:tr>
            <w:tr w14:paraId="46B7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197" w:type="dxa"/>
                  <w:vMerge w:val="restart"/>
                  <w:vAlign w:val="center"/>
                </w:tcPr>
                <w:p w14:paraId="39F5D548">
                  <w:pPr>
                    <w:pStyle w:val="19"/>
                    <w:bidi w:val="0"/>
                    <w:jc w:val="center"/>
                    <w:rPr>
                      <w:rFonts w:hint="default"/>
                      <w:color w:val="auto"/>
                      <w:lang w:val="en-US" w:eastAsia="zh-CN"/>
                    </w:rPr>
                  </w:pPr>
                  <w:r>
                    <w:rPr>
                      <w:rFonts w:hint="eastAsia"/>
                      <w:color w:val="auto"/>
                      <w:lang w:val="en-US" w:eastAsia="zh-CN"/>
                    </w:rPr>
                    <w:t>环保工程</w:t>
                  </w:r>
                </w:p>
              </w:tc>
              <w:tc>
                <w:tcPr>
                  <w:tcW w:w="1634" w:type="dxa"/>
                  <w:vMerge w:val="restart"/>
                  <w:vAlign w:val="center"/>
                </w:tcPr>
                <w:p w14:paraId="5C164583">
                  <w:pPr>
                    <w:pStyle w:val="19"/>
                    <w:bidi w:val="0"/>
                    <w:jc w:val="center"/>
                    <w:rPr>
                      <w:rFonts w:hint="default"/>
                      <w:color w:val="auto"/>
                      <w:lang w:val="en-US" w:eastAsia="zh-CN"/>
                    </w:rPr>
                  </w:pPr>
                  <w:r>
                    <w:rPr>
                      <w:rFonts w:hint="eastAsia"/>
                      <w:color w:val="auto"/>
                      <w:lang w:val="en-US" w:eastAsia="zh-CN"/>
                    </w:rPr>
                    <w:t>废气</w:t>
                  </w:r>
                </w:p>
              </w:tc>
              <w:tc>
                <w:tcPr>
                  <w:tcW w:w="3478" w:type="dxa"/>
                  <w:vAlign w:val="center"/>
                </w:tcPr>
                <w:p w14:paraId="3EAD3597">
                  <w:pPr>
                    <w:pStyle w:val="19"/>
                    <w:bidi w:val="0"/>
                    <w:jc w:val="both"/>
                    <w:rPr>
                      <w:rFonts w:hint="default"/>
                      <w:color w:val="auto"/>
                      <w:lang w:val="en-US" w:eastAsia="zh-CN"/>
                    </w:rPr>
                  </w:pPr>
                  <w:r>
                    <w:rPr>
                      <w:rFonts w:hint="default"/>
                      <w:color w:val="auto"/>
                      <w:lang w:val="en-US" w:eastAsia="zh-CN"/>
                    </w:rPr>
                    <w:t>干粉入仓粉尘</w:t>
                  </w:r>
                  <w:r>
                    <w:rPr>
                      <w:rFonts w:hint="eastAsia"/>
                      <w:color w:val="auto"/>
                      <w:lang w:val="en-US" w:eastAsia="zh-CN"/>
                    </w:rPr>
                    <w:t>：</w:t>
                  </w:r>
                  <w:r>
                    <w:rPr>
                      <w:rFonts w:hint="default"/>
                      <w:color w:val="auto"/>
                      <w:lang w:val="en-US" w:eastAsia="zh-CN"/>
                    </w:rPr>
                    <w:t>集气装置+覆膜袋式除尘器+</w:t>
                  </w:r>
                  <w:r>
                    <w:rPr>
                      <w:rFonts w:hint="eastAsia"/>
                      <w:color w:val="auto"/>
                      <w:lang w:val="en-US" w:eastAsia="zh-CN"/>
                    </w:rPr>
                    <w:t>20m</w:t>
                  </w:r>
                  <w:r>
                    <w:rPr>
                      <w:rFonts w:hint="default"/>
                      <w:color w:val="auto"/>
                      <w:lang w:val="en-US" w:eastAsia="zh-CN"/>
                    </w:rPr>
                    <w:t>高排气筒排放</w:t>
                  </w:r>
                  <w:r>
                    <w:rPr>
                      <w:rFonts w:hint="eastAsia"/>
                      <w:color w:val="auto"/>
                      <w:lang w:val="en-US" w:eastAsia="zh-CN"/>
                    </w:rPr>
                    <w:t>（DA001）</w:t>
                  </w:r>
                </w:p>
              </w:tc>
              <w:tc>
                <w:tcPr>
                  <w:tcW w:w="1077" w:type="dxa"/>
                  <w:vAlign w:val="center"/>
                </w:tcPr>
                <w:p w14:paraId="3669C45E">
                  <w:pPr>
                    <w:pStyle w:val="19"/>
                    <w:bidi w:val="0"/>
                    <w:jc w:val="center"/>
                    <w:rPr>
                      <w:rFonts w:hint="default"/>
                      <w:color w:val="auto"/>
                      <w:lang w:val="en-US" w:eastAsia="zh-CN"/>
                    </w:rPr>
                  </w:pPr>
                  <w:r>
                    <w:rPr>
                      <w:rFonts w:hint="eastAsia"/>
                      <w:color w:val="auto"/>
                      <w:lang w:val="en-US" w:eastAsia="zh-CN"/>
                    </w:rPr>
                    <w:t>新建</w:t>
                  </w:r>
                </w:p>
              </w:tc>
            </w:tr>
            <w:tr w14:paraId="7C00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10A8FE0">
                  <w:pPr>
                    <w:pStyle w:val="19"/>
                    <w:bidi w:val="0"/>
                    <w:jc w:val="center"/>
                    <w:rPr>
                      <w:rFonts w:hint="default"/>
                      <w:color w:val="auto"/>
                      <w:lang w:val="en-US" w:eastAsia="zh-CN"/>
                    </w:rPr>
                  </w:pPr>
                </w:p>
              </w:tc>
              <w:tc>
                <w:tcPr>
                  <w:tcW w:w="1634" w:type="dxa"/>
                  <w:vMerge w:val="continue"/>
                  <w:vAlign w:val="center"/>
                </w:tcPr>
                <w:p w14:paraId="0814EC05">
                  <w:pPr>
                    <w:pStyle w:val="19"/>
                    <w:bidi w:val="0"/>
                    <w:jc w:val="center"/>
                    <w:rPr>
                      <w:rFonts w:hint="default"/>
                      <w:color w:val="auto"/>
                      <w:lang w:val="en-US" w:eastAsia="zh-CN"/>
                    </w:rPr>
                  </w:pPr>
                </w:p>
              </w:tc>
              <w:tc>
                <w:tcPr>
                  <w:tcW w:w="3478" w:type="dxa"/>
                  <w:vAlign w:val="center"/>
                </w:tcPr>
                <w:p w14:paraId="71F46D68">
                  <w:pPr>
                    <w:pStyle w:val="19"/>
                    <w:bidi w:val="0"/>
                    <w:jc w:val="both"/>
                    <w:rPr>
                      <w:rFonts w:hint="default"/>
                      <w:color w:val="auto"/>
                      <w:lang w:val="en-US" w:eastAsia="zh-CN"/>
                    </w:rPr>
                  </w:pPr>
                  <w:r>
                    <w:rPr>
                      <w:rFonts w:hint="default"/>
                      <w:color w:val="auto"/>
                      <w:lang w:val="en-US" w:eastAsia="zh-CN"/>
                    </w:rPr>
                    <w:t>复合及养护废气</w:t>
                  </w:r>
                  <w:r>
                    <w:rPr>
                      <w:rFonts w:hint="eastAsia"/>
                      <w:color w:val="auto"/>
                      <w:lang w:val="en-US" w:eastAsia="zh-CN"/>
                    </w:rPr>
                    <w:t>：集气罩+二级</w:t>
                  </w:r>
                  <w:r>
                    <w:rPr>
                      <w:rFonts w:hint="default"/>
                      <w:color w:val="auto"/>
                      <w:lang w:val="en-US" w:eastAsia="zh-CN"/>
                    </w:rPr>
                    <w:t>活性炭吸附装置+</w:t>
                  </w:r>
                  <w:r>
                    <w:rPr>
                      <w:rFonts w:hint="eastAsia"/>
                      <w:color w:val="auto"/>
                      <w:lang w:val="en-US" w:eastAsia="zh-CN"/>
                    </w:rPr>
                    <w:t>20m</w:t>
                  </w:r>
                  <w:r>
                    <w:rPr>
                      <w:rFonts w:hint="default"/>
                      <w:color w:val="auto"/>
                      <w:lang w:val="en-US" w:eastAsia="zh-CN"/>
                    </w:rPr>
                    <w:t>高排气筒排放</w:t>
                  </w:r>
                  <w:r>
                    <w:rPr>
                      <w:rFonts w:hint="eastAsia"/>
                      <w:color w:val="auto"/>
                      <w:lang w:val="en-US" w:eastAsia="zh-CN"/>
                    </w:rPr>
                    <w:t>（DA002）</w:t>
                  </w:r>
                </w:p>
              </w:tc>
              <w:tc>
                <w:tcPr>
                  <w:tcW w:w="1077" w:type="dxa"/>
                  <w:vAlign w:val="center"/>
                </w:tcPr>
                <w:p w14:paraId="26B32EB4">
                  <w:pPr>
                    <w:pStyle w:val="19"/>
                    <w:bidi w:val="0"/>
                    <w:jc w:val="center"/>
                    <w:rPr>
                      <w:rFonts w:hint="default"/>
                      <w:color w:val="auto"/>
                      <w:lang w:val="en-US" w:eastAsia="zh-CN"/>
                    </w:rPr>
                  </w:pPr>
                  <w:r>
                    <w:rPr>
                      <w:rFonts w:hint="eastAsia"/>
                      <w:color w:val="auto"/>
                      <w:lang w:val="en-US" w:eastAsia="zh-CN"/>
                    </w:rPr>
                    <w:t>新建</w:t>
                  </w:r>
                </w:p>
              </w:tc>
            </w:tr>
            <w:tr w14:paraId="7D04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3BF86127">
                  <w:pPr>
                    <w:pStyle w:val="19"/>
                    <w:bidi w:val="0"/>
                    <w:jc w:val="center"/>
                    <w:rPr>
                      <w:rFonts w:hint="default"/>
                      <w:color w:val="auto"/>
                      <w:lang w:val="en-US" w:eastAsia="zh-CN"/>
                    </w:rPr>
                  </w:pPr>
                </w:p>
              </w:tc>
              <w:tc>
                <w:tcPr>
                  <w:tcW w:w="1634" w:type="dxa"/>
                  <w:vMerge w:val="continue"/>
                  <w:vAlign w:val="center"/>
                </w:tcPr>
                <w:p w14:paraId="253CD05B">
                  <w:pPr>
                    <w:pStyle w:val="19"/>
                    <w:bidi w:val="0"/>
                    <w:jc w:val="center"/>
                    <w:rPr>
                      <w:rFonts w:hint="default"/>
                      <w:color w:val="auto"/>
                      <w:lang w:val="en-US" w:eastAsia="zh-CN"/>
                    </w:rPr>
                  </w:pPr>
                </w:p>
              </w:tc>
              <w:tc>
                <w:tcPr>
                  <w:tcW w:w="3478" w:type="dxa"/>
                  <w:vAlign w:val="center"/>
                </w:tcPr>
                <w:p w14:paraId="41CA73B9">
                  <w:pPr>
                    <w:pStyle w:val="19"/>
                    <w:bidi w:val="0"/>
                    <w:jc w:val="both"/>
                    <w:rPr>
                      <w:rFonts w:hint="default"/>
                      <w:color w:val="auto"/>
                      <w:lang w:val="en-US" w:eastAsia="zh-CN"/>
                    </w:rPr>
                  </w:pPr>
                  <w:r>
                    <w:rPr>
                      <w:rFonts w:hint="default"/>
                      <w:color w:val="auto"/>
                      <w:lang w:val="en-US" w:eastAsia="zh-CN"/>
                    </w:rPr>
                    <w:t>修边切割、雕刻粉尘</w:t>
                  </w:r>
                  <w:r>
                    <w:rPr>
                      <w:rFonts w:hint="eastAsia"/>
                      <w:color w:val="auto"/>
                      <w:lang w:val="en-US" w:eastAsia="zh-CN"/>
                    </w:rPr>
                    <w:t>：</w:t>
                  </w:r>
                  <w:r>
                    <w:rPr>
                      <w:rFonts w:hint="default"/>
                      <w:color w:val="auto"/>
                      <w:lang w:val="en-US" w:eastAsia="zh-CN"/>
                    </w:rPr>
                    <w:t>集气</w:t>
                  </w:r>
                  <w:r>
                    <w:rPr>
                      <w:rFonts w:hint="eastAsia"/>
                      <w:color w:val="auto"/>
                      <w:lang w:val="en-US" w:eastAsia="zh-CN"/>
                    </w:rPr>
                    <w:t>罩</w:t>
                  </w:r>
                  <w:r>
                    <w:rPr>
                      <w:rFonts w:hint="default"/>
                      <w:color w:val="auto"/>
                      <w:lang w:val="en-US" w:eastAsia="zh-CN"/>
                    </w:rPr>
                    <w:t>+袋式除尘器+</w:t>
                  </w:r>
                  <w:r>
                    <w:rPr>
                      <w:rFonts w:hint="eastAsia"/>
                      <w:color w:val="auto"/>
                      <w:lang w:val="en-US" w:eastAsia="zh-CN"/>
                    </w:rPr>
                    <w:t>20m</w:t>
                  </w:r>
                  <w:r>
                    <w:rPr>
                      <w:rFonts w:hint="default"/>
                      <w:color w:val="auto"/>
                      <w:lang w:val="en-US" w:eastAsia="zh-CN"/>
                    </w:rPr>
                    <w:t>高排气筒排放</w:t>
                  </w:r>
                  <w:r>
                    <w:rPr>
                      <w:rFonts w:hint="eastAsia"/>
                      <w:color w:val="auto"/>
                      <w:lang w:val="en-US" w:eastAsia="zh-CN"/>
                    </w:rPr>
                    <w:t>（DA003）</w:t>
                  </w:r>
                </w:p>
              </w:tc>
              <w:tc>
                <w:tcPr>
                  <w:tcW w:w="1077" w:type="dxa"/>
                  <w:vAlign w:val="center"/>
                </w:tcPr>
                <w:p w14:paraId="3AA4AC2A">
                  <w:pPr>
                    <w:pStyle w:val="19"/>
                    <w:bidi w:val="0"/>
                    <w:jc w:val="center"/>
                    <w:rPr>
                      <w:rFonts w:hint="default"/>
                      <w:color w:val="auto"/>
                      <w:lang w:val="en-US" w:eastAsia="zh-CN"/>
                    </w:rPr>
                  </w:pPr>
                  <w:r>
                    <w:rPr>
                      <w:rFonts w:hint="eastAsia"/>
                      <w:color w:val="auto"/>
                      <w:lang w:val="en-US" w:eastAsia="zh-CN"/>
                    </w:rPr>
                    <w:t>新建</w:t>
                  </w:r>
                </w:p>
              </w:tc>
            </w:tr>
            <w:tr w14:paraId="29EA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83E64B2">
                  <w:pPr>
                    <w:pStyle w:val="19"/>
                    <w:bidi w:val="0"/>
                    <w:jc w:val="center"/>
                    <w:rPr>
                      <w:rFonts w:hint="default"/>
                      <w:color w:val="auto"/>
                      <w:lang w:val="en-US" w:eastAsia="zh-CN"/>
                    </w:rPr>
                  </w:pPr>
                </w:p>
              </w:tc>
              <w:tc>
                <w:tcPr>
                  <w:tcW w:w="1634" w:type="dxa"/>
                  <w:vAlign w:val="center"/>
                </w:tcPr>
                <w:p w14:paraId="14777E3A">
                  <w:pPr>
                    <w:pStyle w:val="19"/>
                    <w:bidi w:val="0"/>
                    <w:jc w:val="center"/>
                    <w:rPr>
                      <w:rFonts w:hint="default"/>
                      <w:color w:val="auto"/>
                      <w:lang w:val="en-US" w:eastAsia="zh-CN"/>
                    </w:rPr>
                  </w:pPr>
                  <w:r>
                    <w:rPr>
                      <w:rFonts w:hint="eastAsia"/>
                      <w:color w:val="auto"/>
                      <w:lang w:val="en-US" w:eastAsia="zh-CN"/>
                    </w:rPr>
                    <w:t>废水</w:t>
                  </w:r>
                </w:p>
              </w:tc>
              <w:tc>
                <w:tcPr>
                  <w:tcW w:w="3478" w:type="dxa"/>
                  <w:vAlign w:val="center"/>
                </w:tcPr>
                <w:p w14:paraId="5BAE5243">
                  <w:pPr>
                    <w:pStyle w:val="19"/>
                    <w:bidi w:val="0"/>
                    <w:jc w:val="both"/>
                    <w:rPr>
                      <w:rFonts w:hint="default"/>
                      <w:color w:val="auto"/>
                      <w:lang w:val="en-US" w:eastAsia="zh-CN"/>
                    </w:rPr>
                  </w:pPr>
                  <w:r>
                    <w:rPr>
                      <w:rFonts w:hint="default"/>
                      <w:color w:val="auto"/>
                      <w:lang w:val="en-US" w:eastAsia="zh-CN"/>
                    </w:rPr>
                    <w:t>生活污水经</w:t>
                  </w:r>
                  <w:r>
                    <w:rPr>
                      <w:rFonts w:hint="eastAsia"/>
                      <w:color w:val="auto"/>
                      <w:lang w:val="en-US" w:eastAsia="zh-CN"/>
                    </w:rPr>
                    <w:t>园区</w:t>
                  </w:r>
                  <w:r>
                    <w:rPr>
                      <w:rFonts w:hint="default"/>
                      <w:color w:val="auto"/>
                      <w:lang w:val="en-US" w:eastAsia="zh-CN"/>
                    </w:rPr>
                    <w:t>污水处理厂处理达标后外排</w:t>
                  </w:r>
                </w:p>
              </w:tc>
              <w:tc>
                <w:tcPr>
                  <w:tcW w:w="1077" w:type="dxa"/>
                  <w:vAlign w:val="center"/>
                </w:tcPr>
                <w:p w14:paraId="464CEA0A">
                  <w:pPr>
                    <w:pStyle w:val="19"/>
                    <w:bidi w:val="0"/>
                    <w:jc w:val="center"/>
                    <w:rPr>
                      <w:rFonts w:hint="default"/>
                      <w:color w:val="auto"/>
                      <w:lang w:val="en-US" w:eastAsia="zh-CN"/>
                    </w:rPr>
                  </w:pPr>
                  <w:r>
                    <w:rPr>
                      <w:rFonts w:hint="eastAsia"/>
                      <w:color w:val="auto"/>
                      <w:lang w:val="en-US" w:eastAsia="zh-CN"/>
                    </w:rPr>
                    <w:t>依托</w:t>
                  </w:r>
                </w:p>
              </w:tc>
            </w:tr>
            <w:tr w14:paraId="1AD6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4474539">
                  <w:pPr>
                    <w:pStyle w:val="19"/>
                    <w:bidi w:val="0"/>
                    <w:jc w:val="center"/>
                    <w:rPr>
                      <w:rFonts w:hint="default"/>
                      <w:color w:val="auto"/>
                      <w:lang w:val="en-US" w:eastAsia="zh-CN"/>
                    </w:rPr>
                  </w:pPr>
                </w:p>
              </w:tc>
              <w:tc>
                <w:tcPr>
                  <w:tcW w:w="1634" w:type="dxa"/>
                  <w:vAlign w:val="center"/>
                </w:tcPr>
                <w:p w14:paraId="58D9337A">
                  <w:pPr>
                    <w:pStyle w:val="19"/>
                    <w:bidi w:val="0"/>
                    <w:rPr>
                      <w:rFonts w:hint="default"/>
                      <w:color w:val="auto"/>
                      <w:lang w:val="en-US" w:eastAsia="zh-CN"/>
                    </w:rPr>
                  </w:pPr>
                  <w:r>
                    <w:rPr>
                      <w:rFonts w:hint="eastAsia"/>
                      <w:color w:val="auto"/>
                    </w:rPr>
                    <w:t>噪声</w:t>
                  </w:r>
                </w:p>
              </w:tc>
              <w:tc>
                <w:tcPr>
                  <w:tcW w:w="3478" w:type="dxa"/>
                  <w:vAlign w:val="center"/>
                </w:tcPr>
                <w:p w14:paraId="54A10949">
                  <w:pPr>
                    <w:pStyle w:val="19"/>
                    <w:bidi w:val="0"/>
                    <w:rPr>
                      <w:rFonts w:hint="default"/>
                      <w:color w:val="auto"/>
                      <w:lang w:val="en-US" w:eastAsia="zh-CN"/>
                    </w:rPr>
                  </w:pPr>
                  <w:r>
                    <w:rPr>
                      <w:rFonts w:hint="eastAsia"/>
                      <w:color w:val="auto"/>
                    </w:rPr>
                    <w:t>选用低噪设备，基础减震、隔</w:t>
                  </w:r>
                  <w:r>
                    <w:rPr>
                      <w:rFonts w:hint="eastAsia"/>
                      <w:color w:val="auto"/>
                      <w:lang w:val="en-US" w:eastAsia="zh-CN"/>
                    </w:rPr>
                    <w:t>声</w:t>
                  </w:r>
                  <w:r>
                    <w:rPr>
                      <w:rFonts w:hint="eastAsia"/>
                      <w:color w:val="auto"/>
                    </w:rPr>
                    <w:t>措施</w:t>
                  </w:r>
                </w:p>
              </w:tc>
              <w:tc>
                <w:tcPr>
                  <w:tcW w:w="1077" w:type="dxa"/>
                  <w:vAlign w:val="center"/>
                </w:tcPr>
                <w:p w14:paraId="580C953D">
                  <w:pPr>
                    <w:pStyle w:val="19"/>
                    <w:bidi w:val="0"/>
                    <w:jc w:val="center"/>
                    <w:rPr>
                      <w:rFonts w:hint="default"/>
                      <w:color w:val="auto"/>
                      <w:lang w:val="en-US" w:eastAsia="zh-CN"/>
                    </w:rPr>
                  </w:pPr>
                  <w:r>
                    <w:rPr>
                      <w:rFonts w:hint="eastAsia"/>
                      <w:color w:val="auto"/>
                      <w:lang w:val="en-US" w:eastAsia="zh-CN"/>
                    </w:rPr>
                    <w:t>新建</w:t>
                  </w:r>
                </w:p>
              </w:tc>
            </w:tr>
            <w:tr w14:paraId="0972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E4E21AA">
                  <w:pPr>
                    <w:pStyle w:val="19"/>
                    <w:bidi w:val="0"/>
                    <w:jc w:val="center"/>
                    <w:rPr>
                      <w:rFonts w:hint="default"/>
                      <w:color w:val="auto"/>
                      <w:lang w:val="en-US" w:eastAsia="zh-CN"/>
                    </w:rPr>
                  </w:pPr>
                </w:p>
              </w:tc>
              <w:tc>
                <w:tcPr>
                  <w:tcW w:w="1634" w:type="dxa"/>
                  <w:vAlign w:val="center"/>
                </w:tcPr>
                <w:p w14:paraId="4AFE5FC4">
                  <w:pPr>
                    <w:pStyle w:val="19"/>
                    <w:bidi w:val="0"/>
                    <w:jc w:val="center"/>
                    <w:rPr>
                      <w:rFonts w:hint="default"/>
                      <w:color w:val="auto"/>
                      <w:lang w:val="en-US" w:eastAsia="zh-CN"/>
                    </w:rPr>
                  </w:pPr>
                  <w:r>
                    <w:rPr>
                      <w:rFonts w:hint="eastAsia"/>
                      <w:color w:val="auto"/>
                      <w:lang w:val="en-US" w:eastAsia="zh-CN"/>
                    </w:rPr>
                    <w:t>生活垃圾</w:t>
                  </w:r>
                </w:p>
              </w:tc>
              <w:tc>
                <w:tcPr>
                  <w:tcW w:w="3478" w:type="dxa"/>
                  <w:vAlign w:val="center"/>
                </w:tcPr>
                <w:p w14:paraId="6B503F12">
                  <w:pPr>
                    <w:pStyle w:val="19"/>
                    <w:bidi w:val="0"/>
                    <w:jc w:val="center"/>
                    <w:rPr>
                      <w:rFonts w:hint="default"/>
                      <w:color w:val="auto"/>
                      <w:lang w:val="en-US" w:eastAsia="zh-CN"/>
                    </w:rPr>
                  </w:pPr>
                  <w:r>
                    <w:rPr>
                      <w:rFonts w:hint="eastAsia"/>
                      <w:color w:val="auto"/>
                      <w:lang w:val="en-US" w:eastAsia="zh-CN"/>
                    </w:rPr>
                    <w:t>生活垃圾依托环卫部门收集处理</w:t>
                  </w:r>
                </w:p>
              </w:tc>
              <w:tc>
                <w:tcPr>
                  <w:tcW w:w="1077" w:type="dxa"/>
                  <w:vAlign w:val="center"/>
                </w:tcPr>
                <w:p w14:paraId="0D293FC8">
                  <w:pPr>
                    <w:pStyle w:val="19"/>
                    <w:bidi w:val="0"/>
                    <w:jc w:val="center"/>
                    <w:rPr>
                      <w:rFonts w:hint="default"/>
                      <w:color w:val="auto"/>
                      <w:lang w:val="en-US" w:eastAsia="zh-CN"/>
                    </w:rPr>
                  </w:pPr>
                  <w:r>
                    <w:rPr>
                      <w:rFonts w:hint="eastAsia"/>
                      <w:color w:val="auto"/>
                      <w:lang w:val="en-US" w:eastAsia="zh-CN"/>
                    </w:rPr>
                    <w:t>依托</w:t>
                  </w:r>
                </w:p>
              </w:tc>
            </w:tr>
            <w:tr w14:paraId="3E27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0C4413F8">
                  <w:pPr>
                    <w:pStyle w:val="19"/>
                    <w:bidi w:val="0"/>
                    <w:jc w:val="center"/>
                    <w:rPr>
                      <w:rFonts w:hint="default"/>
                      <w:color w:val="auto"/>
                      <w:lang w:val="en-US" w:eastAsia="zh-CN"/>
                    </w:rPr>
                  </w:pPr>
                </w:p>
              </w:tc>
              <w:tc>
                <w:tcPr>
                  <w:tcW w:w="1634" w:type="dxa"/>
                  <w:vAlign w:val="center"/>
                </w:tcPr>
                <w:p w14:paraId="4F5EA138">
                  <w:pPr>
                    <w:pStyle w:val="19"/>
                    <w:bidi w:val="0"/>
                    <w:jc w:val="center"/>
                    <w:rPr>
                      <w:rFonts w:hint="default"/>
                      <w:color w:val="auto"/>
                      <w:lang w:val="en-US" w:eastAsia="zh-CN"/>
                    </w:rPr>
                  </w:pPr>
                  <w:r>
                    <w:rPr>
                      <w:rFonts w:hint="eastAsia"/>
                      <w:color w:val="auto"/>
                      <w:lang w:val="en-US" w:eastAsia="zh-CN"/>
                    </w:rPr>
                    <w:t>一般固废</w:t>
                  </w:r>
                </w:p>
              </w:tc>
              <w:tc>
                <w:tcPr>
                  <w:tcW w:w="3478" w:type="dxa"/>
                  <w:vAlign w:val="center"/>
                </w:tcPr>
                <w:p w14:paraId="343095C8">
                  <w:pPr>
                    <w:pStyle w:val="19"/>
                    <w:bidi w:val="0"/>
                    <w:jc w:val="both"/>
                    <w:rPr>
                      <w:rFonts w:hint="default"/>
                      <w:color w:val="auto"/>
                      <w:lang w:val="en-US" w:eastAsia="zh-CN"/>
                    </w:rPr>
                  </w:pPr>
                  <w:r>
                    <w:rPr>
                      <w:rFonts w:hint="eastAsia"/>
                      <w:color w:val="auto"/>
                      <w:lang w:val="en-US" w:eastAsia="zh-CN"/>
                    </w:rPr>
                    <w:t>设置一间一般固体废物贮存库150m</w:t>
                  </w:r>
                  <w:r>
                    <w:rPr>
                      <w:rFonts w:hint="eastAsia"/>
                      <w:color w:val="auto"/>
                      <w:vertAlign w:val="superscript"/>
                      <w:lang w:val="en-US" w:eastAsia="zh-CN"/>
                    </w:rPr>
                    <w:t>2</w:t>
                  </w:r>
                  <w:r>
                    <w:rPr>
                      <w:rFonts w:hint="eastAsia"/>
                      <w:color w:val="auto"/>
                      <w:lang w:val="en-US" w:eastAsia="zh-CN"/>
                    </w:rPr>
                    <w:t>，并满足</w:t>
                  </w:r>
                  <w:r>
                    <w:rPr>
                      <w:color w:val="auto"/>
                    </w:rPr>
                    <w:t>《一般工业固体废物贮存和填埋污染控制标准》（GB 18599-2020）</w:t>
                  </w:r>
                </w:p>
              </w:tc>
              <w:tc>
                <w:tcPr>
                  <w:tcW w:w="1077" w:type="dxa"/>
                  <w:vAlign w:val="center"/>
                </w:tcPr>
                <w:p w14:paraId="17EEA020">
                  <w:pPr>
                    <w:pStyle w:val="19"/>
                    <w:bidi w:val="0"/>
                    <w:jc w:val="center"/>
                    <w:rPr>
                      <w:rFonts w:hint="default"/>
                      <w:color w:val="auto"/>
                      <w:lang w:val="en-US" w:eastAsia="zh-CN"/>
                    </w:rPr>
                  </w:pPr>
                  <w:r>
                    <w:rPr>
                      <w:rFonts w:hint="eastAsia"/>
                      <w:color w:val="auto"/>
                      <w:lang w:val="en-US" w:eastAsia="zh-CN"/>
                    </w:rPr>
                    <w:t>新建</w:t>
                  </w:r>
                </w:p>
              </w:tc>
            </w:tr>
            <w:tr w14:paraId="3D09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97" w:type="dxa"/>
                  <w:vMerge w:val="continue"/>
                  <w:vAlign w:val="center"/>
                </w:tcPr>
                <w:p w14:paraId="19C22CDF">
                  <w:pPr>
                    <w:pStyle w:val="19"/>
                    <w:bidi w:val="0"/>
                    <w:jc w:val="center"/>
                    <w:rPr>
                      <w:rFonts w:hint="default"/>
                      <w:color w:val="auto"/>
                      <w:lang w:val="en-US" w:eastAsia="zh-CN"/>
                    </w:rPr>
                  </w:pPr>
                </w:p>
              </w:tc>
              <w:tc>
                <w:tcPr>
                  <w:tcW w:w="1634" w:type="dxa"/>
                  <w:vAlign w:val="center"/>
                </w:tcPr>
                <w:p w14:paraId="44D9E8CB">
                  <w:pPr>
                    <w:pStyle w:val="19"/>
                    <w:bidi w:val="0"/>
                    <w:jc w:val="center"/>
                    <w:rPr>
                      <w:rFonts w:hint="default"/>
                      <w:color w:val="auto"/>
                      <w:lang w:val="en-US" w:eastAsia="zh-CN"/>
                    </w:rPr>
                  </w:pPr>
                  <w:r>
                    <w:rPr>
                      <w:rFonts w:hint="eastAsia"/>
                      <w:color w:val="auto"/>
                      <w:lang w:val="en-US" w:eastAsia="zh-CN"/>
                    </w:rPr>
                    <w:t>危险废物</w:t>
                  </w:r>
                </w:p>
              </w:tc>
              <w:tc>
                <w:tcPr>
                  <w:tcW w:w="3478" w:type="dxa"/>
                  <w:vAlign w:val="center"/>
                </w:tcPr>
                <w:p w14:paraId="4B847298">
                  <w:pPr>
                    <w:pStyle w:val="19"/>
                    <w:bidi w:val="0"/>
                    <w:jc w:val="both"/>
                    <w:rPr>
                      <w:rFonts w:hint="default"/>
                      <w:color w:val="auto"/>
                      <w:lang w:val="en-US" w:eastAsia="zh-CN"/>
                    </w:rPr>
                  </w:pPr>
                  <w:r>
                    <w:rPr>
                      <w:rFonts w:hint="eastAsia"/>
                      <w:color w:val="auto"/>
                      <w:lang w:val="en-US" w:eastAsia="zh-CN"/>
                    </w:rPr>
                    <w:t>设置一间危险废物贮存库50m</w:t>
                  </w:r>
                  <w:r>
                    <w:rPr>
                      <w:rFonts w:hint="eastAsia"/>
                      <w:color w:val="auto"/>
                      <w:vertAlign w:val="superscript"/>
                      <w:lang w:val="en-US" w:eastAsia="zh-CN"/>
                    </w:rPr>
                    <w:t>2</w:t>
                  </w:r>
                  <w:r>
                    <w:rPr>
                      <w:rFonts w:hint="eastAsia"/>
                      <w:color w:val="auto"/>
                      <w:lang w:val="en-US" w:eastAsia="zh-CN"/>
                    </w:rPr>
                    <w:t>，并满足</w:t>
                  </w:r>
                  <w:r>
                    <w:rPr>
                      <w:color w:val="auto"/>
                    </w:rPr>
                    <w:t>《危险废物贮存污染控制标准》（GB 18597-2023）和《危险废物收集贮存运输技术规范》（HJ 2025-2012）</w:t>
                  </w:r>
                </w:p>
              </w:tc>
              <w:tc>
                <w:tcPr>
                  <w:tcW w:w="1077" w:type="dxa"/>
                  <w:vAlign w:val="center"/>
                </w:tcPr>
                <w:p w14:paraId="1532EABA">
                  <w:pPr>
                    <w:pStyle w:val="19"/>
                    <w:bidi w:val="0"/>
                    <w:jc w:val="center"/>
                    <w:rPr>
                      <w:rFonts w:hint="default"/>
                      <w:color w:val="auto"/>
                      <w:lang w:val="en-US" w:eastAsia="zh-CN"/>
                    </w:rPr>
                  </w:pPr>
                  <w:r>
                    <w:rPr>
                      <w:rFonts w:hint="eastAsia"/>
                      <w:color w:val="auto"/>
                      <w:lang w:val="en-US" w:eastAsia="zh-CN"/>
                    </w:rPr>
                    <w:t>新建</w:t>
                  </w:r>
                </w:p>
              </w:tc>
            </w:tr>
            <w:tr w14:paraId="406E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97" w:type="dxa"/>
                  <w:vAlign w:val="center"/>
                </w:tcPr>
                <w:p w14:paraId="5B21C6EA">
                  <w:pPr>
                    <w:pStyle w:val="19"/>
                    <w:bidi w:val="0"/>
                    <w:jc w:val="center"/>
                    <w:rPr>
                      <w:rFonts w:hint="default"/>
                      <w:color w:val="auto"/>
                      <w:lang w:val="en-US" w:eastAsia="zh-CN"/>
                    </w:rPr>
                  </w:pPr>
                  <w:r>
                    <w:rPr>
                      <w:rFonts w:hint="eastAsia"/>
                      <w:color w:val="auto"/>
                      <w:lang w:val="en-US" w:eastAsia="zh-CN"/>
                    </w:rPr>
                    <w:t>绿化率</w:t>
                  </w:r>
                </w:p>
              </w:tc>
              <w:tc>
                <w:tcPr>
                  <w:tcW w:w="1634" w:type="dxa"/>
                  <w:vAlign w:val="center"/>
                </w:tcPr>
                <w:p w14:paraId="7B1426A1">
                  <w:pPr>
                    <w:pStyle w:val="19"/>
                    <w:bidi w:val="0"/>
                    <w:jc w:val="center"/>
                    <w:rPr>
                      <w:rFonts w:hint="default"/>
                      <w:color w:val="auto"/>
                      <w:lang w:val="en-US" w:eastAsia="zh-CN"/>
                    </w:rPr>
                  </w:pPr>
                  <w:r>
                    <w:rPr>
                      <w:rFonts w:hint="eastAsia"/>
                      <w:color w:val="auto"/>
                      <w:lang w:val="en-US" w:eastAsia="zh-CN"/>
                    </w:rPr>
                    <w:t>绿化面积</w:t>
                  </w:r>
                </w:p>
              </w:tc>
              <w:tc>
                <w:tcPr>
                  <w:tcW w:w="3478" w:type="dxa"/>
                  <w:vAlign w:val="center"/>
                </w:tcPr>
                <w:p w14:paraId="6049902A">
                  <w:pPr>
                    <w:pStyle w:val="19"/>
                    <w:bidi w:val="0"/>
                    <w:jc w:val="both"/>
                    <w:rPr>
                      <w:rFonts w:hint="default"/>
                      <w:color w:val="auto"/>
                      <w:lang w:val="en-US" w:eastAsia="zh-CN"/>
                    </w:rPr>
                  </w:pPr>
                  <w:r>
                    <w:rPr>
                      <w:rFonts w:hint="eastAsia"/>
                      <w:color w:val="auto"/>
                      <w:lang w:val="en-US" w:eastAsia="zh-CN"/>
                    </w:rPr>
                    <w:t>本项目建成后预计实现绿地率7%～20%。</w:t>
                  </w:r>
                </w:p>
              </w:tc>
              <w:tc>
                <w:tcPr>
                  <w:tcW w:w="1077" w:type="dxa"/>
                  <w:vAlign w:val="center"/>
                </w:tcPr>
                <w:p w14:paraId="4EC10884">
                  <w:pPr>
                    <w:pStyle w:val="19"/>
                    <w:bidi w:val="0"/>
                    <w:jc w:val="center"/>
                    <w:rPr>
                      <w:rFonts w:hint="default"/>
                      <w:color w:val="auto"/>
                      <w:lang w:val="en-US" w:eastAsia="zh-CN"/>
                    </w:rPr>
                  </w:pPr>
                  <w:r>
                    <w:rPr>
                      <w:rFonts w:hint="eastAsia"/>
                      <w:color w:val="auto"/>
                      <w:lang w:val="en-US" w:eastAsia="zh-CN"/>
                    </w:rPr>
                    <w:t>新建</w:t>
                  </w:r>
                </w:p>
              </w:tc>
            </w:tr>
          </w:tbl>
          <w:p w14:paraId="184E1962">
            <w:pPr>
              <w:pStyle w:val="4"/>
              <w:bidi w:val="0"/>
              <w:rPr>
                <w:rFonts w:hint="default"/>
                <w:color w:val="auto"/>
                <w:lang w:val="en-US" w:eastAsia="zh-CN"/>
              </w:rPr>
            </w:pPr>
            <w:r>
              <w:rPr>
                <w:rFonts w:hint="eastAsia"/>
                <w:color w:val="auto"/>
                <w:lang w:val="en-US" w:eastAsia="zh-CN"/>
              </w:rPr>
              <w:t>产品方案</w:t>
            </w:r>
          </w:p>
          <w:p w14:paraId="513F770E">
            <w:pPr>
              <w:pStyle w:val="5"/>
              <w:rPr>
                <w:rFonts w:hint="eastAsia"/>
                <w:color w:val="auto"/>
                <w:lang w:val="en-US" w:eastAsia="zh-CN"/>
              </w:rPr>
            </w:pPr>
            <w:r>
              <w:rPr>
                <w:rFonts w:hint="eastAsia"/>
                <w:color w:val="auto"/>
                <w:lang w:val="en-US" w:eastAsia="zh-CN"/>
              </w:rPr>
              <w:t>本项目产品方案见下表。</w:t>
            </w:r>
          </w:p>
          <w:p w14:paraId="18C960EB">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9</w:t>
            </w:r>
            <w:r>
              <w:rPr>
                <w:color w:val="auto"/>
              </w:rPr>
              <w:fldChar w:fldCharType="end"/>
            </w:r>
            <w:r>
              <w:rPr>
                <w:rFonts w:hint="eastAsia"/>
                <w:color w:val="auto"/>
                <w:lang w:val="en-US" w:eastAsia="zh-CN"/>
              </w:rPr>
              <w:t xml:space="preserve">  项目产品方案表</w:t>
            </w:r>
          </w:p>
          <w:tbl>
            <w:tblPr>
              <w:tblStyle w:val="1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402"/>
              <w:gridCol w:w="2298"/>
              <w:gridCol w:w="729"/>
              <w:gridCol w:w="786"/>
              <w:gridCol w:w="1165"/>
              <w:gridCol w:w="1017"/>
              <w:gridCol w:w="573"/>
            </w:tblGrid>
            <w:tr w14:paraId="3530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restart"/>
                  <w:vAlign w:val="center"/>
                </w:tcPr>
                <w:p w14:paraId="0666A4BA">
                  <w:pPr>
                    <w:pStyle w:val="19"/>
                    <w:bidi w:val="0"/>
                    <w:spacing w:line="240" w:lineRule="auto"/>
                    <w:rPr>
                      <w:rFonts w:hint="default"/>
                      <w:color w:val="auto"/>
                      <w:lang w:val="en-US" w:eastAsia="zh-CN"/>
                    </w:rPr>
                  </w:pPr>
                  <w:r>
                    <w:rPr>
                      <w:rFonts w:hint="eastAsia"/>
                      <w:color w:val="auto"/>
                      <w:lang w:val="en-US" w:eastAsia="zh-CN"/>
                    </w:rPr>
                    <w:t>序号</w:t>
                  </w:r>
                </w:p>
              </w:tc>
              <w:tc>
                <w:tcPr>
                  <w:tcW w:w="434" w:type="dxa"/>
                  <w:vMerge w:val="restart"/>
                  <w:vAlign w:val="center"/>
                </w:tcPr>
                <w:p w14:paraId="62C6F7E7">
                  <w:pPr>
                    <w:pStyle w:val="19"/>
                    <w:bidi w:val="0"/>
                    <w:spacing w:line="240" w:lineRule="auto"/>
                    <w:rPr>
                      <w:rFonts w:hint="default"/>
                      <w:color w:val="auto"/>
                      <w:lang w:val="en-US" w:eastAsia="zh-CN"/>
                    </w:rPr>
                  </w:pPr>
                  <w:r>
                    <w:rPr>
                      <w:rFonts w:hint="eastAsia"/>
                      <w:color w:val="auto"/>
                      <w:lang w:val="en-US" w:eastAsia="zh-CN"/>
                    </w:rPr>
                    <w:t>产品名称</w:t>
                  </w:r>
                </w:p>
              </w:tc>
              <w:tc>
                <w:tcPr>
                  <w:tcW w:w="2667" w:type="dxa"/>
                  <w:vMerge w:val="restart"/>
                  <w:vAlign w:val="center"/>
                </w:tcPr>
                <w:p w14:paraId="74C9657B">
                  <w:pPr>
                    <w:pStyle w:val="19"/>
                    <w:bidi w:val="0"/>
                    <w:spacing w:line="240" w:lineRule="auto"/>
                    <w:rPr>
                      <w:rFonts w:hint="default"/>
                      <w:color w:val="auto"/>
                      <w:lang w:val="en-US" w:eastAsia="zh-CN"/>
                    </w:rPr>
                  </w:pPr>
                  <w:r>
                    <w:rPr>
                      <w:rFonts w:hint="eastAsia"/>
                      <w:color w:val="auto"/>
                      <w:lang w:val="en-US" w:eastAsia="zh-CN"/>
                    </w:rPr>
                    <w:t>型号/规格</w:t>
                  </w:r>
                </w:p>
              </w:tc>
              <w:tc>
                <w:tcPr>
                  <w:tcW w:w="818" w:type="dxa"/>
                  <w:vMerge w:val="restart"/>
                  <w:vAlign w:val="center"/>
                </w:tcPr>
                <w:p w14:paraId="2BE33412">
                  <w:pPr>
                    <w:pStyle w:val="19"/>
                    <w:bidi w:val="0"/>
                    <w:spacing w:line="240" w:lineRule="auto"/>
                    <w:rPr>
                      <w:rFonts w:hint="default"/>
                      <w:color w:val="auto"/>
                      <w:lang w:val="en-US" w:eastAsia="zh-CN"/>
                    </w:rPr>
                  </w:pPr>
                  <w:r>
                    <w:rPr>
                      <w:rFonts w:hint="eastAsia"/>
                      <w:color w:val="auto"/>
                      <w:lang w:val="en-US" w:eastAsia="zh-CN"/>
                    </w:rPr>
                    <w:t>XPS芯厚度</w:t>
                  </w:r>
                </w:p>
              </w:tc>
              <w:tc>
                <w:tcPr>
                  <w:tcW w:w="886" w:type="dxa"/>
                  <w:vMerge w:val="restart"/>
                  <w:vAlign w:val="center"/>
                </w:tcPr>
                <w:p w14:paraId="0CAB3C6A">
                  <w:pPr>
                    <w:pStyle w:val="19"/>
                    <w:bidi w:val="0"/>
                    <w:spacing w:line="240" w:lineRule="auto"/>
                    <w:rPr>
                      <w:rFonts w:hint="default"/>
                      <w:color w:val="auto"/>
                      <w:lang w:val="en-US" w:eastAsia="zh-CN"/>
                    </w:rPr>
                  </w:pPr>
                  <w:r>
                    <w:rPr>
                      <w:rFonts w:hint="eastAsia"/>
                      <w:color w:val="auto"/>
                      <w:lang w:val="en-US" w:eastAsia="zh-CN"/>
                    </w:rPr>
                    <w:t>复合层厚度（A面+B面）</w:t>
                  </w:r>
                </w:p>
              </w:tc>
              <w:tc>
                <w:tcPr>
                  <w:tcW w:w="2491" w:type="dxa"/>
                  <w:gridSpan w:val="2"/>
                  <w:vAlign w:val="center"/>
                </w:tcPr>
                <w:p w14:paraId="47C261EC">
                  <w:pPr>
                    <w:pStyle w:val="19"/>
                    <w:bidi w:val="0"/>
                    <w:spacing w:line="240" w:lineRule="auto"/>
                    <w:rPr>
                      <w:rFonts w:hint="default"/>
                      <w:color w:val="auto"/>
                      <w:lang w:val="en-US" w:eastAsia="zh-CN"/>
                    </w:rPr>
                  </w:pPr>
                  <w:r>
                    <w:rPr>
                      <w:rFonts w:hint="eastAsia"/>
                      <w:color w:val="auto"/>
                      <w:lang w:val="en-US" w:eastAsia="zh-CN"/>
                    </w:rPr>
                    <w:t>产品规模</w:t>
                  </w:r>
                </w:p>
              </w:tc>
              <w:tc>
                <w:tcPr>
                  <w:tcW w:w="636" w:type="dxa"/>
                  <w:vMerge w:val="restart"/>
                  <w:vAlign w:val="center"/>
                </w:tcPr>
                <w:p w14:paraId="090036A6">
                  <w:pPr>
                    <w:pStyle w:val="19"/>
                    <w:bidi w:val="0"/>
                    <w:spacing w:line="240" w:lineRule="auto"/>
                    <w:rPr>
                      <w:rFonts w:hint="default"/>
                      <w:color w:val="auto"/>
                      <w:lang w:val="en-US" w:eastAsia="zh-CN"/>
                    </w:rPr>
                  </w:pPr>
                  <w:r>
                    <w:rPr>
                      <w:rFonts w:hint="eastAsia"/>
                      <w:color w:val="auto"/>
                      <w:lang w:val="en-US" w:eastAsia="zh-CN"/>
                    </w:rPr>
                    <w:t>备注</w:t>
                  </w:r>
                </w:p>
              </w:tc>
            </w:tr>
            <w:tr w14:paraId="446C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Merge w:val="continue"/>
                  <w:vAlign w:val="center"/>
                </w:tcPr>
                <w:p w14:paraId="05B1F381">
                  <w:pPr>
                    <w:pStyle w:val="19"/>
                    <w:bidi w:val="0"/>
                    <w:spacing w:line="240" w:lineRule="auto"/>
                    <w:rPr>
                      <w:rFonts w:hint="default"/>
                      <w:color w:val="auto"/>
                      <w:lang w:val="en-US" w:eastAsia="zh-CN"/>
                    </w:rPr>
                  </w:pPr>
                </w:p>
              </w:tc>
              <w:tc>
                <w:tcPr>
                  <w:tcW w:w="434" w:type="dxa"/>
                  <w:vMerge w:val="continue"/>
                  <w:vAlign w:val="center"/>
                </w:tcPr>
                <w:p w14:paraId="13536FE1">
                  <w:pPr>
                    <w:pStyle w:val="19"/>
                    <w:bidi w:val="0"/>
                    <w:spacing w:line="240" w:lineRule="auto"/>
                    <w:rPr>
                      <w:rFonts w:hint="default"/>
                      <w:color w:val="auto"/>
                      <w:lang w:val="en-US" w:eastAsia="zh-CN"/>
                    </w:rPr>
                  </w:pPr>
                </w:p>
              </w:tc>
              <w:tc>
                <w:tcPr>
                  <w:tcW w:w="2667" w:type="dxa"/>
                  <w:vMerge w:val="continue"/>
                  <w:vAlign w:val="center"/>
                </w:tcPr>
                <w:p w14:paraId="7FDBDEB6">
                  <w:pPr>
                    <w:pStyle w:val="19"/>
                    <w:bidi w:val="0"/>
                    <w:spacing w:line="240" w:lineRule="auto"/>
                    <w:rPr>
                      <w:rFonts w:hint="default"/>
                      <w:color w:val="auto"/>
                      <w:lang w:val="en-US" w:eastAsia="zh-CN"/>
                    </w:rPr>
                  </w:pPr>
                </w:p>
              </w:tc>
              <w:tc>
                <w:tcPr>
                  <w:tcW w:w="818" w:type="dxa"/>
                  <w:vMerge w:val="continue"/>
                  <w:vAlign w:val="center"/>
                </w:tcPr>
                <w:p w14:paraId="168AA60B">
                  <w:pPr>
                    <w:pStyle w:val="19"/>
                    <w:bidi w:val="0"/>
                    <w:spacing w:line="240" w:lineRule="auto"/>
                    <w:rPr>
                      <w:rFonts w:hint="default"/>
                      <w:color w:val="auto"/>
                      <w:lang w:val="en-US" w:eastAsia="zh-CN"/>
                    </w:rPr>
                  </w:pPr>
                </w:p>
              </w:tc>
              <w:tc>
                <w:tcPr>
                  <w:tcW w:w="886" w:type="dxa"/>
                  <w:vMerge w:val="continue"/>
                  <w:vAlign w:val="center"/>
                </w:tcPr>
                <w:p w14:paraId="5BB5BB44">
                  <w:pPr>
                    <w:pStyle w:val="19"/>
                    <w:bidi w:val="0"/>
                    <w:spacing w:line="240" w:lineRule="auto"/>
                    <w:rPr>
                      <w:rFonts w:hint="default"/>
                      <w:color w:val="auto"/>
                      <w:lang w:val="en-US" w:eastAsia="zh-CN"/>
                    </w:rPr>
                  </w:pPr>
                </w:p>
              </w:tc>
              <w:tc>
                <w:tcPr>
                  <w:tcW w:w="1332" w:type="dxa"/>
                  <w:vAlign w:val="center"/>
                </w:tcPr>
                <w:p w14:paraId="61247A06">
                  <w:pPr>
                    <w:pStyle w:val="19"/>
                    <w:bidi w:val="0"/>
                    <w:spacing w:line="240" w:lineRule="auto"/>
                    <w:rPr>
                      <w:rFonts w:hint="default"/>
                      <w:color w:val="auto"/>
                      <w:lang w:val="en-US" w:eastAsia="zh-CN"/>
                    </w:rPr>
                  </w:pPr>
                  <w:r>
                    <w:rPr>
                      <w:rFonts w:hint="eastAsia"/>
                      <w:color w:val="auto"/>
                      <w:lang w:val="en-US" w:eastAsia="zh-CN"/>
                    </w:rPr>
                    <w:t>产量（m</w:t>
                  </w:r>
                  <w:r>
                    <w:rPr>
                      <w:rFonts w:hint="eastAsia"/>
                      <w:color w:val="auto"/>
                      <w:vertAlign w:val="superscript"/>
                      <w:lang w:val="en-US" w:eastAsia="zh-CN"/>
                    </w:rPr>
                    <w:t>2</w:t>
                  </w:r>
                  <w:r>
                    <w:rPr>
                      <w:rFonts w:hint="eastAsia"/>
                      <w:color w:val="auto"/>
                      <w:lang w:val="en-US" w:eastAsia="zh-CN"/>
                    </w:rPr>
                    <w:t>/a）</w:t>
                  </w:r>
                </w:p>
              </w:tc>
              <w:tc>
                <w:tcPr>
                  <w:tcW w:w="1159" w:type="dxa"/>
                  <w:vAlign w:val="center"/>
                </w:tcPr>
                <w:p w14:paraId="06844126">
                  <w:pPr>
                    <w:pStyle w:val="19"/>
                    <w:bidi w:val="0"/>
                    <w:spacing w:line="240" w:lineRule="auto"/>
                    <w:rPr>
                      <w:rFonts w:hint="default"/>
                      <w:color w:val="auto"/>
                      <w:lang w:val="en-US" w:eastAsia="zh-CN"/>
                    </w:rPr>
                  </w:pPr>
                  <w:r>
                    <w:rPr>
                      <w:rFonts w:hint="eastAsia"/>
                      <w:color w:val="auto"/>
                      <w:lang w:val="en-US" w:eastAsia="zh-CN"/>
                    </w:rPr>
                    <w:t>产量（t/a）</w:t>
                  </w:r>
                </w:p>
              </w:tc>
              <w:tc>
                <w:tcPr>
                  <w:tcW w:w="636" w:type="dxa"/>
                  <w:vMerge w:val="continue"/>
                  <w:vAlign w:val="center"/>
                </w:tcPr>
                <w:p w14:paraId="1DC044CB">
                  <w:pPr>
                    <w:pStyle w:val="19"/>
                    <w:bidi w:val="0"/>
                    <w:spacing w:line="240" w:lineRule="auto"/>
                    <w:rPr>
                      <w:rFonts w:hint="default"/>
                      <w:color w:val="auto"/>
                      <w:lang w:val="en-US" w:eastAsia="zh-CN"/>
                    </w:rPr>
                  </w:pPr>
                </w:p>
              </w:tc>
            </w:tr>
            <w:tr w14:paraId="6143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Align w:val="center"/>
                </w:tcPr>
                <w:p w14:paraId="5499D30D">
                  <w:pPr>
                    <w:pStyle w:val="19"/>
                    <w:numPr>
                      <w:ilvl w:val="0"/>
                      <w:numId w:val="2"/>
                    </w:numPr>
                    <w:tabs>
                      <w:tab w:val="clear" w:pos="0"/>
                    </w:tabs>
                    <w:bidi w:val="0"/>
                    <w:spacing w:line="240" w:lineRule="auto"/>
                    <w:ind w:left="425" w:leftChars="0" w:hanging="425" w:firstLineChars="0"/>
                    <w:rPr>
                      <w:rFonts w:hint="default"/>
                      <w:color w:val="auto"/>
                      <w:lang w:val="en-US" w:eastAsia="zh-CN"/>
                    </w:rPr>
                  </w:pPr>
                </w:p>
              </w:tc>
              <w:tc>
                <w:tcPr>
                  <w:tcW w:w="434" w:type="dxa"/>
                  <w:vMerge w:val="restart"/>
                  <w:vAlign w:val="center"/>
                </w:tcPr>
                <w:p w14:paraId="4DA80BC3">
                  <w:pPr>
                    <w:pStyle w:val="19"/>
                    <w:bidi w:val="0"/>
                    <w:spacing w:line="240" w:lineRule="auto"/>
                    <w:rPr>
                      <w:rFonts w:hint="default"/>
                      <w:color w:val="auto"/>
                      <w:lang w:val="en-US" w:eastAsia="zh-CN"/>
                    </w:rPr>
                  </w:pPr>
                  <w:r>
                    <w:rPr>
                      <w:rFonts w:hint="eastAsia"/>
                      <w:color w:val="auto"/>
                      <w:lang w:val="en-US" w:eastAsia="zh-CN"/>
                    </w:rPr>
                    <w:t>背衬板</w:t>
                  </w:r>
                </w:p>
              </w:tc>
              <w:tc>
                <w:tcPr>
                  <w:tcW w:w="2667" w:type="dxa"/>
                  <w:vAlign w:val="center"/>
                </w:tcPr>
                <w:p w14:paraId="60C69645">
                  <w:pPr>
                    <w:pStyle w:val="19"/>
                    <w:bidi w:val="0"/>
                    <w:rPr>
                      <w:rFonts w:hint="default"/>
                      <w:lang w:val="en-US" w:eastAsia="zh-CN"/>
                    </w:rPr>
                  </w:pPr>
                  <w:r>
                    <w:rPr>
                      <w:rFonts w:hint="eastAsia"/>
                      <w:lang w:val="en-US" w:eastAsia="zh-CN"/>
                    </w:rPr>
                    <w:t>1220mm×2440mm×16mm</w:t>
                  </w:r>
                </w:p>
              </w:tc>
              <w:tc>
                <w:tcPr>
                  <w:tcW w:w="818" w:type="dxa"/>
                  <w:vAlign w:val="center"/>
                </w:tcPr>
                <w:p w14:paraId="7F333CE8">
                  <w:pPr>
                    <w:pStyle w:val="19"/>
                    <w:bidi w:val="0"/>
                    <w:rPr>
                      <w:rFonts w:hint="default"/>
                      <w:lang w:val="en-US" w:eastAsia="zh-CN"/>
                    </w:rPr>
                  </w:pPr>
                  <w:r>
                    <w:rPr>
                      <w:rFonts w:hint="eastAsia"/>
                      <w:lang w:val="en-US" w:eastAsia="zh-CN"/>
                    </w:rPr>
                    <w:t>10mm</w:t>
                  </w:r>
                </w:p>
              </w:tc>
              <w:tc>
                <w:tcPr>
                  <w:tcW w:w="886" w:type="dxa"/>
                  <w:vAlign w:val="center"/>
                </w:tcPr>
                <w:p w14:paraId="6C2805AF">
                  <w:pPr>
                    <w:pStyle w:val="19"/>
                    <w:bidi w:val="0"/>
                    <w:rPr>
                      <w:rFonts w:hint="default"/>
                      <w:lang w:val="en-US" w:eastAsia="zh-CN"/>
                    </w:rPr>
                  </w:pPr>
                  <w:r>
                    <w:rPr>
                      <w:rFonts w:hint="eastAsia"/>
                      <w:lang w:val="en-US" w:eastAsia="zh-CN"/>
                    </w:rPr>
                    <w:t>6mm</w:t>
                  </w:r>
                </w:p>
              </w:tc>
              <w:tc>
                <w:tcPr>
                  <w:tcW w:w="1332" w:type="dxa"/>
                  <w:vAlign w:val="center"/>
                </w:tcPr>
                <w:p w14:paraId="746D5398">
                  <w:pPr>
                    <w:pStyle w:val="19"/>
                    <w:bidi w:val="0"/>
                    <w:rPr>
                      <w:rFonts w:hint="default"/>
                      <w:lang w:val="en-US" w:eastAsia="zh-CN"/>
                    </w:rPr>
                  </w:pPr>
                  <w:r>
                    <w:rPr>
                      <w:rFonts w:hint="eastAsia"/>
                      <w:lang w:val="en-US" w:eastAsia="zh-CN"/>
                    </w:rPr>
                    <w:t>25万</w:t>
                  </w:r>
                </w:p>
              </w:tc>
              <w:tc>
                <w:tcPr>
                  <w:tcW w:w="1159" w:type="dxa"/>
                  <w:vAlign w:val="center"/>
                </w:tcPr>
                <w:p w14:paraId="3091B3BF">
                  <w:pPr>
                    <w:pStyle w:val="19"/>
                    <w:bidi w:val="0"/>
                    <w:rPr>
                      <w:rFonts w:hint="default"/>
                      <w:lang w:val="en-US" w:eastAsia="zh-CN"/>
                    </w:rPr>
                  </w:pPr>
                  <w:r>
                    <w:rPr>
                      <w:rFonts w:hint="eastAsia"/>
                      <w:lang w:val="en-US" w:eastAsia="zh-CN"/>
                    </w:rPr>
                    <w:t>3505</w:t>
                  </w:r>
                </w:p>
              </w:tc>
              <w:tc>
                <w:tcPr>
                  <w:tcW w:w="636" w:type="dxa"/>
                  <w:vMerge w:val="restart"/>
                  <w:vAlign w:val="center"/>
                </w:tcPr>
                <w:p w14:paraId="42938461">
                  <w:pPr>
                    <w:pStyle w:val="19"/>
                    <w:bidi w:val="0"/>
                    <w:spacing w:line="240" w:lineRule="auto"/>
                    <w:rPr>
                      <w:rFonts w:hint="default"/>
                      <w:color w:val="auto"/>
                      <w:lang w:val="en-US" w:eastAsia="zh-CN"/>
                    </w:rPr>
                  </w:pPr>
                  <w:r>
                    <w:rPr>
                      <w:rFonts w:hint="eastAsia"/>
                      <w:color w:val="auto"/>
                      <w:lang w:val="en-US" w:eastAsia="zh-CN"/>
                    </w:rPr>
                    <w:t>用于建筑物隔音、隔热</w:t>
                  </w:r>
                </w:p>
              </w:tc>
            </w:tr>
            <w:tr w14:paraId="5937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Align w:val="center"/>
                </w:tcPr>
                <w:p w14:paraId="61D8FF59">
                  <w:pPr>
                    <w:pStyle w:val="19"/>
                    <w:numPr>
                      <w:ilvl w:val="0"/>
                      <w:numId w:val="2"/>
                    </w:numPr>
                    <w:tabs>
                      <w:tab w:val="clear" w:pos="0"/>
                    </w:tabs>
                    <w:bidi w:val="0"/>
                    <w:spacing w:line="240" w:lineRule="auto"/>
                    <w:ind w:left="425" w:leftChars="0" w:hanging="425" w:firstLineChars="0"/>
                    <w:rPr>
                      <w:rFonts w:hint="default"/>
                      <w:color w:val="auto"/>
                      <w:lang w:val="en-US" w:eastAsia="zh-CN"/>
                    </w:rPr>
                  </w:pPr>
                </w:p>
              </w:tc>
              <w:tc>
                <w:tcPr>
                  <w:tcW w:w="434" w:type="dxa"/>
                  <w:vMerge w:val="continue"/>
                  <w:vAlign w:val="center"/>
                </w:tcPr>
                <w:p w14:paraId="6F0CFE7A">
                  <w:pPr>
                    <w:pStyle w:val="19"/>
                    <w:bidi w:val="0"/>
                    <w:spacing w:line="240" w:lineRule="auto"/>
                    <w:rPr>
                      <w:rFonts w:hint="default"/>
                      <w:color w:val="auto"/>
                      <w:lang w:val="en-US" w:eastAsia="zh-CN"/>
                    </w:rPr>
                  </w:pPr>
                </w:p>
              </w:tc>
              <w:tc>
                <w:tcPr>
                  <w:tcW w:w="2667" w:type="dxa"/>
                  <w:vAlign w:val="center"/>
                </w:tcPr>
                <w:p w14:paraId="41AADAA2">
                  <w:pPr>
                    <w:pStyle w:val="19"/>
                    <w:bidi w:val="0"/>
                    <w:rPr>
                      <w:rFonts w:hint="default"/>
                      <w:lang w:val="en-US" w:eastAsia="zh-CN"/>
                    </w:rPr>
                  </w:pPr>
                  <w:r>
                    <w:rPr>
                      <w:rFonts w:hint="eastAsia"/>
                      <w:lang w:val="en-US" w:eastAsia="zh-CN"/>
                    </w:rPr>
                    <w:t>1220mm×2440mm×18mm</w:t>
                  </w:r>
                </w:p>
              </w:tc>
              <w:tc>
                <w:tcPr>
                  <w:tcW w:w="818" w:type="dxa"/>
                  <w:vAlign w:val="center"/>
                </w:tcPr>
                <w:p w14:paraId="24D8B30E">
                  <w:pPr>
                    <w:pStyle w:val="19"/>
                    <w:bidi w:val="0"/>
                    <w:rPr>
                      <w:rFonts w:hint="default"/>
                      <w:lang w:val="en-US" w:eastAsia="zh-CN"/>
                    </w:rPr>
                  </w:pPr>
                  <w:r>
                    <w:rPr>
                      <w:rFonts w:hint="eastAsia"/>
                      <w:lang w:val="en-US" w:eastAsia="zh-CN"/>
                    </w:rPr>
                    <w:t>12mm</w:t>
                  </w:r>
                </w:p>
              </w:tc>
              <w:tc>
                <w:tcPr>
                  <w:tcW w:w="887" w:type="dxa"/>
                  <w:vAlign w:val="center"/>
                </w:tcPr>
                <w:p w14:paraId="6AC096A5">
                  <w:pPr>
                    <w:pStyle w:val="19"/>
                    <w:bidi w:val="0"/>
                    <w:rPr>
                      <w:rFonts w:hint="default"/>
                      <w:lang w:val="en-US" w:eastAsia="zh-CN"/>
                    </w:rPr>
                  </w:pPr>
                  <w:r>
                    <w:rPr>
                      <w:rFonts w:hint="eastAsia"/>
                      <w:lang w:val="en-US" w:eastAsia="zh-CN"/>
                    </w:rPr>
                    <w:t>6mm</w:t>
                  </w:r>
                </w:p>
              </w:tc>
              <w:tc>
                <w:tcPr>
                  <w:tcW w:w="1332" w:type="dxa"/>
                  <w:vAlign w:val="center"/>
                </w:tcPr>
                <w:p w14:paraId="1F19BAA8">
                  <w:pPr>
                    <w:pStyle w:val="19"/>
                    <w:bidi w:val="0"/>
                    <w:rPr>
                      <w:rFonts w:hint="default"/>
                      <w:lang w:val="en-US" w:eastAsia="zh-CN"/>
                    </w:rPr>
                  </w:pPr>
                  <w:r>
                    <w:rPr>
                      <w:rFonts w:hint="eastAsia"/>
                      <w:lang w:val="en-US" w:eastAsia="zh-CN"/>
                    </w:rPr>
                    <w:t>25万</w:t>
                  </w:r>
                </w:p>
              </w:tc>
              <w:tc>
                <w:tcPr>
                  <w:tcW w:w="1159" w:type="dxa"/>
                  <w:vAlign w:val="center"/>
                </w:tcPr>
                <w:p w14:paraId="2239BF04">
                  <w:pPr>
                    <w:pStyle w:val="19"/>
                    <w:bidi w:val="0"/>
                    <w:rPr>
                      <w:rFonts w:hint="default"/>
                      <w:lang w:val="en-US" w:eastAsia="zh-CN"/>
                    </w:rPr>
                  </w:pPr>
                  <w:r>
                    <w:rPr>
                      <w:rFonts w:hint="eastAsia"/>
                      <w:lang w:val="en-US" w:eastAsia="zh-CN"/>
                    </w:rPr>
                    <w:t>3522</w:t>
                  </w:r>
                </w:p>
              </w:tc>
              <w:tc>
                <w:tcPr>
                  <w:tcW w:w="636" w:type="dxa"/>
                  <w:vMerge w:val="continue"/>
                  <w:vAlign w:val="center"/>
                </w:tcPr>
                <w:p w14:paraId="5873AE08">
                  <w:pPr>
                    <w:pStyle w:val="19"/>
                    <w:bidi w:val="0"/>
                    <w:spacing w:line="240" w:lineRule="auto"/>
                    <w:rPr>
                      <w:rFonts w:hint="default"/>
                      <w:color w:val="auto"/>
                      <w:lang w:val="en-US" w:eastAsia="zh-CN"/>
                    </w:rPr>
                  </w:pPr>
                </w:p>
              </w:tc>
            </w:tr>
            <w:tr w14:paraId="1D5F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Align w:val="center"/>
                </w:tcPr>
                <w:p w14:paraId="2F08BBA8">
                  <w:pPr>
                    <w:pStyle w:val="19"/>
                    <w:numPr>
                      <w:ilvl w:val="0"/>
                      <w:numId w:val="2"/>
                    </w:numPr>
                    <w:tabs>
                      <w:tab w:val="clear" w:pos="0"/>
                    </w:tabs>
                    <w:bidi w:val="0"/>
                    <w:spacing w:line="240" w:lineRule="auto"/>
                    <w:ind w:left="425" w:leftChars="0" w:hanging="425" w:firstLineChars="0"/>
                    <w:rPr>
                      <w:rFonts w:hint="default"/>
                      <w:color w:val="auto"/>
                      <w:lang w:val="en-US" w:eastAsia="zh-CN"/>
                    </w:rPr>
                  </w:pPr>
                </w:p>
              </w:tc>
              <w:tc>
                <w:tcPr>
                  <w:tcW w:w="434" w:type="dxa"/>
                  <w:vMerge w:val="continue"/>
                  <w:vAlign w:val="center"/>
                </w:tcPr>
                <w:p w14:paraId="3BCB9CAF">
                  <w:pPr>
                    <w:pStyle w:val="19"/>
                    <w:bidi w:val="0"/>
                    <w:spacing w:line="240" w:lineRule="auto"/>
                    <w:rPr>
                      <w:rFonts w:hint="default"/>
                      <w:color w:val="auto"/>
                      <w:lang w:val="en-US" w:eastAsia="zh-CN"/>
                    </w:rPr>
                  </w:pPr>
                </w:p>
              </w:tc>
              <w:tc>
                <w:tcPr>
                  <w:tcW w:w="2667" w:type="dxa"/>
                  <w:vAlign w:val="center"/>
                </w:tcPr>
                <w:p w14:paraId="41E41FE1">
                  <w:pPr>
                    <w:pStyle w:val="19"/>
                    <w:bidi w:val="0"/>
                    <w:rPr>
                      <w:rFonts w:hint="default"/>
                      <w:lang w:val="en-US" w:eastAsia="zh-CN"/>
                    </w:rPr>
                  </w:pPr>
                  <w:r>
                    <w:rPr>
                      <w:rFonts w:hint="eastAsia"/>
                      <w:lang w:val="en-US" w:eastAsia="zh-CN"/>
                    </w:rPr>
                    <w:t>1220mm×2440mm×26mm</w:t>
                  </w:r>
                </w:p>
              </w:tc>
              <w:tc>
                <w:tcPr>
                  <w:tcW w:w="818" w:type="dxa"/>
                  <w:vAlign w:val="center"/>
                </w:tcPr>
                <w:p w14:paraId="6104C635">
                  <w:pPr>
                    <w:pStyle w:val="19"/>
                    <w:bidi w:val="0"/>
                    <w:rPr>
                      <w:rFonts w:hint="default"/>
                      <w:lang w:val="en-US" w:eastAsia="zh-CN"/>
                    </w:rPr>
                  </w:pPr>
                  <w:r>
                    <w:rPr>
                      <w:rFonts w:hint="eastAsia"/>
                      <w:lang w:val="en-US" w:eastAsia="zh-CN"/>
                    </w:rPr>
                    <w:t>20mm</w:t>
                  </w:r>
                </w:p>
              </w:tc>
              <w:tc>
                <w:tcPr>
                  <w:tcW w:w="887" w:type="dxa"/>
                  <w:vAlign w:val="center"/>
                </w:tcPr>
                <w:p w14:paraId="1DFAE02C">
                  <w:pPr>
                    <w:pStyle w:val="19"/>
                    <w:bidi w:val="0"/>
                    <w:rPr>
                      <w:rFonts w:hint="default"/>
                      <w:lang w:val="en-US" w:eastAsia="zh-CN"/>
                    </w:rPr>
                  </w:pPr>
                  <w:r>
                    <w:rPr>
                      <w:rFonts w:hint="eastAsia"/>
                      <w:lang w:val="en-US" w:eastAsia="zh-CN"/>
                    </w:rPr>
                    <w:t>6mm</w:t>
                  </w:r>
                </w:p>
              </w:tc>
              <w:tc>
                <w:tcPr>
                  <w:tcW w:w="1332" w:type="dxa"/>
                  <w:vAlign w:val="center"/>
                </w:tcPr>
                <w:p w14:paraId="0AB899FA">
                  <w:pPr>
                    <w:pStyle w:val="19"/>
                    <w:bidi w:val="0"/>
                    <w:rPr>
                      <w:rFonts w:hint="default"/>
                      <w:lang w:val="en-US" w:eastAsia="zh-CN"/>
                    </w:rPr>
                  </w:pPr>
                  <w:r>
                    <w:rPr>
                      <w:rFonts w:hint="eastAsia"/>
                      <w:lang w:val="en-US" w:eastAsia="zh-CN"/>
                    </w:rPr>
                    <w:t>20万</w:t>
                  </w:r>
                </w:p>
              </w:tc>
              <w:tc>
                <w:tcPr>
                  <w:tcW w:w="1159" w:type="dxa"/>
                  <w:vAlign w:val="center"/>
                </w:tcPr>
                <w:p w14:paraId="172647C3">
                  <w:pPr>
                    <w:pStyle w:val="19"/>
                    <w:bidi w:val="0"/>
                    <w:rPr>
                      <w:rFonts w:hint="default"/>
                      <w:lang w:val="en-US" w:eastAsia="zh-CN"/>
                    </w:rPr>
                  </w:pPr>
                  <w:r>
                    <w:rPr>
                      <w:rFonts w:hint="eastAsia"/>
                      <w:lang w:val="en-US" w:eastAsia="zh-CN"/>
                    </w:rPr>
                    <w:t>2874</w:t>
                  </w:r>
                </w:p>
              </w:tc>
              <w:tc>
                <w:tcPr>
                  <w:tcW w:w="636" w:type="dxa"/>
                  <w:vMerge w:val="continue"/>
                  <w:vAlign w:val="center"/>
                </w:tcPr>
                <w:p w14:paraId="35BF050E">
                  <w:pPr>
                    <w:pStyle w:val="19"/>
                    <w:bidi w:val="0"/>
                    <w:spacing w:line="240" w:lineRule="auto"/>
                    <w:rPr>
                      <w:rFonts w:hint="default"/>
                      <w:color w:val="auto"/>
                      <w:lang w:val="en-US" w:eastAsia="zh-CN"/>
                    </w:rPr>
                  </w:pPr>
                </w:p>
              </w:tc>
            </w:tr>
            <w:tr w14:paraId="0E1B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Align w:val="center"/>
                </w:tcPr>
                <w:p w14:paraId="24C62612">
                  <w:pPr>
                    <w:pStyle w:val="19"/>
                    <w:numPr>
                      <w:ilvl w:val="0"/>
                      <w:numId w:val="2"/>
                    </w:numPr>
                    <w:tabs>
                      <w:tab w:val="clear" w:pos="0"/>
                    </w:tabs>
                    <w:bidi w:val="0"/>
                    <w:spacing w:line="240" w:lineRule="auto"/>
                    <w:ind w:left="425" w:leftChars="0" w:hanging="425" w:firstLineChars="0"/>
                    <w:rPr>
                      <w:rFonts w:hint="default"/>
                      <w:color w:val="auto"/>
                      <w:lang w:val="en-US" w:eastAsia="zh-CN"/>
                    </w:rPr>
                  </w:pPr>
                </w:p>
              </w:tc>
              <w:tc>
                <w:tcPr>
                  <w:tcW w:w="434" w:type="dxa"/>
                  <w:vMerge w:val="continue"/>
                  <w:vAlign w:val="center"/>
                </w:tcPr>
                <w:p w14:paraId="15FFE417">
                  <w:pPr>
                    <w:pStyle w:val="19"/>
                    <w:bidi w:val="0"/>
                    <w:spacing w:line="240" w:lineRule="auto"/>
                    <w:rPr>
                      <w:rFonts w:hint="default"/>
                      <w:color w:val="auto"/>
                      <w:lang w:val="en-US" w:eastAsia="zh-CN"/>
                    </w:rPr>
                  </w:pPr>
                </w:p>
              </w:tc>
              <w:tc>
                <w:tcPr>
                  <w:tcW w:w="2667" w:type="dxa"/>
                  <w:vAlign w:val="center"/>
                </w:tcPr>
                <w:p w14:paraId="5BB5BA27">
                  <w:pPr>
                    <w:pStyle w:val="19"/>
                    <w:bidi w:val="0"/>
                    <w:rPr>
                      <w:rFonts w:hint="default"/>
                      <w:lang w:val="en-US" w:eastAsia="zh-CN"/>
                    </w:rPr>
                  </w:pPr>
                  <w:r>
                    <w:rPr>
                      <w:rFonts w:hint="eastAsia"/>
                      <w:lang w:val="en-US" w:eastAsia="zh-CN"/>
                    </w:rPr>
                    <w:t>1220mm×2440mm×36mm</w:t>
                  </w:r>
                </w:p>
              </w:tc>
              <w:tc>
                <w:tcPr>
                  <w:tcW w:w="818" w:type="dxa"/>
                  <w:vAlign w:val="center"/>
                </w:tcPr>
                <w:p w14:paraId="594275DA">
                  <w:pPr>
                    <w:pStyle w:val="19"/>
                    <w:bidi w:val="0"/>
                    <w:rPr>
                      <w:rFonts w:hint="default"/>
                      <w:lang w:val="en-US" w:eastAsia="zh-CN"/>
                    </w:rPr>
                  </w:pPr>
                  <w:r>
                    <w:rPr>
                      <w:rFonts w:hint="eastAsia"/>
                      <w:lang w:val="en-US" w:eastAsia="zh-CN"/>
                    </w:rPr>
                    <w:t>30mm</w:t>
                  </w:r>
                </w:p>
              </w:tc>
              <w:tc>
                <w:tcPr>
                  <w:tcW w:w="887" w:type="dxa"/>
                  <w:vAlign w:val="center"/>
                </w:tcPr>
                <w:p w14:paraId="5AE854BF">
                  <w:pPr>
                    <w:pStyle w:val="19"/>
                    <w:bidi w:val="0"/>
                    <w:rPr>
                      <w:rFonts w:hint="default"/>
                      <w:lang w:val="en-US" w:eastAsia="zh-CN"/>
                    </w:rPr>
                  </w:pPr>
                  <w:r>
                    <w:rPr>
                      <w:rFonts w:hint="eastAsia"/>
                      <w:lang w:val="en-US" w:eastAsia="zh-CN"/>
                    </w:rPr>
                    <w:t>6mm</w:t>
                  </w:r>
                </w:p>
              </w:tc>
              <w:tc>
                <w:tcPr>
                  <w:tcW w:w="1332" w:type="dxa"/>
                  <w:vAlign w:val="center"/>
                </w:tcPr>
                <w:p w14:paraId="18D17049">
                  <w:pPr>
                    <w:pStyle w:val="19"/>
                    <w:bidi w:val="0"/>
                    <w:rPr>
                      <w:rFonts w:hint="default"/>
                      <w:lang w:val="en-US" w:eastAsia="zh-CN"/>
                    </w:rPr>
                  </w:pPr>
                  <w:r>
                    <w:rPr>
                      <w:rFonts w:hint="eastAsia"/>
                      <w:lang w:val="en-US" w:eastAsia="zh-CN"/>
                    </w:rPr>
                    <w:t>15万</w:t>
                  </w:r>
                </w:p>
              </w:tc>
              <w:tc>
                <w:tcPr>
                  <w:tcW w:w="1159" w:type="dxa"/>
                  <w:vAlign w:val="center"/>
                </w:tcPr>
                <w:p w14:paraId="529C2F0C">
                  <w:pPr>
                    <w:pStyle w:val="19"/>
                    <w:bidi w:val="0"/>
                    <w:rPr>
                      <w:rFonts w:hint="default"/>
                      <w:lang w:val="en-US" w:eastAsia="zh-CN"/>
                    </w:rPr>
                  </w:pPr>
                  <w:r>
                    <w:rPr>
                      <w:rFonts w:hint="eastAsia"/>
                      <w:lang w:val="en-US" w:eastAsia="zh-CN"/>
                    </w:rPr>
                    <w:t>2208</w:t>
                  </w:r>
                </w:p>
              </w:tc>
              <w:tc>
                <w:tcPr>
                  <w:tcW w:w="636" w:type="dxa"/>
                  <w:vMerge w:val="continue"/>
                  <w:vAlign w:val="center"/>
                </w:tcPr>
                <w:p w14:paraId="440BB8CF">
                  <w:pPr>
                    <w:pStyle w:val="19"/>
                    <w:bidi w:val="0"/>
                    <w:spacing w:line="240" w:lineRule="auto"/>
                    <w:rPr>
                      <w:rFonts w:hint="default"/>
                      <w:color w:val="auto"/>
                      <w:lang w:val="en-US" w:eastAsia="zh-CN"/>
                    </w:rPr>
                  </w:pPr>
                </w:p>
              </w:tc>
            </w:tr>
            <w:tr w14:paraId="1811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9" w:type="dxa"/>
                  <w:vAlign w:val="center"/>
                </w:tcPr>
                <w:p w14:paraId="3B1D7728">
                  <w:pPr>
                    <w:pStyle w:val="19"/>
                    <w:numPr>
                      <w:ilvl w:val="0"/>
                      <w:numId w:val="2"/>
                    </w:numPr>
                    <w:tabs>
                      <w:tab w:val="clear" w:pos="0"/>
                    </w:tabs>
                    <w:bidi w:val="0"/>
                    <w:spacing w:line="240" w:lineRule="auto"/>
                    <w:ind w:left="425" w:leftChars="0" w:hanging="425" w:firstLineChars="0"/>
                    <w:rPr>
                      <w:rFonts w:hint="default"/>
                      <w:color w:val="auto"/>
                      <w:lang w:val="en-US" w:eastAsia="zh-CN"/>
                    </w:rPr>
                  </w:pPr>
                </w:p>
              </w:tc>
              <w:tc>
                <w:tcPr>
                  <w:tcW w:w="434" w:type="dxa"/>
                  <w:vMerge w:val="continue"/>
                  <w:vAlign w:val="center"/>
                </w:tcPr>
                <w:p w14:paraId="24F0F973">
                  <w:pPr>
                    <w:pStyle w:val="19"/>
                    <w:bidi w:val="0"/>
                    <w:spacing w:line="240" w:lineRule="auto"/>
                    <w:rPr>
                      <w:rFonts w:hint="default"/>
                      <w:color w:val="auto"/>
                      <w:lang w:val="en-US" w:eastAsia="zh-CN"/>
                    </w:rPr>
                  </w:pPr>
                </w:p>
              </w:tc>
              <w:tc>
                <w:tcPr>
                  <w:tcW w:w="2667" w:type="dxa"/>
                  <w:vAlign w:val="center"/>
                </w:tcPr>
                <w:p w14:paraId="7A2C72D9">
                  <w:pPr>
                    <w:pStyle w:val="19"/>
                    <w:bidi w:val="0"/>
                    <w:rPr>
                      <w:rFonts w:hint="default"/>
                      <w:lang w:val="en-US" w:eastAsia="zh-CN"/>
                    </w:rPr>
                  </w:pPr>
                  <w:r>
                    <w:rPr>
                      <w:rFonts w:hint="eastAsia"/>
                      <w:lang w:val="en-US" w:eastAsia="zh-CN"/>
                    </w:rPr>
                    <w:t>1220mm×2440mm×56mm</w:t>
                  </w:r>
                </w:p>
              </w:tc>
              <w:tc>
                <w:tcPr>
                  <w:tcW w:w="818" w:type="dxa"/>
                  <w:vAlign w:val="center"/>
                </w:tcPr>
                <w:p w14:paraId="76E8B1E6">
                  <w:pPr>
                    <w:pStyle w:val="19"/>
                    <w:bidi w:val="0"/>
                    <w:rPr>
                      <w:rFonts w:hint="default"/>
                      <w:lang w:val="en-US" w:eastAsia="zh-CN"/>
                    </w:rPr>
                  </w:pPr>
                  <w:r>
                    <w:rPr>
                      <w:rFonts w:hint="eastAsia"/>
                      <w:lang w:val="en-US" w:eastAsia="zh-CN"/>
                    </w:rPr>
                    <w:t>50mm</w:t>
                  </w:r>
                </w:p>
              </w:tc>
              <w:tc>
                <w:tcPr>
                  <w:tcW w:w="887" w:type="dxa"/>
                  <w:vAlign w:val="center"/>
                </w:tcPr>
                <w:p w14:paraId="1B997D7F">
                  <w:pPr>
                    <w:pStyle w:val="19"/>
                    <w:bidi w:val="0"/>
                    <w:rPr>
                      <w:rFonts w:hint="default"/>
                      <w:lang w:val="en-US" w:eastAsia="zh-CN"/>
                    </w:rPr>
                  </w:pPr>
                  <w:r>
                    <w:rPr>
                      <w:rFonts w:hint="eastAsia"/>
                      <w:lang w:val="en-US" w:eastAsia="zh-CN"/>
                    </w:rPr>
                    <w:t>6mm</w:t>
                  </w:r>
                </w:p>
              </w:tc>
              <w:tc>
                <w:tcPr>
                  <w:tcW w:w="1332" w:type="dxa"/>
                  <w:vAlign w:val="center"/>
                </w:tcPr>
                <w:p w14:paraId="0F64416F">
                  <w:pPr>
                    <w:pStyle w:val="19"/>
                    <w:bidi w:val="0"/>
                    <w:rPr>
                      <w:rFonts w:hint="default"/>
                      <w:lang w:val="en-US" w:eastAsia="zh-CN"/>
                    </w:rPr>
                  </w:pPr>
                  <w:r>
                    <w:rPr>
                      <w:rFonts w:hint="eastAsia"/>
                      <w:lang w:val="en-US" w:eastAsia="zh-CN"/>
                    </w:rPr>
                    <w:t>15万</w:t>
                  </w:r>
                </w:p>
              </w:tc>
              <w:tc>
                <w:tcPr>
                  <w:tcW w:w="1159" w:type="dxa"/>
                  <w:vAlign w:val="center"/>
                </w:tcPr>
                <w:p w14:paraId="08F61FAC">
                  <w:pPr>
                    <w:pStyle w:val="19"/>
                    <w:bidi w:val="0"/>
                    <w:rPr>
                      <w:rFonts w:hint="default"/>
                      <w:lang w:val="en-US" w:eastAsia="zh-CN"/>
                    </w:rPr>
                  </w:pPr>
                  <w:r>
                    <w:rPr>
                      <w:rFonts w:hint="eastAsia"/>
                      <w:lang w:val="en-US" w:eastAsia="zh-CN"/>
                    </w:rPr>
                    <w:t>2311</w:t>
                  </w:r>
                </w:p>
              </w:tc>
              <w:tc>
                <w:tcPr>
                  <w:tcW w:w="636" w:type="dxa"/>
                  <w:vMerge w:val="continue"/>
                  <w:vAlign w:val="center"/>
                </w:tcPr>
                <w:p w14:paraId="64D210D1">
                  <w:pPr>
                    <w:pStyle w:val="19"/>
                    <w:bidi w:val="0"/>
                    <w:spacing w:line="240" w:lineRule="auto"/>
                    <w:rPr>
                      <w:rFonts w:hint="default"/>
                      <w:color w:val="auto"/>
                      <w:lang w:val="en-US" w:eastAsia="zh-CN"/>
                    </w:rPr>
                  </w:pPr>
                </w:p>
              </w:tc>
            </w:tr>
            <w:tr w14:paraId="3387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30" w:type="dxa"/>
                  <w:gridSpan w:val="3"/>
                  <w:vAlign w:val="center"/>
                </w:tcPr>
                <w:p w14:paraId="3F427F88">
                  <w:pPr>
                    <w:pStyle w:val="19"/>
                    <w:bidi w:val="0"/>
                    <w:spacing w:line="240" w:lineRule="auto"/>
                    <w:rPr>
                      <w:rFonts w:hint="default"/>
                      <w:color w:val="auto"/>
                      <w:lang w:val="en-US" w:eastAsia="zh-CN"/>
                    </w:rPr>
                  </w:pPr>
                  <w:r>
                    <w:rPr>
                      <w:rFonts w:hint="eastAsia"/>
                      <w:color w:val="auto"/>
                      <w:lang w:val="en-US" w:eastAsia="zh-CN"/>
                    </w:rPr>
                    <w:t>合计</w:t>
                  </w:r>
                </w:p>
              </w:tc>
              <w:tc>
                <w:tcPr>
                  <w:tcW w:w="818" w:type="dxa"/>
                  <w:vAlign w:val="center"/>
                </w:tcPr>
                <w:p w14:paraId="67397FE4">
                  <w:pPr>
                    <w:pStyle w:val="19"/>
                    <w:bidi w:val="0"/>
                    <w:spacing w:line="240" w:lineRule="auto"/>
                    <w:rPr>
                      <w:rFonts w:hint="default"/>
                      <w:color w:val="auto"/>
                      <w:lang w:val="en-US" w:eastAsia="zh-CN"/>
                    </w:rPr>
                  </w:pPr>
                  <w:r>
                    <w:rPr>
                      <w:rFonts w:hint="eastAsia"/>
                      <w:color w:val="auto"/>
                      <w:lang w:val="en-US" w:eastAsia="zh-CN"/>
                    </w:rPr>
                    <w:t>/</w:t>
                  </w:r>
                </w:p>
              </w:tc>
              <w:tc>
                <w:tcPr>
                  <w:tcW w:w="886" w:type="dxa"/>
                  <w:vAlign w:val="center"/>
                </w:tcPr>
                <w:p w14:paraId="0F96F071">
                  <w:pPr>
                    <w:pStyle w:val="19"/>
                    <w:bidi w:val="0"/>
                    <w:spacing w:line="240" w:lineRule="auto"/>
                    <w:rPr>
                      <w:rFonts w:hint="default"/>
                      <w:color w:val="auto"/>
                      <w:lang w:val="en-US" w:eastAsia="zh-CN"/>
                    </w:rPr>
                  </w:pPr>
                  <w:r>
                    <w:rPr>
                      <w:rFonts w:hint="eastAsia"/>
                      <w:color w:val="auto"/>
                      <w:lang w:val="en-US" w:eastAsia="zh-CN"/>
                    </w:rPr>
                    <w:t>/</w:t>
                  </w:r>
                </w:p>
              </w:tc>
              <w:tc>
                <w:tcPr>
                  <w:tcW w:w="1332" w:type="dxa"/>
                  <w:vAlign w:val="center"/>
                </w:tcPr>
                <w:p w14:paraId="7E0C06BF">
                  <w:pPr>
                    <w:pStyle w:val="19"/>
                    <w:bidi w:val="0"/>
                    <w:spacing w:line="240" w:lineRule="auto"/>
                    <w:rPr>
                      <w:rFonts w:hint="default"/>
                      <w:color w:val="auto"/>
                      <w:lang w:val="en-US" w:eastAsia="zh-CN"/>
                    </w:rPr>
                  </w:pPr>
                  <w:r>
                    <w:rPr>
                      <w:rFonts w:hint="eastAsia"/>
                      <w:color w:val="auto"/>
                      <w:lang w:val="en-US" w:eastAsia="zh-CN"/>
                    </w:rPr>
                    <w:fldChar w:fldCharType="begin"/>
                  </w:r>
                  <w:r>
                    <w:rPr>
                      <w:rFonts w:hint="eastAsia"/>
                      <w:color w:val="auto"/>
                      <w:lang w:val="en-US" w:eastAsia="zh-CN"/>
                    </w:rPr>
                    <w:instrText xml:space="preserve"> = sum(F3:F7) \* MERGEFORMAT </w:instrText>
                  </w:r>
                  <w:r>
                    <w:rPr>
                      <w:rFonts w:hint="eastAsia"/>
                      <w:color w:val="auto"/>
                      <w:lang w:val="en-US" w:eastAsia="zh-CN"/>
                    </w:rPr>
                    <w:fldChar w:fldCharType="separate"/>
                  </w:r>
                  <w:r>
                    <w:rPr>
                      <w:rFonts w:hint="eastAsia"/>
                      <w:color w:val="auto"/>
                      <w:lang w:val="en-US" w:eastAsia="zh-CN"/>
                    </w:rPr>
                    <w:t>100</w:t>
                  </w:r>
                  <w:r>
                    <w:rPr>
                      <w:rFonts w:hint="eastAsia"/>
                      <w:color w:val="auto"/>
                      <w:lang w:val="en-US" w:eastAsia="zh-CN"/>
                    </w:rPr>
                    <w:fldChar w:fldCharType="end"/>
                  </w:r>
                  <w:r>
                    <w:rPr>
                      <w:rFonts w:hint="eastAsia"/>
                      <w:color w:val="auto"/>
                      <w:lang w:val="en-US" w:eastAsia="zh-CN"/>
                    </w:rPr>
                    <w:t>万</w:t>
                  </w:r>
                </w:p>
              </w:tc>
              <w:tc>
                <w:tcPr>
                  <w:tcW w:w="1159" w:type="dxa"/>
                  <w:vAlign w:val="center"/>
                </w:tcPr>
                <w:p w14:paraId="19C56A7C">
                  <w:pPr>
                    <w:pStyle w:val="19"/>
                    <w:bidi w:val="0"/>
                    <w:spacing w:line="240" w:lineRule="auto"/>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sum(G3:G7) \* MERGEFORMAT </w:instrText>
                  </w:r>
                  <w:r>
                    <w:rPr>
                      <w:rFonts w:hint="eastAsia"/>
                      <w:color w:val="auto"/>
                      <w:lang w:val="en-US" w:eastAsia="zh-CN"/>
                    </w:rPr>
                    <w:fldChar w:fldCharType="separate"/>
                  </w:r>
                  <w:r>
                    <w:rPr>
                      <w:rFonts w:hint="eastAsia"/>
                      <w:color w:val="auto"/>
                      <w:lang w:val="en-US" w:eastAsia="zh-CN"/>
                    </w:rPr>
                    <w:t>14420</w:t>
                  </w:r>
                  <w:r>
                    <w:rPr>
                      <w:rFonts w:hint="eastAsia"/>
                      <w:color w:val="auto"/>
                      <w:lang w:val="en-US" w:eastAsia="zh-CN"/>
                    </w:rPr>
                    <w:fldChar w:fldCharType="end"/>
                  </w:r>
                </w:p>
              </w:tc>
              <w:tc>
                <w:tcPr>
                  <w:tcW w:w="636" w:type="dxa"/>
                  <w:vMerge w:val="continue"/>
                  <w:vAlign w:val="center"/>
                </w:tcPr>
                <w:p w14:paraId="19026230">
                  <w:pPr>
                    <w:pStyle w:val="19"/>
                    <w:bidi w:val="0"/>
                    <w:spacing w:line="240" w:lineRule="auto"/>
                    <w:rPr>
                      <w:rFonts w:hint="default"/>
                      <w:color w:val="auto"/>
                      <w:lang w:val="en-US" w:eastAsia="zh-CN"/>
                    </w:rPr>
                  </w:pPr>
                </w:p>
              </w:tc>
            </w:tr>
            <w:tr w14:paraId="395F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46" w:type="dxa"/>
                  <w:gridSpan w:val="8"/>
                  <w:vAlign w:val="center"/>
                </w:tcPr>
                <w:p w14:paraId="177F8473">
                  <w:pPr>
                    <w:pStyle w:val="19"/>
                    <w:bidi w:val="0"/>
                    <w:jc w:val="left"/>
                    <w:rPr>
                      <w:rFonts w:hint="default"/>
                      <w:color w:val="auto"/>
                      <w:lang w:val="en-US" w:eastAsia="zh-CN"/>
                    </w:rPr>
                  </w:pPr>
                  <w:r>
                    <w:rPr>
                      <w:rFonts w:hint="eastAsia"/>
                      <w:lang w:val="en-US" w:eastAsia="zh-CN"/>
                    </w:rPr>
                    <w:t>XPS芯板密度为35kg/m³，复合层密度取2278kg/m³。</w:t>
                  </w:r>
                </w:p>
              </w:tc>
            </w:tr>
          </w:tbl>
          <w:p w14:paraId="6E93C6F7">
            <w:pPr>
              <w:pStyle w:val="20"/>
              <w:bidi w:val="0"/>
              <w:rPr>
                <w:rFonts w:hint="default"/>
                <w:color w:val="auto"/>
                <w:lang w:val="en-US" w:eastAsia="zh-CN"/>
              </w:rPr>
            </w:pPr>
          </w:p>
          <w:p w14:paraId="53B8853E">
            <w:pPr>
              <w:pStyle w:val="4"/>
              <w:bidi w:val="0"/>
              <w:rPr>
                <w:rFonts w:hint="default"/>
                <w:color w:val="auto"/>
                <w:lang w:val="en-US" w:eastAsia="zh-CN"/>
              </w:rPr>
            </w:pPr>
            <w:r>
              <w:rPr>
                <w:rFonts w:hint="eastAsia"/>
                <w:color w:val="auto"/>
                <w:lang w:val="en-US" w:eastAsia="zh-CN"/>
              </w:rPr>
              <w:t>主要生产设备</w:t>
            </w:r>
          </w:p>
          <w:p w14:paraId="2C96FC7B">
            <w:pPr>
              <w:pStyle w:val="5"/>
              <w:rPr>
                <w:rFonts w:hint="eastAsia"/>
                <w:color w:val="auto"/>
                <w:lang w:val="en-US" w:eastAsia="zh-CN"/>
              </w:rPr>
            </w:pPr>
            <w:r>
              <w:rPr>
                <w:rFonts w:hint="eastAsia"/>
                <w:color w:val="auto"/>
                <w:lang w:val="en-US" w:eastAsia="zh-CN"/>
              </w:rPr>
              <w:t>本项目主要生产设备见下表。</w:t>
            </w:r>
          </w:p>
          <w:p w14:paraId="27B0F7B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10</w:t>
            </w:r>
            <w:r>
              <w:rPr>
                <w:color w:val="auto"/>
              </w:rPr>
              <w:fldChar w:fldCharType="end"/>
            </w:r>
            <w:r>
              <w:rPr>
                <w:rFonts w:hint="eastAsia"/>
                <w:color w:val="auto"/>
                <w:lang w:val="en-US" w:eastAsia="zh-CN"/>
              </w:rPr>
              <w:t xml:space="preserve">  项目主要设备表</w:t>
            </w:r>
          </w:p>
          <w:tbl>
            <w:tblPr>
              <w:tblStyle w:val="16"/>
              <w:tblW w:w="7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952"/>
              <w:gridCol w:w="1281"/>
              <w:gridCol w:w="2011"/>
              <w:gridCol w:w="1032"/>
              <w:gridCol w:w="1601"/>
            </w:tblGrid>
            <w:tr w14:paraId="6141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24CF6671">
                  <w:pPr>
                    <w:pStyle w:val="19"/>
                    <w:bidi w:val="0"/>
                    <w:jc w:val="center"/>
                    <w:rPr>
                      <w:rFonts w:hint="default"/>
                      <w:color w:val="auto"/>
                      <w:lang w:val="en-US" w:eastAsia="zh-CN"/>
                    </w:rPr>
                  </w:pPr>
                  <w:r>
                    <w:rPr>
                      <w:rFonts w:hint="eastAsia"/>
                      <w:color w:val="auto"/>
                      <w:lang w:val="en-US" w:eastAsia="zh-CN"/>
                    </w:rPr>
                    <w:t>序号</w:t>
                  </w:r>
                </w:p>
              </w:tc>
              <w:tc>
                <w:tcPr>
                  <w:tcW w:w="2233" w:type="dxa"/>
                  <w:gridSpan w:val="2"/>
                  <w:vAlign w:val="center"/>
                </w:tcPr>
                <w:p w14:paraId="684D5E84">
                  <w:pPr>
                    <w:pStyle w:val="19"/>
                    <w:bidi w:val="0"/>
                    <w:jc w:val="center"/>
                    <w:rPr>
                      <w:rFonts w:hint="default"/>
                      <w:color w:val="auto"/>
                      <w:lang w:val="en-US" w:eastAsia="zh-CN"/>
                    </w:rPr>
                  </w:pPr>
                  <w:r>
                    <w:rPr>
                      <w:rFonts w:hint="eastAsia"/>
                      <w:color w:val="auto"/>
                      <w:lang w:val="en-US" w:eastAsia="zh-CN"/>
                    </w:rPr>
                    <w:t>名称</w:t>
                  </w:r>
                </w:p>
              </w:tc>
              <w:tc>
                <w:tcPr>
                  <w:tcW w:w="2011" w:type="dxa"/>
                  <w:vAlign w:val="center"/>
                </w:tcPr>
                <w:p w14:paraId="037C9BE4">
                  <w:pPr>
                    <w:pStyle w:val="19"/>
                    <w:bidi w:val="0"/>
                    <w:jc w:val="center"/>
                    <w:rPr>
                      <w:rFonts w:hint="default"/>
                      <w:color w:val="auto"/>
                      <w:lang w:val="en-US" w:eastAsia="zh-CN"/>
                    </w:rPr>
                  </w:pPr>
                  <w:r>
                    <w:rPr>
                      <w:rFonts w:hint="eastAsia"/>
                      <w:color w:val="auto"/>
                      <w:lang w:val="en-US" w:eastAsia="zh-CN"/>
                    </w:rPr>
                    <w:t>规格/型号</w:t>
                  </w:r>
                </w:p>
              </w:tc>
              <w:tc>
                <w:tcPr>
                  <w:tcW w:w="1032" w:type="dxa"/>
                  <w:vAlign w:val="center"/>
                </w:tcPr>
                <w:p w14:paraId="41A7A328">
                  <w:pPr>
                    <w:pStyle w:val="19"/>
                    <w:bidi w:val="0"/>
                    <w:jc w:val="center"/>
                    <w:rPr>
                      <w:rFonts w:hint="default"/>
                      <w:color w:val="auto"/>
                      <w:lang w:val="en-US" w:eastAsia="zh-CN"/>
                    </w:rPr>
                  </w:pPr>
                  <w:r>
                    <w:rPr>
                      <w:rFonts w:hint="eastAsia"/>
                      <w:color w:val="auto"/>
                      <w:lang w:val="en-US" w:eastAsia="zh-CN"/>
                    </w:rPr>
                    <w:t>数量（台/套）</w:t>
                  </w:r>
                </w:p>
              </w:tc>
              <w:tc>
                <w:tcPr>
                  <w:tcW w:w="1601" w:type="dxa"/>
                  <w:vAlign w:val="center"/>
                </w:tcPr>
                <w:p w14:paraId="47E4A72F">
                  <w:pPr>
                    <w:pStyle w:val="19"/>
                    <w:bidi w:val="0"/>
                    <w:jc w:val="center"/>
                    <w:rPr>
                      <w:rFonts w:hint="default"/>
                      <w:color w:val="auto"/>
                      <w:lang w:val="en-US" w:eastAsia="zh-CN"/>
                    </w:rPr>
                  </w:pPr>
                  <w:r>
                    <w:rPr>
                      <w:rFonts w:hint="eastAsia"/>
                      <w:color w:val="auto"/>
                      <w:lang w:val="en-US" w:eastAsia="zh-CN"/>
                    </w:rPr>
                    <w:t>备注</w:t>
                  </w:r>
                </w:p>
              </w:tc>
            </w:tr>
            <w:tr w14:paraId="0CF3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1DFFD962">
                  <w:pPr>
                    <w:pStyle w:val="19"/>
                    <w:numPr>
                      <w:ilvl w:val="0"/>
                      <w:numId w:val="3"/>
                    </w:numPr>
                    <w:bidi w:val="0"/>
                    <w:jc w:val="center"/>
                    <w:rPr>
                      <w:rFonts w:hint="default"/>
                      <w:color w:val="auto"/>
                      <w:lang w:val="en-US" w:eastAsia="zh-CN"/>
                    </w:rPr>
                  </w:pPr>
                </w:p>
              </w:tc>
              <w:tc>
                <w:tcPr>
                  <w:tcW w:w="2233" w:type="dxa"/>
                  <w:gridSpan w:val="2"/>
                  <w:vAlign w:val="center"/>
                </w:tcPr>
                <w:p w14:paraId="62ECE7F3">
                  <w:pPr>
                    <w:pStyle w:val="19"/>
                    <w:bidi w:val="0"/>
                    <w:jc w:val="center"/>
                    <w:rPr>
                      <w:rFonts w:hint="default"/>
                      <w:color w:val="auto"/>
                      <w:lang w:val="en-US" w:eastAsia="zh-CN"/>
                    </w:rPr>
                  </w:pPr>
                  <w:r>
                    <w:rPr>
                      <w:rFonts w:hint="eastAsia"/>
                      <w:color w:val="auto"/>
                      <w:lang w:val="en-US" w:eastAsia="zh-CN"/>
                    </w:rPr>
                    <w:t>水泥储料仓</w:t>
                  </w:r>
                </w:p>
              </w:tc>
              <w:tc>
                <w:tcPr>
                  <w:tcW w:w="2011" w:type="dxa"/>
                  <w:vAlign w:val="center"/>
                </w:tcPr>
                <w:p w14:paraId="34AB914A">
                  <w:pPr>
                    <w:pStyle w:val="19"/>
                    <w:bidi w:val="0"/>
                    <w:jc w:val="center"/>
                    <w:rPr>
                      <w:rFonts w:hint="default"/>
                      <w:color w:val="auto"/>
                      <w:lang w:val="en-US" w:eastAsia="zh-CN"/>
                    </w:rPr>
                  </w:pPr>
                  <w:r>
                    <w:rPr>
                      <w:rFonts w:hint="eastAsia"/>
                      <w:color w:val="auto"/>
                      <w:lang w:val="en-US" w:eastAsia="zh-CN"/>
                    </w:rPr>
                    <w:t>340m</w:t>
                  </w:r>
                  <w:r>
                    <w:rPr>
                      <w:rFonts w:hint="eastAsia"/>
                      <w:color w:val="auto"/>
                      <w:vertAlign w:val="superscript"/>
                      <w:lang w:val="en-US" w:eastAsia="zh-CN"/>
                    </w:rPr>
                    <w:t>3</w:t>
                  </w:r>
                </w:p>
              </w:tc>
              <w:tc>
                <w:tcPr>
                  <w:tcW w:w="1032" w:type="dxa"/>
                  <w:vAlign w:val="center"/>
                </w:tcPr>
                <w:p w14:paraId="393997DD">
                  <w:pPr>
                    <w:pStyle w:val="19"/>
                    <w:bidi w:val="0"/>
                    <w:jc w:val="center"/>
                    <w:rPr>
                      <w:rFonts w:hint="default"/>
                      <w:color w:val="auto"/>
                      <w:lang w:val="en-US" w:eastAsia="zh-CN"/>
                    </w:rPr>
                  </w:pPr>
                  <w:r>
                    <w:rPr>
                      <w:rFonts w:hint="eastAsia"/>
                      <w:color w:val="auto"/>
                      <w:lang w:val="en-US" w:eastAsia="zh-CN"/>
                    </w:rPr>
                    <w:t>1</w:t>
                  </w:r>
                </w:p>
              </w:tc>
              <w:tc>
                <w:tcPr>
                  <w:tcW w:w="1601" w:type="dxa"/>
                  <w:vMerge w:val="restart"/>
                  <w:vAlign w:val="center"/>
                </w:tcPr>
                <w:p w14:paraId="7C1F1450">
                  <w:pPr>
                    <w:pStyle w:val="19"/>
                    <w:bidi w:val="0"/>
                    <w:jc w:val="center"/>
                    <w:rPr>
                      <w:rFonts w:hint="default"/>
                      <w:color w:val="auto"/>
                      <w:lang w:val="en-US" w:eastAsia="zh-CN"/>
                    </w:rPr>
                  </w:pPr>
                  <w:r>
                    <w:rPr>
                      <w:rFonts w:hint="eastAsia"/>
                      <w:color w:val="auto"/>
                      <w:lang w:val="en-US" w:eastAsia="zh-CN"/>
                    </w:rPr>
                    <w:t>用于原料储存</w:t>
                  </w:r>
                </w:p>
              </w:tc>
            </w:tr>
            <w:tr w14:paraId="04C5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0ECB886B">
                  <w:pPr>
                    <w:pStyle w:val="19"/>
                    <w:numPr>
                      <w:ilvl w:val="0"/>
                      <w:numId w:val="3"/>
                    </w:numPr>
                    <w:bidi w:val="0"/>
                    <w:jc w:val="center"/>
                    <w:rPr>
                      <w:rFonts w:hint="default"/>
                      <w:color w:val="auto"/>
                      <w:lang w:val="en-US" w:eastAsia="zh-CN"/>
                    </w:rPr>
                  </w:pPr>
                </w:p>
              </w:tc>
              <w:tc>
                <w:tcPr>
                  <w:tcW w:w="2233" w:type="dxa"/>
                  <w:gridSpan w:val="2"/>
                  <w:vAlign w:val="center"/>
                </w:tcPr>
                <w:p w14:paraId="6E24E6CF">
                  <w:pPr>
                    <w:pStyle w:val="19"/>
                    <w:bidi w:val="0"/>
                    <w:jc w:val="center"/>
                    <w:rPr>
                      <w:rFonts w:hint="default"/>
                      <w:color w:val="auto"/>
                      <w:lang w:val="en-US" w:eastAsia="zh-CN"/>
                    </w:rPr>
                  </w:pPr>
                  <w:r>
                    <w:rPr>
                      <w:rFonts w:hint="eastAsia"/>
                      <w:color w:val="auto"/>
                      <w:lang w:val="en-US" w:eastAsia="zh-CN"/>
                    </w:rPr>
                    <w:t>粉煤灰储料仓</w:t>
                  </w:r>
                </w:p>
              </w:tc>
              <w:tc>
                <w:tcPr>
                  <w:tcW w:w="2011" w:type="dxa"/>
                  <w:vAlign w:val="center"/>
                </w:tcPr>
                <w:p w14:paraId="7980FFE6">
                  <w:pPr>
                    <w:pStyle w:val="19"/>
                    <w:bidi w:val="0"/>
                    <w:jc w:val="center"/>
                    <w:rPr>
                      <w:rFonts w:hint="default"/>
                      <w:color w:val="auto"/>
                      <w:lang w:val="en-US" w:eastAsia="zh-CN"/>
                    </w:rPr>
                  </w:pPr>
                  <w:r>
                    <w:rPr>
                      <w:rFonts w:hint="eastAsia"/>
                      <w:color w:val="auto"/>
                      <w:lang w:val="en-US" w:eastAsia="zh-CN"/>
                    </w:rPr>
                    <w:t>360m</w:t>
                  </w:r>
                  <w:r>
                    <w:rPr>
                      <w:rFonts w:hint="eastAsia"/>
                      <w:color w:val="auto"/>
                      <w:vertAlign w:val="superscript"/>
                      <w:lang w:val="en-US" w:eastAsia="zh-CN"/>
                    </w:rPr>
                    <w:t>3</w:t>
                  </w:r>
                </w:p>
              </w:tc>
              <w:tc>
                <w:tcPr>
                  <w:tcW w:w="1032" w:type="dxa"/>
                  <w:vAlign w:val="center"/>
                </w:tcPr>
                <w:p w14:paraId="298D55D3">
                  <w:pPr>
                    <w:pStyle w:val="19"/>
                    <w:bidi w:val="0"/>
                    <w:jc w:val="center"/>
                    <w:rPr>
                      <w:rFonts w:hint="default"/>
                      <w:color w:val="auto"/>
                      <w:lang w:val="en-US" w:eastAsia="zh-CN"/>
                    </w:rPr>
                  </w:pPr>
                  <w:r>
                    <w:rPr>
                      <w:rFonts w:hint="eastAsia"/>
                      <w:color w:val="auto"/>
                      <w:lang w:val="en-US" w:eastAsia="zh-CN"/>
                    </w:rPr>
                    <w:t>1</w:t>
                  </w:r>
                </w:p>
              </w:tc>
              <w:tc>
                <w:tcPr>
                  <w:tcW w:w="1601" w:type="dxa"/>
                  <w:vMerge w:val="continue"/>
                  <w:vAlign w:val="center"/>
                </w:tcPr>
                <w:p w14:paraId="3CBEFE0E">
                  <w:pPr>
                    <w:pStyle w:val="19"/>
                    <w:bidi w:val="0"/>
                    <w:jc w:val="center"/>
                    <w:rPr>
                      <w:rFonts w:hint="default"/>
                      <w:color w:val="auto"/>
                      <w:lang w:val="en-US" w:eastAsia="zh-CN"/>
                    </w:rPr>
                  </w:pPr>
                </w:p>
              </w:tc>
            </w:tr>
            <w:tr w14:paraId="7BCB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4CA1E53C">
                  <w:pPr>
                    <w:pStyle w:val="19"/>
                    <w:numPr>
                      <w:ilvl w:val="0"/>
                      <w:numId w:val="3"/>
                    </w:numPr>
                    <w:bidi w:val="0"/>
                    <w:jc w:val="center"/>
                    <w:rPr>
                      <w:rFonts w:hint="default"/>
                      <w:color w:val="auto"/>
                      <w:lang w:val="en-US" w:eastAsia="zh-CN"/>
                    </w:rPr>
                  </w:pPr>
                </w:p>
              </w:tc>
              <w:tc>
                <w:tcPr>
                  <w:tcW w:w="2233" w:type="dxa"/>
                  <w:gridSpan w:val="2"/>
                  <w:vAlign w:val="center"/>
                </w:tcPr>
                <w:p w14:paraId="2D7B3908">
                  <w:pPr>
                    <w:pStyle w:val="19"/>
                    <w:bidi w:val="0"/>
                    <w:jc w:val="center"/>
                    <w:rPr>
                      <w:rFonts w:hint="default"/>
                      <w:color w:val="auto"/>
                      <w:lang w:val="en-US" w:eastAsia="zh-CN"/>
                    </w:rPr>
                  </w:pPr>
                  <w:r>
                    <w:rPr>
                      <w:rFonts w:hint="eastAsia"/>
                      <w:color w:val="auto"/>
                      <w:lang w:val="en-US" w:eastAsia="zh-CN"/>
                    </w:rPr>
                    <w:t>自动配料系统</w:t>
                  </w:r>
                </w:p>
              </w:tc>
              <w:tc>
                <w:tcPr>
                  <w:tcW w:w="2011" w:type="dxa"/>
                  <w:vAlign w:val="center"/>
                </w:tcPr>
                <w:p w14:paraId="02C21F98">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7C88974D">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7E09DB8C">
                  <w:pPr>
                    <w:pStyle w:val="19"/>
                    <w:bidi w:val="0"/>
                    <w:jc w:val="center"/>
                    <w:rPr>
                      <w:rFonts w:hint="default"/>
                      <w:color w:val="auto"/>
                      <w:lang w:val="en-US" w:eastAsia="zh-CN"/>
                    </w:rPr>
                  </w:pPr>
                  <w:r>
                    <w:rPr>
                      <w:rFonts w:hint="eastAsia"/>
                      <w:color w:val="auto"/>
                      <w:lang w:val="en-US" w:eastAsia="zh-CN"/>
                    </w:rPr>
                    <w:t>用于原料配料</w:t>
                  </w:r>
                </w:p>
              </w:tc>
            </w:tr>
            <w:tr w14:paraId="3DA3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63020259">
                  <w:pPr>
                    <w:pStyle w:val="19"/>
                    <w:numPr>
                      <w:ilvl w:val="0"/>
                      <w:numId w:val="3"/>
                    </w:numPr>
                    <w:bidi w:val="0"/>
                    <w:jc w:val="center"/>
                    <w:rPr>
                      <w:rFonts w:hint="default"/>
                      <w:color w:val="auto"/>
                      <w:lang w:val="en-US" w:eastAsia="zh-CN"/>
                    </w:rPr>
                  </w:pPr>
                </w:p>
              </w:tc>
              <w:tc>
                <w:tcPr>
                  <w:tcW w:w="2233" w:type="dxa"/>
                  <w:gridSpan w:val="2"/>
                  <w:vAlign w:val="center"/>
                </w:tcPr>
                <w:p w14:paraId="5B3C0974">
                  <w:pPr>
                    <w:pStyle w:val="19"/>
                    <w:bidi w:val="0"/>
                    <w:jc w:val="center"/>
                    <w:rPr>
                      <w:rFonts w:hint="default"/>
                      <w:color w:val="auto"/>
                      <w:lang w:val="en-US" w:eastAsia="zh-CN"/>
                    </w:rPr>
                  </w:pPr>
                  <w:r>
                    <w:rPr>
                      <w:rFonts w:hint="eastAsia"/>
                      <w:color w:val="auto"/>
                      <w:lang w:val="en-US" w:eastAsia="zh-CN"/>
                    </w:rPr>
                    <w:t>干混搅拌机</w:t>
                  </w:r>
                </w:p>
              </w:tc>
              <w:tc>
                <w:tcPr>
                  <w:tcW w:w="2011" w:type="dxa"/>
                  <w:vAlign w:val="center"/>
                </w:tcPr>
                <w:p w14:paraId="57CDE5AB">
                  <w:pPr>
                    <w:pStyle w:val="19"/>
                    <w:bidi w:val="0"/>
                    <w:jc w:val="center"/>
                    <w:rPr>
                      <w:rFonts w:hint="default"/>
                      <w:color w:val="auto"/>
                      <w:lang w:val="en-US" w:eastAsia="zh-CN"/>
                    </w:rPr>
                  </w:pPr>
                  <w:r>
                    <w:rPr>
                      <w:rFonts w:hint="eastAsia"/>
                      <w:color w:val="auto"/>
                      <w:lang w:val="en-US" w:eastAsia="zh-CN"/>
                    </w:rPr>
                    <w:t>10t/h</w:t>
                  </w:r>
                </w:p>
              </w:tc>
              <w:tc>
                <w:tcPr>
                  <w:tcW w:w="1032" w:type="dxa"/>
                  <w:vAlign w:val="center"/>
                </w:tcPr>
                <w:p w14:paraId="156E8465">
                  <w:pPr>
                    <w:pStyle w:val="19"/>
                    <w:bidi w:val="0"/>
                    <w:jc w:val="center"/>
                    <w:rPr>
                      <w:rFonts w:hint="default"/>
                      <w:color w:val="auto"/>
                      <w:lang w:val="en-US" w:eastAsia="zh-CN"/>
                    </w:rPr>
                  </w:pPr>
                  <w:r>
                    <w:rPr>
                      <w:rFonts w:hint="eastAsia"/>
                      <w:color w:val="auto"/>
                      <w:lang w:val="en-US" w:eastAsia="zh-CN"/>
                    </w:rPr>
                    <w:t>1</w:t>
                  </w:r>
                </w:p>
              </w:tc>
              <w:tc>
                <w:tcPr>
                  <w:tcW w:w="1601" w:type="dxa"/>
                  <w:shd w:val="clear" w:color="auto" w:fill="auto"/>
                  <w:vAlign w:val="center"/>
                </w:tcPr>
                <w:p w14:paraId="56762003">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用于干粉物料搅拌混合</w:t>
                  </w:r>
                </w:p>
              </w:tc>
            </w:tr>
            <w:tr w14:paraId="7A6A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7D8EC6C0">
                  <w:pPr>
                    <w:pStyle w:val="19"/>
                    <w:numPr>
                      <w:ilvl w:val="0"/>
                      <w:numId w:val="3"/>
                    </w:numPr>
                    <w:bidi w:val="0"/>
                    <w:jc w:val="center"/>
                    <w:rPr>
                      <w:rFonts w:hint="default"/>
                      <w:color w:val="auto"/>
                      <w:lang w:val="en-US" w:eastAsia="zh-CN"/>
                    </w:rPr>
                  </w:pPr>
                </w:p>
              </w:tc>
              <w:tc>
                <w:tcPr>
                  <w:tcW w:w="2233" w:type="dxa"/>
                  <w:gridSpan w:val="2"/>
                  <w:vAlign w:val="center"/>
                </w:tcPr>
                <w:p w14:paraId="54E02D4B">
                  <w:pPr>
                    <w:pStyle w:val="19"/>
                    <w:bidi w:val="0"/>
                    <w:jc w:val="center"/>
                    <w:rPr>
                      <w:rFonts w:hint="default"/>
                      <w:color w:val="auto"/>
                      <w:lang w:val="en-US" w:eastAsia="zh-CN"/>
                    </w:rPr>
                  </w:pPr>
                  <w:r>
                    <w:rPr>
                      <w:rFonts w:hint="eastAsia"/>
                      <w:color w:val="auto"/>
                      <w:lang w:val="en-US" w:eastAsia="zh-CN"/>
                    </w:rPr>
                    <w:t>湿混搅拌机</w:t>
                  </w:r>
                </w:p>
              </w:tc>
              <w:tc>
                <w:tcPr>
                  <w:tcW w:w="2011" w:type="dxa"/>
                  <w:vAlign w:val="center"/>
                </w:tcPr>
                <w:p w14:paraId="39493398">
                  <w:pPr>
                    <w:pStyle w:val="19"/>
                    <w:bidi w:val="0"/>
                    <w:jc w:val="center"/>
                    <w:rPr>
                      <w:rFonts w:hint="default"/>
                      <w:color w:val="auto"/>
                      <w:lang w:val="en-US" w:eastAsia="zh-CN"/>
                    </w:rPr>
                  </w:pPr>
                  <w:r>
                    <w:rPr>
                      <w:rFonts w:hint="eastAsia"/>
                      <w:color w:val="auto"/>
                      <w:lang w:val="en-US" w:eastAsia="zh-CN"/>
                    </w:rPr>
                    <w:t>8t/h</w:t>
                  </w:r>
                </w:p>
              </w:tc>
              <w:tc>
                <w:tcPr>
                  <w:tcW w:w="1032" w:type="dxa"/>
                  <w:vAlign w:val="center"/>
                </w:tcPr>
                <w:p w14:paraId="5EED7C80">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55239F31">
                  <w:pPr>
                    <w:pStyle w:val="19"/>
                    <w:bidi w:val="0"/>
                    <w:jc w:val="center"/>
                    <w:rPr>
                      <w:rFonts w:hint="default"/>
                      <w:color w:val="auto"/>
                      <w:lang w:val="en-US" w:eastAsia="zh-CN"/>
                    </w:rPr>
                  </w:pPr>
                  <w:r>
                    <w:rPr>
                      <w:rFonts w:hint="eastAsia"/>
                      <w:color w:val="auto"/>
                      <w:lang w:val="en-US" w:eastAsia="zh-CN"/>
                    </w:rPr>
                    <w:t>用于干粉混合料和湿料搅拌</w:t>
                  </w:r>
                </w:p>
              </w:tc>
            </w:tr>
            <w:tr w14:paraId="5600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4CC4CCD2">
                  <w:pPr>
                    <w:pStyle w:val="19"/>
                    <w:numPr>
                      <w:ilvl w:val="0"/>
                      <w:numId w:val="3"/>
                    </w:numPr>
                    <w:bidi w:val="0"/>
                    <w:jc w:val="center"/>
                    <w:rPr>
                      <w:rFonts w:hint="default"/>
                      <w:color w:val="auto"/>
                      <w:lang w:val="en-US" w:eastAsia="zh-CN"/>
                    </w:rPr>
                  </w:pPr>
                </w:p>
              </w:tc>
              <w:tc>
                <w:tcPr>
                  <w:tcW w:w="952" w:type="dxa"/>
                  <w:vMerge w:val="restart"/>
                  <w:vAlign w:val="center"/>
                </w:tcPr>
                <w:p w14:paraId="2DD223A2">
                  <w:pPr>
                    <w:pStyle w:val="19"/>
                    <w:bidi w:val="0"/>
                    <w:jc w:val="center"/>
                    <w:rPr>
                      <w:rFonts w:hint="default"/>
                      <w:color w:val="auto"/>
                      <w:lang w:val="en-US" w:eastAsia="zh-CN"/>
                    </w:rPr>
                  </w:pPr>
                  <w:r>
                    <w:rPr>
                      <w:rFonts w:hint="eastAsia"/>
                      <w:color w:val="auto"/>
                      <w:lang w:val="en-US" w:eastAsia="zh-CN"/>
                    </w:rPr>
                    <w:t>复合制板线</w:t>
                  </w:r>
                </w:p>
              </w:tc>
              <w:tc>
                <w:tcPr>
                  <w:tcW w:w="1281" w:type="dxa"/>
                  <w:vAlign w:val="center"/>
                </w:tcPr>
                <w:p w14:paraId="1DFC618B">
                  <w:pPr>
                    <w:pStyle w:val="19"/>
                    <w:bidi w:val="0"/>
                    <w:jc w:val="center"/>
                    <w:rPr>
                      <w:rFonts w:hint="default"/>
                      <w:color w:val="auto"/>
                      <w:lang w:val="en-US" w:eastAsia="zh-CN"/>
                    </w:rPr>
                  </w:pPr>
                  <w:r>
                    <w:rPr>
                      <w:rFonts w:hint="eastAsia"/>
                      <w:color w:val="auto"/>
                      <w:lang w:val="en-US" w:eastAsia="zh-CN"/>
                    </w:rPr>
                    <w:t>敷浆输送机</w:t>
                  </w:r>
                </w:p>
              </w:tc>
              <w:tc>
                <w:tcPr>
                  <w:tcW w:w="2011" w:type="dxa"/>
                  <w:vAlign w:val="center"/>
                </w:tcPr>
                <w:p w14:paraId="3134F4EE">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06921299">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0A6823F6">
                  <w:pPr>
                    <w:pStyle w:val="19"/>
                    <w:bidi w:val="0"/>
                    <w:jc w:val="center"/>
                    <w:rPr>
                      <w:rFonts w:hint="default"/>
                      <w:color w:val="auto"/>
                      <w:lang w:val="en-US" w:eastAsia="zh-CN"/>
                    </w:rPr>
                  </w:pPr>
                  <w:r>
                    <w:rPr>
                      <w:rFonts w:hint="eastAsia"/>
                      <w:color w:val="auto"/>
                      <w:lang w:val="en-US" w:eastAsia="zh-CN"/>
                    </w:rPr>
                    <w:t>用于XPS芯板敷浆</w:t>
                  </w:r>
                </w:p>
              </w:tc>
            </w:tr>
            <w:tr w14:paraId="5944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649C8560">
                  <w:pPr>
                    <w:pStyle w:val="19"/>
                    <w:numPr>
                      <w:ilvl w:val="0"/>
                      <w:numId w:val="3"/>
                    </w:numPr>
                    <w:bidi w:val="0"/>
                    <w:jc w:val="center"/>
                    <w:rPr>
                      <w:rFonts w:hint="default"/>
                      <w:color w:val="auto"/>
                      <w:lang w:val="en-US" w:eastAsia="zh-CN"/>
                    </w:rPr>
                  </w:pPr>
                </w:p>
              </w:tc>
              <w:tc>
                <w:tcPr>
                  <w:tcW w:w="952" w:type="dxa"/>
                  <w:vMerge w:val="continue"/>
                  <w:vAlign w:val="center"/>
                </w:tcPr>
                <w:p w14:paraId="6EF8C5D4">
                  <w:pPr>
                    <w:pStyle w:val="19"/>
                    <w:bidi w:val="0"/>
                    <w:jc w:val="center"/>
                    <w:rPr>
                      <w:rFonts w:hint="default"/>
                      <w:color w:val="auto"/>
                      <w:lang w:val="en-US" w:eastAsia="zh-CN"/>
                    </w:rPr>
                  </w:pPr>
                </w:p>
              </w:tc>
              <w:tc>
                <w:tcPr>
                  <w:tcW w:w="1281" w:type="dxa"/>
                  <w:vAlign w:val="center"/>
                </w:tcPr>
                <w:p w14:paraId="4051C750">
                  <w:pPr>
                    <w:pStyle w:val="19"/>
                    <w:bidi w:val="0"/>
                    <w:jc w:val="center"/>
                    <w:rPr>
                      <w:rFonts w:hint="default"/>
                      <w:color w:val="auto"/>
                      <w:lang w:val="en-US" w:eastAsia="zh-CN"/>
                    </w:rPr>
                  </w:pPr>
                  <w:r>
                    <w:rPr>
                      <w:rFonts w:hint="eastAsia"/>
                      <w:color w:val="auto"/>
                      <w:lang w:val="en-US" w:eastAsia="zh-CN"/>
                    </w:rPr>
                    <w:t>放卷机</w:t>
                  </w:r>
                </w:p>
              </w:tc>
              <w:tc>
                <w:tcPr>
                  <w:tcW w:w="2011" w:type="dxa"/>
                  <w:vAlign w:val="center"/>
                </w:tcPr>
                <w:p w14:paraId="679518CF">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12478C39">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49B9D73E">
                  <w:pPr>
                    <w:pStyle w:val="19"/>
                    <w:bidi w:val="0"/>
                    <w:jc w:val="center"/>
                    <w:rPr>
                      <w:rFonts w:hint="default"/>
                      <w:color w:val="auto"/>
                      <w:lang w:val="en-US" w:eastAsia="zh-CN"/>
                    </w:rPr>
                  </w:pPr>
                  <w:r>
                    <w:rPr>
                      <w:rFonts w:hint="eastAsia"/>
                      <w:color w:val="auto"/>
                      <w:lang w:val="en-US" w:eastAsia="zh-CN"/>
                    </w:rPr>
                    <w:t>用于网格布放卷</w:t>
                  </w:r>
                </w:p>
              </w:tc>
            </w:tr>
            <w:tr w14:paraId="229C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1BDE5BD1">
                  <w:pPr>
                    <w:pStyle w:val="19"/>
                    <w:numPr>
                      <w:ilvl w:val="0"/>
                      <w:numId w:val="3"/>
                    </w:numPr>
                    <w:bidi w:val="0"/>
                    <w:jc w:val="center"/>
                    <w:rPr>
                      <w:rFonts w:hint="default"/>
                      <w:color w:val="auto"/>
                      <w:lang w:val="en-US" w:eastAsia="zh-CN"/>
                    </w:rPr>
                  </w:pPr>
                </w:p>
              </w:tc>
              <w:tc>
                <w:tcPr>
                  <w:tcW w:w="952" w:type="dxa"/>
                  <w:vMerge w:val="continue"/>
                  <w:vAlign w:val="center"/>
                </w:tcPr>
                <w:p w14:paraId="46DF6F2F">
                  <w:pPr>
                    <w:pStyle w:val="19"/>
                    <w:bidi w:val="0"/>
                    <w:jc w:val="center"/>
                    <w:rPr>
                      <w:rFonts w:hint="default"/>
                      <w:color w:val="auto"/>
                      <w:lang w:val="en-US" w:eastAsia="zh-CN"/>
                    </w:rPr>
                  </w:pPr>
                </w:p>
              </w:tc>
              <w:tc>
                <w:tcPr>
                  <w:tcW w:w="1281" w:type="dxa"/>
                  <w:vAlign w:val="center"/>
                </w:tcPr>
                <w:p w14:paraId="00D94840">
                  <w:pPr>
                    <w:pStyle w:val="19"/>
                    <w:bidi w:val="0"/>
                    <w:jc w:val="center"/>
                    <w:rPr>
                      <w:rFonts w:hint="default"/>
                      <w:color w:val="auto"/>
                      <w:lang w:val="en-US" w:eastAsia="zh-CN"/>
                    </w:rPr>
                  </w:pPr>
                  <w:r>
                    <w:rPr>
                      <w:rFonts w:hint="eastAsia"/>
                      <w:color w:val="auto"/>
                      <w:lang w:val="en-US" w:eastAsia="zh-CN"/>
                    </w:rPr>
                    <w:t>高速切割机</w:t>
                  </w:r>
                </w:p>
              </w:tc>
              <w:tc>
                <w:tcPr>
                  <w:tcW w:w="2011" w:type="dxa"/>
                  <w:vAlign w:val="center"/>
                </w:tcPr>
                <w:p w14:paraId="04F30C03">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2C438713">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7643FB95">
                  <w:pPr>
                    <w:pStyle w:val="19"/>
                    <w:bidi w:val="0"/>
                    <w:jc w:val="center"/>
                    <w:rPr>
                      <w:rFonts w:hint="default"/>
                      <w:color w:val="auto"/>
                      <w:lang w:val="en-US" w:eastAsia="zh-CN"/>
                    </w:rPr>
                  </w:pPr>
                  <w:r>
                    <w:rPr>
                      <w:rFonts w:hint="eastAsia"/>
                      <w:color w:val="auto"/>
                      <w:lang w:val="en-US" w:eastAsia="zh-CN"/>
                    </w:rPr>
                    <w:t>用于制板后切断网格布</w:t>
                  </w:r>
                </w:p>
              </w:tc>
            </w:tr>
            <w:tr w14:paraId="3E70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EC9DFB2">
                  <w:pPr>
                    <w:pStyle w:val="19"/>
                    <w:numPr>
                      <w:ilvl w:val="0"/>
                      <w:numId w:val="3"/>
                    </w:numPr>
                    <w:bidi w:val="0"/>
                    <w:jc w:val="center"/>
                    <w:rPr>
                      <w:rFonts w:hint="default"/>
                      <w:color w:val="auto"/>
                      <w:lang w:val="en-US" w:eastAsia="zh-CN"/>
                    </w:rPr>
                  </w:pPr>
                </w:p>
              </w:tc>
              <w:tc>
                <w:tcPr>
                  <w:tcW w:w="952" w:type="dxa"/>
                  <w:vMerge w:val="continue"/>
                  <w:vAlign w:val="center"/>
                </w:tcPr>
                <w:p w14:paraId="4EF66272">
                  <w:pPr>
                    <w:pStyle w:val="19"/>
                    <w:bidi w:val="0"/>
                    <w:jc w:val="center"/>
                    <w:rPr>
                      <w:rFonts w:hint="default"/>
                      <w:color w:val="auto"/>
                      <w:lang w:val="en-US" w:eastAsia="zh-CN"/>
                    </w:rPr>
                  </w:pPr>
                </w:p>
              </w:tc>
              <w:tc>
                <w:tcPr>
                  <w:tcW w:w="1281" w:type="dxa"/>
                  <w:vAlign w:val="center"/>
                </w:tcPr>
                <w:p w14:paraId="29C6C1D2">
                  <w:pPr>
                    <w:pStyle w:val="19"/>
                    <w:bidi w:val="0"/>
                    <w:jc w:val="center"/>
                    <w:rPr>
                      <w:rFonts w:hint="default"/>
                      <w:color w:val="auto"/>
                      <w:lang w:val="en-US" w:eastAsia="zh-CN"/>
                    </w:rPr>
                  </w:pPr>
                  <w:r>
                    <w:rPr>
                      <w:rFonts w:hint="eastAsia"/>
                      <w:color w:val="auto"/>
                      <w:lang w:val="en-US" w:eastAsia="zh-CN"/>
                    </w:rPr>
                    <w:t>刮平装置</w:t>
                  </w:r>
                </w:p>
              </w:tc>
              <w:tc>
                <w:tcPr>
                  <w:tcW w:w="2011" w:type="dxa"/>
                  <w:vAlign w:val="center"/>
                </w:tcPr>
                <w:p w14:paraId="2739A015">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742EEC0A">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453F1091">
                  <w:pPr>
                    <w:pStyle w:val="19"/>
                    <w:bidi w:val="0"/>
                    <w:jc w:val="center"/>
                    <w:rPr>
                      <w:rFonts w:hint="default"/>
                      <w:color w:val="auto"/>
                      <w:lang w:val="en-US" w:eastAsia="zh-CN"/>
                    </w:rPr>
                  </w:pPr>
                  <w:r>
                    <w:rPr>
                      <w:rFonts w:hint="eastAsia"/>
                      <w:color w:val="auto"/>
                      <w:lang w:val="en-US" w:eastAsia="zh-CN"/>
                    </w:rPr>
                    <w:t>用于放网刮浆</w:t>
                  </w:r>
                </w:p>
              </w:tc>
            </w:tr>
            <w:tr w14:paraId="680A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0A341774">
                  <w:pPr>
                    <w:pStyle w:val="19"/>
                    <w:numPr>
                      <w:ilvl w:val="0"/>
                      <w:numId w:val="3"/>
                    </w:numPr>
                    <w:bidi w:val="0"/>
                    <w:jc w:val="center"/>
                    <w:rPr>
                      <w:rFonts w:hint="default"/>
                      <w:color w:val="auto"/>
                      <w:lang w:val="en-US" w:eastAsia="zh-CN"/>
                    </w:rPr>
                  </w:pPr>
                </w:p>
              </w:tc>
              <w:tc>
                <w:tcPr>
                  <w:tcW w:w="952" w:type="dxa"/>
                  <w:vMerge w:val="continue"/>
                  <w:vAlign w:val="center"/>
                </w:tcPr>
                <w:p w14:paraId="4DE9258D">
                  <w:pPr>
                    <w:pStyle w:val="19"/>
                    <w:bidi w:val="0"/>
                    <w:jc w:val="center"/>
                    <w:rPr>
                      <w:rFonts w:hint="default"/>
                      <w:color w:val="auto"/>
                      <w:lang w:val="en-US" w:eastAsia="zh-CN"/>
                    </w:rPr>
                  </w:pPr>
                </w:p>
              </w:tc>
              <w:tc>
                <w:tcPr>
                  <w:tcW w:w="1281" w:type="dxa"/>
                  <w:vAlign w:val="center"/>
                </w:tcPr>
                <w:p w14:paraId="66D5B984">
                  <w:pPr>
                    <w:pStyle w:val="19"/>
                    <w:bidi w:val="0"/>
                    <w:jc w:val="center"/>
                    <w:rPr>
                      <w:rFonts w:hint="default"/>
                      <w:color w:val="auto"/>
                      <w:lang w:val="en-US" w:eastAsia="zh-CN"/>
                    </w:rPr>
                  </w:pPr>
                  <w:r>
                    <w:rPr>
                      <w:rFonts w:hint="eastAsia"/>
                      <w:color w:val="auto"/>
                      <w:lang w:val="en-US" w:eastAsia="zh-CN"/>
                    </w:rPr>
                    <w:t>收浆输送机</w:t>
                  </w:r>
                </w:p>
              </w:tc>
              <w:tc>
                <w:tcPr>
                  <w:tcW w:w="2011" w:type="dxa"/>
                  <w:vAlign w:val="center"/>
                </w:tcPr>
                <w:p w14:paraId="38A6317E">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1F96AB6E">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1EB9AD2C">
                  <w:pPr>
                    <w:pStyle w:val="19"/>
                    <w:bidi w:val="0"/>
                    <w:jc w:val="center"/>
                    <w:rPr>
                      <w:rFonts w:hint="default"/>
                      <w:color w:val="auto"/>
                      <w:lang w:val="en-US" w:eastAsia="zh-CN"/>
                    </w:rPr>
                  </w:pPr>
                  <w:r>
                    <w:rPr>
                      <w:rFonts w:hint="eastAsia"/>
                      <w:color w:val="auto"/>
                      <w:lang w:val="en-US" w:eastAsia="zh-CN"/>
                    </w:rPr>
                    <w:t>用于芯板收浆</w:t>
                  </w:r>
                </w:p>
              </w:tc>
            </w:tr>
            <w:tr w14:paraId="35B1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789B1EE2">
                  <w:pPr>
                    <w:pStyle w:val="19"/>
                    <w:numPr>
                      <w:ilvl w:val="0"/>
                      <w:numId w:val="3"/>
                    </w:numPr>
                    <w:bidi w:val="0"/>
                    <w:jc w:val="center"/>
                    <w:rPr>
                      <w:rFonts w:hint="default"/>
                      <w:color w:val="auto"/>
                      <w:lang w:val="en-US" w:eastAsia="zh-CN"/>
                    </w:rPr>
                  </w:pPr>
                </w:p>
              </w:tc>
              <w:tc>
                <w:tcPr>
                  <w:tcW w:w="2233" w:type="dxa"/>
                  <w:gridSpan w:val="2"/>
                  <w:vAlign w:val="center"/>
                </w:tcPr>
                <w:p w14:paraId="7A0AF672">
                  <w:pPr>
                    <w:pStyle w:val="19"/>
                    <w:bidi w:val="0"/>
                    <w:jc w:val="center"/>
                    <w:rPr>
                      <w:rFonts w:hint="default"/>
                      <w:color w:val="auto"/>
                      <w:lang w:val="en-US" w:eastAsia="zh-CN"/>
                    </w:rPr>
                  </w:pPr>
                  <w:r>
                    <w:rPr>
                      <w:rFonts w:hint="eastAsia"/>
                      <w:color w:val="auto"/>
                      <w:lang w:val="en-US" w:eastAsia="zh-CN"/>
                    </w:rPr>
                    <w:t>自动接板机</w:t>
                  </w:r>
                </w:p>
              </w:tc>
              <w:tc>
                <w:tcPr>
                  <w:tcW w:w="2011" w:type="dxa"/>
                  <w:vAlign w:val="center"/>
                </w:tcPr>
                <w:p w14:paraId="5554D2D9">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289ECFC0">
                  <w:pPr>
                    <w:pStyle w:val="19"/>
                    <w:bidi w:val="0"/>
                    <w:jc w:val="center"/>
                    <w:rPr>
                      <w:rFonts w:hint="default"/>
                      <w:color w:val="auto"/>
                      <w:lang w:val="en-US" w:eastAsia="zh-CN"/>
                    </w:rPr>
                  </w:pPr>
                  <w:r>
                    <w:rPr>
                      <w:rFonts w:hint="eastAsia"/>
                      <w:color w:val="auto"/>
                      <w:lang w:val="en-US" w:eastAsia="zh-CN"/>
                    </w:rPr>
                    <w:t>2</w:t>
                  </w:r>
                </w:p>
              </w:tc>
              <w:tc>
                <w:tcPr>
                  <w:tcW w:w="1601" w:type="dxa"/>
                  <w:vAlign w:val="center"/>
                </w:tcPr>
                <w:p w14:paraId="33C94971">
                  <w:pPr>
                    <w:pStyle w:val="19"/>
                    <w:bidi w:val="0"/>
                    <w:jc w:val="center"/>
                    <w:rPr>
                      <w:rFonts w:hint="default"/>
                      <w:color w:val="auto"/>
                      <w:lang w:val="en-US" w:eastAsia="zh-CN"/>
                    </w:rPr>
                  </w:pPr>
                  <w:r>
                    <w:rPr>
                      <w:rFonts w:hint="eastAsia"/>
                      <w:color w:val="auto"/>
                      <w:lang w:val="en-US" w:eastAsia="zh-CN"/>
                    </w:rPr>
                    <w:t>用于板材自动接收叠放</w:t>
                  </w:r>
                </w:p>
              </w:tc>
            </w:tr>
            <w:tr w14:paraId="773D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1594C3C7">
                  <w:pPr>
                    <w:pStyle w:val="19"/>
                    <w:numPr>
                      <w:ilvl w:val="0"/>
                      <w:numId w:val="3"/>
                    </w:numPr>
                    <w:bidi w:val="0"/>
                    <w:jc w:val="center"/>
                    <w:rPr>
                      <w:rFonts w:hint="default"/>
                      <w:color w:val="auto"/>
                      <w:lang w:val="en-US" w:eastAsia="zh-CN"/>
                    </w:rPr>
                  </w:pPr>
                </w:p>
              </w:tc>
              <w:tc>
                <w:tcPr>
                  <w:tcW w:w="2233" w:type="dxa"/>
                  <w:gridSpan w:val="2"/>
                  <w:vAlign w:val="center"/>
                </w:tcPr>
                <w:p w14:paraId="6AF2D70C">
                  <w:pPr>
                    <w:pStyle w:val="19"/>
                    <w:bidi w:val="0"/>
                    <w:jc w:val="center"/>
                    <w:rPr>
                      <w:rFonts w:hint="default"/>
                      <w:color w:val="auto"/>
                      <w:lang w:val="en-US" w:eastAsia="zh-CN"/>
                    </w:rPr>
                  </w:pPr>
                  <w:r>
                    <w:rPr>
                      <w:rFonts w:hint="eastAsia"/>
                      <w:color w:val="auto"/>
                      <w:lang w:val="en-US" w:eastAsia="zh-CN"/>
                    </w:rPr>
                    <w:t>养护架</w:t>
                  </w:r>
                </w:p>
              </w:tc>
              <w:tc>
                <w:tcPr>
                  <w:tcW w:w="2011" w:type="dxa"/>
                  <w:vAlign w:val="center"/>
                </w:tcPr>
                <w:p w14:paraId="7FCD0E78">
                  <w:pPr>
                    <w:pStyle w:val="19"/>
                    <w:bidi w:val="0"/>
                    <w:jc w:val="center"/>
                    <w:rPr>
                      <w:rFonts w:hint="default"/>
                      <w:color w:val="auto"/>
                      <w:lang w:val="en-US" w:eastAsia="zh-CN"/>
                    </w:rPr>
                  </w:pPr>
                  <w:r>
                    <w:rPr>
                      <w:rFonts w:hint="eastAsia"/>
                      <w:color w:val="auto"/>
                      <w:lang w:val="en-US" w:eastAsia="zh-CN"/>
                    </w:rPr>
                    <w:t>1500mm×2600mm×2000mm</w:t>
                  </w:r>
                </w:p>
              </w:tc>
              <w:tc>
                <w:tcPr>
                  <w:tcW w:w="1032" w:type="dxa"/>
                  <w:vAlign w:val="center"/>
                </w:tcPr>
                <w:p w14:paraId="0E7673DF">
                  <w:pPr>
                    <w:pStyle w:val="19"/>
                    <w:bidi w:val="0"/>
                    <w:jc w:val="center"/>
                    <w:rPr>
                      <w:rFonts w:hint="default"/>
                      <w:color w:val="auto"/>
                      <w:lang w:val="en-US" w:eastAsia="zh-CN"/>
                    </w:rPr>
                  </w:pPr>
                  <w:r>
                    <w:rPr>
                      <w:rFonts w:hint="eastAsia"/>
                      <w:color w:val="auto"/>
                      <w:lang w:val="en-US" w:eastAsia="zh-CN"/>
                    </w:rPr>
                    <w:t>2</w:t>
                  </w:r>
                </w:p>
              </w:tc>
              <w:tc>
                <w:tcPr>
                  <w:tcW w:w="1601" w:type="dxa"/>
                  <w:vAlign w:val="center"/>
                </w:tcPr>
                <w:p w14:paraId="080BE7FF">
                  <w:pPr>
                    <w:pStyle w:val="19"/>
                    <w:bidi w:val="0"/>
                    <w:jc w:val="center"/>
                    <w:rPr>
                      <w:rFonts w:hint="default"/>
                      <w:color w:val="auto"/>
                      <w:lang w:val="en-US" w:eastAsia="zh-CN"/>
                    </w:rPr>
                  </w:pPr>
                  <w:r>
                    <w:rPr>
                      <w:rFonts w:hint="eastAsia"/>
                      <w:color w:val="auto"/>
                      <w:lang w:val="en-US" w:eastAsia="zh-CN"/>
                    </w:rPr>
                    <w:t>用于成型后板材保养固化</w:t>
                  </w:r>
                </w:p>
              </w:tc>
            </w:tr>
            <w:tr w14:paraId="1F12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3C7FF3F9">
                  <w:pPr>
                    <w:pStyle w:val="19"/>
                    <w:numPr>
                      <w:ilvl w:val="0"/>
                      <w:numId w:val="3"/>
                    </w:numPr>
                    <w:bidi w:val="0"/>
                    <w:jc w:val="center"/>
                    <w:rPr>
                      <w:rFonts w:hint="default"/>
                      <w:color w:val="auto"/>
                      <w:lang w:val="en-US" w:eastAsia="zh-CN"/>
                    </w:rPr>
                  </w:pPr>
                </w:p>
              </w:tc>
              <w:tc>
                <w:tcPr>
                  <w:tcW w:w="2233" w:type="dxa"/>
                  <w:gridSpan w:val="2"/>
                  <w:vAlign w:val="center"/>
                </w:tcPr>
                <w:p w14:paraId="6B9CD3E3">
                  <w:pPr>
                    <w:pStyle w:val="19"/>
                    <w:bidi w:val="0"/>
                    <w:jc w:val="center"/>
                    <w:rPr>
                      <w:rFonts w:hint="default"/>
                      <w:color w:val="auto"/>
                      <w:lang w:val="en-US" w:eastAsia="zh-CN"/>
                    </w:rPr>
                  </w:pPr>
                  <w:r>
                    <w:rPr>
                      <w:rFonts w:hint="eastAsia"/>
                      <w:color w:val="auto"/>
                      <w:lang w:val="en-US" w:eastAsia="zh-CN"/>
                    </w:rPr>
                    <w:t>电热风炉</w:t>
                  </w:r>
                </w:p>
              </w:tc>
              <w:tc>
                <w:tcPr>
                  <w:tcW w:w="2011" w:type="dxa"/>
                  <w:vAlign w:val="center"/>
                </w:tcPr>
                <w:p w14:paraId="31AE3AE9">
                  <w:pPr>
                    <w:pStyle w:val="19"/>
                    <w:bidi w:val="0"/>
                    <w:jc w:val="center"/>
                    <w:rPr>
                      <w:rFonts w:hint="default"/>
                      <w:color w:val="auto"/>
                      <w:lang w:val="en-US" w:eastAsia="zh-CN"/>
                    </w:rPr>
                  </w:pPr>
                  <w:r>
                    <w:rPr>
                      <w:rFonts w:hint="eastAsia"/>
                      <w:color w:val="auto"/>
                      <w:lang w:val="en-US" w:eastAsia="zh-CN"/>
                    </w:rPr>
                    <w:t>225kW</w:t>
                  </w:r>
                </w:p>
              </w:tc>
              <w:tc>
                <w:tcPr>
                  <w:tcW w:w="1032" w:type="dxa"/>
                  <w:vAlign w:val="center"/>
                </w:tcPr>
                <w:p w14:paraId="71C0A708">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67EBE159">
                  <w:pPr>
                    <w:pStyle w:val="19"/>
                    <w:bidi w:val="0"/>
                    <w:jc w:val="center"/>
                    <w:rPr>
                      <w:rFonts w:hint="default"/>
                      <w:color w:val="auto"/>
                      <w:lang w:val="en-US" w:eastAsia="zh-CN"/>
                    </w:rPr>
                  </w:pPr>
                  <w:r>
                    <w:rPr>
                      <w:rFonts w:hint="eastAsia"/>
                      <w:color w:val="auto"/>
                      <w:lang w:val="en-US" w:eastAsia="zh-CN"/>
                    </w:rPr>
                    <w:t>用于冬季养护间保温</w:t>
                  </w:r>
                </w:p>
              </w:tc>
            </w:tr>
            <w:tr w14:paraId="1551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11DC25D">
                  <w:pPr>
                    <w:pStyle w:val="19"/>
                    <w:numPr>
                      <w:ilvl w:val="0"/>
                      <w:numId w:val="3"/>
                    </w:numPr>
                    <w:bidi w:val="0"/>
                    <w:jc w:val="center"/>
                    <w:rPr>
                      <w:rFonts w:hint="default"/>
                      <w:color w:val="auto"/>
                      <w:lang w:val="en-US" w:eastAsia="zh-CN"/>
                    </w:rPr>
                  </w:pPr>
                </w:p>
              </w:tc>
              <w:tc>
                <w:tcPr>
                  <w:tcW w:w="2233" w:type="dxa"/>
                  <w:gridSpan w:val="2"/>
                  <w:vAlign w:val="center"/>
                </w:tcPr>
                <w:p w14:paraId="18C9D65C">
                  <w:pPr>
                    <w:pStyle w:val="19"/>
                    <w:bidi w:val="0"/>
                    <w:jc w:val="center"/>
                    <w:rPr>
                      <w:rFonts w:hint="default"/>
                      <w:color w:val="auto"/>
                      <w:lang w:val="en-US" w:eastAsia="zh-CN"/>
                    </w:rPr>
                  </w:pPr>
                  <w:r>
                    <w:rPr>
                      <w:rFonts w:hint="eastAsia"/>
                      <w:color w:val="auto"/>
                      <w:lang w:val="en-US" w:eastAsia="zh-CN"/>
                    </w:rPr>
                    <w:t>180°翻转机</w:t>
                  </w:r>
                </w:p>
              </w:tc>
              <w:tc>
                <w:tcPr>
                  <w:tcW w:w="2011" w:type="dxa"/>
                  <w:vAlign w:val="center"/>
                </w:tcPr>
                <w:p w14:paraId="5689D721">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259B7849">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16C5A52A">
                  <w:pPr>
                    <w:pStyle w:val="19"/>
                    <w:bidi w:val="0"/>
                    <w:jc w:val="center"/>
                    <w:rPr>
                      <w:rFonts w:hint="default"/>
                      <w:color w:val="auto"/>
                      <w:lang w:val="en-US" w:eastAsia="zh-CN"/>
                    </w:rPr>
                  </w:pPr>
                  <w:r>
                    <w:rPr>
                      <w:rFonts w:hint="eastAsia"/>
                      <w:color w:val="auto"/>
                      <w:lang w:val="en-US" w:eastAsia="zh-CN"/>
                    </w:rPr>
                    <w:t>用于板材翻面</w:t>
                  </w:r>
                </w:p>
              </w:tc>
            </w:tr>
            <w:tr w14:paraId="7ED8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01193EDE">
                  <w:pPr>
                    <w:pStyle w:val="19"/>
                    <w:numPr>
                      <w:ilvl w:val="0"/>
                      <w:numId w:val="3"/>
                    </w:numPr>
                    <w:bidi w:val="0"/>
                    <w:jc w:val="center"/>
                    <w:rPr>
                      <w:rFonts w:hint="default"/>
                      <w:color w:val="auto"/>
                      <w:lang w:val="en-US" w:eastAsia="zh-CN"/>
                    </w:rPr>
                  </w:pPr>
                </w:p>
              </w:tc>
              <w:tc>
                <w:tcPr>
                  <w:tcW w:w="2233" w:type="dxa"/>
                  <w:gridSpan w:val="2"/>
                  <w:vAlign w:val="center"/>
                </w:tcPr>
                <w:p w14:paraId="2DD88457">
                  <w:pPr>
                    <w:pStyle w:val="19"/>
                    <w:bidi w:val="0"/>
                    <w:jc w:val="center"/>
                    <w:rPr>
                      <w:rFonts w:hint="default"/>
                      <w:color w:val="auto"/>
                      <w:lang w:val="en-US" w:eastAsia="zh-CN"/>
                    </w:rPr>
                  </w:pPr>
                  <w:r>
                    <w:rPr>
                      <w:rFonts w:hint="eastAsia"/>
                      <w:color w:val="auto"/>
                      <w:lang w:val="en-US" w:eastAsia="zh-CN"/>
                    </w:rPr>
                    <w:t>两头精密切割锯</w:t>
                  </w:r>
                </w:p>
              </w:tc>
              <w:tc>
                <w:tcPr>
                  <w:tcW w:w="2011" w:type="dxa"/>
                  <w:vAlign w:val="center"/>
                </w:tcPr>
                <w:p w14:paraId="527DCDB0">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0AE8EC43">
                  <w:pPr>
                    <w:pStyle w:val="19"/>
                    <w:bidi w:val="0"/>
                    <w:jc w:val="center"/>
                    <w:rPr>
                      <w:rFonts w:hint="default"/>
                      <w:color w:val="auto"/>
                      <w:lang w:val="en-US" w:eastAsia="zh-CN"/>
                    </w:rPr>
                  </w:pPr>
                  <w:r>
                    <w:rPr>
                      <w:rFonts w:hint="eastAsia"/>
                      <w:color w:val="auto"/>
                      <w:lang w:val="en-US" w:eastAsia="zh-CN"/>
                    </w:rPr>
                    <w:t>2</w:t>
                  </w:r>
                </w:p>
              </w:tc>
              <w:tc>
                <w:tcPr>
                  <w:tcW w:w="1601" w:type="dxa"/>
                  <w:vAlign w:val="center"/>
                </w:tcPr>
                <w:p w14:paraId="2D37B8DF">
                  <w:pPr>
                    <w:pStyle w:val="19"/>
                    <w:bidi w:val="0"/>
                    <w:jc w:val="center"/>
                    <w:rPr>
                      <w:rFonts w:hint="default"/>
                      <w:color w:val="auto"/>
                      <w:lang w:val="en-US" w:eastAsia="zh-CN"/>
                    </w:rPr>
                  </w:pPr>
                  <w:r>
                    <w:rPr>
                      <w:rFonts w:hint="eastAsia"/>
                      <w:color w:val="auto"/>
                      <w:lang w:val="en-US" w:eastAsia="zh-CN"/>
                    </w:rPr>
                    <w:t>用于板材修边切割</w:t>
                  </w:r>
                </w:p>
              </w:tc>
            </w:tr>
            <w:tr w14:paraId="500D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21953AE">
                  <w:pPr>
                    <w:pStyle w:val="19"/>
                    <w:numPr>
                      <w:ilvl w:val="0"/>
                      <w:numId w:val="3"/>
                    </w:numPr>
                    <w:bidi w:val="0"/>
                    <w:jc w:val="center"/>
                    <w:rPr>
                      <w:rFonts w:hint="default"/>
                      <w:color w:val="auto"/>
                      <w:lang w:val="en-US" w:eastAsia="zh-CN"/>
                    </w:rPr>
                  </w:pPr>
                </w:p>
              </w:tc>
              <w:tc>
                <w:tcPr>
                  <w:tcW w:w="2233" w:type="dxa"/>
                  <w:gridSpan w:val="2"/>
                  <w:vAlign w:val="center"/>
                </w:tcPr>
                <w:p w14:paraId="1B2F36F5">
                  <w:pPr>
                    <w:pStyle w:val="19"/>
                    <w:bidi w:val="0"/>
                    <w:jc w:val="center"/>
                    <w:rPr>
                      <w:rFonts w:hint="default"/>
                      <w:color w:val="auto"/>
                      <w:lang w:val="en-US" w:eastAsia="zh-CN"/>
                    </w:rPr>
                  </w:pPr>
                  <w:r>
                    <w:rPr>
                      <w:rFonts w:hint="eastAsia"/>
                      <w:color w:val="auto"/>
                      <w:lang w:val="en-US" w:eastAsia="zh-CN"/>
                    </w:rPr>
                    <w:t>自动雕刻机</w:t>
                  </w:r>
                </w:p>
              </w:tc>
              <w:tc>
                <w:tcPr>
                  <w:tcW w:w="2011" w:type="dxa"/>
                  <w:vAlign w:val="center"/>
                </w:tcPr>
                <w:p w14:paraId="5A3D83D6">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6574AE3C">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3DE315FD">
                  <w:pPr>
                    <w:pStyle w:val="19"/>
                    <w:bidi w:val="0"/>
                    <w:jc w:val="center"/>
                    <w:rPr>
                      <w:rFonts w:hint="default"/>
                      <w:color w:val="auto"/>
                      <w:lang w:val="en-US" w:eastAsia="zh-CN"/>
                    </w:rPr>
                  </w:pPr>
                  <w:r>
                    <w:rPr>
                      <w:rFonts w:hint="eastAsia"/>
                      <w:color w:val="auto"/>
                      <w:lang w:val="en-US" w:eastAsia="zh-CN"/>
                    </w:rPr>
                    <w:t>用于背衬板表面雕刻</w:t>
                  </w:r>
                </w:p>
              </w:tc>
            </w:tr>
            <w:tr w14:paraId="6FF9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764D32F0">
                  <w:pPr>
                    <w:pStyle w:val="19"/>
                    <w:numPr>
                      <w:ilvl w:val="0"/>
                      <w:numId w:val="3"/>
                    </w:numPr>
                    <w:bidi w:val="0"/>
                    <w:jc w:val="center"/>
                    <w:rPr>
                      <w:rFonts w:hint="default"/>
                      <w:color w:val="auto"/>
                      <w:lang w:val="en-US" w:eastAsia="zh-CN"/>
                    </w:rPr>
                  </w:pPr>
                </w:p>
              </w:tc>
              <w:tc>
                <w:tcPr>
                  <w:tcW w:w="2233" w:type="dxa"/>
                  <w:gridSpan w:val="2"/>
                  <w:vAlign w:val="center"/>
                </w:tcPr>
                <w:p w14:paraId="48F49571">
                  <w:pPr>
                    <w:pStyle w:val="19"/>
                    <w:bidi w:val="0"/>
                    <w:jc w:val="center"/>
                    <w:rPr>
                      <w:rFonts w:hint="default"/>
                      <w:color w:val="auto"/>
                      <w:lang w:val="en-US" w:eastAsia="zh-CN"/>
                    </w:rPr>
                  </w:pPr>
                  <w:r>
                    <w:rPr>
                      <w:rFonts w:hint="eastAsia"/>
                      <w:color w:val="auto"/>
                      <w:lang w:val="en-US" w:eastAsia="zh-CN"/>
                    </w:rPr>
                    <w:t>除湿机</w:t>
                  </w:r>
                </w:p>
              </w:tc>
              <w:tc>
                <w:tcPr>
                  <w:tcW w:w="2011" w:type="dxa"/>
                  <w:vAlign w:val="center"/>
                </w:tcPr>
                <w:p w14:paraId="6A2480A7">
                  <w:pPr>
                    <w:pStyle w:val="19"/>
                    <w:bidi w:val="0"/>
                    <w:jc w:val="center"/>
                    <w:rPr>
                      <w:rFonts w:hint="default"/>
                      <w:color w:val="auto"/>
                      <w:lang w:val="en-US" w:eastAsia="zh-CN"/>
                    </w:rPr>
                  </w:pPr>
                  <w:r>
                    <w:rPr>
                      <w:rFonts w:hint="eastAsia"/>
                      <w:color w:val="auto"/>
                      <w:lang w:val="en-US" w:eastAsia="zh-CN"/>
                    </w:rPr>
                    <w:t>200kg/h</w:t>
                  </w:r>
                </w:p>
              </w:tc>
              <w:tc>
                <w:tcPr>
                  <w:tcW w:w="1032" w:type="dxa"/>
                  <w:vAlign w:val="center"/>
                </w:tcPr>
                <w:p w14:paraId="0846B72B">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2E7521EE">
                  <w:pPr>
                    <w:pStyle w:val="19"/>
                    <w:bidi w:val="0"/>
                    <w:jc w:val="center"/>
                    <w:rPr>
                      <w:rFonts w:hint="default"/>
                      <w:color w:val="auto"/>
                      <w:lang w:val="en-US" w:eastAsia="zh-CN"/>
                    </w:rPr>
                  </w:pPr>
                  <w:r>
                    <w:rPr>
                      <w:rFonts w:hint="eastAsia"/>
                      <w:color w:val="auto"/>
                      <w:lang w:val="en-US" w:eastAsia="zh-CN"/>
                    </w:rPr>
                    <w:t>用于养护间除湿</w:t>
                  </w:r>
                </w:p>
              </w:tc>
            </w:tr>
            <w:tr w14:paraId="0747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5449AFA">
                  <w:pPr>
                    <w:pStyle w:val="19"/>
                    <w:numPr>
                      <w:ilvl w:val="0"/>
                      <w:numId w:val="3"/>
                    </w:numPr>
                    <w:bidi w:val="0"/>
                    <w:jc w:val="center"/>
                    <w:rPr>
                      <w:rFonts w:hint="default"/>
                      <w:color w:val="auto"/>
                      <w:lang w:val="en-US" w:eastAsia="zh-CN"/>
                    </w:rPr>
                  </w:pPr>
                </w:p>
              </w:tc>
              <w:tc>
                <w:tcPr>
                  <w:tcW w:w="2233" w:type="dxa"/>
                  <w:gridSpan w:val="2"/>
                  <w:vAlign w:val="center"/>
                </w:tcPr>
                <w:p w14:paraId="2EABA26C">
                  <w:pPr>
                    <w:pStyle w:val="19"/>
                    <w:bidi w:val="0"/>
                    <w:jc w:val="center"/>
                    <w:rPr>
                      <w:rFonts w:hint="default"/>
                      <w:color w:val="auto"/>
                      <w:lang w:val="en-US" w:eastAsia="zh-CN"/>
                    </w:rPr>
                  </w:pPr>
                  <w:r>
                    <w:rPr>
                      <w:rFonts w:hint="eastAsia"/>
                      <w:color w:val="auto"/>
                      <w:lang w:val="en-US" w:eastAsia="zh-CN"/>
                    </w:rPr>
                    <w:t>螺旋输送机</w:t>
                  </w:r>
                </w:p>
              </w:tc>
              <w:tc>
                <w:tcPr>
                  <w:tcW w:w="2011" w:type="dxa"/>
                  <w:vAlign w:val="center"/>
                </w:tcPr>
                <w:p w14:paraId="6708071F">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274F2003">
                  <w:pPr>
                    <w:pStyle w:val="19"/>
                    <w:bidi w:val="0"/>
                    <w:jc w:val="center"/>
                    <w:rPr>
                      <w:rFonts w:hint="default"/>
                      <w:color w:val="auto"/>
                      <w:lang w:val="en-US" w:eastAsia="zh-CN"/>
                    </w:rPr>
                  </w:pPr>
                  <w:r>
                    <w:rPr>
                      <w:rFonts w:hint="eastAsia"/>
                      <w:color w:val="auto"/>
                      <w:lang w:val="en-US" w:eastAsia="zh-CN"/>
                    </w:rPr>
                    <w:t>2</w:t>
                  </w:r>
                </w:p>
              </w:tc>
              <w:tc>
                <w:tcPr>
                  <w:tcW w:w="1601" w:type="dxa"/>
                  <w:vMerge w:val="restart"/>
                  <w:vAlign w:val="center"/>
                </w:tcPr>
                <w:p w14:paraId="342FF9C8">
                  <w:pPr>
                    <w:pStyle w:val="19"/>
                    <w:bidi w:val="0"/>
                    <w:jc w:val="center"/>
                    <w:rPr>
                      <w:rFonts w:hint="default"/>
                      <w:color w:val="auto"/>
                      <w:lang w:val="en-US" w:eastAsia="zh-CN"/>
                    </w:rPr>
                  </w:pPr>
                  <w:r>
                    <w:rPr>
                      <w:rFonts w:hint="eastAsia"/>
                      <w:color w:val="auto"/>
                      <w:lang w:val="en-US" w:eastAsia="zh-CN"/>
                    </w:rPr>
                    <w:t>用于板材输送</w:t>
                  </w:r>
                </w:p>
              </w:tc>
            </w:tr>
            <w:tr w14:paraId="697D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25968CB">
                  <w:pPr>
                    <w:pStyle w:val="19"/>
                    <w:numPr>
                      <w:ilvl w:val="0"/>
                      <w:numId w:val="3"/>
                    </w:numPr>
                    <w:bidi w:val="0"/>
                    <w:jc w:val="center"/>
                    <w:rPr>
                      <w:rFonts w:hint="default"/>
                      <w:color w:val="auto"/>
                      <w:lang w:val="en-US" w:eastAsia="zh-CN"/>
                    </w:rPr>
                  </w:pPr>
                </w:p>
              </w:tc>
              <w:tc>
                <w:tcPr>
                  <w:tcW w:w="2233" w:type="dxa"/>
                  <w:gridSpan w:val="2"/>
                  <w:vAlign w:val="center"/>
                </w:tcPr>
                <w:p w14:paraId="549F0925">
                  <w:pPr>
                    <w:pStyle w:val="19"/>
                    <w:bidi w:val="0"/>
                    <w:jc w:val="center"/>
                    <w:rPr>
                      <w:rFonts w:hint="default"/>
                      <w:color w:val="auto"/>
                      <w:lang w:val="en-US" w:eastAsia="zh-CN"/>
                    </w:rPr>
                  </w:pPr>
                  <w:r>
                    <w:rPr>
                      <w:rFonts w:hint="eastAsia"/>
                      <w:color w:val="auto"/>
                      <w:lang w:val="en-US" w:eastAsia="zh-CN"/>
                    </w:rPr>
                    <w:t>辊筒输送机</w:t>
                  </w:r>
                </w:p>
              </w:tc>
              <w:tc>
                <w:tcPr>
                  <w:tcW w:w="2011" w:type="dxa"/>
                  <w:vAlign w:val="center"/>
                </w:tcPr>
                <w:p w14:paraId="06026BB0">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07BC5A4F">
                  <w:pPr>
                    <w:pStyle w:val="19"/>
                    <w:bidi w:val="0"/>
                    <w:jc w:val="center"/>
                    <w:rPr>
                      <w:rFonts w:hint="default"/>
                      <w:color w:val="auto"/>
                      <w:lang w:val="en-US" w:eastAsia="zh-CN"/>
                    </w:rPr>
                  </w:pPr>
                  <w:r>
                    <w:rPr>
                      <w:rFonts w:hint="eastAsia"/>
                      <w:color w:val="auto"/>
                      <w:lang w:val="en-US" w:eastAsia="zh-CN"/>
                    </w:rPr>
                    <w:t>3</w:t>
                  </w:r>
                </w:p>
              </w:tc>
              <w:tc>
                <w:tcPr>
                  <w:tcW w:w="1601" w:type="dxa"/>
                  <w:vMerge w:val="continue"/>
                  <w:vAlign w:val="center"/>
                </w:tcPr>
                <w:p w14:paraId="1C7C9FCA">
                  <w:pPr>
                    <w:pStyle w:val="19"/>
                    <w:bidi w:val="0"/>
                    <w:jc w:val="center"/>
                    <w:rPr>
                      <w:rFonts w:hint="default"/>
                      <w:color w:val="auto"/>
                      <w:lang w:val="en-US" w:eastAsia="zh-CN"/>
                    </w:rPr>
                  </w:pPr>
                </w:p>
              </w:tc>
            </w:tr>
            <w:tr w14:paraId="4359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34EC1F08">
                  <w:pPr>
                    <w:pStyle w:val="19"/>
                    <w:numPr>
                      <w:ilvl w:val="0"/>
                      <w:numId w:val="3"/>
                    </w:numPr>
                    <w:bidi w:val="0"/>
                    <w:jc w:val="center"/>
                    <w:rPr>
                      <w:rFonts w:hint="default"/>
                      <w:color w:val="auto"/>
                      <w:lang w:val="en-US" w:eastAsia="zh-CN"/>
                    </w:rPr>
                  </w:pPr>
                </w:p>
              </w:tc>
              <w:tc>
                <w:tcPr>
                  <w:tcW w:w="2233" w:type="dxa"/>
                  <w:gridSpan w:val="2"/>
                  <w:vAlign w:val="center"/>
                </w:tcPr>
                <w:p w14:paraId="3EEDA6DF">
                  <w:pPr>
                    <w:pStyle w:val="19"/>
                    <w:bidi w:val="0"/>
                    <w:jc w:val="center"/>
                    <w:rPr>
                      <w:rFonts w:hint="default"/>
                      <w:color w:val="auto"/>
                      <w:lang w:val="en-US" w:eastAsia="zh-CN"/>
                    </w:rPr>
                  </w:pPr>
                  <w:r>
                    <w:rPr>
                      <w:rFonts w:hint="eastAsia"/>
                      <w:color w:val="auto"/>
                      <w:lang w:val="en-US" w:eastAsia="zh-CN"/>
                    </w:rPr>
                    <w:t>空压机</w:t>
                  </w:r>
                </w:p>
              </w:tc>
              <w:tc>
                <w:tcPr>
                  <w:tcW w:w="2011" w:type="dxa"/>
                  <w:vAlign w:val="center"/>
                </w:tcPr>
                <w:p w14:paraId="64EF36BE">
                  <w:pPr>
                    <w:pStyle w:val="19"/>
                    <w:bidi w:val="0"/>
                    <w:jc w:val="center"/>
                    <w:rPr>
                      <w:rFonts w:hint="default"/>
                      <w:color w:val="auto"/>
                      <w:lang w:val="en-US" w:eastAsia="zh-CN"/>
                    </w:rPr>
                  </w:pPr>
                  <w:r>
                    <w:rPr>
                      <w:rFonts w:hint="eastAsia"/>
                      <w:color w:val="auto"/>
                      <w:lang w:val="en-US" w:eastAsia="zh-CN"/>
                    </w:rPr>
                    <w:t>/</w:t>
                  </w:r>
                </w:p>
              </w:tc>
              <w:tc>
                <w:tcPr>
                  <w:tcW w:w="1032" w:type="dxa"/>
                  <w:vAlign w:val="center"/>
                </w:tcPr>
                <w:p w14:paraId="0114C58D">
                  <w:pPr>
                    <w:pStyle w:val="19"/>
                    <w:bidi w:val="0"/>
                    <w:jc w:val="center"/>
                    <w:rPr>
                      <w:rFonts w:hint="default"/>
                      <w:color w:val="auto"/>
                      <w:lang w:val="en-US" w:eastAsia="zh-CN"/>
                    </w:rPr>
                  </w:pPr>
                  <w:r>
                    <w:rPr>
                      <w:rFonts w:hint="eastAsia"/>
                      <w:color w:val="auto"/>
                      <w:lang w:val="en-US" w:eastAsia="zh-CN"/>
                    </w:rPr>
                    <w:t>1</w:t>
                  </w:r>
                </w:p>
              </w:tc>
              <w:tc>
                <w:tcPr>
                  <w:tcW w:w="1601" w:type="dxa"/>
                  <w:vAlign w:val="center"/>
                </w:tcPr>
                <w:p w14:paraId="5B1B78D7">
                  <w:pPr>
                    <w:pStyle w:val="19"/>
                    <w:bidi w:val="0"/>
                    <w:jc w:val="center"/>
                    <w:rPr>
                      <w:rFonts w:hint="default"/>
                      <w:color w:val="auto"/>
                      <w:lang w:val="en-US" w:eastAsia="zh-CN"/>
                    </w:rPr>
                  </w:pPr>
                  <w:r>
                    <w:rPr>
                      <w:rFonts w:hint="eastAsia"/>
                      <w:color w:val="auto"/>
                      <w:lang w:val="en-US" w:eastAsia="zh-CN"/>
                    </w:rPr>
                    <w:t>压缩空气</w:t>
                  </w:r>
                </w:p>
              </w:tc>
            </w:tr>
          </w:tbl>
          <w:p w14:paraId="1CC323A1">
            <w:pPr>
              <w:pStyle w:val="20"/>
              <w:bidi w:val="0"/>
              <w:rPr>
                <w:rFonts w:hint="default"/>
                <w:color w:val="auto"/>
                <w:lang w:val="en-US" w:eastAsia="zh-CN"/>
              </w:rPr>
            </w:pPr>
          </w:p>
          <w:p w14:paraId="49536572">
            <w:pPr>
              <w:pStyle w:val="5"/>
              <w:rPr>
                <w:rFonts w:hint="default"/>
                <w:color w:val="auto"/>
                <w:lang w:val="en-US" w:eastAsia="zh-CN"/>
              </w:rPr>
            </w:pPr>
            <w:r>
              <w:rPr>
                <w:rFonts w:hint="default"/>
                <w:color w:val="auto"/>
                <w:lang w:val="en-US" w:eastAsia="zh-CN"/>
              </w:rPr>
              <w:t>根据《产业结构调整指导目录</w:t>
            </w:r>
            <w:r>
              <w:rPr>
                <w:rFonts w:hint="eastAsia"/>
                <w:color w:val="auto"/>
                <w:lang w:val="en-US" w:eastAsia="zh-CN"/>
              </w:rPr>
              <w:t>（</w:t>
            </w:r>
            <w:r>
              <w:rPr>
                <w:rFonts w:hint="default"/>
                <w:color w:val="auto"/>
                <w:lang w:val="en-US" w:eastAsia="zh-CN"/>
              </w:rPr>
              <w:t>2024年本</w:t>
            </w:r>
            <w:r>
              <w:rPr>
                <w:rFonts w:hint="eastAsia"/>
                <w:color w:val="auto"/>
                <w:lang w:val="en-US" w:eastAsia="zh-CN"/>
              </w:rPr>
              <w:t>）</w:t>
            </w:r>
            <w:r>
              <w:rPr>
                <w:rFonts w:hint="default"/>
                <w:color w:val="auto"/>
                <w:lang w:val="en-US" w:eastAsia="zh-CN"/>
              </w:rPr>
              <w:t>》，本项目</w:t>
            </w:r>
            <w:r>
              <w:rPr>
                <w:rFonts w:hint="eastAsia"/>
                <w:color w:val="auto"/>
                <w:lang w:val="en-US" w:eastAsia="zh-CN"/>
              </w:rPr>
              <w:t>不涉及</w:t>
            </w:r>
            <w:r>
              <w:rPr>
                <w:rFonts w:hint="default"/>
                <w:color w:val="auto"/>
                <w:lang w:val="en-US" w:eastAsia="zh-CN"/>
              </w:rPr>
              <w:t>淘汰类设备。</w:t>
            </w:r>
          </w:p>
          <w:p w14:paraId="23E3DC32">
            <w:pPr>
              <w:pStyle w:val="4"/>
              <w:bidi w:val="0"/>
              <w:rPr>
                <w:rFonts w:hint="default"/>
                <w:color w:val="auto"/>
                <w:lang w:val="en-US" w:eastAsia="zh-CN"/>
              </w:rPr>
            </w:pPr>
            <w:r>
              <w:rPr>
                <w:rFonts w:hint="eastAsia"/>
                <w:color w:val="auto"/>
                <w:lang w:val="en-US" w:eastAsia="zh-CN"/>
              </w:rPr>
              <w:t>原辅材料及能源使用情况</w:t>
            </w:r>
          </w:p>
          <w:p w14:paraId="092E5657">
            <w:pPr>
              <w:pStyle w:val="5"/>
              <w:rPr>
                <w:rFonts w:hint="eastAsia"/>
                <w:color w:val="auto"/>
                <w:lang w:val="en-US" w:eastAsia="zh-CN"/>
              </w:rPr>
            </w:pPr>
            <w:r>
              <w:rPr>
                <w:rFonts w:hint="eastAsia"/>
                <w:color w:val="auto"/>
                <w:lang w:val="en-US" w:eastAsia="zh-CN"/>
              </w:rPr>
              <w:t>本项目原辅材料及能源消耗见下表。</w:t>
            </w:r>
          </w:p>
          <w:p w14:paraId="59A4E573">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11</w:t>
            </w:r>
            <w:r>
              <w:rPr>
                <w:color w:val="auto"/>
              </w:rPr>
              <w:fldChar w:fldCharType="end"/>
            </w:r>
            <w:r>
              <w:rPr>
                <w:rFonts w:hint="eastAsia"/>
                <w:color w:val="auto"/>
                <w:lang w:val="en-US" w:eastAsia="zh-CN"/>
              </w:rPr>
              <w:t xml:space="preserve"> 原辅材料及能源消耗一览表</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228"/>
              <w:gridCol w:w="2031"/>
              <w:gridCol w:w="858"/>
              <w:gridCol w:w="1099"/>
              <w:gridCol w:w="1043"/>
            </w:tblGrid>
            <w:tr w14:paraId="07A2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Align w:val="center"/>
                </w:tcPr>
                <w:p w14:paraId="0E2D5C72">
                  <w:pPr>
                    <w:pStyle w:val="19"/>
                    <w:bidi w:val="0"/>
                    <w:jc w:val="center"/>
                    <w:rPr>
                      <w:rFonts w:hint="default"/>
                      <w:color w:val="auto"/>
                      <w:lang w:val="en-US" w:eastAsia="zh-CN"/>
                    </w:rPr>
                  </w:pPr>
                  <w:r>
                    <w:rPr>
                      <w:rFonts w:hint="eastAsia"/>
                      <w:color w:val="auto"/>
                      <w:lang w:val="en-US" w:eastAsia="zh-CN"/>
                    </w:rPr>
                    <w:t>分类</w:t>
                  </w:r>
                </w:p>
              </w:tc>
              <w:tc>
                <w:tcPr>
                  <w:tcW w:w="1228" w:type="dxa"/>
                  <w:vAlign w:val="center"/>
                </w:tcPr>
                <w:p w14:paraId="404EF7B1">
                  <w:pPr>
                    <w:pStyle w:val="19"/>
                    <w:bidi w:val="0"/>
                    <w:jc w:val="center"/>
                    <w:rPr>
                      <w:rFonts w:hint="default"/>
                      <w:color w:val="auto"/>
                      <w:lang w:val="en-US" w:eastAsia="zh-CN"/>
                    </w:rPr>
                  </w:pPr>
                  <w:r>
                    <w:rPr>
                      <w:rFonts w:hint="eastAsia"/>
                      <w:color w:val="auto"/>
                      <w:lang w:val="en-US" w:eastAsia="zh-CN"/>
                    </w:rPr>
                    <w:t>原料名称</w:t>
                  </w:r>
                </w:p>
              </w:tc>
              <w:tc>
                <w:tcPr>
                  <w:tcW w:w="2031" w:type="dxa"/>
                  <w:vAlign w:val="center"/>
                </w:tcPr>
                <w:p w14:paraId="654A305E">
                  <w:pPr>
                    <w:pStyle w:val="19"/>
                    <w:bidi w:val="0"/>
                    <w:jc w:val="center"/>
                    <w:rPr>
                      <w:rFonts w:hint="default"/>
                      <w:color w:val="auto"/>
                      <w:lang w:val="en-US" w:eastAsia="zh-CN"/>
                    </w:rPr>
                  </w:pPr>
                  <w:r>
                    <w:rPr>
                      <w:rFonts w:hint="eastAsia"/>
                      <w:color w:val="auto"/>
                      <w:lang w:val="en-US" w:eastAsia="zh-CN"/>
                    </w:rPr>
                    <w:t>规格</w:t>
                  </w:r>
                </w:p>
              </w:tc>
              <w:tc>
                <w:tcPr>
                  <w:tcW w:w="858" w:type="dxa"/>
                  <w:vAlign w:val="center"/>
                </w:tcPr>
                <w:p w14:paraId="30788A34">
                  <w:pPr>
                    <w:pStyle w:val="19"/>
                    <w:bidi w:val="0"/>
                    <w:jc w:val="center"/>
                    <w:rPr>
                      <w:rFonts w:hint="default"/>
                      <w:color w:val="auto"/>
                      <w:lang w:val="en-US" w:eastAsia="zh-CN"/>
                    </w:rPr>
                  </w:pPr>
                  <w:r>
                    <w:rPr>
                      <w:rFonts w:hint="eastAsia"/>
                      <w:color w:val="auto"/>
                      <w:lang w:val="en-US" w:eastAsia="zh-CN"/>
                    </w:rPr>
                    <w:t>单位</w:t>
                  </w:r>
                </w:p>
              </w:tc>
              <w:tc>
                <w:tcPr>
                  <w:tcW w:w="1099" w:type="dxa"/>
                  <w:vAlign w:val="center"/>
                </w:tcPr>
                <w:p w14:paraId="4672DF56">
                  <w:pPr>
                    <w:pStyle w:val="19"/>
                    <w:bidi w:val="0"/>
                    <w:jc w:val="center"/>
                    <w:rPr>
                      <w:rFonts w:hint="default"/>
                      <w:color w:val="auto"/>
                      <w:lang w:val="en-US" w:eastAsia="zh-CN"/>
                    </w:rPr>
                  </w:pPr>
                  <w:r>
                    <w:rPr>
                      <w:rFonts w:hint="eastAsia"/>
                      <w:color w:val="auto"/>
                      <w:lang w:val="en-US" w:eastAsia="zh-CN"/>
                    </w:rPr>
                    <w:t>消耗量</w:t>
                  </w:r>
                </w:p>
              </w:tc>
              <w:tc>
                <w:tcPr>
                  <w:tcW w:w="1043" w:type="dxa"/>
                  <w:vAlign w:val="center"/>
                </w:tcPr>
                <w:p w14:paraId="66021DE3">
                  <w:pPr>
                    <w:pStyle w:val="19"/>
                    <w:bidi w:val="0"/>
                    <w:jc w:val="center"/>
                    <w:rPr>
                      <w:rFonts w:hint="default"/>
                      <w:color w:val="auto"/>
                      <w:lang w:val="en-US" w:eastAsia="zh-CN"/>
                    </w:rPr>
                  </w:pPr>
                  <w:r>
                    <w:rPr>
                      <w:rFonts w:hint="eastAsia"/>
                      <w:color w:val="auto"/>
                      <w:lang w:val="en-US" w:eastAsia="zh-CN"/>
                    </w:rPr>
                    <w:t>备注</w:t>
                  </w:r>
                </w:p>
              </w:tc>
            </w:tr>
            <w:tr w14:paraId="50F7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restart"/>
                  <w:vAlign w:val="center"/>
                </w:tcPr>
                <w:p w14:paraId="00C81FA9">
                  <w:pPr>
                    <w:pStyle w:val="19"/>
                    <w:bidi w:val="0"/>
                    <w:jc w:val="center"/>
                    <w:rPr>
                      <w:rFonts w:hint="default"/>
                      <w:color w:val="auto"/>
                      <w:lang w:val="en-US" w:eastAsia="zh-CN"/>
                    </w:rPr>
                  </w:pPr>
                  <w:r>
                    <w:rPr>
                      <w:rFonts w:hint="eastAsia"/>
                      <w:color w:val="auto"/>
                      <w:lang w:val="en-US" w:eastAsia="zh-CN"/>
                    </w:rPr>
                    <w:t>原辅材料</w:t>
                  </w:r>
                </w:p>
              </w:tc>
              <w:tc>
                <w:tcPr>
                  <w:tcW w:w="1228" w:type="dxa"/>
                  <w:vAlign w:val="center"/>
                </w:tcPr>
                <w:p w14:paraId="1B3FB33B">
                  <w:pPr>
                    <w:pStyle w:val="19"/>
                    <w:bidi w:val="0"/>
                    <w:jc w:val="center"/>
                    <w:rPr>
                      <w:rFonts w:hint="default"/>
                      <w:color w:val="auto"/>
                      <w:lang w:val="en-US" w:eastAsia="zh-CN"/>
                    </w:rPr>
                  </w:pPr>
                  <w:r>
                    <w:rPr>
                      <w:rFonts w:hint="eastAsia"/>
                      <w:color w:val="auto"/>
                      <w:lang w:val="en-US" w:eastAsia="zh-CN"/>
                    </w:rPr>
                    <w:t>XPS板</w:t>
                  </w:r>
                </w:p>
              </w:tc>
              <w:tc>
                <w:tcPr>
                  <w:tcW w:w="2031" w:type="dxa"/>
                  <w:vAlign w:val="center"/>
                </w:tcPr>
                <w:p w14:paraId="73AA1862">
                  <w:pPr>
                    <w:pStyle w:val="19"/>
                    <w:bidi w:val="0"/>
                    <w:jc w:val="center"/>
                    <w:rPr>
                      <w:rFonts w:hint="default"/>
                      <w:color w:val="auto"/>
                      <w:lang w:val="en-US" w:eastAsia="zh-CN"/>
                    </w:rPr>
                  </w:pPr>
                  <w:r>
                    <w:rPr>
                      <w:rFonts w:hint="eastAsia"/>
                      <w:color w:val="auto"/>
                      <w:lang w:val="en-US" w:eastAsia="zh-CN"/>
                    </w:rPr>
                    <w:t>1220mm×2440mm，厚度10～50mm</w:t>
                  </w:r>
                </w:p>
              </w:tc>
              <w:tc>
                <w:tcPr>
                  <w:tcW w:w="858" w:type="dxa"/>
                  <w:vAlign w:val="center"/>
                </w:tcPr>
                <w:p w14:paraId="026C2A7B">
                  <w:pPr>
                    <w:pStyle w:val="19"/>
                    <w:bidi w:val="0"/>
                    <w:jc w:val="center"/>
                    <w:rPr>
                      <w:rFonts w:hint="default"/>
                      <w:color w:val="auto"/>
                      <w:lang w:val="en-US" w:eastAsia="zh-CN"/>
                    </w:rPr>
                  </w:pPr>
                  <w:r>
                    <w:rPr>
                      <w:rFonts w:hint="eastAsia"/>
                      <w:color w:val="auto"/>
                      <w:lang w:val="en-US" w:eastAsia="zh-CN"/>
                    </w:rPr>
                    <w:t>t/a</w:t>
                  </w:r>
                </w:p>
              </w:tc>
              <w:tc>
                <w:tcPr>
                  <w:tcW w:w="1099" w:type="dxa"/>
                  <w:vAlign w:val="center"/>
                </w:tcPr>
                <w:p w14:paraId="59D072DE">
                  <w:pPr>
                    <w:pStyle w:val="19"/>
                    <w:bidi w:val="0"/>
                    <w:jc w:val="center"/>
                    <w:rPr>
                      <w:rFonts w:hint="default"/>
                      <w:color w:val="auto"/>
                      <w:lang w:val="en-US" w:eastAsia="zh-CN"/>
                    </w:rPr>
                  </w:pPr>
                  <w:r>
                    <w:rPr>
                      <w:rFonts w:hint="eastAsia"/>
                      <w:color w:val="auto"/>
                      <w:lang w:val="en-US" w:eastAsia="zh-CN"/>
                    </w:rPr>
                    <w:t>774</w:t>
                  </w:r>
                </w:p>
              </w:tc>
              <w:tc>
                <w:tcPr>
                  <w:tcW w:w="1043" w:type="dxa"/>
                  <w:vMerge w:val="restart"/>
                  <w:vAlign w:val="center"/>
                </w:tcPr>
                <w:p w14:paraId="31632D70">
                  <w:pPr>
                    <w:pStyle w:val="19"/>
                    <w:bidi w:val="0"/>
                    <w:jc w:val="center"/>
                    <w:rPr>
                      <w:rFonts w:hint="default"/>
                      <w:color w:val="auto"/>
                      <w:lang w:val="en-US" w:eastAsia="zh-CN"/>
                    </w:rPr>
                  </w:pPr>
                  <w:r>
                    <w:rPr>
                      <w:rFonts w:hint="eastAsia"/>
                      <w:color w:val="auto"/>
                      <w:lang w:val="en-US" w:eastAsia="zh-CN"/>
                    </w:rPr>
                    <w:t>外购，车辆运输至项目区内</w:t>
                  </w:r>
                </w:p>
              </w:tc>
            </w:tr>
            <w:tr w14:paraId="335A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127" w:type="dxa"/>
                  <w:vMerge w:val="continue"/>
                  <w:vAlign w:val="center"/>
                </w:tcPr>
                <w:p w14:paraId="4860DC32">
                  <w:pPr>
                    <w:pStyle w:val="19"/>
                    <w:bidi w:val="0"/>
                    <w:jc w:val="center"/>
                    <w:rPr>
                      <w:rFonts w:hint="default"/>
                      <w:color w:val="auto"/>
                      <w:lang w:val="en-US" w:eastAsia="zh-CN"/>
                    </w:rPr>
                  </w:pPr>
                </w:p>
              </w:tc>
              <w:tc>
                <w:tcPr>
                  <w:tcW w:w="1228" w:type="dxa"/>
                  <w:shd w:val="clear" w:color="auto" w:fill="auto"/>
                  <w:vAlign w:val="center"/>
                </w:tcPr>
                <w:p w14:paraId="0ED214E2">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水泥</w:t>
                  </w:r>
                </w:p>
              </w:tc>
              <w:tc>
                <w:tcPr>
                  <w:tcW w:w="2031" w:type="dxa"/>
                  <w:vAlign w:val="center"/>
                </w:tcPr>
                <w:p w14:paraId="3F55DC40">
                  <w:pPr>
                    <w:pStyle w:val="19"/>
                    <w:bidi w:val="0"/>
                    <w:jc w:val="center"/>
                    <w:rPr>
                      <w:rFonts w:hint="default"/>
                      <w:color w:val="auto"/>
                      <w:lang w:val="en-US" w:eastAsia="zh-CN"/>
                    </w:rPr>
                  </w:pPr>
                  <w:r>
                    <w:rPr>
                      <w:rFonts w:hint="eastAsia"/>
                      <w:color w:val="auto"/>
                      <w:lang w:val="en-US" w:eastAsia="zh-CN"/>
                    </w:rPr>
                    <w:t>/</w:t>
                  </w:r>
                </w:p>
              </w:tc>
              <w:tc>
                <w:tcPr>
                  <w:tcW w:w="858" w:type="dxa"/>
                  <w:vAlign w:val="center"/>
                </w:tcPr>
                <w:p w14:paraId="4E80954C">
                  <w:pPr>
                    <w:pStyle w:val="19"/>
                    <w:bidi w:val="0"/>
                    <w:rPr>
                      <w:rFonts w:hint="default"/>
                      <w:color w:val="auto"/>
                      <w:lang w:val="en-US" w:eastAsia="zh-CN"/>
                    </w:rPr>
                  </w:pPr>
                  <w:r>
                    <w:rPr>
                      <w:rFonts w:hint="eastAsia"/>
                      <w:color w:val="auto"/>
                      <w:lang w:val="en-US" w:eastAsia="zh-CN"/>
                    </w:rPr>
                    <w:t>t/a</w:t>
                  </w:r>
                </w:p>
              </w:tc>
              <w:tc>
                <w:tcPr>
                  <w:tcW w:w="1099" w:type="dxa"/>
                  <w:vAlign w:val="center"/>
                </w:tcPr>
                <w:p w14:paraId="7BB1F9DC">
                  <w:pPr>
                    <w:pStyle w:val="19"/>
                    <w:bidi w:val="0"/>
                    <w:jc w:val="center"/>
                    <w:rPr>
                      <w:rFonts w:hint="default"/>
                      <w:color w:val="auto"/>
                      <w:lang w:val="en-US" w:eastAsia="zh-CN"/>
                    </w:rPr>
                  </w:pPr>
                  <w:r>
                    <w:rPr>
                      <w:rFonts w:hint="eastAsia"/>
                      <w:color w:val="auto"/>
                      <w:lang w:val="en-US" w:eastAsia="zh-CN"/>
                    </w:rPr>
                    <w:t>6688.078</w:t>
                  </w:r>
                </w:p>
              </w:tc>
              <w:tc>
                <w:tcPr>
                  <w:tcW w:w="1043" w:type="dxa"/>
                  <w:vMerge w:val="continue"/>
                  <w:vAlign w:val="center"/>
                </w:tcPr>
                <w:p w14:paraId="4C2D9EB9">
                  <w:pPr>
                    <w:pStyle w:val="19"/>
                    <w:bidi w:val="0"/>
                    <w:jc w:val="center"/>
                    <w:rPr>
                      <w:rFonts w:hint="default"/>
                      <w:color w:val="auto"/>
                      <w:lang w:val="en-US" w:eastAsia="zh-CN"/>
                    </w:rPr>
                  </w:pPr>
                </w:p>
              </w:tc>
            </w:tr>
            <w:tr w14:paraId="58B2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6F124EFD">
                  <w:pPr>
                    <w:pStyle w:val="19"/>
                    <w:bidi w:val="0"/>
                    <w:jc w:val="center"/>
                    <w:rPr>
                      <w:rFonts w:hint="default"/>
                      <w:color w:val="auto"/>
                      <w:lang w:val="en-US" w:eastAsia="zh-CN"/>
                    </w:rPr>
                  </w:pPr>
                </w:p>
              </w:tc>
              <w:tc>
                <w:tcPr>
                  <w:tcW w:w="1228" w:type="dxa"/>
                  <w:shd w:val="clear" w:color="auto" w:fill="auto"/>
                  <w:vAlign w:val="center"/>
                </w:tcPr>
                <w:p w14:paraId="62F5B832">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粉煤灰</w:t>
                  </w:r>
                </w:p>
              </w:tc>
              <w:tc>
                <w:tcPr>
                  <w:tcW w:w="2031" w:type="dxa"/>
                  <w:vAlign w:val="center"/>
                </w:tcPr>
                <w:p w14:paraId="79487F73">
                  <w:pPr>
                    <w:pStyle w:val="19"/>
                    <w:bidi w:val="0"/>
                    <w:jc w:val="center"/>
                    <w:rPr>
                      <w:rFonts w:hint="default"/>
                      <w:color w:val="auto"/>
                      <w:lang w:val="en-US" w:eastAsia="zh-CN"/>
                    </w:rPr>
                  </w:pPr>
                  <w:r>
                    <w:rPr>
                      <w:rFonts w:hint="eastAsia"/>
                      <w:color w:val="auto"/>
                      <w:lang w:val="en-US" w:eastAsia="zh-CN"/>
                    </w:rPr>
                    <w:t>0.063mm~2mm</w:t>
                  </w:r>
                </w:p>
              </w:tc>
              <w:tc>
                <w:tcPr>
                  <w:tcW w:w="858" w:type="dxa"/>
                  <w:vAlign w:val="center"/>
                </w:tcPr>
                <w:p w14:paraId="3BB58DD1">
                  <w:pPr>
                    <w:pStyle w:val="19"/>
                    <w:bidi w:val="0"/>
                    <w:rPr>
                      <w:rFonts w:hint="default"/>
                      <w:color w:val="auto"/>
                      <w:lang w:val="en-US" w:eastAsia="zh-CN"/>
                    </w:rPr>
                  </w:pPr>
                  <w:r>
                    <w:rPr>
                      <w:rFonts w:hint="eastAsia"/>
                      <w:color w:val="auto"/>
                      <w:lang w:val="en-US" w:eastAsia="zh-CN"/>
                    </w:rPr>
                    <w:t>t/a</w:t>
                  </w:r>
                </w:p>
              </w:tc>
              <w:tc>
                <w:tcPr>
                  <w:tcW w:w="1099" w:type="dxa"/>
                  <w:vAlign w:val="center"/>
                </w:tcPr>
                <w:p w14:paraId="2308F8D8">
                  <w:pPr>
                    <w:pStyle w:val="19"/>
                    <w:bidi w:val="0"/>
                    <w:jc w:val="center"/>
                    <w:rPr>
                      <w:rFonts w:hint="default"/>
                      <w:color w:val="auto"/>
                      <w:lang w:val="en-US" w:eastAsia="zh-CN"/>
                    </w:rPr>
                  </w:pPr>
                  <w:r>
                    <w:rPr>
                      <w:rFonts w:hint="eastAsia"/>
                      <w:color w:val="auto"/>
                      <w:lang w:val="en-US" w:eastAsia="zh-CN"/>
                    </w:rPr>
                    <w:t>6000</w:t>
                  </w:r>
                </w:p>
              </w:tc>
              <w:tc>
                <w:tcPr>
                  <w:tcW w:w="1043" w:type="dxa"/>
                  <w:vMerge w:val="continue"/>
                  <w:vAlign w:val="center"/>
                </w:tcPr>
                <w:p w14:paraId="5C27BE07">
                  <w:pPr>
                    <w:pStyle w:val="19"/>
                    <w:bidi w:val="0"/>
                    <w:jc w:val="center"/>
                    <w:rPr>
                      <w:rFonts w:hint="default"/>
                      <w:color w:val="auto"/>
                      <w:lang w:val="en-US" w:eastAsia="zh-CN"/>
                    </w:rPr>
                  </w:pPr>
                </w:p>
              </w:tc>
            </w:tr>
            <w:tr w14:paraId="0369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66D16E03">
                  <w:pPr>
                    <w:pStyle w:val="19"/>
                    <w:bidi w:val="0"/>
                    <w:jc w:val="center"/>
                    <w:rPr>
                      <w:rFonts w:hint="default"/>
                      <w:color w:val="auto"/>
                      <w:lang w:val="en-US" w:eastAsia="zh-CN"/>
                    </w:rPr>
                  </w:pPr>
                </w:p>
              </w:tc>
              <w:tc>
                <w:tcPr>
                  <w:tcW w:w="1228" w:type="dxa"/>
                  <w:shd w:val="clear" w:color="auto" w:fill="auto"/>
                  <w:vAlign w:val="center"/>
                </w:tcPr>
                <w:p w14:paraId="28E038C1">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巴斯夫乳液（水性醋酸乙烯酯一乙烯共聚物乳液）</w:t>
                  </w:r>
                </w:p>
              </w:tc>
              <w:tc>
                <w:tcPr>
                  <w:tcW w:w="2031" w:type="dxa"/>
                  <w:vAlign w:val="center"/>
                </w:tcPr>
                <w:p w14:paraId="1B1E8430">
                  <w:pPr>
                    <w:pStyle w:val="19"/>
                    <w:bidi w:val="0"/>
                    <w:jc w:val="center"/>
                    <w:rPr>
                      <w:rFonts w:hint="default"/>
                      <w:color w:val="auto"/>
                      <w:lang w:val="en-US" w:eastAsia="zh-CN"/>
                    </w:rPr>
                  </w:pPr>
                  <w:r>
                    <w:rPr>
                      <w:rFonts w:hint="eastAsia"/>
                      <w:color w:val="auto"/>
                      <w:lang w:val="en-US" w:eastAsia="zh-CN"/>
                    </w:rPr>
                    <w:t>/</w:t>
                  </w:r>
                </w:p>
              </w:tc>
              <w:tc>
                <w:tcPr>
                  <w:tcW w:w="858" w:type="dxa"/>
                  <w:vAlign w:val="center"/>
                </w:tcPr>
                <w:p w14:paraId="00F8FD8E">
                  <w:pPr>
                    <w:pStyle w:val="19"/>
                    <w:bidi w:val="0"/>
                    <w:rPr>
                      <w:rFonts w:hint="default"/>
                      <w:color w:val="auto"/>
                      <w:lang w:val="en-US" w:eastAsia="zh-CN"/>
                    </w:rPr>
                  </w:pPr>
                  <w:r>
                    <w:rPr>
                      <w:rFonts w:hint="eastAsia"/>
                      <w:color w:val="auto"/>
                      <w:lang w:val="en-US" w:eastAsia="zh-CN"/>
                    </w:rPr>
                    <w:t>t/a</w:t>
                  </w:r>
                </w:p>
              </w:tc>
              <w:tc>
                <w:tcPr>
                  <w:tcW w:w="1099" w:type="dxa"/>
                  <w:vAlign w:val="center"/>
                </w:tcPr>
                <w:p w14:paraId="6F194CBD">
                  <w:pPr>
                    <w:pStyle w:val="19"/>
                    <w:bidi w:val="0"/>
                    <w:jc w:val="center"/>
                    <w:rPr>
                      <w:rFonts w:hint="default"/>
                      <w:color w:val="auto"/>
                      <w:lang w:val="en-US" w:eastAsia="zh-CN"/>
                    </w:rPr>
                  </w:pPr>
                  <w:r>
                    <w:rPr>
                      <w:rFonts w:hint="eastAsia"/>
                      <w:color w:val="auto"/>
                      <w:lang w:val="en-US" w:eastAsia="zh-CN"/>
                    </w:rPr>
                    <w:t>1000</w:t>
                  </w:r>
                </w:p>
              </w:tc>
              <w:tc>
                <w:tcPr>
                  <w:tcW w:w="1043" w:type="dxa"/>
                  <w:vMerge w:val="continue"/>
                  <w:vAlign w:val="center"/>
                </w:tcPr>
                <w:p w14:paraId="1F76D568">
                  <w:pPr>
                    <w:pStyle w:val="19"/>
                    <w:bidi w:val="0"/>
                    <w:jc w:val="center"/>
                    <w:rPr>
                      <w:rFonts w:hint="default"/>
                      <w:color w:val="auto"/>
                      <w:lang w:val="en-US" w:eastAsia="zh-CN"/>
                    </w:rPr>
                  </w:pPr>
                </w:p>
              </w:tc>
            </w:tr>
            <w:tr w14:paraId="7C48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7A185FC5">
                  <w:pPr>
                    <w:pStyle w:val="19"/>
                    <w:bidi w:val="0"/>
                    <w:jc w:val="center"/>
                    <w:rPr>
                      <w:rFonts w:hint="default"/>
                      <w:color w:val="auto"/>
                      <w:lang w:val="en-US" w:eastAsia="zh-CN"/>
                    </w:rPr>
                  </w:pPr>
                </w:p>
              </w:tc>
              <w:tc>
                <w:tcPr>
                  <w:tcW w:w="1228" w:type="dxa"/>
                  <w:shd w:val="clear" w:color="auto" w:fill="auto"/>
                  <w:vAlign w:val="center"/>
                </w:tcPr>
                <w:p w14:paraId="331B9BE0">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玻璃纤维网格布</w:t>
                  </w:r>
                </w:p>
              </w:tc>
              <w:tc>
                <w:tcPr>
                  <w:tcW w:w="2031" w:type="dxa"/>
                  <w:vAlign w:val="center"/>
                </w:tcPr>
                <w:p w14:paraId="60F11F82">
                  <w:pPr>
                    <w:pStyle w:val="19"/>
                    <w:bidi w:val="0"/>
                    <w:jc w:val="center"/>
                    <w:rPr>
                      <w:rFonts w:hint="default"/>
                      <w:color w:val="auto"/>
                      <w:lang w:val="en-US" w:eastAsia="zh-CN"/>
                    </w:rPr>
                  </w:pPr>
                  <w:r>
                    <w:rPr>
                      <w:rFonts w:hint="default"/>
                      <w:color w:val="auto"/>
                      <w:lang w:val="en-US" w:eastAsia="zh-CN"/>
                    </w:rPr>
                    <w:t>600m/卷，耐碱网格布克重130g/m²（折合390t/a）</w:t>
                  </w:r>
                </w:p>
              </w:tc>
              <w:tc>
                <w:tcPr>
                  <w:tcW w:w="858" w:type="dxa"/>
                  <w:vAlign w:val="center"/>
                </w:tcPr>
                <w:p w14:paraId="3D05FE22">
                  <w:pPr>
                    <w:pStyle w:val="19"/>
                    <w:bidi w:val="0"/>
                    <w:jc w:val="center"/>
                    <w:rPr>
                      <w:rFonts w:hint="default"/>
                      <w:color w:val="auto"/>
                      <w:lang w:val="en-US" w:eastAsia="zh-CN"/>
                    </w:rPr>
                  </w:pPr>
                  <w:r>
                    <w:rPr>
                      <w:rFonts w:hint="eastAsia"/>
                      <w:color w:val="auto"/>
                      <w:lang w:val="en-US" w:eastAsia="zh-CN"/>
                    </w:rPr>
                    <w:t>m</w:t>
                  </w:r>
                  <w:r>
                    <w:rPr>
                      <w:rFonts w:hint="eastAsia"/>
                      <w:color w:val="auto"/>
                      <w:vertAlign w:val="superscript"/>
                      <w:lang w:val="en-US" w:eastAsia="zh-CN"/>
                    </w:rPr>
                    <w:t>2</w:t>
                  </w:r>
                  <w:r>
                    <w:rPr>
                      <w:rFonts w:hint="eastAsia"/>
                      <w:color w:val="auto"/>
                      <w:lang w:val="en-US" w:eastAsia="zh-CN"/>
                    </w:rPr>
                    <w:t>/a</w:t>
                  </w:r>
                </w:p>
              </w:tc>
              <w:tc>
                <w:tcPr>
                  <w:tcW w:w="1099" w:type="dxa"/>
                  <w:vAlign w:val="center"/>
                </w:tcPr>
                <w:p w14:paraId="2650939E">
                  <w:pPr>
                    <w:pStyle w:val="19"/>
                    <w:bidi w:val="0"/>
                    <w:jc w:val="center"/>
                    <w:rPr>
                      <w:rFonts w:hint="default"/>
                      <w:color w:val="auto"/>
                      <w:lang w:val="en-US" w:eastAsia="zh-CN"/>
                    </w:rPr>
                  </w:pPr>
                  <w:r>
                    <w:rPr>
                      <w:rFonts w:hint="eastAsia"/>
                      <w:color w:val="auto"/>
                      <w:lang w:val="en-US" w:eastAsia="zh-CN"/>
                    </w:rPr>
                    <w:t>300万</w:t>
                  </w:r>
                </w:p>
              </w:tc>
              <w:tc>
                <w:tcPr>
                  <w:tcW w:w="1043" w:type="dxa"/>
                  <w:vMerge w:val="continue"/>
                  <w:vAlign w:val="center"/>
                </w:tcPr>
                <w:p w14:paraId="360B0F98">
                  <w:pPr>
                    <w:pStyle w:val="19"/>
                    <w:bidi w:val="0"/>
                    <w:jc w:val="center"/>
                    <w:rPr>
                      <w:rFonts w:hint="default"/>
                      <w:color w:val="auto"/>
                      <w:lang w:val="en-US" w:eastAsia="zh-CN"/>
                    </w:rPr>
                  </w:pPr>
                </w:p>
              </w:tc>
            </w:tr>
            <w:tr w14:paraId="1FB8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restart"/>
                  <w:vAlign w:val="center"/>
                </w:tcPr>
                <w:p w14:paraId="337CCC2A">
                  <w:pPr>
                    <w:pStyle w:val="19"/>
                    <w:bidi w:val="0"/>
                    <w:jc w:val="center"/>
                    <w:rPr>
                      <w:rFonts w:hint="default"/>
                      <w:color w:val="auto"/>
                      <w:lang w:val="en-US" w:eastAsia="zh-CN"/>
                    </w:rPr>
                  </w:pPr>
                  <w:r>
                    <w:rPr>
                      <w:rFonts w:hint="eastAsia"/>
                      <w:color w:val="auto"/>
                      <w:lang w:val="en-US" w:eastAsia="zh-CN"/>
                    </w:rPr>
                    <w:t>能源消耗</w:t>
                  </w:r>
                </w:p>
              </w:tc>
              <w:tc>
                <w:tcPr>
                  <w:tcW w:w="1228" w:type="dxa"/>
                  <w:shd w:val="clear" w:color="auto" w:fill="auto"/>
                  <w:vAlign w:val="center"/>
                </w:tcPr>
                <w:p w14:paraId="0FB018C9">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电</w:t>
                  </w:r>
                </w:p>
              </w:tc>
              <w:tc>
                <w:tcPr>
                  <w:tcW w:w="2031" w:type="dxa"/>
                  <w:shd w:val="clear" w:color="auto" w:fill="auto"/>
                  <w:vAlign w:val="center"/>
                </w:tcPr>
                <w:p w14:paraId="611E15CD">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w:t>
                  </w:r>
                </w:p>
              </w:tc>
              <w:tc>
                <w:tcPr>
                  <w:tcW w:w="858" w:type="dxa"/>
                  <w:shd w:val="clear" w:color="auto" w:fill="auto"/>
                  <w:vAlign w:val="center"/>
                </w:tcPr>
                <w:p w14:paraId="2EE07BA7">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kWh/a</w:t>
                  </w:r>
                </w:p>
              </w:tc>
              <w:tc>
                <w:tcPr>
                  <w:tcW w:w="1099" w:type="dxa"/>
                  <w:shd w:val="clear" w:color="auto" w:fill="auto"/>
                  <w:vAlign w:val="center"/>
                </w:tcPr>
                <w:p w14:paraId="1FE11FD3">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20万</w:t>
                  </w:r>
                </w:p>
              </w:tc>
              <w:tc>
                <w:tcPr>
                  <w:tcW w:w="1043" w:type="dxa"/>
                  <w:vMerge w:val="restart"/>
                  <w:vAlign w:val="center"/>
                </w:tcPr>
                <w:p w14:paraId="5578000A">
                  <w:pPr>
                    <w:pStyle w:val="19"/>
                    <w:bidi w:val="0"/>
                    <w:jc w:val="center"/>
                    <w:rPr>
                      <w:rFonts w:hint="default"/>
                      <w:color w:val="auto"/>
                      <w:lang w:val="en-US" w:eastAsia="zh-CN"/>
                    </w:rPr>
                  </w:pPr>
                  <w:r>
                    <w:rPr>
                      <w:rFonts w:hint="eastAsia"/>
                      <w:color w:val="auto"/>
                      <w:lang w:val="en-US" w:eastAsia="zh-CN"/>
                    </w:rPr>
                    <w:t>由园区供给</w:t>
                  </w:r>
                </w:p>
              </w:tc>
            </w:tr>
            <w:tr w14:paraId="768F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49DF2918">
                  <w:pPr>
                    <w:pStyle w:val="19"/>
                    <w:bidi w:val="0"/>
                    <w:jc w:val="center"/>
                    <w:rPr>
                      <w:rFonts w:hint="default"/>
                      <w:color w:val="auto"/>
                      <w:lang w:val="en-US" w:eastAsia="zh-CN"/>
                    </w:rPr>
                  </w:pPr>
                </w:p>
              </w:tc>
              <w:tc>
                <w:tcPr>
                  <w:tcW w:w="1228" w:type="dxa"/>
                  <w:shd w:val="clear" w:color="auto" w:fill="auto"/>
                  <w:vAlign w:val="center"/>
                </w:tcPr>
                <w:p w14:paraId="48A19E1A">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水</w:t>
                  </w:r>
                </w:p>
              </w:tc>
              <w:tc>
                <w:tcPr>
                  <w:tcW w:w="2031" w:type="dxa"/>
                  <w:shd w:val="clear" w:color="auto" w:fill="auto"/>
                  <w:vAlign w:val="center"/>
                </w:tcPr>
                <w:p w14:paraId="23184C96">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w:t>
                  </w:r>
                </w:p>
              </w:tc>
              <w:tc>
                <w:tcPr>
                  <w:tcW w:w="858" w:type="dxa"/>
                  <w:shd w:val="clear" w:color="auto" w:fill="auto"/>
                  <w:vAlign w:val="center"/>
                </w:tcPr>
                <w:p w14:paraId="24EBD656">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m</w:t>
                  </w:r>
                  <w:r>
                    <w:rPr>
                      <w:rFonts w:hint="eastAsia"/>
                      <w:color w:val="auto"/>
                      <w:vertAlign w:val="superscript"/>
                      <w:lang w:val="en-US" w:eastAsia="zh-CN"/>
                    </w:rPr>
                    <w:t>3</w:t>
                  </w:r>
                  <w:r>
                    <w:rPr>
                      <w:rFonts w:hint="eastAsia"/>
                      <w:color w:val="auto"/>
                      <w:lang w:val="en-US" w:eastAsia="zh-CN"/>
                    </w:rPr>
                    <w:t>/a</w:t>
                  </w:r>
                </w:p>
              </w:tc>
              <w:tc>
                <w:tcPr>
                  <w:tcW w:w="1099" w:type="dxa"/>
                  <w:shd w:val="clear" w:color="auto" w:fill="auto"/>
                  <w:vAlign w:val="center"/>
                </w:tcPr>
                <w:p w14:paraId="5E791530">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2222</w:t>
                  </w:r>
                </w:p>
              </w:tc>
              <w:tc>
                <w:tcPr>
                  <w:tcW w:w="1043" w:type="dxa"/>
                  <w:vMerge w:val="continue"/>
                  <w:vAlign w:val="center"/>
                </w:tcPr>
                <w:p w14:paraId="1DF28C70">
                  <w:pPr>
                    <w:pStyle w:val="19"/>
                    <w:bidi w:val="0"/>
                    <w:jc w:val="center"/>
                    <w:rPr>
                      <w:rFonts w:hint="default"/>
                      <w:color w:val="auto"/>
                      <w:lang w:val="en-US" w:eastAsia="zh-CN"/>
                    </w:rPr>
                  </w:pPr>
                </w:p>
              </w:tc>
            </w:tr>
          </w:tbl>
          <w:p w14:paraId="2DB51634">
            <w:pPr>
              <w:pStyle w:val="20"/>
              <w:bidi w:val="0"/>
              <w:rPr>
                <w:rFonts w:hint="default"/>
                <w:color w:val="auto"/>
                <w:lang w:val="en-US" w:eastAsia="zh-CN"/>
              </w:rPr>
            </w:pPr>
          </w:p>
          <w:p w14:paraId="03771150">
            <w:pPr>
              <w:pStyle w:val="5"/>
              <w:rPr>
                <w:rFonts w:hint="default"/>
                <w:color w:val="auto"/>
                <w:lang w:val="en-US" w:eastAsia="zh-CN"/>
              </w:rPr>
            </w:pPr>
            <w:r>
              <w:rPr>
                <w:rFonts w:hint="eastAsia"/>
                <w:color w:val="auto"/>
                <w:lang w:val="en-US" w:eastAsia="zh-CN"/>
              </w:rPr>
              <w:t>原材料理化性质见下表。</w:t>
            </w:r>
          </w:p>
          <w:p w14:paraId="38945DF6">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12</w:t>
            </w:r>
            <w:r>
              <w:rPr>
                <w:color w:val="auto"/>
              </w:rPr>
              <w:fldChar w:fldCharType="end"/>
            </w:r>
            <w:r>
              <w:rPr>
                <w:rFonts w:hint="eastAsia"/>
                <w:color w:val="auto"/>
                <w:lang w:val="en-US" w:eastAsia="zh-CN"/>
              </w:rPr>
              <w:t xml:space="preserve">  原材料理化性质表</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813"/>
              <w:gridCol w:w="4759"/>
            </w:tblGrid>
            <w:tr w14:paraId="1C84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0F5F23EB">
                  <w:pPr>
                    <w:pStyle w:val="19"/>
                    <w:bidi w:val="0"/>
                    <w:rPr>
                      <w:rFonts w:hint="default"/>
                      <w:color w:val="auto"/>
                      <w:lang w:val="en-US" w:eastAsia="zh-CN"/>
                    </w:rPr>
                  </w:pPr>
                  <w:r>
                    <w:rPr>
                      <w:rFonts w:hint="eastAsia"/>
                      <w:color w:val="auto"/>
                      <w:lang w:val="en-US" w:eastAsia="zh-CN"/>
                    </w:rPr>
                    <w:t>序号</w:t>
                  </w:r>
                </w:p>
              </w:tc>
              <w:tc>
                <w:tcPr>
                  <w:tcW w:w="1813" w:type="dxa"/>
                  <w:vAlign w:val="center"/>
                </w:tcPr>
                <w:p w14:paraId="7CE5C7B2">
                  <w:pPr>
                    <w:pStyle w:val="19"/>
                    <w:bidi w:val="0"/>
                    <w:rPr>
                      <w:rFonts w:hint="default"/>
                      <w:color w:val="auto"/>
                      <w:lang w:val="en-US" w:eastAsia="zh-CN"/>
                    </w:rPr>
                  </w:pPr>
                  <w:r>
                    <w:rPr>
                      <w:rFonts w:hint="eastAsia"/>
                      <w:color w:val="auto"/>
                      <w:lang w:val="en-US" w:eastAsia="zh-CN"/>
                    </w:rPr>
                    <w:t>原材料名称</w:t>
                  </w:r>
                </w:p>
              </w:tc>
              <w:tc>
                <w:tcPr>
                  <w:tcW w:w="4759" w:type="dxa"/>
                  <w:vAlign w:val="center"/>
                </w:tcPr>
                <w:p w14:paraId="549AF6FD">
                  <w:pPr>
                    <w:pStyle w:val="19"/>
                    <w:bidi w:val="0"/>
                    <w:rPr>
                      <w:rFonts w:hint="default"/>
                      <w:color w:val="auto"/>
                      <w:lang w:val="en-US" w:eastAsia="zh-CN"/>
                    </w:rPr>
                  </w:pPr>
                  <w:r>
                    <w:rPr>
                      <w:rFonts w:hint="eastAsia"/>
                      <w:color w:val="auto"/>
                      <w:lang w:val="en-US" w:eastAsia="zh-CN"/>
                    </w:rPr>
                    <w:t>理化性质</w:t>
                  </w:r>
                </w:p>
              </w:tc>
            </w:tr>
            <w:tr w14:paraId="66B7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5B79ECF5">
                  <w:pPr>
                    <w:pStyle w:val="19"/>
                    <w:numPr>
                      <w:ilvl w:val="0"/>
                      <w:numId w:val="4"/>
                    </w:numPr>
                    <w:tabs>
                      <w:tab w:val="clear" w:pos="0"/>
                    </w:tabs>
                    <w:bidi w:val="0"/>
                    <w:ind w:left="425" w:leftChars="0" w:hanging="425" w:firstLineChars="0"/>
                    <w:rPr>
                      <w:rFonts w:hint="default"/>
                      <w:color w:val="auto"/>
                      <w:lang w:val="en-US" w:eastAsia="zh-CN"/>
                    </w:rPr>
                  </w:pPr>
                </w:p>
              </w:tc>
              <w:tc>
                <w:tcPr>
                  <w:tcW w:w="1813" w:type="dxa"/>
                  <w:vAlign w:val="center"/>
                </w:tcPr>
                <w:p w14:paraId="0E0DE10A">
                  <w:pPr>
                    <w:pStyle w:val="19"/>
                    <w:bidi w:val="0"/>
                    <w:rPr>
                      <w:rFonts w:hint="default"/>
                      <w:color w:val="auto"/>
                      <w:lang w:val="en-US" w:eastAsia="zh-CN"/>
                    </w:rPr>
                  </w:pPr>
                  <w:r>
                    <w:rPr>
                      <w:rFonts w:hint="eastAsia"/>
                      <w:color w:val="auto"/>
                      <w:lang w:val="en-US" w:eastAsia="zh-CN"/>
                    </w:rPr>
                    <w:t>XPS板</w:t>
                  </w:r>
                </w:p>
              </w:tc>
              <w:tc>
                <w:tcPr>
                  <w:tcW w:w="4759" w:type="dxa"/>
                  <w:vAlign w:val="center"/>
                </w:tcPr>
                <w:p w14:paraId="24DEA8AF">
                  <w:pPr>
                    <w:pStyle w:val="19"/>
                    <w:bidi w:val="0"/>
                    <w:jc w:val="both"/>
                    <w:rPr>
                      <w:rFonts w:hint="eastAsia"/>
                      <w:color w:val="auto"/>
                      <w:lang w:val="en-US" w:eastAsia="zh-CN"/>
                    </w:rPr>
                  </w:pPr>
                  <w:r>
                    <w:rPr>
                      <w:rFonts w:hint="eastAsia"/>
                      <w:color w:val="auto"/>
                      <w:lang w:val="en-US" w:eastAsia="zh-CN"/>
                    </w:rPr>
                    <w:t>是以聚苯乙烯树脂为主要原料，经加热混合、挤塑发泡制成的硬质闭孔泡沫塑料板，密度约为</w:t>
                  </w:r>
                  <w:r>
                    <w:rPr>
                      <w:rFonts w:hint="default"/>
                      <w:color w:val="auto"/>
                      <w:lang w:val="en-US" w:eastAsia="zh-CN"/>
                    </w:rPr>
                    <w:t>35kg/m</w:t>
                  </w:r>
                  <w:r>
                    <w:rPr>
                      <w:rFonts w:hint="default"/>
                      <w:color w:val="auto"/>
                      <w:vertAlign w:val="superscript"/>
                      <w:lang w:val="en-US" w:eastAsia="zh-CN"/>
                    </w:rPr>
                    <w:t>3</w:t>
                  </w:r>
                  <w:r>
                    <w:rPr>
                      <w:rFonts w:hint="eastAsia"/>
                      <w:color w:val="auto"/>
                      <w:lang w:val="en-US" w:eastAsia="zh-CN"/>
                    </w:rPr>
                    <w:t>。其内部为独立蜂窝结构，具有低导热系数、高抗压强度、防水防潮、耐腐蚀及长寿命等特点。该材料广泛应用于建筑墙体保温、混凝土屋顶及钢结构屋顶隔热、低温仓储地面防潮，以及高速公路、机场跑道等工程的保温防护。</w:t>
                  </w:r>
                </w:p>
                <w:p w14:paraId="5D9BD879">
                  <w:pPr>
                    <w:pStyle w:val="19"/>
                    <w:bidi w:val="0"/>
                    <w:rPr>
                      <w:rFonts w:hint="default"/>
                      <w:color w:val="auto"/>
                      <w:lang w:val="en-US" w:eastAsia="zh-CN"/>
                    </w:rPr>
                  </w:pPr>
                  <w:r>
                    <w:rPr>
                      <w:rFonts w:hint="eastAsia"/>
                      <w:color w:val="auto"/>
                      <w:lang w:val="en-US" w:eastAsia="zh-CN"/>
                    </w:rPr>
                    <w:t>聚苯乙烯树脂</w:t>
                  </w:r>
                  <w:r>
                    <w:rPr>
                      <w:color w:val="auto"/>
                    </w:rPr>
                    <w:t>外观通常为无色透明至微黄色的颗粒或珠状固体，具有玻璃光泽。分子量一般在5万至20万之间，相对密度约1.04</w:t>
                  </w:r>
                  <w:r>
                    <w:rPr>
                      <w:rFonts w:hint="eastAsia"/>
                      <w:color w:val="auto"/>
                      <w:lang w:eastAsia="zh-CN"/>
                    </w:rPr>
                    <w:t>～</w:t>
                  </w:r>
                  <w:r>
                    <w:rPr>
                      <w:color w:val="auto"/>
                    </w:rPr>
                    <w:t>1.06g/cm³，折射率为1.59~1.60。热性能方面，玻璃化转变温度（Tg）约为80~105℃，热变形温度（HDT，0.45MPa）通常在70~90℃之间。其热导率较低，一般为0.03</w:t>
                  </w:r>
                  <w:r>
                    <w:rPr>
                      <w:rFonts w:hint="eastAsia"/>
                      <w:color w:val="auto"/>
                      <w:lang w:eastAsia="zh-CN"/>
                    </w:rPr>
                    <w:t>～</w:t>
                  </w:r>
                  <w:r>
                    <w:rPr>
                      <w:color w:val="auto"/>
                    </w:rPr>
                    <w:t>0.04W/</w:t>
                  </w:r>
                  <m:oMath>
                    <m:r>
                      <m:rPr>
                        <m:sty m:val="p"/>
                      </m:rPr>
                      <w:rPr>
                        <w:rFonts w:hint="default" w:ascii="Times New Roman" w:hAnsi="Times New Roman"/>
                        <w:color w:val="auto"/>
                      </w:rPr>
                      <m:t>m·K</m:t>
                    </m:r>
                  </m:oMath>
                  <w:r>
                    <w:rPr>
                      <w:color w:val="auto"/>
                    </w:rPr>
                    <w:t>，具有良好的隔热保温性能。在空气中，分解温度通常始于250℃以上，燃烧时会产生黑烟并释放苯乙烯单体等有毒气体，氧指数约17.5，属于易燃材料，火焰离开后能继续燃烧。</w:t>
                  </w:r>
                </w:p>
              </w:tc>
            </w:tr>
            <w:tr w14:paraId="179D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46DCA88F">
                  <w:pPr>
                    <w:pStyle w:val="19"/>
                    <w:numPr>
                      <w:ilvl w:val="0"/>
                      <w:numId w:val="4"/>
                    </w:numPr>
                    <w:tabs>
                      <w:tab w:val="clear" w:pos="0"/>
                    </w:tabs>
                    <w:bidi w:val="0"/>
                    <w:ind w:left="425" w:leftChars="0" w:hanging="425" w:firstLineChars="0"/>
                    <w:rPr>
                      <w:rFonts w:hint="default"/>
                      <w:color w:val="auto"/>
                      <w:lang w:val="en-US" w:eastAsia="zh-CN"/>
                    </w:rPr>
                  </w:pPr>
                </w:p>
              </w:tc>
              <w:tc>
                <w:tcPr>
                  <w:tcW w:w="1813" w:type="dxa"/>
                  <w:vAlign w:val="center"/>
                </w:tcPr>
                <w:p w14:paraId="219D23E7">
                  <w:pPr>
                    <w:pStyle w:val="19"/>
                    <w:bidi w:val="0"/>
                    <w:rPr>
                      <w:rFonts w:hint="default"/>
                      <w:color w:val="auto"/>
                      <w:lang w:val="en-US" w:eastAsia="zh-CN"/>
                    </w:rPr>
                  </w:pPr>
                  <w:r>
                    <w:rPr>
                      <w:rFonts w:hint="eastAsia"/>
                      <w:color w:val="auto"/>
                      <w:lang w:val="en-US" w:eastAsia="zh-CN"/>
                    </w:rPr>
                    <w:t>水泥</w:t>
                  </w:r>
                </w:p>
              </w:tc>
              <w:tc>
                <w:tcPr>
                  <w:tcW w:w="4759" w:type="dxa"/>
                  <w:vAlign w:val="center"/>
                </w:tcPr>
                <w:p w14:paraId="33FE5E32">
                  <w:pPr>
                    <w:pStyle w:val="19"/>
                    <w:bidi w:val="0"/>
                    <w:jc w:val="both"/>
                    <w:rPr>
                      <w:rFonts w:hint="default"/>
                      <w:color w:val="auto"/>
                      <w:lang w:val="en-US" w:eastAsia="zh-CN"/>
                    </w:rPr>
                  </w:pPr>
                  <w:r>
                    <w:rPr>
                      <w:rFonts w:hint="eastAsia"/>
                      <w:color w:val="auto"/>
                      <w:lang w:val="en-US" w:eastAsia="zh-CN"/>
                    </w:rPr>
                    <w:t>项目用水泥为硅酸盐水泥，为以硅酸钙为主的硅酸盐水泥熟料、</w:t>
                  </w:r>
                  <w:r>
                    <w:rPr>
                      <w:rFonts w:hint="default"/>
                      <w:color w:val="auto"/>
                      <w:lang w:val="en-US" w:eastAsia="zh-CN"/>
                    </w:rPr>
                    <w:t>5%</w:t>
                  </w:r>
                  <w:r>
                    <w:rPr>
                      <w:rFonts w:hint="eastAsia"/>
                      <w:color w:val="auto"/>
                      <w:lang w:val="en-US" w:eastAsia="zh-CN"/>
                    </w:rPr>
                    <w:t>以下的石灰石或粒化高炉矿渣和适量石膏磨细制成的水硬性胶凝材料，密度约为</w:t>
                  </w:r>
                  <w:r>
                    <w:rPr>
                      <w:rFonts w:hint="default"/>
                      <w:color w:val="auto"/>
                      <w:lang w:val="en-US" w:eastAsia="zh-CN"/>
                    </w:rPr>
                    <w:t>3.0</w:t>
                  </w:r>
                  <w:r>
                    <w:rPr>
                      <w:rFonts w:hint="eastAsia"/>
                      <w:color w:val="auto"/>
                      <w:lang w:val="en-US" w:eastAsia="zh-CN"/>
                    </w:rPr>
                    <w:t>～</w:t>
                  </w:r>
                  <w:r>
                    <w:rPr>
                      <w:rFonts w:hint="default"/>
                      <w:color w:val="auto"/>
                      <w:lang w:val="en-US" w:eastAsia="zh-CN"/>
                    </w:rPr>
                    <w:t>3.15g/cm³</w:t>
                  </w:r>
                  <w:r>
                    <w:rPr>
                      <w:rFonts w:hint="eastAsia"/>
                      <w:color w:val="auto"/>
                      <w:lang w:val="en-US" w:eastAsia="zh-CN"/>
                    </w:rPr>
                    <w:t>。硅酸盐水泥为无机材料，遇火不燃烧且不释放可燃气体，燃烧性能达</w:t>
                  </w:r>
                  <w:r>
                    <w:rPr>
                      <w:rFonts w:hint="default"/>
                      <w:color w:val="auto"/>
                      <w:lang w:val="en-US" w:eastAsia="zh-CN"/>
                    </w:rPr>
                    <w:t>A</w:t>
                  </w:r>
                  <w:r>
                    <w:rPr>
                      <w:rFonts w:hint="eastAsia"/>
                      <w:color w:val="auto"/>
                      <w:lang w:val="en-US" w:eastAsia="zh-CN"/>
                    </w:rPr>
                    <w:t>级不燃标准。其耐火极限可达</w:t>
                  </w:r>
                  <w:r>
                    <w:rPr>
                      <w:rFonts w:hint="default"/>
                      <w:color w:val="auto"/>
                      <w:lang w:val="en-US" w:eastAsia="zh-CN"/>
                    </w:rPr>
                    <w:t>2</w:t>
                  </w:r>
                  <w:r>
                    <w:rPr>
                      <w:rFonts w:hint="eastAsia"/>
                      <w:color w:val="auto"/>
                      <w:lang w:val="en-US" w:eastAsia="zh-CN"/>
                    </w:rPr>
                    <w:t>～</w:t>
                  </w:r>
                  <w:r>
                    <w:rPr>
                      <w:rFonts w:hint="default"/>
                      <w:color w:val="auto"/>
                      <w:lang w:val="en-US" w:eastAsia="zh-CN"/>
                    </w:rPr>
                    <w:t>4</w:t>
                  </w:r>
                  <w:r>
                    <w:rPr>
                      <w:rFonts w:hint="eastAsia"/>
                      <w:color w:val="auto"/>
                      <w:lang w:val="en-US" w:eastAsia="zh-CN"/>
                    </w:rPr>
                    <w:t>小时（如纤维水泥板、硅酸钙板），高温下硬化为陶瓷状结构，有效阻隔火焰蔓延。若添加石膏等材料，水泥基体中的结晶水遇火蒸发吸热，显著降低火场温度。</w:t>
                  </w:r>
                </w:p>
              </w:tc>
            </w:tr>
            <w:tr w14:paraId="393E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2A66A65B">
                  <w:pPr>
                    <w:pStyle w:val="19"/>
                    <w:numPr>
                      <w:ilvl w:val="0"/>
                      <w:numId w:val="4"/>
                    </w:numPr>
                    <w:tabs>
                      <w:tab w:val="clear" w:pos="0"/>
                    </w:tabs>
                    <w:bidi w:val="0"/>
                    <w:ind w:left="425" w:leftChars="0" w:hanging="425" w:firstLineChars="0"/>
                    <w:rPr>
                      <w:rFonts w:hint="default"/>
                      <w:color w:val="auto"/>
                      <w:lang w:val="en-US" w:eastAsia="zh-CN"/>
                    </w:rPr>
                  </w:pPr>
                </w:p>
              </w:tc>
              <w:tc>
                <w:tcPr>
                  <w:tcW w:w="1813" w:type="dxa"/>
                  <w:vAlign w:val="center"/>
                </w:tcPr>
                <w:p w14:paraId="743670CE">
                  <w:pPr>
                    <w:pStyle w:val="19"/>
                    <w:bidi w:val="0"/>
                    <w:rPr>
                      <w:rFonts w:hint="default"/>
                      <w:color w:val="auto"/>
                      <w:lang w:val="en-US" w:eastAsia="zh-CN"/>
                    </w:rPr>
                  </w:pPr>
                  <w:r>
                    <w:rPr>
                      <w:rFonts w:hint="eastAsia"/>
                      <w:color w:val="auto"/>
                      <w:lang w:val="en-US" w:eastAsia="zh-CN"/>
                    </w:rPr>
                    <w:t>粉煤灰</w:t>
                  </w:r>
                </w:p>
              </w:tc>
              <w:tc>
                <w:tcPr>
                  <w:tcW w:w="4759" w:type="dxa"/>
                  <w:vAlign w:val="center"/>
                </w:tcPr>
                <w:p w14:paraId="33CFD4C2">
                  <w:pPr>
                    <w:pStyle w:val="19"/>
                    <w:bidi w:val="0"/>
                    <w:jc w:val="both"/>
                    <w:rPr>
                      <w:rFonts w:hint="default"/>
                      <w:color w:val="auto"/>
                      <w:lang w:val="en-US" w:eastAsia="zh-CN"/>
                    </w:rPr>
                  </w:pPr>
                  <w:r>
                    <w:rPr>
                      <w:rFonts w:hint="eastAsia"/>
                      <w:color w:val="auto"/>
                      <w:lang w:val="en-US" w:eastAsia="zh-CN"/>
                    </w:rPr>
                    <w:t>本项目的粉煤灰是</w:t>
                  </w:r>
                  <w:r>
                    <w:rPr>
                      <w:rFonts w:hint="default"/>
                      <w:color w:val="auto"/>
                    </w:rPr>
                    <w:t>燃煤电厂等工业过程中产生的固态废弃物</w:t>
                  </w:r>
                  <w:r>
                    <w:rPr>
                      <w:rFonts w:hint="eastAsia"/>
                      <w:color w:val="auto"/>
                      <w:lang w:eastAsia="zh-CN"/>
                    </w:rPr>
                    <w:t>，</w:t>
                  </w:r>
                  <w:r>
                    <w:rPr>
                      <w:rFonts w:hint="default"/>
                      <w:color w:val="auto"/>
                    </w:rPr>
                    <w:t>通常呈现灰白色或灰黑色粉末状，颜色深浅取决于煤种、燃烧条件及碳含量。低碳粉煤灰（含碳量＜5%）多为灰白色，随着含碳量增加逐渐加深至灰黑色。粉末质地细腻，具有一定的流动性，在干燥状态下易飞扬，潮湿时易结块。密度为2.65g/cm³。是一种非金属物质，其成分主要是二氧化硅（SiO₂）</w:t>
                  </w:r>
                  <w:r>
                    <w:rPr>
                      <w:rFonts w:hint="eastAsia"/>
                      <w:color w:val="auto"/>
                      <w:lang w:eastAsia="zh-CN"/>
                    </w:rPr>
                    <w:t>，</w:t>
                  </w:r>
                  <w:r>
                    <w:rPr>
                      <w:rFonts w:hint="default"/>
                      <w:color w:val="auto"/>
                    </w:rPr>
                    <w:t>化学性能稳定，熔点高达 1</w:t>
                  </w:r>
                  <w:r>
                    <w:rPr>
                      <w:rFonts w:hint="eastAsia"/>
                      <w:color w:val="auto"/>
                      <w:lang w:val="en-US" w:eastAsia="zh-CN"/>
                    </w:rPr>
                    <w:t>50</w:t>
                  </w:r>
                  <w:r>
                    <w:rPr>
                      <w:rFonts w:hint="default"/>
                      <w:color w:val="auto"/>
                    </w:rPr>
                    <w:t>0℃，具有较高的耐火性能。</w:t>
                  </w:r>
                </w:p>
              </w:tc>
            </w:tr>
            <w:tr w14:paraId="3D9B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7B59D2C9">
                  <w:pPr>
                    <w:pStyle w:val="19"/>
                    <w:numPr>
                      <w:ilvl w:val="0"/>
                      <w:numId w:val="4"/>
                    </w:numPr>
                    <w:tabs>
                      <w:tab w:val="clear" w:pos="0"/>
                    </w:tabs>
                    <w:bidi w:val="0"/>
                    <w:ind w:left="425" w:leftChars="0" w:hanging="425" w:firstLineChars="0"/>
                    <w:rPr>
                      <w:rFonts w:hint="default"/>
                      <w:color w:val="auto"/>
                      <w:lang w:val="en-US" w:eastAsia="zh-CN"/>
                    </w:rPr>
                  </w:pPr>
                </w:p>
              </w:tc>
              <w:tc>
                <w:tcPr>
                  <w:tcW w:w="1813" w:type="dxa"/>
                  <w:vAlign w:val="center"/>
                </w:tcPr>
                <w:p w14:paraId="634EB313">
                  <w:pPr>
                    <w:pStyle w:val="19"/>
                    <w:bidi w:val="0"/>
                    <w:rPr>
                      <w:rFonts w:hint="default"/>
                      <w:color w:val="auto"/>
                      <w:lang w:val="en-US" w:eastAsia="zh-CN"/>
                    </w:rPr>
                  </w:pPr>
                  <w:r>
                    <w:rPr>
                      <w:rFonts w:hint="eastAsia"/>
                      <w:color w:val="auto"/>
                      <w:lang w:val="en-US" w:eastAsia="zh-CN"/>
                    </w:rPr>
                    <w:t>巴斯夫乳液（水性醋酸乙烯酯一乙烯共聚物乳液）</w:t>
                  </w:r>
                </w:p>
              </w:tc>
              <w:tc>
                <w:tcPr>
                  <w:tcW w:w="4759" w:type="dxa"/>
                  <w:vAlign w:val="center"/>
                </w:tcPr>
                <w:p w14:paraId="770C091F">
                  <w:pPr>
                    <w:pStyle w:val="19"/>
                    <w:bidi w:val="0"/>
                    <w:rPr>
                      <w:rFonts w:hint="eastAsia"/>
                      <w:color w:val="auto"/>
                      <w:lang w:val="en-US" w:eastAsia="zh-CN"/>
                    </w:rPr>
                  </w:pPr>
                  <w:r>
                    <w:rPr>
                      <w:rFonts w:hint="eastAsia"/>
                      <w:color w:val="auto"/>
                      <w:lang w:val="en-US" w:eastAsia="zh-CN"/>
                    </w:rPr>
                    <w:t>本项目使用的巴斯夫乳液为水性醋酸乙烯酯—乙烯共聚物乳液，指由乙酸乙烯与乙烯单体在加压条件下下经乳液共聚制成的内增塑效果很高的乙烯-醋酸乙烯共聚物，密度为1.1g/cm³，固含量≥60%。乙烯的特点是具有较高的透明度、柔韧性和耐候性，而醋酸乙烯则具有良好的胶结性和粘附性。根据乳液生产厂家提供的检测报告可知，其中VOCs含量未检出（＜2g/L），远低于《胶粘剂挥发性有机化合物限量》（GB 33372-2020）表2规定的水基型胶粘剂VOC含量限量－其他≤50g/L的限值要求，符合国家标准要求，满足项目环保准入指标。</w:t>
                  </w:r>
                </w:p>
                <w:p w14:paraId="3933BD40">
                  <w:pPr>
                    <w:pStyle w:val="19"/>
                    <w:bidi w:val="0"/>
                    <w:rPr>
                      <w:rFonts w:hint="default"/>
                      <w:color w:val="auto"/>
                      <w:lang w:val="en-US" w:eastAsia="zh-CN"/>
                    </w:rPr>
                  </w:pPr>
                  <w:r>
                    <w:rPr>
                      <w:rFonts w:hint="eastAsia"/>
                      <w:color w:val="auto"/>
                      <w:lang w:val="en-US" w:eastAsia="zh-CN"/>
                    </w:rPr>
                    <w:t>根据巴斯夫提供的产品毒理检测报告，该乳液急性经口毒性LD₅₀＞5000mg/kg bw，属于实际无毒级；急性经皮毒性LD₅₀＞2000mg/kg bw，无急性经皮毒性；对家兔皮肤、眼睛无刺激性；未检测出皮肤致敏性，符合《化学品毒性鉴定技术规范》对低风险化学品的毒性分级要求。该乳液未列入《有毒有害水污染物名录》、《危险化学品目录（2026调整版）》，不含列入《优先控制化学品名录》的毒性物质，游离单体醋酸乙烯含量＜0.05%，低于《胶粘剂挥发性有机化合物限量》GB 33372-2020规定的水基胶黏剂醋酸乙烯单体限量≤0.5%的要求，产品毒性指标符合国家相关安全规范要求。</w:t>
                  </w:r>
                </w:p>
              </w:tc>
            </w:tr>
            <w:tr w14:paraId="4035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vAlign w:val="center"/>
                </w:tcPr>
                <w:p w14:paraId="7FD85E14">
                  <w:pPr>
                    <w:pStyle w:val="19"/>
                    <w:numPr>
                      <w:ilvl w:val="0"/>
                      <w:numId w:val="4"/>
                    </w:numPr>
                    <w:tabs>
                      <w:tab w:val="clear" w:pos="0"/>
                    </w:tabs>
                    <w:bidi w:val="0"/>
                    <w:ind w:left="425" w:leftChars="0" w:hanging="425" w:firstLineChars="0"/>
                    <w:rPr>
                      <w:rFonts w:hint="default"/>
                      <w:color w:val="auto"/>
                      <w:lang w:val="en-US" w:eastAsia="zh-CN"/>
                    </w:rPr>
                  </w:pPr>
                </w:p>
              </w:tc>
              <w:tc>
                <w:tcPr>
                  <w:tcW w:w="1813" w:type="dxa"/>
                  <w:vAlign w:val="center"/>
                </w:tcPr>
                <w:p w14:paraId="05D7164B">
                  <w:pPr>
                    <w:pStyle w:val="19"/>
                    <w:bidi w:val="0"/>
                    <w:rPr>
                      <w:rFonts w:hint="default"/>
                      <w:color w:val="auto"/>
                      <w:lang w:val="en-US" w:eastAsia="zh-CN"/>
                    </w:rPr>
                  </w:pPr>
                  <w:r>
                    <w:rPr>
                      <w:rFonts w:hint="eastAsia"/>
                      <w:color w:val="auto"/>
                      <w:lang w:val="en-US" w:eastAsia="zh-CN"/>
                    </w:rPr>
                    <w:t>玻璃纤维网格布</w:t>
                  </w:r>
                </w:p>
              </w:tc>
              <w:tc>
                <w:tcPr>
                  <w:tcW w:w="4759" w:type="dxa"/>
                  <w:vAlign w:val="center"/>
                </w:tcPr>
                <w:p w14:paraId="1AF94096">
                  <w:pPr>
                    <w:pStyle w:val="19"/>
                    <w:bidi w:val="0"/>
                    <w:jc w:val="both"/>
                    <w:rPr>
                      <w:rFonts w:hint="default"/>
                      <w:color w:val="auto"/>
                      <w:lang w:val="en-US" w:eastAsia="zh-CN"/>
                    </w:rPr>
                  </w:pPr>
                  <w:r>
                    <w:rPr>
                      <w:rFonts w:hint="default"/>
                      <w:color w:val="auto"/>
                      <w:lang w:val="en-US" w:eastAsia="zh-CN"/>
                    </w:rPr>
                    <w:t>以玻璃纤维机织物为基材，经高分子抗乳液浸泡涂层。从而具有良好的抗碱性、柔韧性以及经纬向高度抗拉力，被广泛用于建筑物内外墙体保温、防水、防火、抗裂等。</w:t>
                  </w:r>
                </w:p>
                <w:p w14:paraId="02D0749B">
                  <w:pPr>
                    <w:pStyle w:val="19"/>
                    <w:bidi w:val="0"/>
                    <w:jc w:val="both"/>
                    <w:rPr>
                      <w:rFonts w:hint="default"/>
                      <w:color w:val="auto"/>
                      <w:lang w:val="en-US" w:eastAsia="zh-CN"/>
                    </w:rPr>
                  </w:pPr>
                  <w:r>
                    <w:rPr>
                      <w:rStyle w:val="22"/>
                      <w:rFonts w:hint="default"/>
                      <w:lang w:val="en-US" w:eastAsia="zh-CN"/>
                    </w:rPr>
                    <w:t>本项目网格布克重取130g/m²（合理阈值80～160g/m²），年用量300万m²折合390t/a。</w:t>
                  </w:r>
                  <w:r>
                    <w:rPr>
                      <w:rFonts w:hint="default"/>
                      <w:color w:val="auto"/>
                      <w:lang w:val="en-US" w:eastAsia="zh-CN"/>
                    </w:rPr>
                    <w:t>玻璃纤维网格布以耐碱玻纤网布为主，它</w:t>
                  </w:r>
                  <w:r>
                    <w:rPr>
                      <w:rFonts w:hint="eastAsia"/>
                      <w:color w:val="auto"/>
                      <w:lang w:val="en-US" w:eastAsia="zh-CN"/>
                    </w:rPr>
                    <w:t>采用</w:t>
                  </w:r>
                  <w:r>
                    <w:rPr>
                      <w:rFonts w:hint="default"/>
                      <w:color w:val="auto"/>
                      <w:lang w:val="en-US" w:eastAsia="zh-CN"/>
                    </w:rPr>
                    <w:t>无碱玻纤纱（主要成分是硅酸盐、化学稳定性好）经特殊的组织结构—纱罗组织</w:t>
                  </w:r>
                  <w:r>
                    <w:rPr>
                      <w:rFonts w:hint="eastAsia"/>
                      <w:color w:val="auto"/>
                      <w:lang w:val="en-US" w:eastAsia="zh-CN"/>
                    </w:rPr>
                    <w:t>交织</w:t>
                  </w:r>
                  <w:r>
                    <w:rPr>
                      <w:rFonts w:hint="default"/>
                      <w:color w:val="auto"/>
                      <w:lang w:val="en-US" w:eastAsia="zh-CN"/>
                    </w:rPr>
                    <w:t>而成，后经抗碱液、增强剂等高温热定型处理。</w:t>
                  </w:r>
                </w:p>
              </w:tc>
            </w:tr>
          </w:tbl>
          <w:p w14:paraId="4B18A872">
            <w:pPr>
              <w:pStyle w:val="20"/>
              <w:bidi w:val="0"/>
              <w:rPr>
                <w:rFonts w:hint="default"/>
                <w:color w:val="auto"/>
                <w:lang w:val="en-US" w:eastAsia="zh-CN"/>
              </w:rPr>
            </w:pPr>
          </w:p>
          <w:p w14:paraId="147B14EA">
            <w:pPr>
              <w:pStyle w:val="5"/>
              <w:rPr>
                <w:rFonts w:hint="eastAsia"/>
                <w:color w:val="auto"/>
                <w:lang w:val="en-US" w:eastAsia="zh-CN"/>
              </w:rPr>
            </w:pPr>
            <w:r>
              <w:rPr>
                <w:rFonts w:hint="eastAsia"/>
                <w:color w:val="auto"/>
                <w:lang w:val="en-US" w:eastAsia="zh-CN"/>
              </w:rPr>
              <w:t>本项目物料平衡见下表。</w:t>
            </w:r>
          </w:p>
          <w:p w14:paraId="3B46726C">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13</w:t>
            </w:r>
            <w:r>
              <w:rPr>
                <w:color w:val="auto"/>
              </w:rPr>
              <w:fldChar w:fldCharType="end"/>
            </w:r>
            <w:r>
              <w:rPr>
                <w:rFonts w:hint="eastAsia"/>
                <w:color w:val="auto"/>
                <w:lang w:val="en-US" w:eastAsia="zh-CN"/>
              </w:rPr>
              <w:t xml:space="preserve">  物料平衡表</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7"/>
              <w:gridCol w:w="1215"/>
              <w:gridCol w:w="2670"/>
              <w:gridCol w:w="1244"/>
            </w:tblGrid>
            <w:tr w14:paraId="4C32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gridSpan w:val="2"/>
                  <w:vAlign w:val="center"/>
                </w:tcPr>
                <w:p w14:paraId="05CFBF9A">
                  <w:pPr>
                    <w:pStyle w:val="19"/>
                    <w:bidi w:val="0"/>
                    <w:jc w:val="center"/>
                    <w:rPr>
                      <w:rFonts w:hint="default"/>
                      <w:color w:val="auto"/>
                      <w:lang w:val="en-US" w:eastAsia="zh-CN"/>
                    </w:rPr>
                  </w:pPr>
                  <w:r>
                    <w:rPr>
                      <w:rFonts w:hint="eastAsia"/>
                      <w:color w:val="auto"/>
                      <w:lang w:val="en-US" w:eastAsia="zh-CN"/>
                    </w:rPr>
                    <w:t>投入</w:t>
                  </w:r>
                </w:p>
              </w:tc>
              <w:tc>
                <w:tcPr>
                  <w:tcW w:w="3914" w:type="dxa"/>
                  <w:gridSpan w:val="2"/>
                  <w:vAlign w:val="center"/>
                </w:tcPr>
                <w:p w14:paraId="2C5E74FD">
                  <w:pPr>
                    <w:pStyle w:val="19"/>
                    <w:bidi w:val="0"/>
                    <w:jc w:val="center"/>
                    <w:rPr>
                      <w:rFonts w:hint="default"/>
                      <w:color w:val="auto"/>
                      <w:highlight w:val="none"/>
                      <w:lang w:val="en-US" w:eastAsia="zh-CN"/>
                    </w:rPr>
                  </w:pPr>
                  <w:r>
                    <w:rPr>
                      <w:rFonts w:hint="eastAsia"/>
                      <w:color w:val="auto"/>
                      <w:highlight w:val="none"/>
                      <w:lang w:val="en-US" w:eastAsia="zh-CN"/>
                    </w:rPr>
                    <w:t>产出</w:t>
                  </w:r>
                </w:p>
              </w:tc>
            </w:tr>
            <w:tr w14:paraId="121E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6C137067">
                  <w:pPr>
                    <w:pStyle w:val="19"/>
                    <w:bidi w:val="0"/>
                    <w:jc w:val="center"/>
                    <w:rPr>
                      <w:rFonts w:hint="default"/>
                      <w:color w:val="auto"/>
                      <w:lang w:val="en-US" w:eastAsia="zh-CN"/>
                    </w:rPr>
                  </w:pPr>
                  <w:r>
                    <w:rPr>
                      <w:rFonts w:hint="eastAsia"/>
                      <w:color w:val="auto"/>
                      <w:lang w:val="en-US" w:eastAsia="zh-CN"/>
                    </w:rPr>
                    <w:t>名称</w:t>
                  </w:r>
                </w:p>
              </w:tc>
              <w:tc>
                <w:tcPr>
                  <w:tcW w:w="1215" w:type="dxa"/>
                  <w:vAlign w:val="center"/>
                </w:tcPr>
                <w:p w14:paraId="46FD777A">
                  <w:pPr>
                    <w:pStyle w:val="19"/>
                    <w:bidi w:val="0"/>
                    <w:jc w:val="center"/>
                    <w:rPr>
                      <w:rFonts w:hint="default"/>
                      <w:color w:val="auto"/>
                      <w:lang w:val="en-US" w:eastAsia="zh-CN"/>
                    </w:rPr>
                  </w:pPr>
                  <w:r>
                    <w:rPr>
                      <w:rFonts w:hint="eastAsia"/>
                      <w:color w:val="auto"/>
                      <w:lang w:val="en-US" w:eastAsia="zh-CN"/>
                    </w:rPr>
                    <w:t>数量t/a</w:t>
                  </w:r>
                </w:p>
              </w:tc>
              <w:tc>
                <w:tcPr>
                  <w:tcW w:w="2670" w:type="dxa"/>
                  <w:vAlign w:val="center"/>
                </w:tcPr>
                <w:p w14:paraId="4DAA195D">
                  <w:pPr>
                    <w:pStyle w:val="19"/>
                    <w:bidi w:val="0"/>
                    <w:jc w:val="center"/>
                    <w:rPr>
                      <w:rFonts w:hint="default"/>
                      <w:color w:val="auto"/>
                      <w:highlight w:val="none"/>
                      <w:lang w:val="en-US" w:eastAsia="zh-CN"/>
                    </w:rPr>
                  </w:pPr>
                  <w:r>
                    <w:rPr>
                      <w:rFonts w:hint="eastAsia"/>
                      <w:color w:val="auto"/>
                      <w:highlight w:val="none"/>
                      <w:lang w:val="en-US" w:eastAsia="zh-CN"/>
                    </w:rPr>
                    <w:t>名称</w:t>
                  </w:r>
                </w:p>
              </w:tc>
              <w:tc>
                <w:tcPr>
                  <w:tcW w:w="1244" w:type="dxa"/>
                  <w:vAlign w:val="center"/>
                </w:tcPr>
                <w:p w14:paraId="6541C9BA">
                  <w:pPr>
                    <w:pStyle w:val="19"/>
                    <w:bidi w:val="0"/>
                    <w:jc w:val="center"/>
                    <w:rPr>
                      <w:rFonts w:hint="default"/>
                      <w:color w:val="auto"/>
                      <w:highlight w:val="none"/>
                      <w:lang w:val="en-US" w:eastAsia="zh-CN"/>
                    </w:rPr>
                  </w:pPr>
                  <w:r>
                    <w:rPr>
                      <w:rFonts w:hint="eastAsia"/>
                      <w:color w:val="auto"/>
                      <w:highlight w:val="none"/>
                      <w:lang w:val="en-US" w:eastAsia="zh-CN"/>
                    </w:rPr>
                    <w:t>数量t/a</w:t>
                  </w:r>
                </w:p>
              </w:tc>
            </w:tr>
            <w:tr w14:paraId="18C2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7" w:type="dxa"/>
                  <w:vAlign w:val="center"/>
                </w:tcPr>
                <w:p w14:paraId="427345D4">
                  <w:pPr>
                    <w:pStyle w:val="19"/>
                    <w:bidi w:val="0"/>
                    <w:rPr>
                      <w:rFonts w:hint="default"/>
                      <w:lang w:val="en-US" w:eastAsia="zh-CN"/>
                    </w:rPr>
                  </w:pPr>
                  <w:r>
                    <w:rPr>
                      <w:rFonts w:hint="eastAsia"/>
                      <w:lang w:val="en-US" w:eastAsia="zh-CN"/>
                    </w:rPr>
                    <w:t>XPS板</w:t>
                  </w:r>
                </w:p>
              </w:tc>
              <w:tc>
                <w:tcPr>
                  <w:tcW w:w="1215" w:type="dxa"/>
                  <w:vAlign w:val="center"/>
                </w:tcPr>
                <w:p w14:paraId="38F9AFF0">
                  <w:pPr>
                    <w:pStyle w:val="19"/>
                    <w:bidi w:val="0"/>
                    <w:rPr>
                      <w:rFonts w:hint="default"/>
                      <w:lang w:val="en-US" w:eastAsia="zh-CN"/>
                    </w:rPr>
                  </w:pPr>
                  <w:r>
                    <w:rPr>
                      <w:rFonts w:hint="eastAsia"/>
                      <w:lang w:val="en-US" w:eastAsia="zh-CN"/>
                    </w:rPr>
                    <w:t>774</w:t>
                  </w:r>
                </w:p>
              </w:tc>
              <w:tc>
                <w:tcPr>
                  <w:tcW w:w="2670" w:type="dxa"/>
                  <w:shd w:val="clear" w:color="auto" w:fill="auto"/>
                  <w:vAlign w:val="center"/>
                </w:tcPr>
                <w:p w14:paraId="5AEBF135">
                  <w:pPr>
                    <w:pStyle w:val="19"/>
                    <w:bidi w:val="0"/>
                    <w:rPr>
                      <w:rFonts w:hint="default"/>
                      <w:lang w:val="en-US" w:eastAsia="zh-CN"/>
                    </w:rPr>
                  </w:pPr>
                  <w:r>
                    <w:rPr>
                      <w:rFonts w:hint="eastAsia"/>
                      <w:lang w:val="en-US" w:eastAsia="zh-CN"/>
                    </w:rPr>
                    <w:t>成品背衬板（含保留水分244）</w:t>
                  </w:r>
                </w:p>
              </w:tc>
              <w:tc>
                <w:tcPr>
                  <w:tcW w:w="1244" w:type="dxa"/>
                  <w:shd w:val="clear" w:color="auto" w:fill="auto"/>
                  <w:vAlign w:val="center"/>
                </w:tcPr>
                <w:p w14:paraId="7F418328">
                  <w:pPr>
                    <w:pStyle w:val="19"/>
                    <w:bidi w:val="0"/>
                    <w:rPr>
                      <w:rFonts w:hint="default"/>
                      <w:lang w:val="en-US" w:eastAsia="zh-CN"/>
                    </w:rPr>
                  </w:pPr>
                  <w:r>
                    <w:t>14420.000</w:t>
                  </w:r>
                </w:p>
              </w:tc>
            </w:tr>
            <w:tr w14:paraId="09FF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063E19C8">
                  <w:pPr>
                    <w:pStyle w:val="19"/>
                    <w:bidi w:val="0"/>
                    <w:rPr>
                      <w:rFonts w:hint="default"/>
                      <w:lang w:val="en-US" w:eastAsia="zh-CN"/>
                    </w:rPr>
                  </w:pPr>
                  <w:r>
                    <w:rPr>
                      <w:rFonts w:hint="eastAsia"/>
                      <w:lang w:val="en-US" w:eastAsia="zh-CN"/>
                    </w:rPr>
                    <w:t>水泥</w:t>
                  </w:r>
                </w:p>
              </w:tc>
              <w:tc>
                <w:tcPr>
                  <w:tcW w:w="1215" w:type="dxa"/>
                  <w:vAlign w:val="center"/>
                </w:tcPr>
                <w:p w14:paraId="70AD9E82">
                  <w:pPr>
                    <w:pStyle w:val="19"/>
                    <w:bidi w:val="0"/>
                    <w:rPr>
                      <w:rFonts w:hint="default"/>
                      <w:lang w:val="en-US" w:eastAsia="zh-CN"/>
                    </w:rPr>
                  </w:pPr>
                  <w:r>
                    <w:rPr>
                      <w:rFonts w:hint="eastAsia"/>
                      <w:lang w:val="en-US" w:eastAsia="zh-CN"/>
                    </w:rPr>
                    <w:t>6688.078</w:t>
                  </w:r>
                </w:p>
              </w:tc>
              <w:tc>
                <w:tcPr>
                  <w:tcW w:w="2670" w:type="dxa"/>
                  <w:shd w:val="clear" w:color="auto" w:fill="auto"/>
                  <w:vAlign w:val="center"/>
                </w:tcPr>
                <w:p w14:paraId="010BC11F">
                  <w:pPr>
                    <w:pStyle w:val="19"/>
                    <w:bidi w:val="0"/>
                    <w:rPr>
                      <w:rFonts w:hint="default"/>
                      <w:lang w:val="en-US" w:eastAsia="zh-CN"/>
                    </w:rPr>
                  </w:pPr>
                  <w:r>
                    <w:t>修边切割废边角料</w:t>
                  </w:r>
                </w:p>
              </w:tc>
              <w:tc>
                <w:tcPr>
                  <w:tcW w:w="1244" w:type="dxa"/>
                  <w:shd w:val="clear" w:color="auto" w:fill="auto"/>
                  <w:vAlign w:val="center"/>
                </w:tcPr>
                <w:p w14:paraId="5394730C">
                  <w:pPr>
                    <w:pStyle w:val="19"/>
                    <w:bidi w:val="0"/>
                    <w:rPr>
                      <w:rFonts w:hint="default"/>
                      <w:lang w:val="en-US" w:eastAsia="zh-CN"/>
                    </w:rPr>
                  </w:pPr>
                  <w:r>
                    <w:t>332.634</w:t>
                  </w:r>
                </w:p>
              </w:tc>
            </w:tr>
            <w:tr w14:paraId="67AA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4BCAD4F6">
                  <w:pPr>
                    <w:pStyle w:val="19"/>
                    <w:bidi w:val="0"/>
                    <w:rPr>
                      <w:rFonts w:hint="default"/>
                      <w:lang w:val="en-US" w:eastAsia="zh-CN"/>
                    </w:rPr>
                  </w:pPr>
                  <w:r>
                    <w:rPr>
                      <w:rFonts w:hint="eastAsia"/>
                      <w:lang w:val="en-US" w:eastAsia="zh-CN"/>
                    </w:rPr>
                    <w:t>粉煤灰</w:t>
                  </w:r>
                </w:p>
              </w:tc>
              <w:tc>
                <w:tcPr>
                  <w:tcW w:w="1215" w:type="dxa"/>
                  <w:vAlign w:val="center"/>
                </w:tcPr>
                <w:p w14:paraId="24AF7200">
                  <w:pPr>
                    <w:pStyle w:val="19"/>
                    <w:bidi w:val="0"/>
                    <w:rPr>
                      <w:rFonts w:hint="default"/>
                      <w:lang w:val="en-US" w:eastAsia="zh-CN"/>
                    </w:rPr>
                  </w:pPr>
                  <w:r>
                    <w:rPr>
                      <w:rFonts w:hint="eastAsia"/>
                      <w:lang w:val="en-US" w:eastAsia="zh-CN"/>
                    </w:rPr>
                    <w:t>6000</w:t>
                  </w:r>
                </w:p>
              </w:tc>
              <w:tc>
                <w:tcPr>
                  <w:tcW w:w="2670" w:type="dxa"/>
                  <w:shd w:val="clear" w:color="auto" w:fill="auto"/>
                  <w:vAlign w:val="center"/>
                </w:tcPr>
                <w:p w14:paraId="3ED6BDF2">
                  <w:pPr>
                    <w:pStyle w:val="19"/>
                    <w:bidi w:val="0"/>
                    <w:rPr>
                      <w:rFonts w:hint="default"/>
                      <w:lang w:val="en-US" w:eastAsia="zh-CN"/>
                    </w:rPr>
                  </w:pPr>
                  <w:r>
                    <w:t>雕刻废边角料</w:t>
                  </w:r>
                </w:p>
              </w:tc>
              <w:tc>
                <w:tcPr>
                  <w:tcW w:w="1244" w:type="dxa"/>
                  <w:shd w:val="clear" w:color="auto" w:fill="auto"/>
                  <w:vAlign w:val="center"/>
                </w:tcPr>
                <w:p w14:paraId="1C7881C0">
                  <w:pPr>
                    <w:pStyle w:val="19"/>
                    <w:bidi w:val="0"/>
                    <w:rPr>
                      <w:rFonts w:hint="default"/>
                      <w:lang w:val="en-US" w:eastAsia="zh-CN"/>
                    </w:rPr>
                  </w:pPr>
                  <w:r>
                    <w:t>83.158</w:t>
                  </w:r>
                </w:p>
              </w:tc>
            </w:tr>
            <w:tr w14:paraId="4949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7" w:type="dxa"/>
                  <w:shd w:val="clear" w:color="auto" w:fill="auto"/>
                  <w:vAlign w:val="center"/>
                </w:tcPr>
                <w:p w14:paraId="160583FA">
                  <w:pPr>
                    <w:pStyle w:val="19"/>
                    <w:bidi w:val="0"/>
                    <w:rPr>
                      <w:rFonts w:hint="eastAsia"/>
                      <w:lang w:val="en-US" w:eastAsia="zh-CN"/>
                    </w:rPr>
                  </w:pPr>
                  <w:r>
                    <w:rPr>
                      <w:rFonts w:hint="eastAsia"/>
                      <w:lang w:val="en-US" w:eastAsia="zh-CN"/>
                    </w:rPr>
                    <w:t>巴斯夫乳液（水性醋酸乙烯酯—乙烯共聚物乳液）</w:t>
                  </w:r>
                </w:p>
              </w:tc>
              <w:tc>
                <w:tcPr>
                  <w:tcW w:w="1215" w:type="dxa"/>
                  <w:shd w:val="clear" w:color="auto" w:fill="auto"/>
                  <w:vAlign w:val="center"/>
                </w:tcPr>
                <w:p w14:paraId="06EC5F8E">
                  <w:pPr>
                    <w:pStyle w:val="19"/>
                    <w:bidi w:val="0"/>
                    <w:rPr>
                      <w:rFonts w:hint="eastAsia"/>
                      <w:lang w:val="en-US" w:eastAsia="zh-CN"/>
                    </w:rPr>
                  </w:pPr>
                  <w:r>
                    <w:rPr>
                      <w:rFonts w:hint="eastAsia"/>
                      <w:lang w:val="en-US" w:eastAsia="zh-CN"/>
                    </w:rPr>
                    <w:t>1000</w:t>
                  </w:r>
                </w:p>
              </w:tc>
              <w:tc>
                <w:tcPr>
                  <w:tcW w:w="2670" w:type="dxa"/>
                  <w:shd w:val="clear" w:color="auto" w:fill="auto"/>
                  <w:vAlign w:val="center"/>
                </w:tcPr>
                <w:p w14:paraId="3BD118DB">
                  <w:pPr>
                    <w:pStyle w:val="19"/>
                    <w:bidi w:val="0"/>
                    <w:rPr>
                      <w:rFonts w:hint="eastAsia"/>
                      <w:lang w:val="en-US" w:eastAsia="zh-CN"/>
                    </w:rPr>
                  </w:pPr>
                  <w:r>
                    <w:t>颗粒物排放（有组织+无组织）</w:t>
                  </w:r>
                </w:p>
              </w:tc>
              <w:tc>
                <w:tcPr>
                  <w:tcW w:w="1244" w:type="dxa"/>
                  <w:shd w:val="clear" w:color="auto" w:fill="auto"/>
                  <w:vAlign w:val="center"/>
                </w:tcPr>
                <w:p w14:paraId="12D3FB88">
                  <w:pPr>
                    <w:pStyle w:val="19"/>
                    <w:bidi w:val="0"/>
                    <w:rPr>
                      <w:rFonts w:hint="eastAsia"/>
                      <w:lang w:val="en-US" w:eastAsia="zh-CN"/>
                    </w:rPr>
                  </w:pPr>
                  <w:r>
                    <w:t>0.474</w:t>
                  </w:r>
                </w:p>
              </w:tc>
            </w:tr>
            <w:tr w14:paraId="40C9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2A085704">
                  <w:pPr>
                    <w:pStyle w:val="19"/>
                    <w:bidi w:val="0"/>
                    <w:rPr>
                      <w:rFonts w:hint="default"/>
                      <w:lang w:val="en-US" w:eastAsia="zh-CN"/>
                    </w:rPr>
                  </w:pPr>
                  <w:r>
                    <w:rPr>
                      <w:rFonts w:hint="eastAsia"/>
                      <w:lang w:val="en-US" w:eastAsia="zh-CN"/>
                    </w:rPr>
                    <w:t>玻璃纤维网格布</w:t>
                  </w:r>
                </w:p>
              </w:tc>
              <w:tc>
                <w:tcPr>
                  <w:tcW w:w="1215" w:type="dxa"/>
                  <w:vAlign w:val="center"/>
                </w:tcPr>
                <w:p w14:paraId="6002E9FB">
                  <w:pPr>
                    <w:pStyle w:val="19"/>
                    <w:bidi w:val="0"/>
                    <w:rPr>
                      <w:rFonts w:hint="default"/>
                      <w:lang w:val="en-US" w:eastAsia="zh-CN"/>
                    </w:rPr>
                  </w:pPr>
                  <w:r>
                    <w:rPr>
                      <w:rFonts w:hint="eastAsia"/>
                      <w:lang w:val="en-US" w:eastAsia="zh-CN"/>
                    </w:rPr>
                    <w:t>390</w:t>
                  </w:r>
                </w:p>
              </w:tc>
              <w:tc>
                <w:tcPr>
                  <w:tcW w:w="2670" w:type="dxa"/>
                  <w:shd w:val="clear" w:color="auto" w:fill="auto"/>
                  <w:vAlign w:val="center"/>
                </w:tcPr>
                <w:p w14:paraId="55835A1B">
                  <w:pPr>
                    <w:pStyle w:val="19"/>
                    <w:bidi w:val="0"/>
                    <w:rPr>
                      <w:rFonts w:hint="eastAsia"/>
                      <w:lang w:val="en-US" w:eastAsia="zh-CN"/>
                    </w:rPr>
                  </w:pPr>
                  <w:r>
                    <w:t>NMHC排放</w:t>
                  </w:r>
                </w:p>
              </w:tc>
              <w:tc>
                <w:tcPr>
                  <w:tcW w:w="1244" w:type="dxa"/>
                  <w:shd w:val="clear" w:color="auto" w:fill="auto"/>
                  <w:vAlign w:val="center"/>
                </w:tcPr>
                <w:p w14:paraId="67EBDAD8">
                  <w:pPr>
                    <w:pStyle w:val="19"/>
                    <w:bidi w:val="0"/>
                    <w:rPr>
                      <w:rFonts w:hint="default"/>
                      <w:lang w:val="en-US" w:eastAsia="zh-CN"/>
                    </w:rPr>
                  </w:pPr>
                  <w:r>
                    <w:t>0.145</w:t>
                  </w:r>
                </w:p>
              </w:tc>
            </w:tr>
            <w:tr w14:paraId="67D4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6DB61DFF">
                  <w:pPr>
                    <w:pStyle w:val="19"/>
                    <w:bidi w:val="0"/>
                    <w:rPr>
                      <w:rFonts w:hint="default"/>
                      <w:lang w:val="en-US" w:eastAsia="zh-CN"/>
                    </w:rPr>
                  </w:pPr>
                  <w:r>
                    <w:rPr>
                      <w:rFonts w:hint="eastAsia"/>
                      <w:lang w:val="en-US" w:eastAsia="zh-CN"/>
                    </w:rPr>
                    <w:t>配料新鲜水</w:t>
                  </w:r>
                </w:p>
              </w:tc>
              <w:tc>
                <w:tcPr>
                  <w:tcW w:w="1215" w:type="dxa"/>
                  <w:vAlign w:val="center"/>
                </w:tcPr>
                <w:p w14:paraId="3CF90EB5">
                  <w:pPr>
                    <w:pStyle w:val="19"/>
                    <w:bidi w:val="0"/>
                    <w:rPr>
                      <w:rFonts w:hint="default"/>
                      <w:lang w:val="en-US" w:eastAsia="zh-CN"/>
                    </w:rPr>
                  </w:pPr>
                  <w:r>
                    <w:rPr>
                      <w:rFonts w:hint="eastAsia"/>
                      <w:lang w:val="en-US" w:eastAsia="zh-CN"/>
                    </w:rPr>
                    <w:t>1442</w:t>
                  </w:r>
                </w:p>
              </w:tc>
              <w:tc>
                <w:tcPr>
                  <w:tcW w:w="2670" w:type="dxa"/>
                  <w:shd w:val="clear" w:color="auto" w:fill="auto"/>
                  <w:vAlign w:val="center"/>
                </w:tcPr>
                <w:p w14:paraId="5AAD0349">
                  <w:pPr>
                    <w:pStyle w:val="19"/>
                    <w:bidi w:val="0"/>
                    <w:rPr>
                      <w:rFonts w:hint="default"/>
                      <w:lang w:val="en-US" w:eastAsia="zh-CN"/>
                    </w:rPr>
                  </w:pPr>
                  <w:r>
                    <w:t>废活性炭吸附有机物</w:t>
                  </w:r>
                </w:p>
              </w:tc>
              <w:tc>
                <w:tcPr>
                  <w:tcW w:w="1244" w:type="dxa"/>
                  <w:shd w:val="clear" w:color="auto" w:fill="auto"/>
                  <w:vAlign w:val="center"/>
                </w:tcPr>
                <w:p w14:paraId="3E000F4C">
                  <w:pPr>
                    <w:pStyle w:val="19"/>
                    <w:bidi w:val="0"/>
                    <w:rPr>
                      <w:rFonts w:hint="default"/>
                      <w:lang w:val="en-US" w:eastAsia="zh-CN"/>
                    </w:rPr>
                  </w:pPr>
                  <w:r>
                    <w:t>0.855</w:t>
                  </w:r>
                </w:p>
              </w:tc>
            </w:tr>
            <w:tr w14:paraId="390E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1D1F94D0">
                  <w:pPr>
                    <w:pStyle w:val="19"/>
                    <w:bidi w:val="0"/>
                    <w:rPr>
                      <w:rFonts w:hint="default"/>
                      <w:lang w:val="en-US" w:eastAsia="zh-CN"/>
                    </w:rPr>
                  </w:pPr>
                  <w:r>
                    <w:rPr>
                      <w:rFonts w:hint="default"/>
                      <w:lang w:val="en-US" w:eastAsia="zh-CN"/>
                    </w:rPr>
                    <w:t>（生活用水不计入本表，见水平衡）</w:t>
                  </w:r>
                </w:p>
              </w:tc>
              <w:tc>
                <w:tcPr>
                  <w:tcW w:w="1215" w:type="dxa"/>
                  <w:vAlign w:val="center"/>
                </w:tcPr>
                <w:p w14:paraId="2D2543F4">
                  <w:pPr>
                    <w:pStyle w:val="19"/>
                    <w:bidi w:val="0"/>
                    <w:rPr>
                      <w:rFonts w:hint="default"/>
                      <w:lang w:val="en-US" w:eastAsia="zh-CN"/>
                    </w:rPr>
                  </w:pPr>
                  <w:r>
                    <w:rPr>
                      <w:rFonts w:hint="eastAsia"/>
                      <w:lang w:val="en-US" w:eastAsia="zh-CN"/>
                    </w:rPr>
                    <w:t>/</w:t>
                  </w:r>
                </w:p>
              </w:tc>
              <w:tc>
                <w:tcPr>
                  <w:tcW w:w="2670" w:type="dxa"/>
                  <w:shd w:val="clear" w:color="auto" w:fill="auto"/>
                  <w:vAlign w:val="center"/>
                </w:tcPr>
                <w:p w14:paraId="0E3CA782">
                  <w:pPr>
                    <w:pStyle w:val="19"/>
                    <w:bidi w:val="0"/>
                    <w:rPr>
                      <w:rFonts w:hint="eastAsia"/>
                      <w:lang w:val="en-US" w:eastAsia="zh-CN"/>
                    </w:rPr>
                  </w:pPr>
                  <w:r>
                    <w:t>蒸发及不可回收水分</w:t>
                  </w:r>
                  <w:r>
                    <w:rPr>
                      <w:rFonts w:hint="eastAsia"/>
                      <w:lang w:eastAsia="zh-CN"/>
                    </w:rPr>
                    <w:t>（</w:t>
                  </w:r>
                  <w:r>
                    <w:rPr>
                      <w:rFonts w:hint="eastAsia"/>
                      <w:lang w:val="en-US" w:eastAsia="zh-CN"/>
                    </w:rPr>
                    <w:t>含</w:t>
                  </w:r>
                  <w:r>
                    <w:rPr>
                      <w:rFonts w:hint="eastAsia"/>
                      <w:lang w:eastAsia="zh-CN"/>
                    </w:rPr>
                    <w:t>乳液带入水分）</w:t>
                  </w:r>
                </w:p>
              </w:tc>
              <w:tc>
                <w:tcPr>
                  <w:tcW w:w="1244" w:type="dxa"/>
                  <w:shd w:val="clear" w:color="auto" w:fill="auto"/>
                  <w:vAlign w:val="center"/>
                </w:tcPr>
                <w:p w14:paraId="458F89E5">
                  <w:pPr>
                    <w:pStyle w:val="19"/>
                    <w:bidi w:val="0"/>
                    <w:rPr>
                      <w:rFonts w:hint="default"/>
                      <w:lang w:val="en-US" w:eastAsia="zh-CN"/>
                    </w:rPr>
                  </w:pPr>
                  <w:r>
                    <w:t>1456.812</w:t>
                  </w:r>
                </w:p>
              </w:tc>
            </w:tr>
            <w:tr w14:paraId="74DE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7" w:type="dxa"/>
                  <w:vAlign w:val="center"/>
                </w:tcPr>
                <w:p w14:paraId="58DEC609">
                  <w:pPr>
                    <w:pStyle w:val="19"/>
                    <w:bidi w:val="0"/>
                    <w:rPr>
                      <w:rFonts w:hint="default"/>
                      <w:lang w:val="en-US" w:eastAsia="zh-CN"/>
                    </w:rPr>
                  </w:pPr>
                  <w:r>
                    <w:rPr>
                      <w:rFonts w:hint="eastAsia"/>
                      <w:lang w:val="en-US" w:eastAsia="zh-CN"/>
                    </w:rPr>
                    <w:t>合计</w:t>
                  </w:r>
                </w:p>
              </w:tc>
              <w:tc>
                <w:tcPr>
                  <w:tcW w:w="1215" w:type="dxa"/>
                  <w:shd w:val="clear" w:color="auto" w:fill="auto"/>
                  <w:vAlign w:val="center"/>
                </w:tcPr>
                <w:p w14:paraId="62F89276">
                  <w:pPr>
                    <w:pStyle w:val="19"/>
                    <w:bidi w:val="0"/>
                    <w:rPr>
                      <w:rFonts w:hint="default"/>
                      <w:lang w:val="en-US" w:eastAsia="zh-CN"/>
                    </w:rPr>
                  </w:pPr>
                  <w:r>
                    <w:rPr>
                      <w:rFonts w:hint="default"/>
                      <w:lang w:val="en-US" w:eastAsia="zh-CN"/>
                    </w:rPr>
                    <w:fldChar w:fldCharType="begin"/>
                  </w:r>
                  <w:r>
                    <w:rPr>
                      <w:rFonts w:hint="default"/>
                      <w:lang w:val="en-US" w:eastAsia="zh-CN"/>
                    </w:rPr>
                    <w:instrText xml:space="preserve"> = sum(B3:B9) \* MERGEFORMAT </w:instrText>
                  </w:r>
                  <w:r>
                    <w:rPr>
                      <w:rFonts w:hint="default"/>
                      <w:lang w:val="en-US" w:eastAsia="zh-CN"/>
                    </w:rPr>
                    <w:fldChar w:fldCharType="separate"/>
                  </w:r>
                  <w:r>
                    <w:rPr>
                      <w:rFonts w:hint="default"/>
                      <w:lang w:val="en-US" w:eastAsia="zh-CN"/>
                    </w:rPr>
                    <w:t>16294.078</w:t>
                  </w:r>
                  <w:r>
                    <w:rPr>
                      <w:rFonts w:hint="default"/>
                      <w:lang w:val="en-US" w:eastAsia="zh-CN"/>
                    </w:rPr>
                    <w:fldChar w:fldCharType="end"/>
                  </w:r>
                </w:p>
              </w:tc>
              <w:tc>
                <w:tcPr>
                  <w:tcW w:w="2670" w:type="dxa"/>
                  <w:vAlign w:val="center"/>
                </w:tcPr>
                <w:p w14:paraId="397A50A1">
                  <w:pPr>
                    <w:pStyle w:val="19"/>
                    <w:bidi w:val="0"/>
                    <w:rPr>
                      <w:rFonts w:hint="default"/>
                      <w:lang w:val="en-US" w:eastAsia="zh-CN"/>
                    </w:rPr>
                  </w:pPr>
                  <w:r>
                    <w:rPr>
                      <w:rFonts w:hint="eastAsia"/>
                      <w:lang w:val="en-US" w:eastAsia="zh-CN"/>
                    </w:rPr>
                    <w:t>合计</w:t>
                  </w:r>
                </w:p>
              </w:tc>
              <w:tc>
                <w:tcPr>
                  <w:tcW w:w="1244" w:type="dxa"/>
                  <w:vAlign w:val="center"/>
                </w:tcPr>
                <w:p w14:paraId="1818E5D0">
                  <w:pPr>
                    <w:pStyle w:val="19"/>
                    <w:bidi w:val="0"/>
                    <w:rPr>
                      <w:rFonts w:hint="default"/>
                      <w:lang w:val="en-US" w:eastAsia="zh-CN"/>
                    </w:rPr>
                  </w:pPr>
                  <w:r>
                    <w:rPr>
                      <w:rFonts w:hint="default"/>
                      <w:lang w:val="en-US" w:eastAsia="zh-CN"/>
                    </w:rPr>
                    <w:fldChar w:fldCharType="begin"/>
                  </w:r>
                  <w:r>
                    <w:rPr>
                      <w:rFonts w:hint="default"/>
                      <w:lang w:val="en-US" w:eastAsia="zh-CN"/>
                    </w:rPr>
                    <w:instrText xml:space="preserve"> = sum(D3:D9) \* MERGEFORMAT </w:instrText>
                  </w:r>
                  <w:r>
                    <w:rPr>
                      <w:rFonts w:hint="default"/>
                      <w:lang w:val="en-US" w:eastAsia="zh-CN"/>
                    </w:rPr>
                    <w:fldChar w:fldCharType="separate"/>
                  </w:r>
                  <w:r>
                    <w:rPr>
                      <w:rFonts w:hint="default"/>
                      <w:lang w:val="en-US" w:eastAsia="zh-CN"/>
                    </w:rPr>
                    <w:t>16294.078</w:t>
                  </w:r>
                  <w:r>
                    <w:rPr>
                      <w:rFonts w:hint="default"/>
                      <w:lang w:val="en-US" w:eastAsia="zh-CN"/>
                    </w:rPr>
                    <w:fldChar w:fldCharType="end"/>
                  </w:r>
                </w:p>
              </w:tc>
            </w:tr>
          </w:tbl>
          <w:p w14:paraId="1394E3DF">
            <w:pPr>
              <w:pStyle w:val="20"/>
              <w:bidi w:val="0"/>
              <w:jc w:val="both"/>
              <w:rPr>
                <w:rFonts w:hint="default"/>
                <w:color w:val="auto"/>
                <w:lang w:val="en-US" w:eastAsia="zh-CN"/>
              </w:rPr>
            </w:pPr>
          </w:p>
          <w:p w14:paraId="24CF7B2A">
            <w:pPr>
              <w:pStyle w:val="5"/>
              <w:bidi w:val="0"/>
              <w:jc w:val="both"/>
              <w:rPr>
                <w:color w:val="auto"/>
              </w:rPr>
            </w:pPr>
            <w:r>
              <w:rPr>
                <w:rFonts w:hint="eastAsia"/>
                <w:color w:val="auto"/>
              </w:rPr>
              <w:t>经校核，生产物料平衡以产品方案表成品产量14420t/a为基准，生活用水不纳入生产物料平衡。本项目生产总投入为16294.078t/a，总产出为16294.078t/a，投入与产出闭合，具体如下：</w:t>
            </w:r>
          </w:p>
          <w:p w14:paraId="58007239">
            <w:pPr>
              <w:pStyle w:val="5"/>
              <w:bidi w:val="0"/>
              <w:rPr>
                <w:rFonts w:hint="eastAsia" w:eastAsia="宋体"/>
                <w:color w:val="auto"/>
                <w:lang w:eastAsia="zh-CN"/>
              </w:rPr>
            </w:pPr>
            <w:r>
              <w:rPr>
                <w:b/>
                <w:bCs/>
                <w:color w:val="auto"/>
              </w:rPr>
              <w:t>物料投入情况</w:t>
            </w:r>
            <w:r>
              <w:rPr>
                <w:rFonts w:hint="eastAsia"/>
                <w:color w:val="auto"/>
                <w:lang w:eastAsia="zh-CN"/>
              </w:rPr>
              <w:t>：</w:t>
            </w:r>
          </w:p>
          <w:p w14:paraId="74042CE4">
            <w:pPr>
              <w:pStyle w:val="5"/>
              <w:bidi w:val="0"/>
              <w:rPr>
                <w:color w:val="auto"/>
              </w:rPr>
            </w:pPr>
            <w:r>
              <w:rPr>
                <w:rFonts w:hint="eastAsia"/>
                <w:color w:val="auto"/>
              </w:rPr>
              <w:t>本项目年投入各类原辅材料及配料新鲜水合计16294.078t，各投入项具体为：XPS板774t/a，水泥6688.078t/a，粉煤灰6000t/a，巴斯夫乳液（水性醋酸乙烯酯—乙烯共聚物乳液）1000t/a，玻璃纤维网格布390t/a，配料新鲜水1442t/a。生活用水780t/a在水平衡中单列。</w:t>
            </w:r>
          </w:p>
          <w:p w14:paraId="5116275B">
            <w:pPr>
              <w:pStyle w:val="5"/>
              <w:bidi w:val="0"/>
              <w:rPr>
                <w:rFonts w:hint="eastAsia" w:eastAsia="宋体"/>
                <w:color w:val="auto"/>
                <w:lang w:eastAsia="zh-CN"/>
              </w:rPr>
            </w:pPr>
            <w:r>
              <w:rPr>
                <w:b/>
                <w:bCs/>
                <w:color w:val="auto"/>
              </w:rPr>
              <w:t>物料产出情况</w:t>
            </w:r>
            <w:r>
              <w:rPr>
                <w:rFonts w:hint="eastAsia"/>
                <w:color w:val="auto"/>
                <w:lang w:eastAsia="zh-CN"/>
              </w:rPr>
              <w:t>：</w:t>
            </w:r>
          </w:p>
          <w:p w14:paraId="30CE5824">
            <w:pPr>
              <w:pStyle w:val="5"/>
              <w:bidi w:val="0"/>
              <w:rPr>
                <w:rFonts w:hint="eastAsia"/>
                <w:color w:val="auto"/>
              </w:rPr>
            </w:pPr>
            <w:r>
              <w:rPr>
                <w:rFonts w:hint="eastAsia"/>
                <w:color w:val="auto"/>
              </w:rPr>
              <w:t>本项目年产出各类产物合计16294.078t，各产出项具体为：</w:t>
            </w:r>
          </w:p>
          <w:p w14:paraId="453A9A80">
            <w:pPr>
              <w:pStyle w:val="5"/>
              <w:bidi w:val="0"/>
              <w:rPr>
                <w:rFonts w:hint="eastAsia"/>
                <w:color w:val="auto"/>
              </w:rPr>
            </w:pPr>
            <w:r>
              <w:rPr>
                <w:rFonts w:hint="eastAsia"/>
                <w:color w:val="auto"/>
              </w:rPr>
              <w:t>主产品成品14420t/a（含保留水分244t/a，不再重复计列）；修边切割废边角料332.634t/a，雕刻废边角料83.158t/a；厂界颗粒物排放0.474t/a（有组织+无组织）；NMHC排放0.145t/a；废活性炭吸附有机物0.855t/a。干粉入仓及修边雕刻粉尘经袋收后回用于生产（约4.654t/a），属内部循环，不计入厂界净产出。</w:t>
            </w:r>
          </w:p>
          <w:p w14:paraId="0E26A8D3">
            <w:pPr>
              <w:pStyle w:val="5"/>
              <w:bidi w:val="0"/>
              <w:rPr>
                <w:color w:val="auto"/>
              </w:rPr>
            </w:pPr>
            <w:r>
              <w:rPr>
                <w:rFonts w:hint="eastAsia"/>
                <w:b/>
                <w:bCs/>
                <w:color w:val="auto"/>
              </w:rPr>
              <w:t>水分走向：</w:t>
            </w:r>
            <w:r>
              <w:rPr>
                <w:rFonts w:hint="eastAsia"/>
                <w:color w:val="auto"/>
              </w:rPr>
              <w:t>蒸发及不可回收水分1456.812t/a（含水性乳液带入水分及养护蒸发未冷凝部分；成品保留水分244t/a已计入成品质量；养护冷凝水242.1m3/a全部回用于湿混，为内部循环。本项目不外排生产废水，生活污水624m</w:t>
            </w:r>
            <w:r>
              <w:rPr>
                <w:rFonts w:hint="eastAsia"/>
                <w:color w:val="auto"/>
                <w:vertAlign w:val="superscript"/>
              </w:rPr>
              <w:t>3</w:t>
            </w:r>
            <w:r>
              <w:rPr>
                <w:rFonts w:hint="eastAsia"/>
                <w:color w:val="auto"/>
              </w:rPr>
              <w:t>/a在水平衡中核算。</w:t>
            </w:r>
          </w:p>
          <w:p w14:paraId="778DADD7">
            <w:pPr>
              <w:pStyle w:val="5"/>
              <w:ind w:left="0" w:leftChars="0" w:firstLine="0" w:firstLineChars="0"/>
            </w:pPr>
          </w:p>
          <w:p w14:paraId="0BB96679">
            <w:pPr>
              <w:pStyle w:val="12"/>
              <w:ind w:left="0" w:leftChars="0" w:firstLine="0" w:firstLineChars="0"/>
              <w:rPr>
                <w:rFonts w:hint="default" w:eastAsia="黑体"/>
                <w:lang w:val="en-US" w:eastAsia="zh-CN"/>
              </w:rPr>
            </w:pPr>
            <w:r>
              <w:t xml:space="preserve">图 </w:t>
            </w:r>
            <w:r>
              <w:fldChar w:fldCharType="begin"/>
            </w:r>
            <w:r>
              <w:instrText xml:space="preserve"> SEQ 图 \* ARABIC </w:instrText>
            </w:r>
            <w:r>
              <w:fldChar w:fldCharType="separate"/>
            </w:r>
            <w:r>
              <w:t>4</w:t>
            </w:r>
            <w:r>
              <w:fldChar w:fldCharType="end"/>
            </w:r>
            <w:r>
              <w:rPr>
                <w:rFonts w:hint="eastAsia"/>
                <w:lang w:val="en-US" w:eastAsia="zh-CN"/>
              </w:rPr>
              <w:t xml:space="preserve">  物料平衡图  单位t/a</w:t>
            </w:r>
          </w:p>
          <w:p w14:paraId="04BD0BE2">
            <w:pPr>
              <w:pStyle w:val="4"/>
              <w:numPr>
                <w:ilvl w:val="2"/>
                <w:numId w:val="0"/>
              </w:numPr>
              <w:bidi w:val="0"/>
              <w:ind w:leftChars="0"/>
              <w:rPr>
                <w:rFonts w:hint="default"/>
                <w:color w:val="auto"/>
                <w:lang w:val="en-US" w:eastAsia="zh-CN"/>
              </w:rPr>
            </w:pPr>
          </w:p>
          <w:p w14:paraId="223AF751">
            <w:pPr>
              <w:pStyle w:val="4"/>
              <w:bidi w:val="0"/>
              <w:rPr>
                <w:rFonts w:hint="default"/>
                <w:color w:val="auto"/>
                <w:lang w:val="en-US" w:eastAsia="zh-CN"/>
              </w:rPr>
            </w:pPr>
            <w:r>
              <w:rPr>
                <w:rFonts w:hint="eastAsia"/>
                <w:color w:val="auto"/>
                <w:lang w:val="en-US" w:eastAsia="zh-CN"/>
              </w:rPr>
              <w:t>劳动定员及工作制度</w:t>
            </w:r>
          </w:p>
          <w:p w14:paraId="296C675F">
            <w:pPr>
              <w:pStyle w:val="5"/>
              <w:bidi w:val="0"/>
              <w:rPr>
                <w:rFonts w:hint="default"/>
                <w:color w:val="auto"/>
                <w:lang w:val="en-US" w:eastAsia="zh-CN"/>
              </w:rPr>
            </w:pPr>
            <w:r>
              <w:rPr>
                <w:color w:val="auto"/>
              </w:rPr>
              <w:t>本项目新增劳动定员65人，所有员工均不在厂区住宿。项目年运行300</w:t>
            </w:r>
            <w:r>
              <w:rPr>
                <w:rFonts w:hint="eastAsia"/>
                <w:color w:val="auto"/>
                <w:lang w:val="en-US" w:eastAsia="zh-CN"/>
              </w:rPr>
              <w:t>d</w:t>
            </w:r>
            <w:r>
              <w:rPr>
                <w:color w:val="auto"/>
              </w:rPr>
              <w:t>，实行单班8</w:t>
            </w:r>
            <w:r>
              <w:rPr>
                <w:rFonts w:hint="eastAsia"/>
                <w:color w:val="auto"/>
                <w:lang w:val="en-US" w:eastAsia="zh-CN"/>
              </w:rPr>
              <w:t>h</w:t>
            </w:r>
            <w:r>
              <w:rPr>
                <w:color w:val="auto"/>
              </w:rPr>
              <w:t>工作制，据此计算，年操作时间为2400</w:t>
            </w:r>
            <w:r>
              <w:rPr>
                <w:rFonts w:hint="eastAsia"/>
                <w:color w:val="auto"/>
                <w:lang w:val="en-US" w:eastAsia="zh-CN"/>
              </w:rPr>
              <w:t>h</w:t>
            </w:r>
            <w:r>
              <w:rPr>
                <w:color w:val="auto"/>
              </w:rPr>
              <w:t>（300</w:t>
            </w:r>
            <w:r>
              <w:rPr>
                <w:rFonts w:hint="eastAsia"/>
                <w:color w:val="auto"/>
                <w:lang w:val="en-US" w:eastAsia="zh-CN"/>
              </w:rPr>
              <w:t>d</w:t>
            </w:r>
            <w:r>
              <w:rPr>
                <w:color w:val="auto"/>
              </w:rPr>
              <w:t>×8</w:t>
            </w:r>
            <w:r>
              <w:rPr>
                <w:rFonts w:hint="eastAsia"/>
                <w:color w:val="auto"/>
                <w:lang w:val="en-US" w:eastAsia="zh-CN"/>
              </w:rPr>
              <w:t>h</w:t>
            </w:r>
            <w:r>
              <w:rPr>
                <w:color w:val="auto"/>
              </w:rPr>
              <w:t>/</w:t>
            </w:r>
            <w:r>
              <w:rPr>
                <w:rFonts w:hint="eastAsia"/>
                <w:color w:val="auto"/>
                <w:lang w:val="en-US" w:eastAsia="zh-CN"/>
              </w:rPr>
              <w:t>d</w:t>
            </w:r>
            <w:r>
              <w:rPr>
                <w:color w:val="auto"/>
              </w:rPr>
              <w:t>）。</w:t>
            </w:r>
          </w:p>
          <w:p w14:paraId="7CDB681A">
            <w:pPr>
              <w:pStyle w:val="4"/>
              <w:bidi w:val="0"/>
              <w:rPr>
                <w:rFonts w:hint="default"/>
                <w:color w:val="auto"/>
                <w:lang w:val="en-US" w:eastAsia="zh-CN"/>
              </w:rPr>
            </w:pPr>
            <w:r>
              <w:rPr>
                <w:rFonts w:hint="eastAsia"/>
                <w:color w:val="auto"/>
                <w:lang w:val="en-US" w:eastAsia="zh-CN"/>
              </w:rPr>
              <w:t>公用工程</w:t>
            </w:r>
          </w:p>
          <w:p w14:paraId="3E6A3EAD">
            <w:pPr>
              <w:pStyle w:val="6"/>
              <w:bidi w:val="0"/>
              <w:rPr>
                <w:rFonts w:hint="default"/>
                <w:color w:val="auto"/>
                <w:lang w:val="en-US" w:eastAsia="zh-CN"/>
              </w:rPr>
            </w:pPr>
            <w:r>
              <w:rPr>
                <w:rFonts w:hint="eastAsia"/>
                <w:color w:val="auto"/>
                <w:lang w:val="en-US" w:eastAsia="zh-CN"/>
              </w:rPr>
              <w:t>给水</w:t>
            </w:r>
          </w:p>
          <w:p w14:paraId="3C71593D">
            <w:pPr>
              <w:pStyle w:val="5"/>
              <w:rPr>
                <w:rFonts w:hint="eastAsia"/>
                <w:color w:val="auto"/>
                <w:lang w:val="en-US" w:eastAsia="zh-CN"/>
              </w:rPr>
            </w:pPr>
            <w:r>
              <w:rPr>
                <w:rFonts w:hint="eastAsia"/>
                <w:color w:val="auto"/>
                <w:lang w:val="en-US" w:eastAsia="zh-CN"/>
              </w:rPr>
              <w:t>①给水水源</w:t>
            </w:r>
          </w:p>
          <w:p w14:paraId="457FE792">
            <w:pPr>
              <w:pStyle w:val="5"/>
              <w:rPr>
                <w:rFonts w:hint="default"/>
                <w:color w:val="auto"/>
                <w:lang w:val="en-US" w:eastAsia="zh-CN"/>
              </w:rPr>
            </w:pPr>
            <w:r>
              <w:rPr>
                <w:rFonts w:hint="default"/>
                <w:color w:val="auto"/>
                <w:lang w:val="en-US" w:eastAsia="zh-CN"/>
              </w:rPr>
              <w:t>项目给水水源接自</w:t>
            </w:r>
            <w:r>
              <w:rPr>
                <w:rFonts w:hint="eastAsia"/>
                <w:color w:val="auto"/>
                <w:lang w:val="en-US" w:eastAsia="zh-CN"/>
              </w:rPr>
              <w:t>园区直接供给</w:t>
            </w:r>
            <w:r>
              <w:rPr>
                <w:rFonts w:hint="default"/>
                <w:color w:val="auto"/>
                <w:lang w:val="en-US" w:eastAsia="zh-CN"/>
              </w:rPr>
              <w:t>。</w:t>
            </w:r>
          </w:p>
          <w:p w14:paraId="5654A594">
            <w:pPr>
              <w:pStyle w:val="5"/>
              <w:rPr>
                <w:rFonts w:hint="eastAsia"/>
                <w:color w:val="auto"/>
                <w:lang w:val="en-US" w:eastAsia="zh-CN"/>
              </w:rPr>
            </w:pPr>
            <w:r>
              <w:rPr>
                <w:rFonts w:hint="eastAsia"/>
                <w:color w:val="auto"/>
                <w:lang w:val="en-US" w:eastAsia="zh-CN"/>
              </w:rPr>
              <w:t>②用水量</w:t>
            </w:r>
          </w:p>
          <w:p w14:paraId="589ACBA0">
            <w:pPr>
              <w:pStyle w:val="5"/>
              <w:rPr>
                <w:rFonts w:hint="eastAsia"/>
                <w:b/>
                <w:bCs/>
                <w:color w:val="auto"/>
                <w:lang w:val="en-US" w:eastAsia="zh-CN"/>
              </w:rPr>
            </w:pPr>
            <w:r>
              <w:rPr>
                <w:rFonts w:hint="eastAsia"/>
                <w:b/>
                <w:bCs/>
                <w:color w:val="auto"/>
                <w:lang w:val="en-US" w:eastAsia="zh-CN"/>
              </w:rPr>
              <w:t>生活用水</w:t>
            </w:r>
          </w:p>
          <w:p w14:paraId="7CEDA616">
            <w:pPr>
              <w:pStyle w:val="5"/>
              <w:rPr>
                <w:rFonts w:hint="eastAsia"/>
                <w:color w:val="auto"/>
                <w:vertAlign w:val="baseline"/>
                <w:lang w:val="en-US" w:eastAsia="zh-CN"/>
              </w:rPr>
            </w:pPr>
            <w:r>
              <w:rPr>
                <w:rFonts w:hint="eastAsia"/>
                <w:color w:val="auto"/>
              </w:rPr>
              <w:t>根据《新疆维吾尔自治区生活用水定额》，人均工作、生活日用水量</w:t>
            </w:r>
            <w:r>
              <w:rPr>
                <w:rFonts w:hint="eastAsia"/>
                <w:color w:val="auto"/>
                <w:lang w:eastAsia="zh-CN"/>
              </w:rPr>
              <w:t>按</w:t>
            </w:r>
            <w:r>
              <w:rPr>
                <w:rFonts w:hint="eastAsia"/>
                <w:color w:val="auto"/>
                <w:lang w:val="en-US" w:eastAsia="zh-CN"/>
              </w:rPr>
              <w:t>40</w:t>
            </w:r>
            <w:r>
              <w:rPr>
                <w:rFonts w:hint="eastAsia"/>
                <w:color w:val="auto"/>
              </w:rPr>
              <w:t>L估算</w:t>
            </w:r>
            <w:r>
              <w:rPr>
                <w:rFonts w:hint="eastAsia"/>
                <w:color w:val="auto"/>
                <w:lang w:eastAsia="zh-CN"/>
              </w:rPr>
              <w:t>，</w:t>
            </w:r>
            <w:r>
              <w:rPr>
                <w:rFonts w:hint="eastAsia"/>
                <w:color w:val="auto"/>
              </w:rPr>
              <w:t>则新增日生活用水量为</w:t>
            </w:r>
            <w:r>
              <w:rPr>
                <w:rFonts w:hint="eastAsia"/>
                <w:color w:val="auto"/>
                <w:lang w:val="en-US" w:eastAsia="zh-CN"/>
              </w:rPr>
              <w:t>2.6m</w:t>
            </w:r>
            <w:r>
              <w:rPr>
                <w:rFonts w:hint="eastAsia"/>
                <w:color w:val="auto"/>
                <w:vertAlign w:val="superscript"/>
                <w:lang w:val="en-US" w:eastAsia="zh-CN"/>
              </w:rPr>
              <w:t>3</w:t>
            </w:r>
            <w:r>
              <w:rPr>
                <w:rFonts w:hint="eastAsia"/>
                <w:color w:val="auto"/>
                <w:vertAlign w:val="baseline"/>
                <w:lang w:val="en-US" w:eastAsia="zh-CN"/>
              </w:rPr>
              <w:t>，按项目班制调整后全年为780m</w:t>
            </w:r>
            <w:r>
              <w:rPr>
                <w:rFonts w:hint="eastAsia"/>
                <w:color w:val="auto"/>
                <w:vertAlign w:val="superscript"/>
                <w:lang w:val="en-US" w:eastAsia="zh-CN"/>
              </w:rPr>
              <w:t>3</w:t>
            </w:r>
            <w:r>
              <w:rPr>
                <w:rFonts w:hint="eastAsia"/>
                <w:color w:val="auto"/>
                <w:vertAlign w:val="baseline"/>
                <w:lang w:val="en-US" w:eastAsia="zh-CN"/>
              </w:rPr>
              <w:t>/a。</w:t>
            </w:r>
          </w:p>
          <w:p w14:paraId="4AFDDD0D">
            <w:pPr>
              <w:pStyle w:val="5"/>
              <w:rPr>
                <w:rFonts w:hint="eastAsia"/>
                <w:b/>
                <w:bCs/>
                <w:color w:val="auto"/>
                <w:vertAlign w:val="baseline"/>
                <w:lang w:val="en-US" w:eastAsia="zh-CN"/>
              </w:rPr>
            </w:pPr>
            <w:r>
              <w:rPr>
                <w:rFonts w:hint="eastAsia"/>
                <w:b/>
                <w:bCs/>
                <w:color w:val="auto"/>
                <w:vertAlign w:val="baseline"/>
                <w:lang w:val="en-US" w:eastAsia="zh-CN"/>
              </w:rPr>
              <w:t>绿化用水</w:t>
            </w:r>
          </w:p>
          <w:p w14:paraId="1A4E59DD">
            <w:pPr>
              <w:pStyle w:val="5"/>
              <w:rPr>
                <w:rFonts w:hint="default"/>
                <w:color w:val="auto"/>
                <w:vertAlign w:val="baseline"/>
                <w:lang w:val="en-US" w:eastAsia="zh-CN"/>
              </w:rPr>
            </w:pPr>
            <w:r>
              <w:rPr>
                <w:rFonts w:hint="eastAsia"/>
                <w:color w:val="auto"/>
                <w:vertAlign w:val="baseline"/>
                <w:lang w:val="en-US" w:eastAsia="zh-CN"/>
              </w:rPr>
              <w:t>本项目绿化由园区统一浇灌，不计入本项目用水量。</w:t>
            </w:r>
          </w:p>
          <w:p w14:paraId="6B1C9BFF">
            <w:pPr>
              <w:pStyle w:val="5"/>
              <w:rPr>
                <w:rFonts w:hint="eastAsia"/>
                <w:b/>
                <w:bCs/>
                <w:color w:val="auto"/>
                <w:lang w:val="en-US" w:eastAsia="zh-CN"/>
              </w:rPr>
            </w:pPr>
            <w:r>
              <w:rPr>
                <w:rFonts w:hint="eastAsia"/>
                <w:b/>
                <w:bCs/>
                <w:color w:val="auto"/>
                <w:lang w:val="en-US" w:eastAsia="zh-CN"/>
              </w:rPr>
              <w:t>配料用水</w:t>
            </w:r>
          </w:p>
          <w:p w14:paraId="36AA18DD">
            <w:pPr>
              <w:pStyle w:val="5"/>
              <w:rPr>
                <w:rFonts w:hint="eastAsia"/>
                <w:color w:val="auto"/>
                <w:lang w:val="en-US" w:eastAsia="zh-CN"/>
              </w:rPr>
            </w:pPr>
            <w:r>
              <w:rPr>
                <w:rFonts w:hint="default"/>
                <w:color w:val="auto"/>
                <w:lang w:val="en-US" w:eastAsia="zh-CN"/>
              </w:rPr>
              <w:t>本项目原料湿混过程中需要加水配料，</w:t>
            </w:r>
            <w:r>
              <w:rPr>
                <w:rFonts w:hint="eastAsia"/>
                <w:color w:val="auto"/>
                <w:lang w:val="en-US" w:eastAsia="zh-CN"/>
              </w:rPr>
              <w:t>根据《新疆乾昌业新型建材有限公司新型环保防水背衬板项目可行性研究报告》，水泥配料用水量约为100kg/t产品，本项目产品总产量为14420t/a，则配料用水量约4.81m</w:t>
            </w:r>
            <w:r>
              <w:rPr>
                <w:rFonts w:hint="eastAsia"/>
                <w:color w:val="auto"/>
                <w:vertAlign w:val="superscript"/>
                <w:lang w:val="en-US" w:eastAsia="zh-CN"/>
              </w:rPr>
              <w:t>3</w:t>
            </w:r>
            <w:r>
              <w:rPr>
                <w:rFonts w:hint="eastAsia"/>
                <w:color w:val="auto"/>
                <w:lang w:val="en-US" w:eastAsia="zh-CN"/>
              </w:rPr>
              <w:t>/d（1442m</w:t>
            </w:r>
            <w:r>
              <w:rPr>
                <w:rFonts w:hint="eastAsia"/>
                <w:color w:val="auto"/>
                <w:vertAlign w:val="superscript"/>
                <w:lang w:val="en-US" w:eastAsia="zh-CN"/>
              </w:rPr>
              <w:t>3</w:t>
            </w:r>
            <w:r>
              <w:rPr>
                <w:rFonts w:hint="eastAsia"/>
                <w:color w:val="auto"/>
                <w:lang w:val="en-US" w:eastAsia="zh-CN"/>
              </w:rPr>
              <w:t>/a）。</w:t>
            </w:r>
          </w:p>
          <w:p w14:paraId="39495C62">
            <w:pPr>
              <w:pStyle w:val="5"/>
              <w:rPr>
                <w:rFonts w:hint="eastAsia"/>
                <w:b/>
                <w:bCs/>
                <w:i w:val="0"/>
                <w:iCs w:val="0"/>
                <w:color w:val="auto"/>
                <w:lang w:val="en-US" w:eastAsia="zh-CN"/>
              </w:rPr>
            </w:pPr>
            <w:r>
              <w:rPr>
                <w:rFonts w:hint="eastAsia"/>
                <w:b/>
                <w:bCs/>
                <w:i w:val="0"/>
                <w:iCs w:val="0"/>
                <w:color w:val="auto"/>
                <w:lang w:val="en-US" w:eastAsia="zh-CN"/>
              </w:rPr>
              <w:t>消防用水</w:t>
            </w:r>
          </w:p>
          <w:p w14:paraId="1C7F031B">
            <w:pPr>
              <w:pStyle w:val="5"/>
              <w:bidi w:val="0"/>
              <w:rPr>
                <w:color w:val="auto"/>
              </w:rPr>
            </w:pPr>
            <w:r>
              <w:rPr>
                <w:rFonts w:hint="eastAsia"/>
                <w:color w:val="auto"/>
              </w:rPr>
              <w:t>生产厂房为丁类，二级耐火等级，其消防用水量为：室外消火栓用水量：20L/s火灾延续时间为2h。</w:t>
            </w:r>
          </w:p>
          <w:p w14:paraId="558EE305">
            <w:pPr>
              <w:pStyle w:val="5"/>
              <w:bidi w:val="0"/>
              <w:rPr>
                <w:color w:val="auto"/>
              </w:rPr>
            </w:pPr>
            <w:r>
              <w:rPr>
                <w:rFonts w:hint="eastAsia"/>
                <w:color w:val="auto"/>
              </w:rPr>
              <w:t>生产厂房为丁类，二级耐火等级，基本无可燃物，根据《建筑设计防火规范》</w:t>
            </w:r>
            <w:r>
              <w:rPr>
                <w:rFonts w:hint="eastAsia"/>
                <w:color w:val="auto"/>
                <w:lang w:eastAsia="zh-CN"/>
              </w:rPr>
              <w:t>GB 50016-2014[2018年版]</w:t>
            </w:r>
            <w:r>
              <w:rPr>
                <w:rFonts w:hint="eastAsia"/>
                <w:color w:val="auto"/>
              </w:rPr>
              <w:t>不设室内消火栓，临时办公楼及临时宿舍的体积均小于10000m</w:t>
            </w:r>
            <w:r>
              <w:rPr>
                <w:rFonts w:hint="eastAsia"/>
                <w:color w:val="auto"/>
                <w:vertAlign w:val="superscript"/>
              </w:rPr>
              <w:t>3</w:t>
            </w:r>
            <w:r>
              <w:rPr>
                <w:rFonts w:hint="eastAsia"/>
                <w:color w:val="auto"/>
              </w:rPr>
              <w:t>，按规范不设室内消火栓。本项目需按规范设置室外消火栓系统。</w:t>
            </w:r>
          </w:p>
          <w:p w14:paraId="7E6A5B1C">
            <w:pPr>
              <w:pStyle w:val="5"/>
              <w:bidi w:val="0"/>
              <w:rPr>
                <w:color w:val="auto"/>
              </w:rPr>
            </w:pPr>
            <w:r>
              <w:rPr>
                <w:rFonts w:hint="eastAsia"/>
                <w:color w:val="auto"/>
              </w:rPr>
              <w:t xml:space="preserve">园区设有消防给水系统，室外消防和室内消防分开设置，园区设有室外消防加压环网管和室外消防泵，同时设有室内消防加压环网管和室内消防泵，并设有消防水池及消防加压泵站。 </w:t>
            </w:r>
          </w:p>
          <w:p w14:paraId="73E8D424">
            <w:pPr>
              <w:pStyle w:val="5"/>
              <w:bidi w:val="0"/>
              <w:rPr>
                <w:color w:val="auto"/>
              </w:rPr>
            </w:pPr>
            <w:r>
              <w:rPr>
                <w:rFonts w:hint="eastAsia"/>
                <w:color w:val="auto"/>
              </w:rPr>
              <w:t>设置室外消防专用管，呈环状布置，管径DN150，从园区室外消防加压管接2路DN150消防引入管，供给项目室外消防用水。</w:t>
            </w:r>
          </w:p>
          <w:p w14:paraId="6A4DF3D2">
            <w:pPr>
              <w:pStyle w:val="5"/>
              <w:bidi w:val="0"/>
              <w:rPr>
                <w:rFonts w:hint="eastAsia"/>
                <w:color w:val="auto"/>
              </w:rPr>
            </w:pPr>
            <w:r>
              <w:rPr>
                <w:rFonts w:hint="eastAsia"/>
                <w:color w:val="auto"/>
              </w:rPr>
              <w:t>项目室外消防管沿道路及露天场地边缘敷设，按间距不超过120m沿道路布置DN100室外地下式消火栓。</w:t>
            </w:r>
          </w:p>
          <w:p w14:paraId="35B869EE">
            <w:pPr>
              <w:pStyle w:val="5"/>
              <w:bidi w:val="0"/>
              <w:rPr>
                <w:rFonts w:hint="eastAsia"/>
                <w:color w:val="auto"/>
              </w:rPr>
            </w:pPr>
            <w:r>
              <w:rPr>
                <w:rFonts w:hint="eastAsia"/>
                <w:color w:val="auto"/>
              </w:rPr>
              <w:t>厂房及临时办公楼按轻危险级配置相应数量的手提式磷酸铵盐干粉灭火器，临时倒班宿舍按中危险级配置相应数量的手提式磷酸铵盐干粉灭火器。</w:t>
            </w:r>
          </w:p>
          <w:p w14:paraId="2560913A">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14</w:t>
            </w:r>
            <w:r>
              <w:rPr>
                <w:color w:val="auto"/>
              </w:rPr>
              <w:fldChar w:fldCharType="end"/>
            </w:r>
            <w:r>
              <w:rPr>
                <w:rFonts w:hint="eastAsia"/>
                <w:color w:val="auto"/>
                <w:lang w:val="en-US" w:eastAsia="zh-CN"/>
              </w:rPr>
              <w:t xml:space="preserve">  用水量统计表  单位</w:t>
            </w:r>
            <w:r>
              <w:rPr>
                <w:rFonts w:hint="eastAsia"/>
                <w:color w:val="auto"/>
                <w:vertAlign w:val="baseline"/>
                <w:lang w:val="en-US" w:eastAsia="zh-CN"/>
              </w:rPr>
              <w:t>m</w:t>
            </w:r>
            <w:r>
              <w:rPr>
                <w:rFonts w:hint="eastAsia"/>
                <w:color w:val="auto"/>
                <w:vertAlign w:val="superscript"/>
                <w:lang w:val="en-US" w:eastAsia="zh-CN"/>
              </w:rPr>
              <w:t>3</w:t>
            </w:r>
            <w:r>
              <w:rPr>
                <w:rFonts w:hint="eastAsia"/>
                <w:color w:val="auto"/>
                <w:vertAlign w:val="baseline"/>
                <w:lang w:val="en-US" w:eastAsia="zh-CN"/>
              </w:rPr>
              <w:t>/a</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6"/>
              <w:gridCol w:w="2565"/>
              <w:gridCol w:w="2975"/>
            </w:tblGrid>
            <w:tr w14:paraId="0031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vAlign w:val="top"/>
                </w:tcPr>
                <w:p w14:paraId="27DDA41F">
                  <w:pPr>
                    <w:pStyle w:val="19"/>
                    <w:bidi w:val="0"/>
                    <w:rPr>
                      <w:rFonts w:hint="default"/>
                      <w:color w:val="auto"/>
                      <w:lang w:val="en-US" w:eastAsia="zh-CN"/>
                    </w:rPr>
                  </w:pPr>
                  <w:r>
                    <w:rPr>
                      <w:rFonts w:hint="eastAsia"/>
                      <w:color w:val="auto"/>
                      <w:lang w:val="en-US" w:eastAsia="zh-CN"/>
                    </w:rPr>
                    <w:t>序号</w:t>
                  </w:r>
                </w:p>
              </w:tc>
              <w:tc>
                <w:tcPr>
                  <w:tcW w:w="2565" w:type="dxa"/>
                  <w:vAlign w:val="top"/>
                </w:tcPr>
                <w:p w14:paraId="21333BE6">
                  <w:pPr>
                    <w:pStyle w:val="19"/>
                    <w:bidi w:val="0"/>
                    <w:rPr>
                      <w:rFonts w:hint="default"/>
                      <w:color w:val="auto"/>
                      <w:lang w:val="en-US" w:eastAsia="zh-CN"/>
                    </w:rPr>
                  </w:pPr>
                  <w:r>
                    <w:rPr>
                      <w:rFonts w:hint="eastAsia"/>
                      <w:color w:val="auto"/>
                      <w:lang w:val="en-US" w:eastAsia="zh-CN"/>
                    </w:rPr>
                    <w:t>类别</w:t>
                  </w:r>
                </w:p>
              </w:tc>
              <w:tc>
                <w:tcPr>
                  <w:tcW w:w="2975" w:type="dxa"/>
                  <w:vAlign w:val="top"/>
                </w:tcPr>
                <w:p w14:paraId="0D92691A">
                  <w:pPr>
                    <w:pStyle w:val="19"/>
                    <w:bidi w:val="0"/>
                    <w:rPr>
                      <w:rFonts w:hint="default"/>
                      <w:color w:val="auto"/>
                      <w:vertAlign w:val="baseline"/>
                      <w:lang w:val="en-US" w:eastAsia="zh-CN"/>
                    </w:rPr>
                  </w:pPr>
                  <w:r>
                    <w:rPr>
                      <w:rFonts w:hint="eastAsia"/>
                      <w:color w:val="auto"/>
                      <w:vertAlign w:val="baseline"/>
                      <w:lang w:val="en-US" w:eastAsia="zh-CN"/>
                    </w:rPr>
                    <w:t>用水量</w:t>
                  </w:r>
                </w:p>
              </w:tc>
            </w:tr>
            <w:tr w14:paraId="4D6D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6" w:type="dxa"/>
                  <w:vAlign w:val="top"/>
                </w:tcPr>
                <w:p w14:paraId="70253BDC">
                  <w:pPr>
                    <w:pStyle w:val="19"/>
                    <w:numPr>
                      <w:ilvl w:val="0"/>
                      <w:numId w:val="5"/>
                    </w:numPr>
                    <w:tabs>
                      <w:tab w:val="clear" w:pos="0"/>
                    </w:tabs>
                    <w:bidi w:val="0"/>
                    <w:ind w:left="425" w:leftChars="0" w:hanging="425" w:firstLineChars="0"/>
                    <w:rPr>
                      <w:rFonts w:hint="eastAsia"/>
                      <w:color w:val="auto"/>
                      <w:lang w:val="en-US" w:eastAsia="zh-CN"/>
                    </w:rPr>
                  </w:pPr>
                </w:p>
              </w:tc>
              <w:tc>
                <w:tcPr>
                  <w:tcW w:w="2565" w:type="dxa"/>
                  <w:vAlign w:val="top"/>
                </w:tcPr>
                <w:p w14:paraId="5C86A7B2">
                  <w:pPr>
                    <w:pStyle w:val="19"/>
                    <w:bidi w:val="0"/>
                    <w:rPr>
                      <w:rFonts w:hint="eastAsia"/>
                      <w:color w:val="auto"/>
                    </w:rPr>
                  </w:pPr>
                  <w:r>
                    <w:rPr>
                      <w:rFonts w:hint="eastAsia"/>
                      <w:color w:val="auto"/>
                      <w:lang w:val="en-US" w:eastAsia="zh-CN"/>
                    </w:rPr>
                    <w:t>生活用水</w:t>
                  </w:r>
                </w:p>
              </w:tc>
              <w:tc>
                <w:tcPr>
                  <w:tcW w:w="2975" w:type="dxa"/>
                  <w:vAlign w:val="top"/>
                </w:tcPr>
                <w:p w14:paraId="63EC59DA">
                  <w:pPr>
                    <w:pStyle w:val="19"/>
                    <w:bidi w:val="0"/>
                    <w:rPr>
                      <w:rFonts w:hint="default" w:eastAsia="宋体"/>
                      <w:color w:val="auto"/>
                      <w:lang w:val="en-US" w:eastAsia="zh-CN"/>
                    </w:rPr>
                  </w:pPr>
                  <w:r>
                    <w:rPr>
                      <w:rFonts w:hint="eastAsia"/>
                      <w:color w:val="auto"/>
                      <w:lang w:val="en-US" w:eastAsia="zh-CN"/>
                    </w:rPr>
                    <w:t>780</w:t>
                  </w:r>
                </w:p>
              </w:tc>
            </w:tr>
            <w:tr w14:paraId="3157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846" w:type="dxa"/>
                  <w:vAlign w:val="top"/>
                </w:tcPr>
                <w:p w14:paraId="024CE770">
                  <w:pPr>
                    <w:pStyle w:val="19"/>
                    <w:numPr>
                      <w:ilvl w:val="0"/>
                      <w:numId w:val="5"/>
                    </w:numPr>
                    <w:tabs>
                      <w:tab w:val="clear" w:pos="0"/>
                    </w:tabs>
                    <w:bidi w:val="0"/>
                    <w:ind w:left="425" w:leftChars="0" w:hanging="425" w:firstLineChars="0"/>
                    <w:rPr>
                      <w:rFonts w:hint="eastAsia"/>
                      <w:color w:val="auto"/>
                      <w:lang w:val="en-US" w:eastAsia="zh-CN"/>
                    </w:rPr>
                  </w:pPr>
                </w:p>
              </w:tc>
              <w:tc>
                <w:tcPr>
                  <w:tcW w:w="2565" w:type="dxa"/>
                  <w:vAlign w:val="top"/>
                </w:tcPr>
                <w:p w14:paraId="481E6FF3">
                  <w:pPr>
                    <w:pStyle w:val="19"/>
                    <w:bidi w:val="0"/>
                    <w:rPr>
                      <w:rFonts w:hint="eastAsia"/>
                      <w:color w:val="auto"/>
                    </w:rPr>
                  </w:pPr>
                  <w:r>
                    <w:rPr>
                      <w:rFonts w:hint="eastAsia"/>
                      <w:color w:val="auto"/>
                      <w:lang w:val="en-US" w:eastAsia="zh-CN"/>
                    </w:rPr>
                    <w:t>配料用水</w:t>
                  </w:r>
                </w:p>
              </w:tc>
              <w:tc>
                <w:tcPr>
                  <w:tcW w:w="2975" w:type="dxa"/>
                  <w:vAlign w:val="top"/>
                </w:tcPr>
                <w:p w14:paraId="3A445232">
                  <w:pPr>
                    <w:pStyle w:val="19"/>
                    <w:bidi w:val="0"/>
                    <w:rPr>
                      <w:rFonts w:hint="default" w:eastAsia="宋体"/>
                      <w:color w:val="auto"/>
                      <w:lang w:val="en-US" w:eastAsia="zh-CN"/>
                    </w:rPr>
                  </w:pPr>
                  <w:r>
                    <w:rPr>
                      <w:rFonts w:hint="eastAsia"/>
                      <w:color w:val="auto"/>
                      <w:lang w:val="en-US" w:eastAsia="zh-CN"/>
                    </w:rPr>
                    <w:t>1442</w:t>
                  </w:r>
                </w:p>
              </w:tc>
            </w:tr>
            <w:tr w14:paraId="79A5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1" w:type="dxa"/>
                  <w:gridSpan w:val="2"/>
                  <w:vAlign w:val="top"/>
                </w:tcPr>
                <w:p w14:paraId="403A6810">
                  <w:pPr>
                    <w:pStyle w:val="19"/>
                    <w:bidi w:val="0"/>
                    <w:rPr>
                      <w:rFonts w:hint="eastAsia" w:eastAsia="宋体"/>
                      <w:color w:val="auto"/>
                      <w:lang w:val="en-US" w:eastAsia="zh-CN"/>
                    </w:rPr>
                  </w:pPr>
                  <w:r>
                    <w:rPr>
                      <w:rFonts w:hint="eastAsia"/>
                      <w:color w:val="auto"/>
                      <w:lang w:val="en-US" w:eastAsia="zh-CN"/>
                    </w:rPr>
                    <w:t>合计</w:t>
                  </w:r>
                </w:p>
              </w:tc>
              <w:tc>
                <w:tcPr>
                  <w:tcW w:w="2975" w:type="dxa"/>
                  <w:vAlign w:val="top"/>
                </w:tcPr>
                <w:p w14:paraId="4B124589">
                  <w:pPr>
                    <w:pStyle w:val="19"/>
                    <w:bidi w:val="0"/>
                    <w:rPr>
                      <w:rFonts w:hint="default" w:eastAsia="宋体"/>
                      <w:color w:val="auto"/>
                      <w:lang w:val="en-US" w:eastAsia="zh-CN"/>
                    </w:rPr>
                  </w:pPr>
                  <w:r>
                    <w:rPr>
                      <w:rFonts w:hint="eastAsia"/>
                      <w:color w:val="auto"/>
                      <w:lang w:val="en-US" w:eastAsia="zh-CN"/>
                    </w:rPr>
                    <w:t>2222</w:t>
                  </w:r>
                </w:p>
              </w:tc>
            </w:tr>
          </w:tbl>
          <w:p w14:paraId="30D4A104">
            <w:pPr>
              <w:pStyle w:val="20"/>
              <w:bidi w:val="0"/>
              <w:rPr>
                <w:rFonts w:hint="eastAsia"/>
                <w:color w:val="auto"/>
              </w:rPr>
            </w:pPr>
          </w:p>
          <w:p w14:paraId="36EBACFB">
            <w:pPr>
              <w:pStyle w:val="6"/>
              <w:bidi w:val="0"/>
              <w:rPr>
                <w:rFonts w:hint="eastAsia"/>
                <w:color w:val="auto"/>
              </w:rPr>
            </w:pPr>
            <w:r>
              <w:rPr>
                <w:rFonts w:hint="eastAsia"/>
                <w:color w:val="auto"/>
                <w:lang w:val="en-US" w:eastAsia="zh-CN"/>
              </w:rPr>
              <w:t>排水</w:t>
            </w:r>
          </w:p>
          <w:p w14:paraId="4E2124F9">
            <w:pPr>
              <w:pStyle w:val="5"/>
              <w:rPr>
                <w:rFonts w:hint="default" w:eastAsia="宋体"/>
                <w:color w:val="auto"/>
                <w:lang w:val="en-US" w:eastAsia="zh-CN"/>
              </w:rPr>
            </w:pPr>
            <w:r>
              <w:rPr>
                <w:rFonts w:hint="eastAsia"/>
                <w:color w:val="auto"/>
                <w:lang w:val="en-US" w:eastAsia="zh-CN"/>
              </w:rPr>
              <w:t>①排放方式</w:t>
            </w:r>
          </w:p>
          <w:p w14:paraId="076BF28E">
            <w:pPr>
              <w:pStyle w:val="5"/>
              <w:rPr>
                <w:rFonts w:hint="eastAsia"/>
                <w:color w:val="auto"/>
              </w:rPr>
            </w:pPr>
            <w:r>
              <w:rPr>
                <w:rFonts w:hint="eastAsia"/>
                <w:color w:val="auto"/>
              </w:rPr>
              <w:t>本项目</w:t>
            </w:r>
            <w:r>
              <w:rPr>
                <w:rFonts w:hint="eastAsia"/>
                <w:color w:val="auto"/>
                <w:lang w:val="en-US" w:eastAsia="zh-CN"/>
              </w:rPr>
              <w:t>不产生生产废水，养护工序冷凝水全部回用于湿混工序，</w:t>
            </w:r>
            <w:r>
              <w:rPr>
                <w:rFonts w:hint="eastAsia"/>
                <w:color w:val="auto"/>
              </w:rPr>
              <w:t>生活污水依托园区污水处理厂处理。</w:t>
            </w:r>
          </w:p>
          <w:p w14:paraId="3F460198">
            <w:pPr>
              <w:pStyle w:val="5"/>
              <w:rPr>
                <w:rFonts w:hint="default" w:eastAsia="宋体"/>
                <w:color w:val="auto"/>
                <w:lang w:val="en-US" w:eastAsia="zh-CN"/>
              </w:rPr>
            </w:pPr>
            <w:r>
              <w:rPr>
                <w:rFonts w:hint="eastAsia"/>
                <w:color w:val="auto"/>
                <w:lang w:val="en-US" w:eastAsia="zh-CN"/>
              </w:rPr>
              <w:t>②排放量</w:t>
            </w:r>
          </w:p>
          <w:p w14:paraId="5A3A8E28">
            <w:pPr>
              <w:pStyle w:val="5"/>
              <w:rPr>
                <w:rFonts w:hint="default"/>
                <w:b/>
                <w:bCs/>
                <w:color w:val="auto"/>
                <w:lang w:val="en-US" w:eastAsia="zh-CN"/>
              </w:rPr>
            </w:pPr>
            <w:r>
              <w:rPr>
                <w:rFonts w:hint="eastAsia"/>
                <w:b/>
                <w:bCs/>
                <w:color w:val="auto"/>
                <w:lang w:val="en-US" w:eastAsia="zh-CN"/>
              </w:rPr>
              <w:t>生活废水</w:t>
            </w:r>
          </w:p>
          <w:p w14:paraId="54A9B3EF">
            <w:pPr>
              <w:pStyle w:val="5"/>
              <w:bidi w:val="0"/>
              <w:rPr>
                <w:rFonts w:hint="eastAsia"/>
                <w:color w:val="auto"/>
                <w:vertAlign w:val="baseline"/>
                <w:lang w:val="en-US" w:eastAsia="zh-CN"/>
              </w:rPr>
            </w:pPr>
            <w:r>
              <w:rPr>
                <w:rFonts w:hint="eastAsia"/>
                <w:color w:val="auto"/>
                <w:lang w:val="en-US" w:eastAsia="zh-CN"/>
              </w:rPr>
              <w:t>排放系数按0.8计，则生活废水产生量为2.08m</w:t>
            </w:r>
            <w:r>
              <w:rPr>
                <w:rFonts w:hint="eastAsia"/>
                <w:color w:val="auto"/>
                <w:vertAlign w:val="superscript"/>
                <w:lang w:val="en-US" w:eastAsia="zh-CN"/>
              </w:rPr>
              <w:t>3/</w:t>
            </w:r>
            <w:r>
              <w:rPr>
                <w:rFonts w:hint="eastAsia"/>
                <w:color w:val="auto"/>
                <w:vertAlign w:val="baseline"/>
                <w:lang w:val="en-US" w:eastAsia="zh-CN"/>
              </w:rPr>
              <w:t>d，全年为624m</w:t>
            </w:r>
            <w:r>
              <w:rPr>
                <w:rFonts w:hint="eastAsia"/>
                <w:color w:val="auto"/>
                <w:vertAlign w:val="superscript"/>
                <w:lang w:val="en-US" w:eastAsia="zh-CN"/>
              </w:rPr>
              <w:t>3</w:t>
            </w:r>
            <w:r>
              <w:rPr>
                <w:rFonts w:hint="eastAsia"/>
                <w:color w:val="auto"/>
                <w:vertAlign w:val="baseline"/>
                <w:lang w:val="en-US" w:eastAsia="zh-CN"/>
              </w:rPr>
              <w:t>/a。</w:t>
            </w:r>
          </w:p>
          <w:p w14:paraId="4FD485FC">
            <w:pPr>
              <w:pStyle w:val="5"/>
              <w:bidi w:val="0"/>
              <w:rPr>
                <w:rFonts w:hint="eastAsia"/>
                <w:b/>
                <w:bCs/>
                <w:color w:val="auto"/>
                <w:vertAlign w:val="baseline"/>
                <w:lang w:val="en-US" w:eastAsia="zh-CN"/>
              </w:rPr>
            </w:pPr>
            <w:r>
              <w:rPr>
                <w:rFonts w:hint="eastAsia"/>
                <w:b/>
                <w:bCs/>
                <w:color w:val="auto"/>
                <w:vertAlign w:val="baseline"/>
                <w:lang w:val="en-US" w:eastAsia="zh-CN"/>
              </w:rPr>
              <w:t>养护工序冷凝水</w:t>
            </w:r>
          </w:p>
          <w:p w14:paraId="6EF60659">
            <w:pPr>
              <w:pStyle w:val="5"/>
              <w:bidi w:val="0"/>
              <w:rPr>
                <w:rFonts w:hint="default"/>
                <w:color w:val="auto"/>
                <w:lang w:val="en-US" w:eastAsia="zh-CN"/>
              </w:rPr>
            </w:pPr>
            <w:r>
              <w:rPr>
                <w:rFonts w:hint="eastAsia"/>
                <w:color w:val="auto"/>
                <w:lang w:val="en-US" w:eastAsia="zh-CN"/>
              </w:rPr>
              <w:t>养护工序冷凝水主要来自板材养护过程中，因环境温度变化导致空气中的水蒸气在板材表面凝结形成，该部分水蒸气经车间内除湿机冷凝收集后全部回用于湿混工序，</w:t>
            </w:r>
            <w:r>
              <w:rPr>
                <w:rFonts w:hint="eastAsia"/>
                <w:color w:val="auto"/>
                <w:vertAlign w:val="baseline"/>
                <w:lang w:val="en-US" w:eastAsia="zh-CN"/>
              </w:rPr>
              <w:t>实现水资源的循环利用，减少新鲜水的消耗量。</w:t>
            </w:r>
          </w:p>
          <w:p w14:paraId="49DFDDE7">
            <w:pPr>
              <w:pStyle w:val="5"/>
              <w:bidi w:val="0"/>
              <w:rPr>
                <w:rFonts w:hint="eastAsia"/>
                <w:color w:val="auto"/>
                <w:lang w:val="en-US" w:eastAsia="zh-CN"/>
              </w:rPr>
            </w:pPr>
            <w:r>
              <w:rPr>
                <w:rFonts w:hint="eastAsia"/>
                <w:color w:val="auto"/>
                <w:lang w:val="en-US" w:eastAsia="zh-CN"/>
              </w:rPr>
              <w:t>根据《新疆乾昌业新型建材有限公司新型环保防水背衬板项目可行性研究报告》，蒸汽用量约配料用水的46%，</w:t>
            </w:r>
            <w:r>
              <w:rPr>
                <w:color w:val="auto"/>
              </w:rPr>
              <w:t>冷凝水产生量约蒸汽用量的36.5%</w:t>
            </w:r>
            <w:r>
              <w:rPr>
                <w:rFonts w:hint="eastAsia"/>
                <w:color w:val="auto"/>
                <w:lang w:eastAsia="zh-CN"/>
              </w:rPr>
              <w:t>。</w:t>
            </w:r>
          </w:p>
          <w:p w14:paraId="20FD56A1">
            <w:pPr>
              <w:pStyle w:val="5"/>
              <w:bidi w:val="0"/>
              <w:rPr>
                <w:rFonts w:hint="eastAsia"/>
                <w:lang w:val="en-US" w:eastAsia="zh-CN"/>
              </w:rPr>
            </w:pPr>
            <w:r>
              <w:rPr>
                <w:rFonts w:hint="eastAsia"/>
                <w:lang w:val="en-US" w:eastAsia="zh-CN"/>
              </w:rPr>
              <w:t>根据配料用水量约4.81m</w:t>
            </w:r>
            <w:r>
              <w:rPr>
                <w:rFonts w:hint="eastAsia"/>
                <w:vertAlign w:val="superscript"/>
                <w:lang w:val="en-US" w:eastAsia="zh-CN"/>
              </w:rPr>
              <w:t>3</w:t>
            </w:r>
            <w:r>
              <w:rPr>
                <w:rFonts w:hint="eastAsia"/>
                <w:lang w:val="en-US" w:eastAsia="zh-CN"/>
              </w:rPr>
              <w:t>/d、1442m</w:t>
            </w:r>
            <w:r>
              <w:rPr>
                <w:rFonts w:hint="eastAsia"/>
                <w:vertAlign w:val="superscript"/>
                <w:lang w:val="en-US" w:eastAsia="zh-CN"/>
              </w:rPr>
              <w:t>3</w:t>
            </w:r>
            <w:r>
              <w:rPr>
                <w:rFonts w:hint="eastAsia"/>
                <w:lang w:val="en-US" w:eastAsia="zh-CN"/>
              </w:rPr>
              <w:t>/a计算，养护工序蒸汽（蒸发）用量为2.21m³/d（663.3m³/a），则养护工序冷凝水量为0.807m³/d（242.1m³/a）。</w:t>
            </w:r>
          </w:p>
          <w:p w14:paraId="6A56976C">
            <w:pPr>
              <w:pStyle w:val="12"/>
              <w:rPr>
                <w:color w:val="auto"/>
              </w:rPr>
            </w:pPr>
          </w:p>
          <w:p w14:paraId="2BF6AB40">
            <w:pPr>
              <w:pStyle w:val="12"/>
              <w:rPr>
                <w:color w:val="auto"/>
              </w:rPr>
            </w:pPr>
          </w:p>
          <w:p w14:paraId="129C9150">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15</w:t>
            </w:r>
            <w:r>
              <w:rPr>
                <w:color w:val="auto"/>
              </w:rPr>
              <w:fldChar w:fldCharType="end"/>
            </w:r>
            <w:r>
              <w:rPr>
                <w:rFonts w:hint="eastAsia"/>
                <w:color w:val="auto"/>
                <w:lang w:val="en-US" w:eastAsia="zh-CN"/>
              </w:rPr>
              <w:t xml:space="preserve">  排水量统计表  单位</w:t>
            </w:r>
            <w:r>
              <w:rPr>
                <w:rFonts w:hint="eastAsia"/>
                <w:color w:val="auto"/>
                <w:vertAlign w:val="baseline"/>
                <w:lang w:val="en-US" w:eastAsia="zh-CN"/>
              </w:rPr>
              <w:t>m</w:t>
            </w:r>
            <w:r>
              <w:rPr>
                <w:rFonts w:hint="eastAsia"/>
                <w:color w:val="auto"/>
                <w:vertAlign w:val="superscript"/>
                <w:lang w:val="en-US" w:eastAsia="zh-CN"/>
              </w:rPr>
              <w:t>3</w:t>
            </w:r>
            <w:r>
              <w:rPr>
                <w:rFonts w:hint="eastAsia"/>
                <w:color w:val="auto"/>
                <w:vertAlign w:val="baseline"/>
                <w:lang w:val="en-US" w:eastAsia="zh-CN"/>
              </w:rPr>
              <w:t>/a</w:t>
            </w:r>
          </w:p>
          <w:tbl>
            <w:tblPr>
              <w:tblStyle w:val="16"/>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4053"/>
              <w:gridCol w:w="2462"/>
            </w:tblGrid>
            <w:tr w14:paraId="46D6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top"/>
                </w:tcPr>
                <w:p w14:paraId="3461DB4F">
                  <w:pPr>
                    <w:pStyle w:val="19"/>
                    <w:bidi w:val="0"/>
                    <w:rPr>
                      <w:rFonts w:hint="default"/>
                      <w:color w:val="auto"/>
                      <w:lang w:val="en-US" w:eastAsia="zh-CN"/>
                    </w:rPr>
                  </w:pPr>
                  <w:r>
                    <w:rPr>
                      <w:rFonts w:hint="eastAsia"/>
                      <w:color w:val="auto"/>
                      <w:lang w:val="en-US" w:eastAsia="zh-CN"/>
                    </w:rPr>
                    <w:t>序号</w:t>
                  </w:r>
                </w:p>
              </w:tc>
              <w:tc>
                <w:tcPr>
                  <w:tcW w:w="4053" w:type="dxa"/>
                  <w:vAlign w:val="top"/>
                </w:tcPr>
                <w:p w14:paraId="7490413D">
                  <w:pPr>
                    <w:pStyle w:val="19"/>
                    <w:bidi w:val="0"/>
                    <w:rPr>
                      <w:rFonts w:hint="eastAsia"/>
                      <w:color w:val="auto"/>
                      <w:lang w:val="en-US" w:eastAsia="zh-CN"/>
                    </w:rPr>
                  </w:pPr>
                  <w:r>
                    <w:rPr>
                      <w:rFonts w:hint="eastAsia"/>
                      <w:color w:val="auto"/>
                      <w:lang w:val="en-US" w:eastAsia="zh-CN"/>
                    </w:rPr>
                    <w:t>类别</w:t>
                  </w:r>
                </w:p>
              </w:tc>
              <w:tc>
                <w:tcPr>
                  <w:tcW w:w="2462" w:type="dxa"/>
                  <w:vAlign w:val="top"/>
                </w:tcPr>
                <w:p w14:paraId="4DE783E1">
                  <w:pPr>
                    <w:pStyle w:val="19"/>
                    <w:bidi w:val="0"/>
                    <w:rPr>
                      <w:rFonts w:hint="eastAsia"/>
                      <w:color w:val="auto"/>
                      <w:vertAlign w:val="baseline"/>
                      <w:lang w:val="en-US" w:eastAsia="zh-CN"/>
                    </w:rPr>
                  </w:pPr>
                  <w:r>
                    <w:rPr>
                      <w:rFonts w:hint="eastAsia"/>
                      <w:color w:val="auto"/>
                      <w:vertAlign w:val="baseline"/>
                      <w:lang w:val="en-US" w:eastAsia="zh-CN"/>
                    </w:rPr>
                    <w:t>排水量</w:t>
                  </w:r>
                </w:p>
              </w:tc>
            </w:tr>
            <w:tr w14:paraId="03AD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top"/>
                </w:tcPr>
                <w:p w14:paraId="7CEC348E">
                  <w:pPr>
                    <w:pStyle w:val="19"/>
                    <w:numPr>
                      <w:ilvl w:val="0"/>
                      <w:numId w:val="6"/>
                    </w:numPr>
                    <w:tabs>
                      <w:tab w:val="clear" w:pos="0"/>
                    </w:tabs>
                    <w:bidi w:val="0"/>
                    <w:ind w:left="425" w:leftChars="0" w:hanging="425" w:firstLineChars="0"/>
                    <w:rPr>
                      <w:rFonts w:hint="eastAsia"/>
                      <w:color w:val="auto"/>
                      <w:lang w:val="en-US" w:eastAsia="zh-CN"/>
                    </w:rPr>
                  </w:pPr>
                </w:p>
              </w:tc>
              <w:tc>
                <w:tcPr>
                  <w:tcW w:w="4053" w:type="dxa"/>
                  <w:vAlign w:val="top"/>
                </w:tcPr>
                <w:p w14:paraId="3A5EE0AD">
                  <w:pPr>
                    <w:pStyle w:val="19"/>
                    <w:bidi w:val="0"/>
                    <w:rPr>
                      <w:rFonts w:hint="default"/>
                      <w:color w:val="auto"/>
                      <w:lang w:val="en-US" w:eastAsia="zh-CN"/>
                    </w:rPr>
                  </w:pPr>
                  <w:r>
                    <w:rPr>
                      <w:rFonts w:hint="eastAsia"/>
                      <w:color w:val="auto"/>
                      <w:lang w:val="en-US" w:eastAsia="zh-CN"/>
                    </w:rPr>
                    <w:t>生活污水</w:t>
                  </w:r>
                </w:p>
              </w:tc>
              <w:tc>
                <w:tcPr>
                  <w:tcW w:w="2462" w:type="dxa"/>
                  <w:vAlign w:val="top"/>
                </w:tcPr>
                <w:p w14:paraId="0B046523">
                  <w:pPr>
                    <w:pStyle w:val="19"/>
                    <w:bidi w:val="0"/>
                    <w:rPr>
                      <w:rFonts w:hint="default"/>
                      <w:color w:val="auto"/>
                      <w:lang w:val="en-US" w:eastAsia="zh-CN"/>
                    </w:rPr>
                  </w:pPr>
                  <w:r>
                    <w:rPr>
                      <w:rFonts w:hint="eastAsia"/>
                      <w:color w:val="auto"/>
                      <w:lang w:val="en-US" w:eastAsia="zh-CN"/>
                    </w:rPr>
                    <w:t>624</w:t>
                  </w:r>
                </w:p>
              </w:tc>
            </w:tr>
            <w:tr w14:paraId="33A4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924" w:type="dxa"/>
                  <w:gridSpan w:val="2"/>
                  <w:vAlign w:val="top"/>
                </w:tcPr>
                <w:p w14:paraId="535507B3">
                  <w:pPr>
                    <w:pStyle w:val="19"/>
                    <w:bidi w:val="0"/>
                    <w:rPr>
                      <w:rFonts w:hint="default"/>
                      <w:color w:val="auto"/>
                      <w:lang w:val="en-US" w:eastAsia="zh-CN"/>
                    </w:rPr>
                  </w:pPr>
                  <w:r>
                    <w:rPr>
                      <w:rFonts w:hint="eastAsia"/>
                      <w:color w:val="auto"/>
                      <w:lang w:val="en-US" w:eastAsia="zh-CN"/>
                    </w:rPr>
                    <w:t>合计</w:t>
                  </w:r>
                </w:p>
              </w:tc>
              <w:tc>
                <w:tcPr>
                  <w:tcW w:w="2462" w:type="dxa"/>
                  <w:vAlign w:val="top"/>
                </w:tcPr>
                <w:p w14:paraId="0D711FB0">
                  <w:pPr>
                    <w:pStyle w:val="19"/>
                    <w:bidi w:val="0"/>
                    <w:rPr>
                      <w:rFonts w:hint="default"/>
                      <w:color w:val="auto"/>
                      <w:lang w:val="en-US" w:eastAsia="zh-CN"/>
                    </w:rPr>
                  </w:pPr>
                  <w:r>
                    <w:rPr>
                      <w:rFonts w:hint="eastAsia"/>
                      <w:color w:val="auto"/>
                      <w:lang w:val="en-US" w:eastAsia="zh-CN"/>
                    </w:rPr>
                    <w:t>624</w:t>
                  </w:r>
                </w:p>
              </w:tc>
            </w:tr>
          </w:tbl>
          <w:p w14:paraId="2A2764D0">
            <w:pPr>
              <w:pStyle w:val="20"/>
              <w:bidi w:val="0"/>
              <w:rPr>
                <w:rFonts w:hint="eastAsia"/>
                <w:color w:val="auto"/>
                <w:lang w:val="en-US" w:eastAsia="zh-CN"/>
              </w:rPr>
            </w:pPr>
          </w:p>
          <w:p w14:paraId="1CFE351B">
            <w:pPr>
              <w:pStyle w:val="5"/>
              <w:bidi w:val="0"/>
              <w:ind w:left="0" w:leftChars="0" w:firstLine="0" w:firstLineChars="0"/>
              <w:jc w:val="both"/>
              <w:rPr>
                <w:rFonts w:hint="eastAsia" w:eastAsia="宋体"/>
                <w:lang w:eastAsia="zh-CN"/>
              </w:rPr>
            </w:pPr>
          </w:p>
          <w:p w14:paraId="33043A0E">
            <w:pPr>
              <w:pStyle w:val="12"/>
              <w:bidi w:val="0"/>
              <w:rPr>
                <w:rFonts w:hint="default"/>
                <w:lang w:val="en-US" w:eastAsia="zh-CN"/>
              </w:rPr>
            </w:pPr>
            <w:r>
              <w:t xml:space="preserve">图 </w:t>
            </w:r>
            <w:r>
              <w:fldChar w:fldCharType="begin"/>
            </w:r>
            <w:r>
              <w:instrText xml:space="preserve"> SEQ 图 \* ARABIC </w:instrText>
            </w:r>
            <w:r>
              <w:fldChar w:fldCharType="separate"/>
            </w:r>
            <w:r>
              <w:t>5</w:t>
            </w:r>
            <w:r>
              <w:fldChar w:fldCharType="end"/>
            </w:r>
            <w:r>
              <w:rPr>
                <w:rFonts w:hint="eastAsia"/>
                <w:lang w:val="en-US" w:eastAsia="zh-CN"/>
              </w:rPr>
              <w:t xml:space="preserve">   水平衡图  单位m3/a</w:t>
            </w:r>
          </w:p>
          <w:p w14:paraId="7681CF0C">
            <w:pPr>
              <w:pStyle w:val="12"/>
              <w:bidi w:val="0"/>
              <w:rPr>
                <w:rFonts w:hint="default" w:eastAsia="黑体"/>
                <w:lang w:val="en-US" w:eastAsia="zh-CN"/>
              </w:rPr>
            </w:pPr>
          </w:p>
          <w:p w14:paraId="62984C8F">
            <w:pPr>
              <w:pStyle w:val="6"/>
              <w:bidi w:val="0"/>
              <w:rPr>
                <w:color w:val="auto"/>
              </w:rPr>
            </w:pPr>
            <w:r>
              <w:rPr>
                <w:rFonts w:hint="eastAsia"/>
                <w:color w:val="auto"/>
                <w:lang w:val="en-US" w:eastAsia="zh-CN"/>
              </w:rPr>
              <w:t>供电</w:t>
            </w:r>
          </w:p>
          <w:p w14:paraId="36C33996">
            <w:pPr>
              <w:pStyle w:val="5"/>
              <w:rPr>
                <w:rFonts w:hint="eastAsia"/>
                <w:color w:val="auto"/>
                <w:lang w:val="en-US" w:eastAsia="zh-CN"/>
              </w:rPr>
            </w:pPr>
            <w:r>
              <w:rPr>
                <w:rFonts w:hint="eastAsia"/>
                <w:color w:val="auto"/>
                <w:lang w:val="en-US" w:eastAsia="zh-CN"/>
              </w:rPr>
              <w:t>本项目依托园区集中供电。</w:t>
            </w:r>
          </w:p>
          <w:p w14:paraId="25D08216">
            <w:pPr>
              <w:pStyle w:val="6"/>
              <w:bidi w:val="0"/>
              <w:rPr>
                <w:rFonts w:hint="default"/>
                <w:color w:val="auto"/>
                <w:lang w:val="en-US" w:eastAsia="zh-CN"/>
              </w:rPr>
            </w:pPr>
            <w:r>
              <w:rPr>
                <w:rFonts w:hint="eastAsia"/>
                <w:color w:val="auto"/>
                <w:lang w:val="en-US" w:eastAsia="zh-CN"/>
              </w:rPr>
              <w:t>采暖</w:t>
            </w:r>
          </w:p>
          <w:p w14:paraId="7CE7A21B">
            <w:pPr>
              <w:pStyle w:val="5"/>
              <w:bidi w:val="0"/>
              <w:rPr>
                <w:color w:val="auto"/>
              </w:rPr>
            </w:pPr>
            <w:bookmarkStart w:id="6" w:name="_Hlk186537257"/>
            <w:r>
              <w:rPr>
                <w:rFonts w:hint="eastAsia"/>
                <w:color w:val="auto"/>
              </w:rPr>
              <w:t>厂房采用电加热高大空间通风加热机组供暖，主要物流大门设热风幕。门卫、办公楼等处采用园区集中供暖。</w:t>
            </w:r>
          </w:p>
          <w:bookmarkEnd w:id="6"/>
          <w:p w14:paraId="2B98144B">
            <w:pPr>
              <w:pStyle w:val="4"/>
              <w:bidi w:val="0"/>
              <w:rPr>
                <w:rFonts w:hint="default"/>
                <w:color w:val="auto"/>
                <w:lang w:val="en-US" w:eastAsia="zh-CN"/>
              </w:rPr>
            </w:pPr>
            <w:r>
              <w:rPr>
                <w:rFonts w:hint="eastAsia"/>
                <w:color w:val="auto"/>
                <w:lang w:val="en-US" w:eastAsia="zh-CN"/>
              </w:rPr>
              <w:t>总平面布置图</w:t>
            </w:r>
          </w:p>
          <w:p w14:paraId="2F1C22C2">
            <w:pPr>
              <w:pStyle w:val="5"/>
              <w:rPr>
                <w:rFonts w:hint="eastAsia"/>
                <w:color w:val="auto"/>
                <w:lang w:val="en-US" w:eastAsia="zh-CN"/>
              </w:rPr>
            </w:pPr>
            <w:r>
              <w:rPr>
                <w:rFonts w:hint="eastAsia"/>
                <w:color w:val="auto"/>
                <w:lang w:val="en-US" w:eastAsia="zh-CN"/>
              </w:rPr>
              <w:t>本项目厂房布置充分利用地形和交通条件，具有功能分区明确，工艺衔接紧凑，物流顺畅的特点，同时兼顾降低对周围环境噪声影响等，保证厂房的规范化建设与安全防护要求。厂区内主要生产车间、原料及成品仓库、办公区等功能区域划分清晰，通过合理设置道路、绿化带及防护距离，减少各区域间的相互干扰。原料储料仓、搅拌区等产生粉尘的区域设置在厂区主导风向的下风向，并配备完善的除尘设施；生产设备布局紧凑，缩短物料输送距离，提高生产效率的同时，便于设备维护与管理。厂区出入口设置在交通便利处，满足原材料及成品的运输需求，避免运输车辆对厂内生产及周边环境造成影响。</w:t>
            </w:r>
          </w:p>
          <w:p w14:paraId="4BB7D354">
            <w:pPr>
              <w:pStyle w:val="5"/>
              <w:rPr>
                <w:rFonts w:hint="default"/>
                <w:color w:val="auto"/>
              </w:rPr>
            </w:pPr>
            <w:r>
              <w:rPr>
                <w:rFonts w:hint="eastAsia"/>
                <w:color w:val="auto"/>
                <w:lang w:val="en-US" w:eastAsia="zh-CN"/>
              </w:rPr>
              <w:t>具体的总平面规划布置见下图。</w:t>
            </w:r>
          </w:p>
        </w:tc>
      </w:tr>
    </w:tbl>
    <w:p w14:paraId="6D89F3E8">
      <w:pPr>
        <w:pStyle w:val="14"/>
        <w:spacing w:line="240" w:lineRule="auto"/>
        <w:jc w:val="both"/>
        <w:rPr>
          <w:rFonts w:hint="eastAsia" w:ascii="黑体" w:hAnsi="黑体" w:eastAsia="黑体"/>
          <w:snapToGrid w:val="0"/>
          <w:color w:val="auto"/>
          <w:sz w:val="36"/>
          <w:szCs w:val="36"/>
          <w:lang w:eastAsia="zh-CN"/>
        </w:rPr>
        <w:sectPr>
          <w:pgSz w:w="11906" w:h="16838"/>
          <w:pgMar w:top="1701" w:right="1531" w:bottom="1701" w:left="1531" w:header="851" w:footer="851" w:gutter="0"/>
          <w:pgNumType w:fmt="decimal"/>
          <w:cols w:space="720" w:num="1"/>
          <w:docGrid w:linePitch="312" w:charSpace="0"/>
        </w:sectPr>
      </w:pPr>
    </w:p>
    <w:p w14:paraId="0B5A3C8A">
      <w:pPr>
        <w:pStyle w:val="12"/>
        <w:jc w:val="center"/>
        <w:outlineLvl w:val="9"/>
      </w:pPr>
    </w:p>
    <w:p w14:paraId="070777AE">
      <w:pPr>
        <w:pStyle w:val="12"/>
        <w:jc w:val="center"/>
        <w:outlineLvl w:val="9"/>
      </w:pPr>
    </w:p>
    <w:p w14:paraId="5B07C99B">
      <w:pPr>
        <w:pStyle w:val="12"/>
        <w:jc w:val="center"/>
        <w:outlineLvl w:val="9"/>
      </w:pPr>
    </w:p>
    <w:p w14:paraId="018F20D7">
      <w:pPr>
        <w:pStyle w:val="12"/>
        <w:jc w:val="center"/>
        <w:outlineLvl w:val="9"/>
      </w:pPr>
    </w:p>
    <w:p w14:paraId="41AB02AD">
      <w:pPr>
        <w:pStyle w:val="12"/>
        <w:jc w:val="center"/>
        <w:outlineLvl w:val="9"/>
        <w:rPr>
          <w:rFonts w:hint="default"/>
          <w:color w:val="auto"/>
          <w:lang w:val="en-US"/>
        </w:rPr>
      </w:pPr>
      <w:r>
        <w:t xml:space="preserve">图 </w:t>
      </w:r>
      <w:r>
        <w:fldChar w:fldCharType="begin"/>
      </w:r>
      <w:r>
        <w:instrText xml:space="preserve"> SEQ 图 \* ARABIC </w:instrText>
      </w:r>
      <w:r>
        <w:fldChar w:fldCharType="separate"/>
      </w:r>
      <w:r>
        <w:t>6</w:t>
      </w:r>
      <w:r>
        <w:fldChar w:fldCharType="end"/>
      </w:r>
      <w:r>
        <w:rPr>
          <w:rFonts w:hint="eastAsia"/>
          <w:lang w:val="en-US" w:eastAsia="zh-CN"/>
        </w:rPr>
        <w:t xml:space="preserve"> </w:t>
      </w:r>
      <w:r>
        <w:rPr>
          <w:rFonts w:hint="eastAsia"/>
          <w:color w:val="auto"/>
          <w:lang w:val="en-US" w:eastAsia="zh-CN"/>
        </w:rPr>
        <w:t>平面规划图</w:t>
      </w:r>
    </w:p>
    <w:p w14:paraId="438B21F5">
      <w:pPr>
        <w:pStyle w:val="5"/>
        <w:bidi w:val="0"/>
        <w:ind w:left="0" w:leftChars="0" w:firstLine="0" w:firstLineChars="0"/>
        <w:rPr>
          <w:color w:val="auto"/>
        </w:rPr>
        <w:sectPr>
          <w:pgSz w:w="16838" w:h="11906" w:orient="landscape"/>
          <w:pgMar w:top="1531" w:right="1701" w:bottom="1531" w:left="1701" w:header="851" w:footer="851" w:gutter="0"/>
          <w:pgNumType w:fmt="decimal"/>
          <w:cols w:space="720" w:num="1"/>
          <w:docGrid w:linePitch="312" w:charSpace="0"/>
        </w:sectPr>
      </w:pPr>
    </w:p>
    <w:p w14:paraId="2ADD1F23">
      <w:pPr>
        <w:pStyle w:val="12"/>
        <w:bidi w:val="0"/>
        <w:outlineLvl w:val="9"/>
        <w:rPr>
          <w:color w:val="auto"/>
        </w:rPr>
      </w:pPr>
    </w:p>
    <w:tbl>
      <w:tblPr>
        <w:tblStyle w:val="16"/>
        <w:tblW w:w="8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7406"/>
      </w:tblGrid>
      <w:tr w14:paraId="4052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7" w:type="dxa"/>
            <w:vAlign w:val="center"/>
          </w:tcPr>
          <w:p w14:paraId="74E07506">
            <w:pPr>
              <w:pStyle w:val="5"/>
              <w:bidi w:val="0"/>
              <w:ind w:left="0" w:leftChars="0" w:firstLine="0" w:firstLineChars="0"/>
              <w:jc w:val="center"/>
              <w:rPr>
                <w:rFonts w:hint="eastAsia" w:ascii="黑体" w:hAnsi="黑体" w:eastAsia="黑体"/>
                <w:snapToGrid w:val="0"/>
                <w:color w:val="auto"/>
                <w:szCs w:val="36"/>
              </w:rPr>
            </w:pPr>
            <w:r>
              <w:rPr>
                <w:rFonts w:hint="eastAsia"/>
                <w:color w:val="auto"/>
              </w:rPr>
              <w:t>工艺流程和产排污环节</w:t>
            </w:r>
          </w:p>
        </w:tc>
        <w:tc>
          <w:tcPr>
            <w:tcW w:w="7406" w:type="dxa"/>
          </w:tcPr>
          <w:p w14:paraId="4052B291">
            <w:pPr>
              <w:pStyle w:val="3"/>
              <w:jc w:val="both"/>
              <w:rPr>
                <w:rFonts w:hint="default"/>
                <w:color w:val="auto"/>
              </w:rPr>
            </w:pPr>
            <w:r>
              <w:rPr>
                <w:color w:val="auto"/>
              </w:rPr>
              <w:t>施工期工艺流程与</w:t>
            </w:r>
            <w:r>
              <w:rPr>
                <w:rFonts w:hint="eastAsia"/>
                <w:color w:val="auto"/>
                <w:lang w:val="en-US" w:eastAsia="zh-CN"/>
              </w:rPr>
              <w:t>产污</w:t>
            </w:r>
            <w:r>
              <w:rPr>
                <w:color w:val="auto"/>
              </w:rPr>
              <w:t>环节图</w:t>
            </w:r>
          </w:p>
          <w:p w14:paraId="087DFE5A">
            <w:pPr>
              <w:pStyle w:val="5"/>
              <w:ind w:firstLine="480"/>
              <w:jc w:val="both"/>
              <w:rPr>
                <w:rFonts w:hint="default"/>
                <w:color w:val="auto"/>
              </w:rPr>
            </w:pPr>
            <w:r>
              <w:rPr>
                <w:color w:val="auto"/>
              </w:rPr>
              <w:t>本项目位于</w:t>
            </w:r>
            <w:r>
              <w:rPr>
                <w:rFonts w:hint="eastAsia"/>
                <w:color w:val="auto"/>
              </w:rPr>
              <w:t>库尔勒经济技术开发区</w:t>
            </w:r>
            <w:r>
              <w:rPr>
                <w:rFonts w:ascii="宋体" w:hAnsi="宋体" w:cs="宋体"/>
                <w:color w:val="auto"/>
              </w:rPr>
              <w:t>内，</w:t>
            </w:r>
            <w:r>
              <w:rPr>
                <w:color w:val="auto"/>
              </w:rPr>
              <w:t>施工期的污染主要有主体工程及配套辅助工程、环保工程等的建设，将产生扬尘、固体废弃物、废水及噪声等污染物，施工工艺流程及各阶段主要污染物产生情况见下图。</w:t>
            </w:r>
          </w:p>
          <w:p w14:paraId="0F6AF436">
            <w:pPr>
              <w:pStyle w:val="5"/>
              <w:ind w:firstLine="0" w:firstLineChars="0"/>
              <w:jc w:val="center"/>
              <w:rPr>
                <w:rFonts w:hint="default"/>
                <w:color w:val="auto"/>
              </w:rPr>
            </w:pPr>
          </w:p>
          <w:p w14:paraId="187924A1">
            <w:pPr>
              <w:pStyle w:val="5"/>
              <w:ind w:firstLine="0" w:firstLineChars="0"/>
              <w:jc w:val="center"/>
              <w:rPr>
                <w:rFonts w:hint="default"/>
                <w:color w:val="auto"/>
              </w:rPr>
            </w:pPr>
          </w:p>
          <w:p w14:paraId="1F83384B">
            <w:pPr>
              <w:pStyle w:val="12"/>
              <w:rPr>
                <w:color w:val="auto"/>
              </w:rPr>
            </w:pPr>
            <w:r>
              <w:rPr>
                <w:color w:val="auto"/>
              </w:rPr>
              <w:t xml:space="preserve">图 </w:t>
            </w:r>
            <w:r>
              <w:rPr>
                <w:rFonts w:hint="eastAsia"/>
                <w:color w:val="auto"/>
                <w:lang w:val="en-US" w:eastAsia="zh-CN"/>
              </w:rPr>
              <w:t xml:space="preserve">9  </w:t>
            </w:r>
            <w:r>
              <w:rPr>
                <w:rFonts w:hint="eastAsia"/>
                <w:color w:val="auto"/>
              </w:rPr>
              <w:t>建设期工艺流程及产排污环节图</w:t>
            </w:r>
          </w:p>
          <w:p w14:paraId="5998B7E5">
            <w:pPr>
              <w:pStyle w:val="20"/>
              <w:jc w:val="both"/>
              <w:rPr>
                <w:color w:val="auto"/>
              </w:rPr>
            </w:pPr>
          </w:p>
          <w:p w14:paraId="5FE2C520">
            <w:pPr>
              <w:pStyle w:val="5"/>
              <w:ind w:firstLine="480"/>
              <w:jc w:val="both"/>
              <w:rPr>
                <w:rFonts w:hint="default"/>
                <w:color w:val="auto"/>
              </w:rPr>
            </w:pPr>
            <w:r>
              <w:rPr>
                <w:color w:val="auto"/>
              </w:rPr>
              <w:t>废气：车辆扬尘及施工设备和运输设备产生的废气。</w:t>
            </w:r>
          </w:p>
          <w:p w14:paraId="4C09CD53">
            <w:pPr>
              <w:pStyle w:val="5"/>
              <w:ind w:firstLine="480"/>
              <w:jc w:val="both"/>
              <w:rPr>
                <w:rFonts w:hint="default"/>
                <w:color w:val="auto"/>
              </w:rPr>
            </w:pPr>
            <w:r>
              <w:rPr>
                <w:color w:val="auto"/>
              </w:rPr>
              <w:t>噪声：车间的电焊机等，运输车辆产生的噪声、设备安装过程中产生的噪声。</w:t>
            </w:r>
          </w:p>
          <w:p w14:paraId="755952F8">
            <w:pPr>
              <w:pStyle w:val="5"/>
              <w:ind w:firstLine="480"/>
              <w:jc w:val="both"/>
              <w:rPr>
                <w:rFonts w:hint="default"/>
                <w:color w:val="auto"/>
              </w:rPr>
            </w:pPr>
            <w:r>
              <w:rPr>
                <w:color w:val="auto"/>
              </w:rPr>
              <w:t>废水：主要是建设施工过程中施工人员产生的生活污水以及施工废水。</w:t>
            </w:r>
          </w:p>
          <w:p w14:paraId="12FD3D01">
            <w:pPr>
              <w:pStyle w:val="5"/>
              <w:ind w:firstLine="480"/>
              <w:jc w:val="both"/>
              <w:rPr>
                <w:rFonts w:hint="default"/>
                <w:color w:val="auto"/>
              </w:rPr>
            </w:pPr>
            <w:r>
              <w:rPr>
                <w:color w:val="auto"/>
              </w:rPr>
              <w:t>废渣：主要来源于施工过程中产生的建筑垃圾及施工人员产生的生活垃圾。</w:t>
            </w:r>
          </w:p>
          <w:p w14:paraId="79CA8ED0">
            <w:pPr>
              <w:pStyle w:val="5"/>
              <w:ind w:firstLine="480"/>
              <w:jc w:val="both"/>
              <w:rPr>
                <w:rFonts w:hint="default"/>
                <w:color w:val="auto"/>
              </w:rPr>
            </w:pPr>
            <w:r>
              <w:rPr>
                <w:color w:val="auto"/>
              </w:rPr>
              <w:t>项目施工期主要污染源分析见下表</w:t>
            </w:r>
          </w:p>
          <w:p w14:paraId="09027039">
            <w:pPr>
              <w:pStyle w:val="12"/>
              <w:rPr>
                <w:color w:val="auto"/>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16</w:t>
            </w:r>
            <w:r>
              <w:rPr>
                <w:color w:val="auto"/>
              </w:rPr>
              <w:fldChar w:fldCharType="end"/>
            </w:r>
            <w:r>
              <w:rPr>
                <w:rFonts w:hint="eastAsia"/>
                <w:color w:val="auto"/>
              </w:rPr>
              <w:t xml:space="preserve">  施工期主要污染工序一览表</w:t>
            </w:r>
          </w:p>
          <w:tbl>
            <w:tblPr>
              <w:tblStyle w:val="1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1543"/>
              <w:gridCol w:w="1761"/>
              <w:gridCol w:w="2937"/>
            </w:tblGrid>
            <w:tr w14:paraId="6F4B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tcBorders>
                    <w:tl2br w:val="nil"/>
                    <w:tr2bl w:val="nil"/>
                  </w:tcBorders>
                  <w:vAlign w:val="center"/>
                </w:tcPr>
                <w:p w14:paraId="4E2472E3">
                  <w:pPr>
                    <w:pStyle w:val="19"/>
                    <w:rPr>
                      <w:color w:val="auto"/>
                    </w:rPr>
                  </w:pPr>
                  <w:r>
                    <w:rPr>
                      <w:rFonts w:hint="eastAsia"/>
                      <w:color w:val="auto"/>
                    </w:rPr>
                    <w:t>污染类别</w:t>
                  </w:r>
                </w:p>
              </w:tc>
              <w:tc>
                <w:tcPr>
                  <w:tcW w:w="1461" w:type="dxa"/>
                  <w:tcBorders>
                    <w:tl2br w:val="nil"/>
                    <w:tr2bl w:val="nil"/>
                  </w:tcBorders>
                  <w:vAlign w:val="center"/>
                </w:tcPr>
                <w:p w14:paraId="6AD26C70">
                  <w:pPr>
                    <w:pStyle w:val="19"/>
                    <w:rPr>
                      <w:color w:val="auto"/>
                    </w:rPr>
                  </w:pPr>
                  <w:r>
                    <w:rPr>
                      <w:rFonts w:hint="eastAsia"/>
                      <w:color w:val="auto"/>
                    </w:rPr>
                    <w:t>污染源名称</w:t>
                  </w:r>
                </w:p>
              </w:tc>
              <w:tc>
                <w:tcPr>
                  <w:tcW w:w="1667" w:type="dxa"/>
                  <w:tcBorders>
                    <w:tl2br w:val="nil"/>
                    <w:tr2bl w:val="nil"/>
                  </w:tcBorders>
                  <w:vAlign w:val="center"/>
                </w:tcPr>
                <w:p w14:paraId="513C9B23">
                  <w:pPr>
                    <w:pStyle w:val="19"/>
                    <w:rPr>
                      <w:color w:val="auto"/>
                    </w:rPr>
                  </w:pPr>
                  <w:r>
                    <w:rPr>
                      <w:rFonts w:hint="eastAsia"/>
                      <w:color w:val="auto"/>
                    </w:rPr>
                    <w:t>产生工序</w:t>
                  </w:r>
                </w:p>
              </w:tc>
              <w:tc>
                <w:tcPr>
                  <w:tcW w:w="2781" w:type="dxa"/>
                  <w:tcBorders>
                    <w:tl2br w:val="nil"/>
                    <w:tr2bl w:val="nil"/>
                  </w:tcBorders>
                  <w:vAlign w:val="center"/>
                </w:tcPr>
                <w:p w14:paraId="59B4B8FA">
                  <w:pPr>
                    <w:pStyle w:val="19"/>
                    <w:rPr>
                      <w:color w:val="auto"/>
                    </w:rPr>
                  </w:pPr>
                  <w:r>
                    <w:rPr>
                      <w:rFonts w:hint="eastAsia"/>
                      <w:color w:val="auto"/>
                    </w:rPr>
                    <w:t>主要污染因子</w:t>
                  </w:r>
                </w:p>
              </w:tc>
            </w:tr>
            <w:tr w14:paraId="14A4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restart"/>
                  <w:tcBorders>
                    <w:tl2br w:val="nil"/>
                    <w:tr2bl w:val="nil"/>
                  </w:tcBorders>
                  <w:vAlign w:val="center"/>
                </w:tcPr>
                <w:p w14:paraId="45600FE6">
                  <w:pPr>
                    <w:pStyle w:val="19"/>
                    <w:rPr>
                      <w:color w:val="auto"/>
                    </w:rPr>
                  </w:pPr>
                  <w:r>
                    <w:rPr>
                      <w:rFonts w:hint="eastAsia"/>
                      <w:color w:val="auto"/>
                    </w:rPr>
                    <w:t>废气</w:t>
                  </w:r>
                </w:p>
              </w:tc>
              <w:tc>
                <w:tcPr>
                  <w:tcW w:w="1461" w:type="dxa"/>
                  <w:tcBorders>
                    <w:tl2br w:val="nil"/>
                    <w:tr2bl w:val="nil"/>
                  </w:tcBorders>
                  <w:vAlign w:val="center"/>
                </w:tcPr>
                <w:p w14:paraId="4F29933D">
                  <w:pPr>
                    <w:pStyle w:val="19"/>
                    <w:rPr>
                      <w:color w:val="auto"/>
                    </w:rPr>
                  </w:pPr>
                  <w:r>
                    <w:rPr>
                      <w:rFonts w:hint="eastAsia"/>
                      <w:color w:val="auto"/>
                    </w:rPr>
                    <w:t>施工场地</w:t>
                  </w:r>
                </w:p>
              </w:tc>
              <w:tc>
                <w:tcPr>
                  <w:tcW w:w="1667" w:type="dxa"/>
                  <w:tcBorders>
                    <w:tl2br w:val="nil"/>
                    <w:tr2bl w:val="nil"/>
                  </w:tcBorders>
                  <w:vAlign w:val="center"/>
                </w:tcPr>
                <w:p w14:paraId="09A5D7AF">
                  <w:pPr>
                    <w:pStyle w:val="19"/>
                    <w:rPr>
                      <w:color w:val="auto"/>
                    </w:rPr>
                  </w:pPr>
                  <w:r>
                    <w:rPr>
                      <w:rFonts w:hint="eastAsia"/>
                      <w:color w:val="auto"/>
                    </w:rPr>
                    <w:t>施工过程</w:t>
                  </w:r>
                </w:p>
              </w:tc>
              <w:tc>
                <w:tcPr>
                  <w:tcW w:w="2781" w:type="dxa"/>
                  <w:tcBorders>
                    <w:tl2br w:val="nil"/>
                    <w:tr2bl w:val="nil"/>
                  </w:tcBorders>
                  <w:vAlign w:val="center"/>
                </w:tcPr>
                <w:p w14:paraId="2004E5C9">
                  <w:pPr>
                    <w:pStyle w:val="19"/>
                    <w:rPr>
                      <w:color w:val="auto"/>
                    </w:rPr>
                  </w:pPr>
                  <w:r>
                    <w:rPr>
                      <w:rFonts w:hint="eastAsia"/>
                      <w:color w:val="auto"/>
                    </w:rPr>
                    <w:t>粉尘</w:t>
                  </w:r>
                </w:p>
              </w:tc>
            </w:tr>
            <w:tr w14:paraId="45E1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continue"/>
                  <w:tcBorders>
                    <w:tl2br w:val="nil"/>
                    <w:tr2bl w:val="nil"/>
                  </w:tcBorders>
                  <w:vAlign w:val="center"/>
                </w:tcPr>
                <w:p w14:paraId="12721076">
                  <w:pPr>
                    <w:pStyle w:val="19"/>
                    <w:rPr>
                      <w:color w:val="auto"/>
                    </w:rPr>
                  </w:pPr>
                </w:p>
              </w:tc>
              <w:tc>
                <w:tcPr>
                  <w:tcW w:w="1461" w:type="dxa"/>
                  <w:tcBorders>
                    <w:tl2br w:val="nil"/>
                    <w:tr2bl w:val="nil"/>
                  </w:tcBorders>
                  <w:vAlign w:val="center"/>
                </w:tcPr>
                <w:p w14:paraId="2725D1A3">
                  <w:pPr>
                    <w:pStyle w:val="19"/>
                    <w:rPr>
                      <w:color w:val="auto"/>
                    </w:rPr>
                  </w:pPr>
                  <w:r>
                    <w:rPr>
                      <w:rFonts w:hint="eastAsia"/>
                      <w:color w:val="auto"/>
                    </w:rPr>
                    <w:t>机械动力设备</w:t>
                  </w:r>
                </w:p>
              </w:tc>
              <w:tc>
                <w:tcPr>
                  <w:tcW w:w="1667" w:type="dxa"/>
                  <w:tcBorders>
                    <w:tl2br w:val="nil"/>
                    <w:tr2bl w:val="nil"/>
                  </w:tcBorders>
                  <w:vAlign w:val="center"/>
                </w:tcPr>
                <w:p w14:paraId="0FF32F2F">
                  <w:pPr>
                    <w:pStyle w:val="19"/>
                    <w:rPr>
                      <w:color w:val="auto"/>
                    </w:rPr>
                  </w:pPr>
                  <w:r>
                    <w:rPr>
                      <w:rFonts w:hint="eastAsia"/>
                      <w:color w:val="auto"/>
                    </w:rPr>
                    <w:t>机械设备运行</w:t>
                  </w:r>
                </w:p>
              </w:tc>
              <w:tc>
                <w:tcPr>
                  <w:tcW w:w="2781" w:type="dxa"/>
                  <w:tcBorders>
                    <w:tl2br w:val="nil"/>
                    <w:tr2bl w:val="nil"/>
                  </w:tcBorders>
                  <w:vAlign w:val="center"/>
                </w:tcPr>
                <w:p w14:paraId="718406D6">
                  <w:pPr>
                    <w:pStyle w:val="19"/>
                    <w:rPr>
                      <w:color w:val="auto"/>
                    </w:rPr>
                  </w:pPr>
                  <w:r>
                    <w:rPr>
                      <w:rFonts w:hint="eastAsia"/>
                      <w:color w:val="auto"/>
                    </w:rPr>
                    <w:t>尾气</w:t>
                  </w:r>
                  <w:r>
                    <w:rPr>
                      <w:rFonts w:hint="eastAsia"/>
                      <w:color w:val="auto"/>
                      <w:lang w:eastAsia="zh-CN"/>
                    </w:rPr>
                    <w:t>（</w:t>
                  </w:r>
                  <w:r>
                    <w:rPr>
                      <w:color w:val="auto"/>
                    </w:rPr>
                    <w:t>SO</w:t>
                  </w:r>
                  <w:r>
                    <w:rPr>
                      <w:color w:val="auto"/>
                      <w:vertAlign w:val="subscript"/>
                    </w:rPr>
                    <w:t>2</w:t>
                  </w:r>
                  <w:r>
                    <w:rPr>
                      <w:rFonts w:hint="eastAsia"/>
                      <w:color w:val="auto"/>
                    </w:rPr>
                    <w:t>、颗粒物、总烃、</w:t>
                  </w:r>
                  <w:r>
                    <w:rPr>
                      <w:color w:val="auto"/>
                    </w:rPr>
                    <w:t>CO</w:t>
                  </w:r>
                  <w:r>
                    <w:rPr>
                      <w:rFonts w:hint="eastAsia"/>
                      <w:color w:val="auto"/>
                    </w:rPr>
                    <w:t>、</w:t>
                  </w:r>
                  <w:r>
                    <w:rPr>
                      <w:color w:val="auto"/>
                    </w:rPr>
                    <w:t>NOx</w:t>
                  </w:r>
                  <w:r>
                    <w:rPr>
                      <w:rFonts w:hint="eastAsia"/>
                      <w:color w:val="auto"/>
                      <w:lang w:eastAsia="zh-CN"/>
                    </w:rPr>
                    <w:t>）</w:t>
                  </w:r>
                </w:p>
              </w:tc>
            </w:tr>
            <w:tr w14:paraId="4AAD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restart"/>
                  <w:tcBorders>
                    <w:tl2br w:val="nil"/>
                    <w:tr2bl w:val="nil"/>
                  </w:tcBorders>
                  <w:vAlign w:val="center"/>
                </w:tcPr>
                <w:p w14:paraId="34AB075A">
                  <w:pPr>
                    <w:pStyle w:val="19"/>
                    <w:rPr>
                      <w:color w:val="auto"/>
                    </w:rPr>
                  </w:pPr>
                  <w:r>
                    <w:rPr>
                      <w:rFonts w:hint="eastAsia"/>
                      <w:color w:val="auto"/>
                    </w:rPr>
                    <w:t>废水</w:t>
                  </w:r>
                </w:p>
              </w:tc>
              <w:tc>
                <w:tcPr>
                  <w:tcW w:w="1461" w:type="dxa"/>
                  <w:tcBorders>
                    <w:tl2br w:val="nil"/>
                    <w:tr2bl w:val="nil"/>
                  </w:tcBorders>
                  <w:vAlign w:val="center"/>
                </w:tcPr>
                <w:p w14:paraId="19883A47">
                  <w:pPr>
                    <w:pStyle w:val="19"/>
                    <w:rPr>
                      <w:color w:val="auto"/>
                    </w:rPr>
                  </w:pPr>
                  <w:r>
                    <w:rPr>
                      <w:rFonts w:hint="eastAsia"/>
                      <w:color w:val="auto"/>
                    </w:rPr>
                    <w:t>生活污水</w:t>
                  </w:r>
                </w:p>
              </w:tc>
              <w:tc>
                <w:tcPr>
                  <w:tcW w:w="1667" w:type="dxa"/>
                  <w:tcBorders>
                    <w:tl2br w:val="nil"/>
                    <w:tr2bl w:val="nil"/>
                  </w:tcBorders>
                  <w:vAlign w:val="center"/>
                </w:tcPr>
                <w:p w14:paraId="4F98B1E2">
                  <w:pPr>
                    <w:pStyle w:val="19"/>
                    <w:rPr>
                      <w:color w:val="auto"/>
                    </w:rPr>
                  </w:pPr>
                  <w:r>
                    <w:rPr>
                      <w:rFonts w:hint="eastAsia"/>
                      <w:color w:val="auto"/>
                    </w:rPr>
                    <w:t>施工人员</w:t>
                  </w:r>
                </w:p>
              </w:tc>
              <w:tc>
                <w:tcPr>
                  <w:tcW w:w="2781" w:type="dxa"/>
                  <w:tcBorders>
                    <w:tl2br w:val="nil"/>
                    <w:tr2bl w:val="nil"/>
                  </w:tcBorders>
                  <w:vAlign w:val="center"/>
                </w:tcPr>
                <w:p w14:paraId="32D0D7D6">
                  <w:pPr>
                    <w:pStyle w:val="19"/>
                    <w:rPr>
                      <w:color w:val="auto"/>
                    </w:rPr>
                  </w:pPr>
                  <w:r>
                    <w:rPr>
                      <w:rFonts w:hint="eastAsia"/>
                      <w:color w:val="auto"/>
                    </w:rPr>
                    <w:t>SS、COD、氨氮等</w:t>
                  </w:r>
                </w:p>
              </w:tc>
            </w:tr>
            <w:tr w14:paraId="2C13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continue"/>
                  <w:tcBorders>
                    <w:tl2br w:val="nil"/>
                    <w:tr2bl w:val="nil"/>
                  </w:tcBorders>
                  <w:vAlign w:val="center"/>
                </w:tcPr>
                <w:p w14:paraId="10CE72E8">
                  <w:pPr>
                    <w:pStyle w:val="19"/>
                    <w:rPr>
                      <w:color w:val="auto"/>
                    </w:rPr>
                  </w:pPr>
                </w:p>
              </w:tc>
              <w:tc>
                <w:tcPr>
                  <w:tcW w:w="1461" w:type="dxa"/>
                  <w:tcBorders>
                    <w:tl2br w:val="nil"/>
                    <w:tr2bl w:val="nil"/>
                  </w:tcBorders>
                  <w:vAlign w:val="center"/>
                </w:tcPr>
                <w:p w14:paraId="479BD951">
                  <w:pPr>
                    <w:pStyle w:val="19"/>
                    <w:rPr>
                      <w:color w:val="auto"/>
                    </w:rPr>
                  </w:pPr>
                  <w:r>
                    <w:rPr>
                      <w:rFonts w:hint="eastAsia"/>
                      <w:color w:val="auto"/>
                    </w:rPr>
                    <w:t>施工废水</w:t>
                  </w:r>
                </w:p>
              </w:tc>
              <w:tc>
                <w:tcPr>
                  <w:tcW w:w="1667" w:type="dxa"/>
                  <w:tcBorders>
                    <w:tl2br w:val="nil"/>
                    <w:tr2bl w:val="nil"/>
                  </w:tcBorders>
                  <w:vAlign w:val="center"/>
                </w:tcPr>
                <w:p w14:paraId="729801E2">
                  <w:pPr>
                    <w:pStyle w:val="19"/>
                    <w:rPr>
                      <w:color w:val="auto"/>
                    </w:rPr>
                  </w:pPr>
                  <w:r>
                    <w:rPr>
                      <w:rFonts w:hint="eastAsia"/>
                      <w:color w:val="auto"/>
                    </w:rPr>
                    <w:t>建筑、路面硬化养护</w:t>
                  </w:r>
                </w:p>
              </w:tc>
              <w:tc>
                <w:tcPr>
                  <w:tcW w:w="2781" w:type="dxa"/>
                  <w:tcBorders>
                    <w:tl2br w:val="nil"/>
                    <w:tr2bl w:val="nil"/>
                  </w:tcBorders>
                  <w:vAlign w:val="center"/>
                </w:tcPr>
                <w:p w14:paraId="11B08002">
                  <w:pPr>
                    <w:pStyle w:val="19"/>
                    <w:rPr>
                      <w:color w:val="auto"/>
                    </w:rPr>
                  </w:pPr>
                  <w:r>
                    <w:rPr>
                      <w:rFonts w:hint="eastAsia"/>
                      <w:color w:val="auto"/>
                    </w:rPr>
                    <w:t>SS、石油类等</w:t>
                  </w:r>
                </w:p>
              </w:tc>
            </w:tr>
            <w:tr w14:paraId="42FB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restart"/>
                  <w:tcBorders>
                    <w:tl2br w:val="nil"/>
                    <w:tr2bl w:val="nil"/>
                  </w:tcBorders>
                  <w:vAlign w:val="center"/>
                </w:tcPr>
                <w:p w14:paraId="4B4AC23B">
                  <w:pPr>
                    <w:pStyle w:val="19"/>
                    <w:rPr>
                      <w:color w:val="auto"/>
                    </w:rPr>
                  </w:pPr>
                  <w:r>
                    <w:rPr>
                      <w:rFonts w:hint="eastAsia"/>
                      <w:color w:val="auto"/>
                    </w:rPr>
                    <w:t>噪声</w:t>
                  </w:r>
                </w:p>
              </w:tc>
              <w:tc>
                <w:tcPr>
                  <w:tcW w:w="1461" w:type="dxa"/>
                  <w:tcBorders>
                    <w:tl2br w:val="nil"/>
                    <w:tr2bl w:val="nil"/>
                  </w:tcBorders>
                  <w:vAlign w:val="center"/>
                </w:tcPr>
                <w:p w14:paraId="270D5403">
                  <w:pPr>
                    <w:pStyle w:val="19"/>
                    <w:rPr>
                      <w:color w:val="auto"/>
                    </w:rPr>
                  </w:pPr>
                  <w:r>
                    <w:rPr>
                      <w:rFonts w:hint="eastAsia"/>
                      <w:color w:val="auto"/>
                    </w:rPr>
                    <w:t>施工设备</w:t>
                  </w:r>
                </w:p>
              </w:tc>
              <w:tc>
                <w:tcPr>
                  <w:tcW w:w="1667" w:type="dxa"/>
                  <w:tcBorders>
                    <w:tl2br w:val="nil"/>
                    <w:tr2bl w:val="nil"/>
                  </w:tcBorders>
                  <w:vAlign w:val="center"/>
                </w:tcPr>
                <w:p w14:paraId="303F21E5">
                  <w:pPr>
                    <w:pStyle w:val="19"/>
                    <w:rPr>
                      <w:color w:val="auto"/>
                    </w:rPr>
                  </w:pPr>
                  <w:r>
                    <w:rPr>
                      <w:rFonts w:hint="eastAsia"/>
                      <w:color w:val="auto"/>
                    </w:rPr>
                    <w:t>施工设备运行</w:t>
                  </w:r>
                </w:p>
              </w:tc>
              <w:tc>
                <w:tcPr>
                  <w:tcW w:w="2781" w:type="dxa"/>
                  <w:tcBorders>
                    <w:tl2br w:val="nil"/>
                    <w:tr2bl w:val="nil"/>
                  </w:tcBorders>
                  <w:vAlign w:val="center"/>
                </w:tcPr>
                <w:p w14:paraId="18D9297C">
                  <w:pPr>
                    <w:pStyle w:val="19"/>
                    <w:rPr>
                      <w:color w:val="auto"/>
                    </w:rPr>
                  </w:pPr>
                  <w:r>
                    <w:rPr>
                      <w:rFonts w:hint="eastAsia"/>
                      <w:color w:val="auto"/>
                    </w:rPr>
                    <w:t>机械噪声</w:t>
                  </w:r>
                </w:p>
              </w:tc>
            </w:tr>
            <w:tr w14:paraId="57DE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continue"/>
                  <w:tcBorders>
                    <w:tl2br w:val="nil"/>
                    <w:tr2bl w:val="nil"/>
                  </w:tcBorders>
                  <w:vAlign w:val="center"/>
                </w:tcPr>
                <w:p w14:paraId="2BCA0C8C">
                  <w:pPr>
                    <w:pStyle w:val="19"/>
                    <w:rPr>
                      <w:color w:val="auto"/>
                    </w:rPr>
                  </w:pPr>
                </w:p>
              </w:tc>
              <w:tc>
                <w:tcPr>
                  <w:tcW w:w="1461" w:type="dxa"/>
                  <w:tcBorders>
                    <w:tl2br w:val="nil"/>
                    <w:tr2bl w:val="nil"/>
                  </w:tcBorders>
                  <w:vAlign w:val="center"/>
                </w:tcPr>
                <w:p w14:paraId="61164B8E">
                  <w:pPr>
                    <w:pStyle w:val="19"/>
                    <w:rPr>
                      <w:color w:val="auto"/>
                    </w:rPr>
                  </w:pPr>
                  <w:r>
                    <w:rPr>
                      <w:rFonts w:hint="eastAsia"/>
                      <w:color w:val="auto"/>
                    </w:rPr>
                    <w:t>运输车辆</w:t>
                  </w:r>
                </w:p>
              </w:tc>
              <w:tc>
                <w:tcPr>
                  <w:tcW w:w="1667" w:type="dxa"/>
                  <w:tcBorders>
                    <w:tl2br w:val="nil"/>
                    <w:tr2bl w:val="nil"/>
                  </w:tcBorders>
                  <w:vAlign w:val="center"/>
                </w:tcPr>
                <w:p w14:paraId="6B495DDE">
                  <w:pPr>
                    <w:pStyle w:val="19"/>
                    <w:rPr>
                      <w:color w:val="auto"/>
                    </w:rPr>
                  </w:pPr>
                  <w:r>
                    <w:rPr>
                      <w:rFonts w:hint="eastAsia"/>
                      <w:color w:val="auto"/>
                    </w:rPr>
                    <w:t>运输车辆行驶</w:t>
                  </w:r>
                </w:p>
              </w:tc>
              <w:tc>
                <w:tcPr>
                  <w:tcW w:w="2781" w:type="dxa"/>
                  <w:tcBorders>
                    <w:tl2br w:val="nil"/>
                    <w:tr2bl w:val="nil"/>
                  </w:tcBorders>
                  <w:vAlign w:val="center"/>
                </w:tcPr>
                <w:p w14:paraId="73559693">
                  <w:pPr>
                    <w:pStyle w:val="19"/>
                    <w:rPr>
                      <w:color w:val="auto"/>
                    </w:rPr>
                  </w:pPr>
                  <w:r>
                    <w:rPr>
                      <w:rFonts w:hint="eastAsia"/>
                      <w:color w:val="auto"/>
                    </w:rPr>
                    <w:t>交通噪声</w:t>
                  </w:r>
                </w:p>
              </w:tc>
            </w:tr>
            <w:tr w14:paraId="7647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continue"/>
                  <w:tcBorders>
                    <w:tl2br w:val="nil"/>
                    <w:tr2bl w:val="nil"/>
                  </w:tcBorders>
                  <w:vAlign w:val="center"/>
                </w:tcPr>
                <w:p w14:paraId="1B9438F7">
                  <w:pPr>
                    <w:pStyle w:val="19"/>
                    <w:rPr>
                      <w:color w:val="auto"/>
                    </w:rPr>
                  </w:pPr>
                </w:p>
              </w:tc>
              <w:tc>
                <w:tcPr>
                  <w:tcW w:w="1461" w:type="dxa"/>
                  <w:tcBorders>
                    <w:tl2br w:val="nil"/>
                    <w:tr2bl w:val="nil"/>
                  </w:tcBorders>
                  <w:vAlign w:val="center"/>
                </w:tcPr>
                <w:p w14:paraId="20BC9F77">
                  <w:pPr>
                    <w:pStyle w:val="19"/>
                    <w:rPr>
                      <w:color w:val="auto"/>
                    </w:rPr>
                  </w:pPr>
                  <w:r>
                    <w:rPr>
                      <w:rFonts w:hint="eastAsia"/>
                      <w:color w:val="auto"/>
                    </w:rPr>
                    <w:t>施工人员</w:t>
                  </w:r>
                </w:p>
              </w:tc>
              <w:tc>
                <w:tcPr>
                  <w:tcW w:w="1667" w:type="dxa"/>
                  <w:tcBorders>
                    <w:tl2br w:val="nil"/>
                    <w:tr2bl w:val="nil"/>
                  </w:tcBorders>
                  <w:vAlign w:val="center"/>
                </w:tcPr>
                <w:p w14:paraId="424A8073">
                  <w:pPr>
                    <w:pStyle w:val="19"/>
                    <w:rPr>
                      <w:color w:val="auto"/>
                    </w:rPr>
                  </w:pPr>
                  <w:r>
                    <w:rPr>
                      <w:rFonts w:hint="eastAsia"/>
                      <w:color w:val="auto"/>
                    </w:rPr>
                    <w:t>人员施工、生活</w:t>
                  </w:r>
                </w:p>
              </w:tc>
              <w:tc>
                <w:tcPr>
                  <w:tcW w:w="2781" w:type="dxa"/>
                  <w:tcBorders>
                    <w:tl2br w:val="nil"/>
                    <w:tr2bl w:val="nil"/>
                  </w:tcBorders>
                  <w:vAlign w:val="center"/>
                </w:tcPr>
                <w:p w14:paraId="454FB825">
                  <w:pPr>
                    <w:pStyle w:val="19"/>
                    <w:rPr>
                      <w:color w:val="auto"/>
                    </w:rPr>
                  </w:pPr>
                  <w:r>
                    <w:rPr>
                      <w:rFonts w:hint="eastAsia"/>
                      <w:color w:val="auto"/>
                    </w:rPr>
                    <w:t>生活噪声</w:t>
                  </w:r>
                </w:p>
              </w:tc>
            </w:tr>
            <w:tr w14:paraId="3CF9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restart"/>
                  <w:tcBorders>
                    <w:tl2br w:val="nil"/>
                    <w:tr2bl w:val="nil"/>
                  </w:tcBorders>
                  <w:vAlign w:val="center"/>
                </w:tcPr>
                <w:p w14:paraId="6C4BE2DE">
                  <w:pPr>
                    <w:pStyle w:val="19"/>
                    <w:rPr>
                      <w:color w:val="auto"/>
                    </w:rPr>
                  </w:pPr>
                  <w:r>
                    <w:rPr>
                      <w:rFonts w:hint="eastAsia"/>
                      <w:color w:val="auto"/>
                    </w:rPr>
                    <w:t>固体废物</w:t>
                  </w:r>
                </w:p>
              </w:tc>
              <w:tc>
                <w:tcPr>
                  <w:tcW w:w="1461" w:type="dxa"/>
                  <w:tcBorders>
                    <w:tl2br w:val="nil"/>
                    <w:tr2bl w:val="nil"/>
                  </w:tcBorders>
                  <w:vAlign w:val="center"/>
                </w:tcPr>
                <w:p w14:paraId="10F47823">
                  <w:pPr>
                    <w:pStyle w:val="19"/>
                    <w:rPr>
                      <w:color w:val="auto"/>
                    </w:rPr>
                  </w:pPr>
                  <w:r>
                    <w:rPr>
                      <w:rFonts w:hint="eastAsia"/>
                      <w:color w:val="auto"/>
                    </w:rPr>
                    <w:t>建筑垃圾</w:t>
                  </w:r>
                </w:p>
              </w:tc>
              <w:tc>
                <w:tcPr>
                  <w:tcW w:w="1667" w:type="dxa"/>
                  <w:tcBorders>
                    <w:tl2br w:val="nil"/>
                    <w:tr2bl w:val="nil"/>
                  </w:tcBorders>
                  <w:vAlign w:val="center"/>
                </w:tcPr>
                <w:p w14:paraId="78A91E57">
                  <w:pPr>
                    <w:pStyle w:val="19"/>
                    <w:rPr>
                      <w:color w:val="auto"/>
                    </w:rPr>
                  </w:pPr>
                  <w:r>
                    <w:rPr>
                      <w:rFonts w:hint="eastAsia"/>
                      <w:color w:val="auto"/>
                    </w:rPr>
                    <w:t>施工过程</w:t>
                  </w:r>
                </w:p>
              </w:tc>
              <w:tc>
                <w:tcPr>
                  <w:tcW w:w="2781" w:type="dxa"/>
                  <w:tcBorders>
                    <w:tl2br w:val="nil"/>
                    <w:tr2bl w:val="nil"/>
                  </w:tcBorders>
                  <w:vAlign w:val="center"/>
                </w:tcPr>
                <w:p w14:paraId="24A3665D">
                  <w:pPr>
                    <w:pStyle w:val="19"/>
                    <w:rPr>
                      <w:color w:val="auto"/>
                    </w:rPr>
                  </w:pPr>
                  <w:r>
                    <w:rPr>
                      <w:rFonts w:hint="eastAsia"/>
                      <w:color w:val="auto"/>
                    </w:rPr>
                    <w:t>废铁皮、建材等建筑垃圾</w:t>
                  </w:r>
                </w:p>
              </w:tc>
            </w:tr>
            <w:tr w14:paraId="2A50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dxa"/>
                  <w:vMerge w:val="continue"/>
                  <w:tcBorders>
                    <w:tl2br w:val="nil"/>
                    <w:tr2bl w:val="nil"/>
                  </w:tcBorders>
                  <w:vAlign w:val="center"/>
                </w:tcPr>
                <w:p w14:paraId="04834982">
                  <w:pPr>
                    <w:pStyle w:val="19"/>
                    <w:rPr>
                      <w:color w:val="auto"/>
                    </w:rPr>
                  </w:pPr>
                </w:p>
              </w:tc>
              <w:tc>
                <w:tcPr>
                  <w:tcW w:w="1461" w:type="dxa"/>
                  <w:tcBorders>
                    <w:tl2br w:val="nil"/>
                    <w:tr2bl w:val="nil"/>
                  </w:tcBorders>
                  <w:vAlign w:val="center"/>
                </w:tcPr>
                <w:p w14:paraId="2E906EBC">
                  <w:pPr>
                    <w:pStyle w:val="19"/>
                    <w:rPr>
                      <w:color w:val="auto"/>
                    </w:rPr>
                  </w:pPr>
                  <w:r>
                    <w:rPr>
                      <w:rFonts w:hint="eastAsia"/>
                      <w:color w:val="auto"/>
                    </w:rPr>
                    <w:t>生活固废</w:t>
                  </w:r>
                </w:p>
              </w:tc>
              <w:tc>
                <w:tcPr>
                  <w:tcW w:w="1667" w:type="dxa"/>
                  <w:tcBorders>
                    <w:tl2br w:val="nil"/>
                    <w:tr2bl w:val="nil"/>
                  </w:tcBorders>
                  <w:vAlign w:val="center"/>
                </w:tcPr>
                <w:p w14:paraId="0CCA4E39">
                  <w:pPr>
                    <w:pStyle w:val="19"/>
                    <w:rPr>
                      <w:color w:val="auto"/>
                    </w:rPr>
                  </w:pPr>
                  <w:r>
                    <w:rPr>
                      <w:rFonts w:hint="eastAsia"/>
                      <w:color w:val="auto"/>
                    </w:rPr>
                    <w:t>施工人员生活</w:t>
                  </w:r>
                </w:p>
              </w:tc>
              <w:tc>
                <w:tcPr>
                  <w:tcW w:w="2781" w:type="dxa"/>
                  <w:tcBorders>
                    <w:tl2br w:val="nil"/>
                    <w:tr2bl w:val="nil"/>
                  </w:tcBorders>
                  <w:vAlign w:val="center"/>
                </w:tcPr>
                <w:p w14:paraId="47EC4DB4">
                  <w:pPr>
                    <w:pStyle w:val="19"/>
                    <w:rPr>
                      <w:color w:val="auto"/>
                    </w:rPr>
                  </w:pPr>
                  <w:r>
                    <w:rPr>
                      <w:rFonts w:hint="eastAsia"/>
                      <w:color w:val="auto"/>
                    </w:rPr>
                    <w:t>生活垃圾</w:t>
                  </w:r>
                </w:p>
              </w:tc>
            </w:tr>
          </w:tbl>
          <w:p w14:paraId="258725F1">
            <w:pPr>
              <w:pStyle w:val="20"/>
              <w:jc w:val="both"/>
              <w:rPr>
                <w:color w:val="auto"/>
              </w:rPr>
            </w:pPr>
          </w:p>
          <w:p w14:paraId="2A86D781">
            <w:pPr>
              <w:pStyle w:val="4"/>
              <w:bidi w:val="0"/>
              <w:jc w:val="both"/>
              <w:rPr>
                <w:rFonts w:hint="default"/>
                <w:color w:val="auto"/>
              </w:rPr>
            </w:pPr>
            <w:r>
              <w:rPr>
                <w:color w:val="auto"/>
              </w:rPr>
              <w:t>运营期的工艺流程</w:t>
            </w:r>
          </w:p>
          <w:p w14:paraId="2A0A41A7">
            <w:pPr>
              <w:pStyle w:val="5"/>
              <w:numPr>
                <w:ilvl w:val="0"/>
                <w:numId w:val="7"/>
              </w:numPr>
              <w:ind w:firstLine="480"/>
              <w:jc w:val="both"/>
              <w:rPr>
                <w:rFonts w:hint="eastAsia"/>
                <w:color w:val="auto"/>
                <w:lang w:val="en-US" w:eastAsia="zh-CN"/>
              </w:rPr>
            </w:pPr>
            <w:r>
              <w:rPr>
                <w:rFonts w:hint="eastAsia"/>
                <w:color w:val="auto"/>
                <w:lang w:val="en-US" w:eastAsia="zh-CN"/>
              </w:rPr>
              <w:t>干粉（水泥、粉煤灰）入仓</w:t>
            </w:r>
          </w:p>
          <w:p w14:paraId="7FEC8EB0">
            <w:pPr>
              <w:pStyle w:val="5"/>
              <w:bidi w:val="0"/>
              <w:jc w:val="both"/>
              <w:rPr>
                <w:rFonts w:hint="eastAsia" w:eastAsia="宋体"/>
                <w:color w:val="auto"/>
                <w:lang w:eastAsia="zh-CN"/>
              </w:rPr>
            </w:pPr>
            <w:r>
              <w:rPr>
                <w:rFonts w:hint="eastAsia"/>
                <w:color w:val="auto"/>
                <w:lang w:val="en-US" w:eastAsia="zh-CN"/>
              </w:rPr>
              <w:t>项目生产原料主要包括水泥、粉煤灰、巴斯夫乳液（水性醋酸乙烯酯-乙烯共聚物乳液）、玻璃纤维网格布以及水。其中，水泥和粉煤灰（下称干粉）由车辆运输至厂内，采用气力输送方式送至储料仓进行临时存储；玻璃纤维网格布以成卷形式运入厂内暂存；巴斯夫乳液（水性醋酸乙烯酯-乙烯共聚物乳液）利用管道系统储存于本项目区的自动化筒仓。干粉入仓过程中会产生废气与噪声。</w:t>
            </w:r>
          </w:p>
          <w:p w14:paraId="33DA627C">
            <w:pPr>
              <w:pStyle w:val="5"/>
              <w:numPr>
                <w:ilvl w:val="0"/>
                <w:numId w:val="7"/>
              </w:numPr>
              <w:ind w:firstLine="480"/>
              <w:jc w:val="both"/>
              <w:rPr>
                <w:rFonts w:hint="default"/>
                <w:color w:val="auto"/>
                <w:lang w:val="en-US" w:eastAsia="zh-CN"/>
              </w:rPr>
            </w:pPr>
            <w:r>
              <w:rPr>
                <w:rFonts w:hint="eastAsia"/>
                <w:color w:val="auto"/>
                <w:lang w:val="en-US" w:eastAsia="zh-CN"/>
              </w:rPr>
              <w:t>配料搅拌</w:t>
            </w:r>
          </w:p>
          <w:p w14:paraId="07ECF2FA">
            <w:pPr>
              <w:pStyle w:val="5"/>
              <w:bidi w:val="0"/>
              <w:jc w:val="both"/>
              <w:rPr>
                <w:rFonts w:hint="eastAsia" w:eastAsia="宋体"/>
                <w:color w:val="auto"/>
                <w:lang w:eastAsia="zh-CN"/>
              </w:rPr>
            </w:pPr>
            <w:r>
              <w:rPr>
                <w:rFonts w:hint="eastAsia"/>
                <w:color w:val="auto"/>
                <w:lang w:val="en-US" w:eastAsia="zh-CN"/>
              </w:rPr>
              <w:t xml:space="preserve">在运营过程中，水泥与粉煤灰借助密闭螺旋输送机直接提升至自动配料装置。物料经自动称量后，通过管道输送至干混搅拌机进行搅拌。干混后的干粉、水以及巴斯夫乳液（水性醋酸乙烯酯-乙烯共聚物乳液）一同经管道泵入湿混搅拌机，搅拌形成浆料，整个流程处于全密闭状态。此过程无外排废气产生，但会产生噪声。 </w:t>
            </w:r>
          </w:p>
          <w:p w14:paraId="2FB33DF6">
            <w:pPr>
              <w:pStyle w:val="5"/>
              <w:numPr>
                <w:ilvl w:val="0"/>
                <w:numId w:val="7"/>
              </w:numPr>
              <w:ind w:firstLine="480"/>
              <w:jc w:val="both"/>
              <w:rPr>
                <w:rFonts w:hint="default"/>
                <w:color w:val="auto"/>
                <w:lang w:val="en-US" w:eastAsia="zh-CN"/>
              </w:rPr>
            </w:pPr>
            <w:r>
              <w:rPr>
                <w:rFonts w:hint="eastAsia"/>
                <w:color w:val="auto"/>
                <w:lang w:val="en-US" w:eastAsia="zh-CN"/>
              </w:rPr>
              <w:t>复合制板及养护（A面）</w:t>
            </w:r>
          </w:p>
          <w:p w14:paraId="019BD129">
            <w:pPr>
              <w:pStyle w:val="5"/>
              <w:bidi w:val="0"/>
              <w:jc w:val="both"/>
              <w:rPr>
                <w:rFonts w:hint="eastAsia" w:eastAsia="宋体"/>
                <w:color w:val="auto"/>
                <w:lang w:eastAsia="zh-CN"/>
              </w:rPr>
            </w:pPr>
            <w:r>
              <w:rPr>
                <w:rFonts w:hint="eastAsia"/>
                <w:color w:val="auto"/>
                <w:lang w:val="en-US" w:eastAsia="zh-CN"/>
              </w:rPr>
              <w:t xml:space="preserve">首先，将XPS芯板在复合制板生产线上前后紧密相连排列。砂浆经由敷浆输送机，在生产线的背衬板芯上流淌、平铺并抹平，与此同时，通过放卷机将网格布贴合于复合砂浆层上进行制板操作。待砂浆与网格布在芯材上平铺并完成制板后，切断网格布，使前后部分分离，形成单面复合背衬板。裁切后的湿板由生产线尾部的自动接板机接收并叠放。此过程会产生噪声。极少量形态不规则的异形挤塑板，采用人工复合方式，其余工序与常规背衬板生产工序相同。 </w:t>
            </w:r>
          </w:p>
          <w:p w14:paraId="3DD43681">
            <w:pPr>
              <w:pStyle w:val="5"/>
              <w:bidi w:val="0"/>
              <w:jc w:val="both"/>
              <w:rPr>
                <w:rFonts w:hint="eastAsia" w:eastAsia="宋体"/>
                <w:color w:val="auto"/>
                <w:lang w:eastAsia="zh-CN"/>
              </w:rPr>
            </w:pPr>
            <w:r>
              <w:rPr>
                <w:rFonts w:hint="eastAsia"/>
                <w:color w:val="auto"/>
                <w:lang w:val="en-US" w:eastAsia="zh-CN"/>
              </w:rPr>
              <w:t>湿板经自动接板机接收并叠放后，传送至晾晒架进行养护工序。晾晒架在轨道上做循环移动，养护间内配备冷凝式除湿机。潮湿空气由风机抽吸进入除湿机，在蒸发器的作用下，通过降温实现除湿。在此过程中，空气中的水分子遇冷冷凝成液态水珠，同时蒸发器内的低温液态制冷剂吸收热量并蒸发。高温高压的气态制冷剂在冷凝器中释放热量，将经蒸发器处理后的冷空气加热至接近室温水平，随后处理后的干燥空气排出机外，通过该循环机制使室内湿度维持在适宜的相对湿度范围内。除湿机所收集的冷凝水被集中至水箱，回用于湿混工序。</w:t>
            </w:r>
          </w:p>
          <w:p w14:paraId="5D76B862">
            <w:pPr>
              <w:pStyle w:val="5"/>
              <w:bidi w:val="0"/>
              <w:jc w:val="both"/>
              <w:rPr>
                <w:rFonts w:hint="default"/>
                <w:color w:val="auto"/>
                <w:lang w:val="en-US" w:eastAsia="zh-CN"/>
              </w:rPr>
            </w:pPr>
            <w:r>
              <w:rPr>
                <w:rFonts w:hint="eastAsia"/>
                <w:color w:val="auto"/>
                <w:lang w:val="en-US" w:eastAsia="zh-CN"/>
              </w:rPr>
              <w:t xml:space="preserve">养护间内的工业循环风采用下送风、上回风的气流组织形式。在此过程中，产生的废气随气流迅速向上流动，进入顶部回风道。在风循环过程中，会补充一定量的新鲜空气，同时排出废气。排出的废气经废气处理系统处理后，通过排气筒实现达标排放。在冬季需要保温时，启动电热风炉为养护间提供保温措施，以确保养护间内湿度处于40% ~60%，温度维持在20℃~35℃。电加热炉加热后，与新鲜空气混合形成热风，从养护间底部送入，顶部回风，气流自下而上流动，以保障养护间内各段的风量和温度均匀分布，从而使养护间内温度保持相对稳定。 </w:t>
            </w:r>
          </w:p>
          <w:p w14:paraId="3F8DEE4A">
            <w:pPr>
              <w:pStyle w:val="5"/>
              <w:numPr>
                <w:ilvl w:val="0"/>
                <w:numId w:val="7"/>
              </w:numPr>
              <w:ind w:firstLine="480"/>
              <w:jc w:val="both"/>
              <w:rPr>
                <w:rFonts w:hint="default"/>
                <w:color w:val="auto"/>
                <w:lang w:val="en-US" w:eastAsia="zh-CN"/>
              </w:rPr>
            </w:pPr>
            <w:r>
              <w:rPr>
                <w:rFonts w:hint="eastAsia"/>
                <w:color w:val="auto"/>
                <w:lang w:val="en-US" w:eastAsia="zh-CN"/>
              </w:rPr>
              <w:t>翻面、复合制板（B面）养护（B面）</w:t>
            </w:r>
          </w:p>
          <w:p w14:paraId="7822C65D">
            <w:pPr>
              <w:pStyle w:val="5"/>
              <w:bidi w:val="0"/>
              <w:jc w:val="both"/>
              <w:rPr>
                <w:color w:val="auto"/>
              </w:rPr>
            </w:pPr>
            <w:r>
              <w:rPr>
                <w:rFonts w:hint="eastAsia"/>
                <w:color w:val="auto"/>
                <w:lang w:val="en-US" w:eastAsia="zh-CN"/>
              </w:rPr>
              <w:t>待单面复合且处于待干燥状态的背衬板（A面）干燥完成后，借助顶升平移机将晾晒架上的板材输送至生产线，再利用180°翻转机对板材进行翻转操作，之后开展B面复合制板工序（该工序工艺与A面复合制板工艺相同）以及养护工序（该工序工艺与A面养护工艺相同）。</w:t>
            </w:r>
          </w:p>
          <w:p w14:paraId="1D1C3524">
            <w:pPr>
              <w:pStyle w:val="5"/>
              <w:numPr>
                <w:ilvl w:val="0"/>
                <w:numId w:val="7"/>
              </w:numPr>
              <w:ind w:firstLine="480"/>
              <w:jc w:val="both"/>
              <w:rPr>
                <w:color w:val="auto"/>
              </w:rPr>
            </w:pPr>
            <w:r>
              <w:rPr>
                <w:rFonts w:hint="eastAsia"/>
                <w:color w:val="auto"/>
                <w:lang w:val="en-US" w:eastAsia="zh-CN"/>
              </w:rPr>
              <w:t>修边切割</w:t>
            </w:r>
          </w:p>
          <w:p w14:paraId="60CCCE1F">
            <w:pPr>
              <w:pStyle w:val="5"/>
              <w:bidi w:val="0"/>
              <w:jc w:val="both"/>
              <w:rPr>
                <w:color w:val="auto"/>
              </w:rPr>
            </w:pPr>
            <w:r>
              <w:rPr>
                <w:rFonts w:hint="eastAsia"/>
                <w:color w:val="auto"/>
                <w:lang w:val="en-US" w:eastAsia="zh-CN"/>
              </w:rPr>
              <w:t>对背衬板复合层存在的不规整边角实施修整处理，并依据客户所提出的尺寸要求，将大板分切为符合客户需求的尺寸规格。此工序会产生废气、噪声以及固体废弃物。</w:t>
            </w:r>
          </w:p>
          <w:p w14:paraId="7DBE6792">
            <w:pPr>
              <w:pStyle w:val="5"/>
              <w:numPr>
                <w:ilvl w:val="0"/>
                <w:numId w:val="7"/>
              </w:numPr>
              <w:ind w:firstLine="480"/>
              <w:jc w:val="both"/>
              <w:rPr>
                <w:color w:val="auto"/>
              </w:rPr>
            </w:pPr>
            <w:r>
              <w:rPr>
                <w:rFonts w:hint="eastAsia"/>
                <w:color w:val="auto"/>
                <w:lang w:val="en-US" w:eastAsia="zh-CN"/>
              </w:rPr>
              <w:t>雕刻</w:t>
            </w:r>
          </w:p>
          <w:p w14:paraId="005723CC">
            <w:pPr>
              <w:pStyle w:val="5"/>
              <w:bidi w:val="0"/>
              <w:jc w:val="both"/>
              <w:rPr>
                <w:color w:val="auto"/>
              </w:rPr>
            </w:pPr>
            <w:r>
              <w:rPr>
                <w:rFonts w:hint="eastAsia"/>
                <w:color w:val="auto"/>
                <w:lang w:val="en-US" w:eastAsia="zh-CN"/>
              </w:rPr>
              <w:t>根据客户需要对背衬板的复合层进行雕刻处理，该工序会产生废气、噪声及固废。</w:t>
            </w:r>
          </w:p>
          <w:p w14:paraId="3F7BED2F">
            <w:pPr>
              <w:pStyle w:val="5"/>
              <w:numPr>
                <w:ilvl w:val="0"/>
                <w:numId w:val="7"/>
              </w:numPr>
              <w:ind w:firstLine="480"/>
              <w:jc w:val="both"/>
              <w:rPr>
                <w:rFonts w:hint="default"/>
                <w:color w:val="auto"/>
                <w:lang w:val="en-US" w:eastAsia="zh-CN"/>
              </w:rPr>
            </w:pPr>
            <w:r>
              <w:rPr>
                <w:rFonts w:hint="eastAsia"/>
                <w:color w:val="auto"/>
                <w:lang w:val="en-US" w:eastAsia="zh-CN"/>
              </w:rPr>
              <w:t>包装入库</w:t>
            </w:r>
          </w:p>
          <w:p w14:paraId="7D300D3F">
            <w:pPr>
              <w:pStyle w:val="5"/>
              <w:bidi w:val="0"/>
              <w:jc w:val="both"/>
              <w:rPr>
                <w:rFonts w:hint="default"/>
                <w:color w:val="auto"/>
                <w:lang w:val="en-US" w:eastAsia="zh-CN"/>
              </w:rPr>
            </w:pPr>
            <w:r>
              <w:rPr>
                <w:rFonts w:hint="eastAsia"/>
                <w:color w:val="auto"/>
                <w:lang w:val="en-US" w:eastAsia="zh-CN"/>
              </w:rPr>
              <w:t>按照规定数量打包后进入发货缓存区进行发货。</w:t>
            </w:r>
          </w:p>
          <w:p w14:paraId="6CEB7D3E">
            <w:pPr>
              <w:pStyle w:val="12"/>
              <w:rPr>
                <w:rFonts w:hint="default"/>
                <w:color w:val="auto"/>
                <w:lang w:val="en-US" w:eastAsia="zh-CN"/>
              </w:rPr>
            </w:pPr>
          </w:p>
          <w:p w14:paraId="0CEF9F30">
            <w:pPr>
              <w:pStyle w:val="12"/>
              <w:rPr>
                <w:color w:val="auto"/>
              </w:rPr>
            </w:pPr>
            <w:r>
              <w:rPr>
                <w:color w:val="auto"/>
              </w:rPr>
              <w:t xml:space="preserve">图 </w:t>
            </w:r>
            <w:r>
              <w:rPr>
                <w:rFonts w:hint="eastAsia"/>
                <w:color w:val="auto"/>
                <w:lang w:val="en-US" w:eastAsia="zh-CN"/>
              </w:rPr>
              <w:t>10</w:t>
            </w:r>
            <w:r>
              <w:rPr>
                <w:rFonts w:hint="eastAsia"/>
                <w:color w:val="auto"/>
              </w:rPr>
              <w:t xml:space="preserve"> 运营期工艺流程及产排污环节图</w:t>
            </w:r>
          </w:p>
          <w:p w14:paraId="6B43CAF1">
            <w:pPr>
              <w:pStyle w:val="20"/>
              <w:jc w:val="both"/>
              <w:rPr>
                <w:color w:val="auto"/>
              </w:rPr>
            </w:pPr>
          </w:p>
          <w:p w14:paraId="79781439">
            <w:pPr>
              <w:pStyle w:val="12"/>
              <w:rPr>
                <w:color w:val="auto"/>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17</w:t>
            </w:r>
            <w:r>
              <w:rPr>
                <w:color w:val="auto"/>
              </w:rPr>
              <w:fldChar w:fldCharType="end"/>
            </w:r>
            <w:r>
              <w:rPr>
                <w:rFonts w:hint="eastAsia"/>
                <w:color w:val="auto"/>
              </w:rPr>
              <w:t xml:space="preserve">  运营期产排污环节及处理措施表</w:t>
            </w:r>
          </w:p>
          <w:tbl>
            <w:tblPr>
              <w:tblStyle w:val="16"/>
              <w:tblW w:w="7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900"/>
              <w:gridCol w:w="1662"/>
              <w:gridCol w:w="1477"/>
              <w:gridCol w:w="2750"/>
            </w:tblGrid>
            <w:tr w14:paraId="2B5F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Align w:val="center"/>
                </w:tcPr>
                <w:p w14:paraId="2E4F74F3">
                  <w:pPr>
                    <w:pStyle w:val="19"/>
                    <w:rPr>
                      <w:color w:val="auto"/>
                    </w:rPr>
                  </w:pPr>
                  <w:r>
                    <w:rPr>
                      <w:rFonts w:hint="eastAsia"/>
                      <w:color w:val="auto"/>
                    </w:rPr>
                    <w:t>类别</w:t>
                  </w:r>
                </w:p>
              </w:tc>
              <w:tc>
                <w:tcPr>
                  <w:tcW w:w="900" w:type="dxa"/>
                  <w:vAlign w:val="center"/>
                </w:tcPr>
                <w:p w14:paraId="2359ECBF">
                  <w:pPr>
                    <w:pStyle w:val="19"/>
                    <w:rPr>
                      <w:rFonts w:hint="default" w:eastAsia="宋体"/>
                      <w:color w:val="auto"/>
                      <w:lang w:val="en-US" w:eastAsia="zh-CN"/>
                    </w:rPr>
                  </w:pPr>
                  <w:r>
                    <w:rPr>
                      <w:rFonts w:hint="eastAsia"/>
                      <w:color w:val="auto"/>
                      <w:lang w:val="en-US" w:eastAsia="zh-CN"/>
                    </w:rPr>
                    <w:t>编号</w:t>
                  </w:r>
                </w:p>
              </w:tc>
              <w:tc>
                <w:tcPr>
                  <w:tcW w:w="1662" w:type="dxa"/>
                  <w:vAlign w:val="center"/>
                </w:tcPr>
                <w:p w14:paraId="5D4B0F5E">
                  <w:pPr>
                    <w:pStyle w:val="19"/>
                    <w:rPr>
                      <w:color w:val="auto"/>
                    </w:rPr>
                  </w:pPr>
                  <w:r>
                    <w:rPr>
                      <w:rFonts w:hint="eastAsia"/>
                      <w:color w:val="auto"/>
                    </w:rPr>
                    <w:t>产污节点</w:t>
                  </w:r>
                </w:p>
              </w:tc>
              <w:tc>
                <w:tcPr>
                  <w:tcW w:w="1477" w:type="dxa"/>
                  <w:vAlign w:val="center"/>
                </w:tcPr>
                <w:p w14:paraId="38750AB9">
                  <w:pPr>
                    <w:pStyle w:val="19"/>
                    <w:rPr>
                      <w:color w:val="auto"/>
                    </w:rPr>
                  </w:pPr>
                  <w:r>
                    <w:rPr>
                      <w:rFonts w:hint="eastAsia"/>
                      <w:color w:val="auto"/>
                    </w:rPr>
                    <w:t>主要污染因子</w:t>
                  </w:r>
                </w:p>
              </w:tc>
              <w:tc>
                <w:tcPr>
                  <w:tcW w:w="2750" w:type="dxa"/>
                  <w:vAlign w:val="center"/>
                </w:tcPr>
                <w:p w14:paraId="45014416">
                  <w:pPr>
                    <w:pStyle w:val="19"/>
                    <w:rPr>
                      <w:color w:val="auto"/>
                    </w:rPr>
                  </w:pPr>
                  <w:r>
                    <w:rPr>
                      <w:rFonts w:hint="eastAsia"/>
                      <w:color w:val="auto"/>
                    </w:rPr>
                    <w:t>处理措施</w:t>
                  </w:r>
                </w:p>
              </w:tc>
            </w:tr>
            <w:tr w14:paraId="3E74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restart"/>
                  <w:vAlign w:val="center"/>
                </w:tcPr>
                <w:p w14:paraId="1F3C860A">
                  <w:pPr>
                    <w:pStyle w:val="19"/>
                    <w:rPr>
                      <w:color w:val="auto"/>
                    </w:rPr>
                  </w:pPr>
                  <w:r>
                    <w:rPr>
                      <w:rFonts w:hint="eastAsia"/>
                      <w:color w:val="auto"/>
                    </w:rPr>
                    <w:t>废气</w:t>
                  </w:r>
                </w:p>
              </w:tc>
              <w:tc>
                <w:tcPr>
                  <w:tcW w:w="900" w:type="dxa"/>
                  <w:vAlign w:val="center"/>
                </w:tcPr>
                <w:p w14:paraId="569AB818">
                  <w:pPr>
                    <w:pStyle w:val="19"/>
                    <w:rPr>
                      <w:color w:val="auto"/>
                    </w:rPr>
                  </w:pPr>
                  <w:r>
                    <w:rPr>
                      <w:rFonts w:hint="eastAsia"/>
                      <w:color w:val="auto"/>
                    </w:rPr>
                    <w:t>G1</w:t>
                  </w:r>
                </w:p>
              </w:tc>
              <w:tc>
                <w:tcPr>
                  <w:tcW w:w="1662" w:type="dxa"/>
                  <w:vAlign w:val="center"/>
                </w:tcPr>
                <w:p w14:paraId="4042BC45">
                  <w:pPr>
                    <w:pStyle w:val="19"/>
                    <w:rPr>
                      <w:rFonts w:hint="eastAsia" w:eastAsia="宋体"/>
                      <w:color w:val="auto"/>
                      <w:lang w:val="en-US" w:eastAsia="zh-CN"/>
                    </w:rPr>
                  </w:pPr>
                  <w:r>
                    <w:rPr>
                      <w:rFonts w:hint="eastAsia"/>
                      <w:color w:val="auto"/>
                      <w:lang w:val="en-US" w:eastAsia="zh-CN"/>
                    </w:rPr>
                    <w:t>干粉入仓</w:t>
                  </w:r>
                </w:p>
              </w:tc>
              <w:tc>
                <w:tcPr>
                  <w:tcW w:w="1477" w:type="dxa"/>
                  <w:vAlign w:val="center"/>
                </w:tcPr>
                <w:p w14:paraId="4EE2F1BA">
                  <w:pPr>
                    <w:pStyle w:val="19"/>
                    <w:rPr>
                      <w:rFonts w:hint="eastAsia" w:eastAsia="宋体"/>
                      <w:color w:val="auto"/>
                      <w:lang w:val="en-US" w:eastAsia="zh-CN"/>
                    </w:rPr>
                  </w:pPr>
                  <w:r>
                    <w:rPr>
                      <w:rFonts w:hint="eastAsia"/>
                      <w:color w:val="auto"/>
                      <w:lang w:val="en-US" w:eastAsia="zh-CN"/>
                    </w:rPr>
                    <w:t>颗粒物</w:t>
                  </w:r>
                </w:p>
              </w:tc>
              <w:tc>
                <w:tcPr>
                  <w:tcW w:w="2750" w:type="dxa"/>
                  <w:vAlign w:val="center"/>
                </w:tcPr>
                <w:p w14:paraId="459C935B">
                  <w:pPr>
                    <w:pStyle w:val="19"/>
                    <w:rPr>
                      <w:rFonts w:hint="default" w:eastAsia="宋体"/>
                      <w:color w:val="auto"/>
                      <w:lang w:val="en-US" w:eastAsia="zh-CN"/>
                    </w:rPr>
                  </w:pPr>
                  <w:r>
                    <w:rPr>
                      <w:rFonts w:hint="eastAsia"/>
                      <w:color w:val="auto"/>
                      <w:lang w:val="en-US" w:eastAsia="zh-CN"/>
                    </w:rPr>
                    <w:t>袋式除尘器处理后经20m高排气筒排放</w:t>
                  </w:r>
                </w:p>
              </w:tc>
            </w:tr>
            <w:tr w14:paraId="248D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76CD4163">
                  <w:pPr>
                    <w:pStyle w:val="19"/>
                    <w:rPr>
                      <w:color w:val="auto"/>
                    </w:rPr>
                  </w:pPr>
                </w:p>
              </w:tc>
              <w:tc>
                <w:tcPr>
                  <w:tcW w:w="900" w:type="dxa"/>
                  <w:vAlign w:val="center"/>
                </w:tcPr>
                <w:p w14:paraId="2725E4C7">
                  <w:pPr>
                    <w:pStyle w:val="19"/>
                    <w:rPr>
                      <w:color w:val="auto"/>
                    </w:rPr>
                  </w:pPr>
                  <w:r>
                    <w:rPr>
                      <w:rFonts w:hint="eastAsia"/>
                      <w:color w:val="auto"/>
                    </w:rPr>
                    <w:t>G2</w:t>
                  </w:r>
                </w:p>
              </w:tc>
              <w:tc>
                <w:tcPr>
                  <w:tcW w:w="1662" w:type="dxa"/>
                  <w:vAlign w:val="center"/>
                </w:tcPr>
                <w:p w14:paraId="7135C857">
                  <w:pPr>
                    <w:pStyle w:val="19"/>
                    <w:rPr>
                      <w:rFonts w:hint="default" w:eastAsia="宋体"/>
                      <w:color w:val="auto"/>
                      <w:lang w:val="en-US" w:eastAsia="zh-CN"/>
                    </w:rPr>
                  </w:pPr>
                  <w:r>
                    <w:rPr>
                      <w:rFonts w:hint="eastAsia"/>
                      <w:color w:val="auto"/>
                      <w:lang w:val="en-US" w:eastAsia="zh-CN"/>
                    </w:rPr>
                    <w:t>复合制板、养护</w:t>
                  </w:r>
                </w:p>
              </w:tc>
              <w:tc>
                <w:tcPr>
                  <w:tcW w:w="1477" w:type="dxa"/>
                  <w:vAlign w:val="center"/>
                </w:tcPr>
                <w:p w14:paraId="24450166">
                  <w:pPr>
                    <w:pStyle w:val="19"/>
                    <w:rPr>
                      <w:rFonts w:hint="default" w:eastAsia="宋体"/>
                      <w:color w:val="auto"/>
                      <w:lang w:val="en-US" w:eastAsia="zh-CN"/>
                    </w:rPr>
                  </w:pPr>
                  <w:r>
                    <w:rPr>
                      <w:rFonts w:hint="eastAsia"/>
                      <w:color w:val="auto"/>
                      <w:lang w:val="en-US" w:eastAsia="zh-CN"/>
                    </w:rPr>
                    <w:t>NMHC</w:t>
                  </w:r>
                </w:p>
              </w:tc>
              <w:tc>
                <w:tcPr>
                  <w:tcW w:w="2750" w:type="dxa"/>
                  <w:vAlign w:val="center"/>
                </w:tcPr>
                <w:p w14:paraId="000F4BD2">
                  <w:pPr>
                    <w:pStyle w:val="19"/>
                    <w:rPr>
                      <w:color w:val="auto"/>
                    </w:rPr>
                  </w:pPr>
                  <w:r>
                    <w:rPr>
                      <w:rFonts w:hint="eastAsia"/>
                      <w:color w:val="auto"/>
                    </w:rPr>
                    <w:t>经</w:t>
                  </w:r>
                  <w:r>
                    <w:rPr>
                      <w:rFonts w:hint="eastAsia"/>
                      <w:color w:val="auto"/>
                      <w:lang w:val="en-US" w:eastAsia="zh-CN"/>
                    </w:rPr>
                    <w:t>集气罩+二级</w:t>
                  </w:r>
                  <w:r>
                    <w:rPr>
                      <w:rFonts w:hint="eastAsia"/>
                      <w:color w:val="auto"/>
                    </w:rPr>
                    <w:t>活性炭装置处理后经</w:t>
                  </w:r>
                  <w:r>
                    <w:rPr>
                      <w:rFonts w:hint="eastAsia"/>
                      <w:color w:val="auto"/>
                      <w:lang w:val="en-US" w:eastAsia="zh-CN"/>
                    </w:rPr>
                    <w:t>20</w:t>
                  </w:r>
                  <w:r>
                    <w:rPr>
                      <w:rFonts w:hint="eastAsia"/>
                      <w:color w:val="auto"/>
                    </w:rPr>
                    <w:t>m高排气筒排放</w:t>
                  </w:r>
                </w:p>
              </w:tc>
            </w:tr>
            <w:tr w14:paraId="4836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79AE4403">
                  <w:pPr>
                    <w:pStyle w:val="19"/>
                    <w:rPr>
                      <w:color w:val="auto"/>
                    </w:rPr>
                  </w:pPr>
                </w:p>
              </w:tc>
              <w:tc>
                <w:tcPr>
                  <w:tcW w:w="900" w:type="dxa"/>
                  <w:vAlign w:val="center"/>
                </w:tcPr>
                <w:p w14:paraId="628F0D30">
                  <w:pPr>
                    <w:pStyle w:val="19"/>
                    <w:rPr>
                      <w:rFonts w:hint="eastAsia" w:eastAsia="宋体"/>
                      <w:color w:val="auto"/>
                      <w:lang w:val="en-US" w:eastAsia="zh-CN"/>
                    </w:rPr>
                  </w:pPr>
                  <w:r>
                    <w:rPr>
                      <w:rFonts w:hint="eastAsia"/>
                      <w:color w:val="auto"/>
                    </w:rPr>
                    <w:t>G</w:t>
                  </w:r>
                  <w:r>
                    <w:rPr>
                      <w:rFonts w:hint="eastAsia"/>
                      <w:color w:val="auto"/>
                      <w:lang w:val="en-US" w:eastAsia="zh-CN"/>
                    </w:rPr>
                    <w:t>3</w:t>
                  </w:r>
                </w:p>
              </w:tc>
              <w:tc>
                <w:tcPr>
                  <w:tcW w:w="1662" w:type="dxa"/>
                  <w:vAlign w:val="center"/>
                </w:tcPr>
                <w:p w14:paraId="1AD57800">
                  <w:pPr>
                    <w:pStyle w:val="19"/>
                    <w:rPr>
                      <w:rFonts w:hint="default" w:eastAsia="宋体"/>
                      <w:color w:val="auto"/>
                      <w:lang w:val="en-US" w:eastAsia="zh-CN"/>
                    </w:rPr>
                  </w:pPr>
                  <w:r>
                    <w:rPr>
                      <w:rFonts w:hint="eastAsia"/>
                      <w:color w:val="auto"/>
                      <w:lang w:val="en-US" w:eastAsia="zh-CN"/>
                    </w:rPr>
                    <w:t>修边切割、雕刻</w:t>
                  </w:r>
                </w:p>
              </w:tc>
              <w:tc>
                <w:tcPr>
                  <w:tcW w:w="1477" w:type="dxa"/>
                  <w:vAlign w:val="center"/>
                </w:tcPr>
                <w:p w14:paraId="7D207D54">
                  <w:pPr>
                    <w:pStyle w:val="19"/>
                    <w:rPr>
                      <w:rFonts w:hint="eastAsia" w:eastAsia="宋体"/>
                      <w:color w:val="auto"/>
                      <w:lang w:val="en-US" w:eastAsia="zh-CN"/>
                    </w:rPr>
                  </w:pPr>
                  <w:r>
                    <w:rPr>
                      <w:rFonts w:hint="eastAsia"/>
                      <w:color w:val="auto"/>
                      <w:lang w:val="en-US" w:eastAsia="zh-CN"/>
                    </w:rPr>
                    <w:t>颗粒物</w:t>
                  </w:r>
                </w:p>
              </w:tc>
              <w:tc>
                <w:tcPr>
                  <w:tcW w:w="2750" w:type="dxa"/>
                  <w:vAlign w:val="center"/>
                </w:tcPr>
                <w:p w14:paraId="3C686E93">
                  <w:pPr>
                    <w:pStyle w:val="19"/>
                    <w:rPr>
                      <w:color w:val="auto"/>
                    </w:rPr>
                  </w:pPr>
                  <w:r>
                    <w:rPr>
                      <w:rFonts w:hint="eastAsia"/>
                      <w:color w:val="auto"/>
                      <w:lang w:val="en-US" w:eastAsia="zh-CN"/>
                    </w:rPr>
                    <w:t>经集气罩+袋式除尘器处理后经20m高排气筒排放</w:t>
                  </w:r>
                </w:p>
              </w:tc>
            </w:tr>
            <w:tr w14:paraId="3A7B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restart"/>
                  <w:vAlign w:val="center"/>
                </w:tcPr>
                <w:p w14:paraId="359635EF">
                  <w:pPr>
                    <w:pStyle w:val="19"/>
                    <w:rPr>
                      <w:color w:val="auto"/>
                    </w:rPr>
                  </w:pPr>
                  <w:r>
                    <w:rPr>
                      <w:rFonts w:hint="eastAsia"/>
                      <w:color w:val="auto"/>
                    </w:rPr>
                    <w:t>固废</w:t>
                  </w:r>
                </w:p>
              </w:tc>
              <w:tc>
                <w:tcPr>
                  <w:tcW w:w="900" w:type="dxa"/>
                  <w:vAlign w:val="center"/>
                </w:tcPr>
                <w:p w14:paraId="0D104467">
                  <w:pPr>
                    <w:pStyle w:val="19"/>
                    <w:rPr>
                      <w:color w:val="auto"/>
                    </w:rPr>
                  </w:pPr>
                  <w:r>
                    <w:rPr>
                      <w:rFonts w:hint="eastAsia"/>
                      <w:color w:val="auto"/>
                    </w:rPr>
                    <w:t>S1</w:t>
                  </w:r>
                </w:p>
              </w:tc>
              <w:tc>
                <w:tcPr>
                  <w:tcW w:w="1662" w:type="dxa"/>
                  <w:vAlign w:val="center"/>
                </w:tcPr>
                <w:p w14:paraId="2EC5429E">
                  <w:pPr>
                    <w:pStyle w:val="19"/>
                    <w:rPr>
                      <w:rFonts w:hint="eastAsia" w:eastAsia="宋体"/>
                      <w:color w:val="auto"/>
                      <w:lang w:val="en-US" w:eastAsia="zh-CN"/>
                    </w:rPr>
                  </w:pPr>
                  <w:r>
                    <w:rPr>
                      <w:rFonts w:hint="eastAsia"/>
                      <w:color w:val="auto"/>
                      <w:lang w:val="en-US" w:eastAsia="zh-CN"/>
                    </w:rPr>
                    <w:t>废包装袋</w:t>
                  </w:r>
                </w:p>
              </w:tc>
              <w:tc>
                <w:tcPr>
                  <w:tcW w:w="1477" w:type="dxa"/>
                  <w:vAlign w:val="center"/>
                </w:tcPr>
                <w:p w14:paraId="67B8B215">
                  <w:pPr>
                    <w:pStyle w:val="19"/>
                    <w:rPr>
                      <w:color w:val="auto"/>
                    </w:rPr>
                  </w:pPr>
                  <w:r>
                    <w:rPr>
                      <w:rFonts w:hint="eastAsia"/>
                      <w:color w:val="auto"/>
                    </w:rPr>
                    <w:t>/</w:t>
                  </w:r>
                </w:p>
              </w:tc>
              <w:tc>
                <w:tcPr>
                  <w:tcW w:w="2750" w:type="dxa"/>
                  <w:vAlign w:val="center"/>
                </w:tcPr>
                <w:p w14:paraId="718F823A">
                  <w:pPr>
                    <w:pStyle w:val="19"/>
                    <w:rPr>
                      <w:rFonts w:hint="default" w:eastAsia="宋体"/>
                      <w:color w:val="auto"/>
                      <w:lang w:val="en-US" w:eastAsia="zh-CN"/>
                    </w:rPr>
                  </w:pPr>
                  <w:r>
                    <w:rPr>
                      <w:rFonts w:hint="eastAsia"/>
                      <w:color w:val="auto"/>
                      <w:lang w:val="en-US" w:eastAsia="zh-CN"/>
                    </w:rPr>
                    <w:t>收集后外售</w:t>
                  </w:r>
                </w:p>
              </w:tc>
            </w:tr>
            <w:tr w14:paraId="6015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78" w:type="dxa"/>
                  <w:vMerge w:val="continue"/>
                  <w:vAlign w:val="center"/>
                </w:tcPr>
                <w:p w14:paraId="3E36C1EF">
                  <w:pPr>
                    <w:pStyle w:val="19"/>
                    <w:rPr>
                      <w:color w:val="auto"/>
                    </w:rPr>
                  </w:pPr>
                </w:p>
              </w:tc>
              <w:tc>
                <w:tcPr>
                  <w:tcW w:w="900" w:type="dxa"/>
                  <w:vAlign w:val="center"/>
                </w:tcPr>
                <w:p w14:paraId="525C71F3">
                  <w:pPr>
                    <w:pStyle w:val="19"/>
                    <w:rPr>
                      <w:color w:val="auto"/>
                    </w:rPr>
                  </w:pPr>
                  <w:r>
                    <w:rPr>
                      <w:rFonts w:hint="eastAsia"/>
                      <w:color w:val="auto"/>
                    </w:rPr>
                    <w:t>S2</w:t>
                  </w:r>
                </w:p>
              </w:tc>
              <w:tc>
                <w:tcPr>
                  <w:tcW w:w="1662" w:type="dxa"/>
                  <w:vAlign w:val="center"/>
                </w:tcPr>
                <w:p w14:paraId="6D89865F">
                  <w:pPr>
                    <w:pStyle w:val="19"/>
                    <w:rPr>
                      <w:color w:val="auto"/>
                    </w:rPr>
                  </w:pPr>
                  <w:r>
                    <w:rPr>
                      <w:rFonts w:hint="eastAsia"/>
                      <w:color w:val="auto"/>
                    </w:rPr>
                    <w:t>收尘灰</w:t>
                  </w:r>
                </w:p>
              </w:tc>
              <w:tc>
                <w:tcPr>
                  <w:tcW w:w="1477" w:type="dxa"/>
                  <w:vAlign w:val="center"/>
                </w:tcPr>
                <w:p w14:paraId="4224A66F">
                  <w:pPr>
                    <w:pStyle w:val="19"/>
                    <w:rPr>
                      <w:color w:val="auto"/>
                    </w:rPr>
                  </w:pPr>
                  <w:r>
                    <w:rPr>
                      <w:rFonts w:hint="eastAsia"/>
                      <w:color w:val="auto"/>
                    </w:rPr>
                    <w:t>/</w:t>
                  </w:r>
                </w:p>
              </w:tc>
              <w:tc>
                <w:tcPr>
                  <w:tcW w:w="2750" w:type="dxa"/>
                  <w:vAlign w:val="center"/>
                </w:tcPr>
                <w:p w14:paraId="1D174E2D">
                  <w:pPr>
                    <w:pStyle w:val="19"/>
                    <w:rPr>
                      <w:rFonts w:hint="default" w:eastAsia="宋体"/>
                      <w:color w:val="auto"/>
                      <w:lang w:val="en-US" w:eastAsia="zh-CN"/>
                    </w:rPr>
                  </w:pPr>
                  <w:r>
                    <w:rPr>
                      <w:rFonts w:hint="eastAsia"/>
                      <w:color w:val="auto"/>
                    </w:rPr>
                    <w:t>袋式除尘器收集的</w:t>
                  </w:r>
                  <w:r>
                    <w:rPr>
                      <w:rFonts w:hint="eastAsia"/>
                      <w:color w:val="auto"/>
                      <w:lang w:val="en-US" w:eastAsia="zh-CN"/>
                    </w:rPr>
                    <w:t>收尘灰全部回用于复合制板工序</w:t>
                  </w:r>
                </w:p>
              </w:tc>
            </w:tr>
            <w:tr w14:paraId="0680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3FB9DEF1">
                  <w:pPr>
                    <w:pStyle w:val="19"/>
                    <w:rPr>
                      <w:color w:val="auto"/>
                    </w:rPr>
                  </w:pPr>
                </w:p>
              </w:tc>
              <w:tc>
                <w:tcPr>
                  <w:tcW w:w="900" w:type="dxa"/>
                  <w:vAlign w:val="center"/>
                </w:tcPr>
                <w:p w14:paraId="6225953A">
                  <w:pPr>
                    <w:pStyle w:val="19"/>
                    <w:rPr>
                      <w:rFonts w:hint="default" w:eastAsia="宋体"/>
                      <w:color w:val="auto"/>
                      <w:lang w:val="en-US" w:eastAsia="zh-CN"/>
                    </w:rPr>
                  </w:pPr>
                  <w:r>
                    <w:rPr>
                      <w:rFonts w:hint="eastAsia"/>
                      <w:color w:val="auto"/>
                      <w:lang w:val="en-US" w:eastAsia="zh-CN"/>
                    </w:rPr>
                    <w:t>S3</w:t>
                  </w:r>
                </w:p>
              </w:tc>
              <w:tc>
                <w:tcPr>
                  <w:tcW w:w="1662" w:type="dxa"/>
                  <w:vAlign w:val="center"/>
                </w:tcPr>
                <w:p w14:paraId="48527AA5">
                  <w:pPr>
                    <w:pStyle w:val="19"/>
                    <w:rPr>
                      <w:rFonts w:hint="eastAsia" w:eastAsia="宋体"/>
                      <w:color w:val="auto"/>
                      <w:lang w:val="en-US" w:eastAsia="zh-CN"/>
                    </w:rPr>
                  </w:pPr>
                  <w:r>
                    <w:rPr>
                      <w:rFonts w:hint="eastAsia"/>
                      <w:color w:val="auto"/>
                      <w:lang w:val="en-US" w:eastAsia="zh-CN"/>
                    </w:rPr>
                    <w:t>边角料</w:t>
                  </w:r>
                </w:p>
              </w:tc>
              <w:tc>
                <w:tcPr>
                  <w:tcW w:w="1477" w:type="dxa"/>
                  <w:vAlign w:val="center"/>
                </w:tcPr>
                <w:p w14:paraId="4DFB29B4">
                  <w:pPr>
                    <w:pStyle w:val="19"/>
                    <w:rPr>
                      <w:rFonts w:hint="eastAsia" w:eastAsia="宋体"/>
                      <w:color w:val="auto"/>
                      <w:lang w:val="en-US" w:eastAsia="zh-CN"/>
                    </w:rPr>
                  </w:pPr>
                  <w:r>
                    <w:rPr>
                      <w:rFonts w:hint="eastAsia"/>
                      <w:color w:val="auto"/>
                      <w:lang w:val="en-US" w:eastAsia="zh-CN"/>
                    </w:rPr>
                    <w:t>/</w:t>
                  </w:r>
                </w:p>
              </w:tc>
              <w:tc>
                <w:tcPr>
                  <w:tcW w:w="2750" w:type="dxa"/>
                  <w:vAlign w:val="center"/>
                </w:tcPr>
                <w:p w14:paraId="36CC89B9">
                  <w:pPr>
                    <w:pStyle w:val="19"/>
                    <w:rPr>
                      <w:rFonts w:hint="eastAsia" w:eastAsia="宋体"/>
                      <w:color w:val="auto"/>
                      <w:lang w:val="en-US" w:eastAsia="zh-CN"/>
                    </w:rPr>
                  </w:pPr>
                  <w:r>
                    <w:rPr>
                      <w:rFonts w:hint="eastAsia"/>
                      <w:color w:val="auto"/>
                      <w:lang w:val="en-US" w:eastAsia="zh-CN"/>
                    </w:rPr>
                    <w:t>收集后外售</w:t>
                  </w:r>
                </w:p>
              </w:tc>
            </w:tr>
            <w:tr w14:paraId="7DEA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Align w:val="center"/>
                </w:tcPr>
                <w:p w14:paraId="1425C2E6">
                  <w:pPr>
                    <w:pStyle w:val="19"/>
                    <w:rPr>
                      <w:color w:val="auto"/>
                    </w:rPr>
                  </w:pPr>
                  <w:r>
                    <w:rPr>
                      <w:rFonts w:hint="eastAsia"/>
                      <w:color w:val="auto"/>
                    </w:rPr>
                    <w:t>危险废物</w:t>
                  </w:r>
                </w:p>
              </w:tc>
              <w:tc>
                <w:tcPr>
                  <w:tcW w:w="900" w:type="dxa"/>
                  <w:vAlign w:val="center"/>
                </w:tcPr>
                <w:p w14:paraId="2DC7A7B7">
                  <w:pPr>
                    <w:pStyle w:val="19"/>
                    <w:rPr>
                      <w:rFonts w:hint="default" w:eastAsia="宋体"/>
                      <w:color w:val="auto"/>
                      <w:lang w:val="en-US" w:eastAsia="zh-CN"/>
                    </w:rPr>
                  </w:pPr>
                  <w:r>
                    <w:rPr>
                      <w:rFonts w:hint="eastAsia"/>
                      <w:color w:val="auto"/>
                      <w:lang w:val="en-US" w:eastAsia="zh-CN"/>
                    </w:rPr>
                    <w:t>HW49</w:t>
                  </w:r>
                </w:p>
              </w:tc>
              <w:tc>
                <w:tcPr>
                  <w:tcW w:w="1662" w:type="dxa"/>
                  <w:vAlign w:val="center"/>
                </w:tcPr>
                <w:p w14:paraId="72C5C3D0">
                  <w:pPr>
                    <w:pStyle w:val="19"/>
                    <w:rPr>
                      <w:rFonts w:hint="eastAsia"/>
                      <w:color w:val="auto"/>
                      <w:lang w:val="en-US" w:eastAsia="zh-CN"/>
                    </w:rPr>
                  </w:pPr>
                  <w:r>
                    <w:rPr>
                      <w:rFonts w:hint="eastAsia"/>
                      <w:color w:val="auto"/>
                      <w:lang w:val="en-US" w:eastAsia="zh-CN"/>
                    </w:rPr>
                    <w:t>废活性炭</w:t>
                  </w:r>
                </w:p>
                <w:p w14:paraId="370030A1">
                  <w:pPr>
                    <w:pStyle w:val="19"/>
                    <w:rPr>
                      <w:rFonts w:hint="eastAsia"/>
                      <w:color w:val="auto"/>
                      <w:lang w:val="en-US" w:eastAsia="zh-CN"/>
                    </w:rPr>
                  </w:pPr>
                  <w:r>
                    <w:rPr>
                      <w:rFonts w:hint="eastAsia"/>
                      <w:color w:val="auto"/>
                      <w:lang w:val="en-US" w:eastAsia="zh-CN"/>
                    </w:rPr>
                    <w:t>(900-039-49)</w:t>
                  </w:r>
                </w:p>
              </w:tc>
              <w:tc>
                <w:tcPr>
                  <w:tcW w:w="1477" w:type="dxa"/>
                  <w:vAlign w:val="center"/>
                </w:tcPr>
                <w:p w14:paraId="72AA0F3C">
                  <w:pPr>
                    <w:pStyle w:val="19"/>
                    <w:rPr>
                      <w:color w:val="auto"/>
                    </w:rPr>
                  </w:pPr>
                  <w:r>
                    <w:rPr>
                      <w:rFonts w:hint="eastAsia"/>
                      <w:color w:val="auto"/>
                    </w:rPr>
                    <w:t>/</w:t>
                  </w:r>
                </w:p>
              </w:tc>
              <w:tc>
                <w:tcPr>
                  <w:tcW w:w="2750" w:type="dxa"/>
                  <w:vAlign w:val="center"/>
                </w:tcPr>
                <w:p w14:paraId="1AAAEFF7">
                  <w:pPr>
                    <w:pStyle w:val="19"/>
                    <w:rPr>
                      <w:color w:val="auto"/>
                    </w:rPr>
                  </w:pPr>
                  <w:r>
                    <w:rPr>
                      <w:rFonts w:hint="eastAsia"/>
                      <w:color w:val="auto"/>
                    </w:rPr>
                    <w:t>收集于</w:t>
                  </w:r>
                  <w:r>
                    <w:rPr>
                      <w:rFonts w:hint="eastAsia"/>
                      <w:color w:val="auto"/>
                      <w:lang w:eastAsia="zh-CN"/>
                    </w:rPr>
                    <w:t>危废暂存库</w:t>
                  </w:r>
                  <w:r>
                    <w:rPr>
                      <w:rFonts w:hint="eastAsia"/>
                      <w:color w:val="auto"/>
                    </w:rPr>
                    <w:t>，委托有处理资质的单位安全处置</w:t>
                  </w:r>
                </w:p>
              </w:tc>
            </w:tr>
            <w:tr w14:paraId="7E793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Align w:val="center"/>
                </w:tcPr>
                <w:p w14:paraId="269044AF">
                  <w:pPr>
                    <w:pStyle w:val="19"/>
                    <w:rPr>
                      <w:color w:val="auto"/>
                    </w:rPr>
                  </w:pPr>
                  <w:r>
                    <w:rPr>
                      <w:rFonts w:hint="eastAsia"/>
                      <w:color w:val="auto"/>
                    </w:rPr>
                    <w:t>废水</w:t>
                  </w:r>
                </w:p>
              </w:tc>
              <w:tc>
                <w:tcPr>
                  <w:tcW w:w="900" w:type="dxa"/>
                  <w:vAlign w:val="center"/>
                </w:tcPr>
                <w:p w14:paraId="1032906D">
                  <w:pPr>
                    <w:pStyle w:val="19"/>
                    <w:rPr>
                      <w:rFonts w:hint="default" w:eastAsia="宋体"/>
                      <w:color w:val="auto"/>
                      <w:lang w:val="en-US" w:eastAsia="zh-CN"/>
                    </w:rPr>
                  </w:pPr>
                  <w:r>
                    <w:rPr>
                      <w:rFonts w:hint="eastAsia"/>
                      <w:color w:val="auto"/>
                      <w:lang w:val="en-US" w:eastAsia="zh-CN"/>
                    </w:rPr>
                    <w:t>W1</w:t>
                  </w:r>
                </w:p>
              </w:tc>
              <w:tc>
                <w:tcPr>
                  <w:tcW w:w="1662" w:type="dxa"/>
                  <w:vAlign w:val="center"/>
                </w:tcPr>
                <w:p w14:paraId="3F5322E9">
                  <w:pPr>
                    <w:pStyle w:val="19"/>
                    <w:rPr>
                      <w:rFonts w:hint="eastAsia" w:eastAsia="宋体"/>
                      <w:color w:val="auto"/>
                      <w:lang w:val="en-US" w:eastAsia="zh-CN"/>
                    </w:rPr>
                  </w:pPr>
                  <w:r>
                    <w:rPr>
                      <w:rFonts w:hint="eastAsia"/>
                      <w:color w:val="auto"/>
                      <w:lang w:val="en-US" w:eastAsia="zh-CN"/>
                    </w:rPr>
                    <w:t>生活污水</w:t>
                  </w:r>
                </w:p>
              </w:tc>
              <w:tc>
                <w:tcPr>
                  <w:tcW w:w="1477" w:type="dxa"/>
                  <w:vAlign w:val="center"/>
                </w:tcPr>
                <w:p w14:paraId="5F197B78">
                  <w:pPr>
                    <w:pStyle w:val="19"/>
                    <w:rPr>
                      <w:rFonts w:hint="default" w:eastAsia="宋体"/>
                      <w:color w:val="auto"/>
                      <w:lang w:val="en-US" w:eastAsia="zh-CN"/>
                    </w:rPr>
                  </w:pPr>
                  <w:r>
                    <w:rPr>
                      <w:rFonts w:hint="eastAsia"/>
                      <w:color w:val="auto"/>
                      <w:lang w:val="en-US" w:eastAsia="zh-CN"/>
                    </w:rPr>
                    <w:t>COD、SS、氨氮等</w:t>
                  </w:r>
                </w:p>
              </w:tc>
              <w:tc>
                <w:tcPr>
                  <w:tcW w:w="2750" w:type="dxa"/>
                  <w:vAlign w:val="center"/>
                </w:tcPr>
                <w:p w14:paraId="7A3CCDBB">
                  <w:pPr>
                    <w:pStyle w:val="19"/>
                    <w:rPr>
                      <w:color w:val="auto"/>
                    </w:rPr>
                  </w:pPr>
                  <w:r>
                    <w:rPr>
                      <w:rFonts w:hint="eastAsia"/>
                      <w:color w:val="auto"/>
                    </w:rPr>
                    <w:t>依托园区污水处理厂处理</w:t>
                  </w:r>
                </w:p>
              </w:tc>
            </w:tr>
            <w:tr w14:paraId="17FA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restart"/>
                  <w:vAlign w:val="center"/>
                </w:tcPr>
                <w:p w14:paraId="079B78A7">
                  <w:pPr>
                    <w:pStyle w:val="19"/>
                    <w:rPr>
                      <w:rFonts w:hint="eastAsia" w:eastAsia="宋体"/>
                      <w:color w:val="auto"/>
                      <w:lang w:val="en-US" w:eastAsia="zh-CN"/>
                    </w:rPr>
                  </w:pPr>
                  <w:r>
                    <w:rPr>
                      <w:rFonts w:hint="eastAsia"/>
                      <w:color w:val="auto"/>
                      <w:lang w:val="en-US" w:eastAsia="zh-CN"/>
                    </w:rPr>
                    <w:t>噪声</w:t>
                  </w:r>
                </w:p>
              </w:tc>
              <w:tc>
                <w:tcPr>
                  <w:tcW w:w="900" w:type="dxa"/>
                  <w:vAlign w:val="center"/>
                </w:tcPr>
                <w:p w14:paraId="58341E1C">
                  <w:pPr>
                    <w:pStyle w:val="19"/>
                    <w:rPr>
                      <w:rFonts w:hint="default"/>
                      <w:color w:val="auto"/>
                      <w:lang w:val="en-US" w:eastAsia="zh-CN"/>
                    </w:rPr>
                  </w:pPr>
                  <w:r>
                    <w:rPr>
                      <w:rFonts w:hint="eastAsia"/>
                      <w:color w:val="auto"/>
                      <w:lang w:val="en-US" w:eastAsia="zh-CN"/>
                    </w:rPr>
                    <w:t>N1</w:t>
                  </w:r>
                </w:p>
              </w:tc>
              <w:tc>
                <w:tcPr>
                  <w:tcW w:w="1662" w:type="dxa"/>
                  <w:vAlign w:val="center"/>
                </w:tcPr>
                <w:p w14:paraId="346CB8A9">
                  <w:pPr>
                    <w:pStyle w:val="19"/>
                    <w:rPr>
                      <w:rFonts w:hint="default"/>
                      <w:color w:val="auto"/>
                      <w:lang w:val="en-US" w:eastAsia="zh-CN"/>
                    </w:rPr>
                  </w:pPr>
                  <w:r>
                    <w:rPr>
                      <w:rFonts w:hint="eastAsia"/>
                      <w:color w:val="auto"/>
                      <w:lang w:val="en-US" w:eastAsia="zh-CN"/>
                    </w:rPr>
                    <w:t>运输噪声</w:t>
                  </w:r>
                </w:p>
              </w:tc>
              <w:tc>
                <w:tcPr>
                  <w:tcW w:w="1477" w:type="dxa"/>
                  <w:vAlign w:val="center"/>
                </w:tcPr>
                <w:p w14:paraId="629DAD01">
                  <w:pPr>
                    <w:pStyle w:val="19"/>
                    <w:rPr>
                      <w:rFonts w:hint="default"/>
                      <w:color w:val="auto"/>
                      <w:lang w:val="en-US" w:eastAsia="zh-CN"/>
                    </w:rPr>
                  </w:pPr>
                  <w:r>
                    <w:rPr>
                      <w:rFonts w:hint="eastAsia"/>
                      <w:color w:val="auto"/>
                      <w:lang w:val="en-US" w:eastAsia="zh-CN"/>
                    </w:rPr>
                    <w:t>/</w:t>
                  </w:r>
                </w:p>
              </w:tc>
              <w:tc>
                <w:tcPr>
                  <w:tcW w:w="2750" w:type="dxa"/>
                  <w:vMerge w:val="restart"/>
                  <w:vAlign w:val="center"/>
                </w:tcPr>
                <w:p w14:paraId="5C8C9F22">
                  <w:pPr>
                    <w:pStyle w:val="19"/>
                    <w:rPr>
                      <w:rFonts w:hint="eastAsia"/>
                      <w:color w:val="auto"/>
                    </w:rPr>
                  </w:pPr>
                  <w:r>
                    <w:rPr>
                      <w:rFonts w:hint="eastAsia"/>
                      <w:color w:val="auto"/>
                    </w:rPr>
                    <w:t>采用低噪声设备，减振、消声、隔声等措施</w:t>
                  </w:r>
                </w:p>
              </w:tc>
            </w:tr>
            <w:tr w14:paraId="2F73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78EE74BB">
                  <w:pPr>
                    <w:pStyle w:val="19"/>
                    <w:rPr>
                      <w:rFonts w:hint="eastAsia"/>
                      <w:color w:val="auto"/>
                      <w:lang w:val="en-US" w:eastAsia="zh-CN"/>
                    </w:rPr>
                  </w:pPr>
                </w:p>
              </w:tc>
              <w:tc>
                <w:tcPr>
                  <w:tcW w:w="900" w:type="dxa"/>
                  <w:vAlign w:val="center"/>
                </w:tcPr>
                <w:p w14:paraId="30FF308C">
                  <w:pPr>
                    <w:pStyle w:val="19"/>
                    <w:rPr>
                      <w:rFonts w:hint="default"/>
                      <w:color w:val="auto"/>
                      <w:lang w:val="en-US" w:eastAsia="zh-CN"/>
                    </w:rPr>
                  </w:pPr>
                  <w:r>
                    <w:rPr>
                      <w:rFonts w:hint="eastAsia"/>
                      <w:color w:val="auto"/>
                      <w:lang w:val="en-US" w:eastAsia="zh-CN"/>
                    </w:rPr>
                    <w:t>N2</w:t>
                  </w:r>
                </w:p>
              </w:tc>
              <w:tc>
                <w:tcPr>
                  <w:tcW w:w="1662" w:type="dxa"/>
                  <w:vAlign w:val="center"/>
                </w:tcPr>
                <w:p w14:paraId="2A0A8934">
                  <w:pPr>
                    <w:pStyle w:val="19"/>
                    <w:rPr>
                      <w:rFonts w:hint="default"/>
                      <w:color w:val="auto"/>
                      <w:lang w:val="en-US" w:eastAsia="zh-CN"/>
                    </w:rPr>
                  </w:pPr>
                  <w:r>
                    <w:rPr>
                      <w:rFonts w:hint="eastAsia"/>
                      <w:color w:val="auto"/>
                      <w:lang w:val="en-US" w:eastAsia="zh-CN"/>
                    </w:rPr>
                    <w:t>搅拌噪声</w:t>
                  </w:r>
                </w:p>
              </w:tc>
              <w:tc>
                <w:tcPr>
                  <w:tcW w:w="1477" w:type="dxa"/>
                  <w:vAlign w:val="center"/>
                </w:tcPr>
                <w:p w14:paraId="2833A395">
                  <w:pPr>
                    <w:pStyle w:val="19"/>
                    <w:rPr>
                      <w:rFonts w:hint="default"/>
                      <w:color w:val="auto"/>
                      <w:lang w:val="en-US" w:eastAsia="zh-CN"/>
                    </w:rPr>
                  </w:pPr>
                  <w:r>
                    <w:rPr>
                      <w:rFonts w:hint="eastAsia"/>
                      <w:color w:val="auto"/>
                      <w:lang w:val="en-US" w:eastAsia="zh-CN"/>
                    </w:rPr>
                    <w:t>/</w:t>
                  </w:r>
                </w:p>
              </w:tc>
              <w:tc>
                <w:tcPr>
                  <w:tcW w:w="2750" w:type="dxa"/>
                  <w:vMerge w:val="continue"/>
                  <w:vAlign w:val="center"/>
                </w:tcPr>
                <w:p w14:paraId="7DC45EBE">
                  <w:pPr>
                    <w:pStyle w:val="19"/>
                    <w:rPr>
                      <w:rFonts w:hint="eastAsia"/>
                      <w:color w:val="auto"/>
                    </w:rPr>
                  </w:pPr>
                </w:p>
              </w:tc>
            </w:tr>
            <w:tr w14:paraId="7297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15ECB2FD">
                  <w:pPr>
                    <w:pStyle w:val="19"/>
                    <w:rPr>
                      <w:rFonts w:hint="eastAsia"/>
                      <w:color w:val="auto"/>
                      <w:lang w:val="en-US" w:eastAsia="zh-CN"/>
                    </w:rPr>
                  </w:pPr>
                </w:p>
              </w:tc>
              <w:tc>
                <w:tcPr>
                  <w:tcW w:w="900" w:type="dxa"/>
                  <w:vAlign w:val="center"/>
                </w:tcPr>
                <w:p w14:paraId="71C37049">
                  <w:pPr>
                    <w:pStyle w:val="19"/>
                    <w:rPr>
                      <w:rFonts w:hint="default"/>
                      <w:color w:val="auto"/>
                      <w:lang w:val="en-US" w:eastAsia="zh-CN"/>
                    </w:rPr>
                  </w:pPr>
                  <w:r>
                    <w:rPr>
                      <w:rFonts w:hint="eastAsia"/>
                      <w:color w:val="auto"/>
                      <w:lang w:val="en-US" w:eastAsia="zh-CN"/>
                    </w:rPr>
                    <w:t>N3</w:t>
                  </w:r>
                </w:p>
              </w:tc>
              <w:tc>
                <w:tcPr>
                  <w:tcW w:w="1662" w:type="dxa"/>
                  <w:vAlign w:val="center"/>
                </w:tcPr>
                <w:p w14:paraId="1A797A5F">
                  <w:pPr>
                    <w:pStyle w:val="19"/>
                    <w:rPr>
                      <w:rFonts w:hint="default"/>
                      <w:color w:val="auto"/>
                      <w:lang w:val="en-US" w:eastAsia="zh-CN"/>
                    </w:rPr>
                  </w:pPr>
                  <w:r>
                    <w:rPr>
                      <w:rFonts w:hint="eastAsia"/>
                      <w:color w:val="auto"/>
                      <w:lang w:val="en-US" w:eastAsia="zh-CN"/>
                    </w:rPr>
                    <w:t>设备运转噪声</w:t>
                  </w:r>
                </w:p>
              </w:tc>
              <w:tc>
                <w:tcPr>
                  <w:tcW w:w="1477" w:type="dxa"/>
                  <w:vAlign w:val="center"/>
                </w:tcPr>
                <w:p w14:paraId="2AD0FAD1">
                  <w:pPr>
                    <w:pStyle w:val="19"/>
                    <w:rPr>
                      <w:rFonts w:hint="default"/>
                      <w:color w:val="auto"/>
                      <w:lang w:val="en-US" w:eastAsia="zh-CN"/>
                    </w:rPr>
                  </w:pPr>
                  <w:r>
                    <w:rPr>
                      <w:rFonts w:hint="eastAsia"/>
                      <w:color w:val="auto"/>
                      <w:lang w:val="en-US" w:eastAsia="zh-CN"/>
                    </w:rPr>
                    <w:t>/</w:t>
                  </w:r>
                </w:p>
              </w:tc>
              <w:tc>
                <w:tcPr>
                  <w:tcW w:w="2750" w:type="dxa"/>
                  <w:vMerge w:val="continue"/>
                  <w:vAlign w:val="center"/>
                </w:tcPr>
                <w:p w14:paraId="1CA4C228">
                  <w:pPr>
                    <w:pStyle w:val="19"/>
                    <w:rPr>
                      <w:rFonts w:hint="eastAsia"/>
                      <w:color w:val="auto"/>
                    </w:rPr>
                  </w:pPr>
                </w:p>
              </w:tc>
            </w:tr>
            <w:tr w14:paraId="51C1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dxa"/>
                  <w:vMerge w:val="continue"/>
                  <w:vAlign w:val="center"/>
                </w:tcPr>
                <w:p w14:paraId="4480E48D">
                  <w:pPr>
                    <w:pStyle w:val="19"/>
                    <w:rPr>
                      <w:rFonts w:hint="eastAsia"/>
                      <w:color w:val="auto"/>
                      <w:lang w:val="en-US" w:eastAsia="zh-CN"/>
                    </w:rPr>
                  </w:pPr>
                </w:p>
              </w:tc>
              <w:tc>
                <w:tcPr>
                  <w:tcW w:w="900" w:type="dxa"/>
                  <w:vAlign w:val="center"/>
                </w:tcPr>
                <w:p w14:paraId="5B9B8170">
                  <w:pPr>
                    <w:pStyle w:val="19"/>
                    <w:rPr>
                      <w:rFonts w:hint="default"/>
                      <w:color w:val="auto"/>
                      <w:lang w:val="en-US" w:eastAsia="zh-CN"/>
                    </w:rPr>
                  </w:pPr>
                  <w:r>
                    <w:rPr>
                      <w:rFonts w:hint="eastAsia"/>
                      <w:color w:val="auto"/>
                      <w:lang w:val="en-US" w:eastAsia="zh-CN"/>
                    </w:rPr>
                    <w:t>N4</w:t>
                  </w:r>
                </w:p>
              </w:tc>
              <w:tc>
                <w:tcPr>
                  <w:tcW w:w="1662" w:type="dxa"/>
                  <w:vAlign w:val="center"/>
                </w:tcPr>
                <w:p w14:paraId="17C3DE86">
                  <w:pPr>
                    <w:pStyle w:val="19"/>
                    <w:rPr>
                      <w:rFonts w:hint="default"/>
                      <w:color w:val="auto"/>
                      <w:lang w:val="en-US" w:eastAsia="zh-CN"/>
                    </w:rPr>
                  </w:pPr>
                  <w:r>
                    <w:rPr>
                      <w:rFonts w:hint="eastAsia"/>
                      <w:color w:val="auto"/>
                      <w:lang w:val="en-US" w:eastAsia="zh-CN"/>
                    </w:rPr>
                    <w:t>切割、雕刻噪声</w:t>
                  </w:r>
                </w:p>
              </w:tc>
              <w:tc>
                <w:tcPr>
                  <w:tcW w:w="1477" w:type="dxa"/>
                  <w:vAlign w:val="center"/>
                </w:tcPr>
                <w:p w14:paraId="73DC2E38">
                  <w:pPr>
                    <w:pStyle w:val="19"/>
                    <w:rPr>
                      <w:rFonts w:hint="default"/>
                      <w:color w:val="auto"/>
                      <w:lang w:val="en-US" w:eastAsia="zh-CN"/>
                    </w:rPr>
                  </w:pPr>
                  <w:r>
                    <w:rPr>
                      <w:rFonts w:hint="eastAsia"/>
                      <w:color w:val="auto"/>
                      <w:lang w:val="en-US" w:eastAsia="zh-CN"/>
                    </w:rPr>
                    <w:t>/</w:t>
                  </w:r>
                </w:p>
              </w:tc>
              <w:tc>
                <w:tcPr>
                  <w:tcW w:w="2750" w:type="dxa"/>
                  <w:vMerge w:val="continue"/>
                  <w:vAlign w:val="center"/>
                </w:tcPr>
                <w:p w14:paraId="115883EA">
                  <w:pPr>
                    <w:pStyle w:val="19"/>
                    <w:rPr>
                      <w:rFonts w:hint="eastAsia"/>
                      <w:color w:val="auto"/>
                    </w:rPr>
                  </w:pPr>
                </w:p>
              </w:tc>
            </w:tr>
          </w:tbl>
          <w:p w14:paraId="29B91C42">
            <w:pPr>
              <w:pStyle w:val="5"/>
              <w:ind w:firstLine="0" w:firstLineChars="0"/>
              <w:jc w:val="both"/>
              <w:rPr>
                <w:rFonts w:hint="default"/>
                <w:color w:val="auto"/>
              </w:rPr>
            </w:pPr>
          </w:p>
        </w:tc>
      </w:tr>
      <w:tr w14:paraId="16C8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2" w:hRule="atLeast"/>
        </w:trPr>
        <w:tc>
          <w:tcPr>
            <w:tcW w:w="1447" w:type="dxa"/>
            <w:vAlign w:val="center"/>
          </w:tcPr>
          <w:p w14:paraId="5A95DEDC">
            <w:pPr>
              <w:pStyle w:val="14"/>
              <w:jc w:val="center"/>
              <w:rPr>
                <w:rFonts w:hint="eastAsia" w:ascii="黑体" w:hAnsi="黑体" w:eastAsia="黑体"/>
                <w:snapToGrid w:val="0"/>
                <w:color w:val="auto"/>
                <w:sz w:val="36"/>
                <w:szCs w:val="36"/>
              </w:rPr>
            </w:pPr>
            <w:r>
              <w:rPr>
                <w:color w:val="auto"/>
              </w:rPr>
              <w:t>与项目有关的原有环境污染问题</w:t>
            </w:r>
          </w:p>
        </w:tc>
        <w:tc>
          <w:tcPr>
            <w:tcW w:w="7406" w:type="dxa"/>
          </w:tcPr>
          <w:p w14:paraId="2A357D24">
            <w:pPr>
              <w:pStyle w:val="3"/>
              <w:jc w:val="both"/>
              <w:rPr>
                <w:rFonts w:hint="default"/>
                <w:color w:val="auto"/>
              </w:rPr>
            </w:pPr>
            <w:r>
              <w:rPr>
                <w:color w:val="auto"/>
              </w:rPr>
              <w:t>现有工程环保手续履行情况</w:t>
            </w:r>
          </w:p>
          <w:p w14:paraId="35A5F0BF">
            <w:pPr>
              <w:pStyle w:val="5"/>
              <w:ind w:firstLine="480"/>
              <w:jc w:val="both"/>
              <w:rPr>
                <w:color w:val="auto"/>
              </w:rPr>
            </w:pPr>
            <w:r>
              <w:rPr>
                <w:rFonts w:hint="eastAsia"/>
                <w:color w:val="auto"/>
              </w:rPr>
              <w:t>本项目为新建项目，不存在原有环境问题。项目建设区现状为空地。</w:t>
            </w:r>
          </w:p>
        </w:tc>
      </w:tr>
    </w:tbl>
    <w:p w14:paraId="4F0E581D">
      <w:pPr>
        <w:pStyle w:val="14"/>
        <w:jc w:val="center"/>
        <w:rPr>
          <w:rFonts w:hint="eastAsia" w:ascii="黑体" w:hAnsi="黑体" w:eastAsia="黑体"/>
          <w:snapToGrid w:val="0"/>
          <w:color w:val="auto"/>
          <w:sz w:val="36"/>
          <w:szCs w:val="36"/>
        </w:rPr>
        <w:sectPr>
          <w:pgSz w:w="11906" w:h="16838"/>
          <w:pgMar w:top="1701" w:right="1531" w:bottom="1701" w:left="1531" w:header="851" w:footer="851" w:gutter="0"/>
          <w:pgNumType w:fmt="decimal"/>
          <w:cols w:space="720" w:num="1"/>
          <w:docGrid w:linePitch="312" w:charSpace="0"/>
        </w:sectPr>
      </w:pPr>
    </w:p>
    <w:p w14:paraId="65B5EB5A">
      <w:pPr>
        <w:pStyle w:val="2"/>
        <w:rPr>
          <w:color w:val="auto"/>
        </w:rPr>
      </w:pPr>
      <w:r>
        <w:rPr>
          <w:rFonts w:hint="eastAsia"/>
          <w:color w:val="auto"/>
        </w:rPr>
        <w:t>区域环境质量现状、环境保护目标及评价标准</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7598"/>
      </w:tblGrid>
      <w:tr w14:paraId="7E1BA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vAlign w:val="center"/>
          </w:tcPr>
          <w:p w14:paraId="15B85B77">
            <w:pPr>
              <w:pStyle w:val="5"/>
              <w:bidi w:val="0"/>
              <w:ind w:left="0" w:leftChars="0" w:firstLine="0" w:firstLineChars="0"/>
              <w:jc w:val="center"/>
              <w:rPr>
                <w:color w:val="auto"/>
              </w:rPr>
            </w:pPr>
            <w:r>
              <w:rPr>
                <w:rFonts w:hint="eastAsia"/>
                <w:color w:val="auto"/>
              </w:rPr>
              <w:t>区域环境质量现状</w:t>
            </w:r>
          </w:p>
        </w:tc>
        <w:tc>
          <w:tcPr>
            <w:tcW w:w="7598" w:type="dxa"/>
          </w:tcPr>
          <w:p w14:paraId="5C9992E9">
            <w:pPr>
              <w:pStyle w:val="3"/>
              <w:rPr>
                <w:rFonts w:hint="default"/>
                <w:color w:val="auto"/>
              </w:rPr>
            </w:pPr>
            <w:r>
              <w:rPr>
                <w:color w:val="auto"/>
              </w:rPr>
              <w:t>大气环境质量现状</w:t>
            </w:r>
          </w:p>
          <w:p w14:paraId="0AA5D4B5">
            <w:pPr>
              <w:pStyle w:val="4"/>
              <w:bidi w:val="0"/>
              <w:rPr>
                <w:rFonts w:hint="default"/>
                <w:color w:val="auto"/>
              </w:rPr>
            </w:pPr>
            <w:r>
              <w:rPr>
                <w:color w:val="auto"/>
              </w:rPr>
              <w:t>环境空气质量现状</w:t>
            </w:r>
          </w:p>
          <w:p w14:paraId="6975D26A">
            <w:pPr>
              <w:ind w:firstLine="480"/>
              <w:rPr>
                <w:rFonts w:hint="eastAsia"/>
                <w:color w:val="auto"/>
              </w:rPr>
            </w:pPr>
            <w:r>
              <w:rPr>
                <w:color w:val="auto"/>
              </w:rPr>
              <w:t>根据</w:t>
            </w:r>
            <w:r>
              <w:rPr>
                <w:rFonts w:hint="eastAsia"/>
                <w:color w:val="auto"/>
                <w:lang w:eastAsia="zh-CN"/>
              </w:rPr>
              <w:t>《巴音郭楞蒙古自治州2025年生态环境状况公报》，</w:t>
            </w:r>
            <w:r>
              <w:rPr>
                <w:rFonts w:hint="eastAsia"/>
                <w:color w:val="auto"/>
                <w:lang w:val="en-US" w:eastAsia="zh-CN"/>
              </w:rPr>
              <w:t>2025年</w:t>
            </w:r>
            <w:r>
              <w:rPr>
                <w:rFonts w:hint="eastAsia"/>
                <w:color w:val="auto"/>
              </w:rPr>
              <w:t>全州空气质量综合指数为</w:t>
            </w:r>
            <w:r>
              <w:rPr>
                <w:rFonts w:hint="eastAsia"/>
                <w:color w:val="auto"/>
                <w:lang w:val="en-US" w:eastAsia="zh-CN"/>
              </w:rPr>
              <w:t>6.31</w:t>
            </w:r>
            <w:r>
              <w:rPr>
                <w:rFonts w:hint="eastAsia"/>
                <w:color w:val="auto"/>
              </w:rPr>
              <w:t>，较2024年上升20.69%，空气质量有所下降</w:t>
            </w:r>
            <w:r>
              <w:rPr>
                <w:rFonts w:hint="eastAsia"/>
                <w:color w:val="auto"/>
                <w:lang w:eastAsia="zh-CN"/>
              </w:rPr>
              <w:t>，</w:t>
            </w:r>
            <w:r>
              <w:rPr>
                <w:rFonts w:hint="eastAsia"/>
                <w:color w:val="auto"/>
              </w:rPr>
              <w:t>PM</w:t>
            </w:r>
            <w:r>
              <w:rPr>
                <w:rFonts w:hint="eastAsia"/>
                <w:color w:val="auto"/>
                <w:vertAlign w:val="subscript"/>
              </w:rPr>
              <w:t>10</w:t>
            </w:r>
            <w:r>
              <w:rPr>
                <w:rFonts w:hint="eastAsia"/>
                <w:color w:val="auto"/>
              </w:rPr>
              <w:t>为首要污染物，未出现PM</w:t>
            </w:r>
            <w:r>
              <w:rPr>
                <w:rFonts w:hint="eastAsia"/>
                <w:color w:val="auto"/>
                <w:vertAlign w:val="subscript"/>
              </w:rPr>
              <w:t>2.5</w:t>
            </w:r>
            <w:r>
              <w:rPr>
                <w:rFonts w:hint="eastAsia"/>
                <w:color w:val="auto"/>
              </w:rPr>
              <w:t>、O</w:t>
            </w:r>
            <w:r>
              <w:rPr>
                <w:rFonts w:hint="eastAsia"/>
                <w:color w:val="auto"/>
                <w:vertAlign w:val="subscript"/>
              </w:rPr>
              <w:t>3</w:t>
            </w:r>
            <w:r>
              <w:rPr>
                <w:rFonts w:hint="eastAsia"/>
                <w:color w:val="auto"/>
              </w:rPr>
              <w:t>-8H、SO</w:t>
            </w:r>
            <w:r>
              <w:rPr>
                <w:rFonts w:hint="eastAsia"/>
                <w:color w:val="auto"/>
                <w:vertAlign w:val="subscript"/>
              </w:rPr>
              <w:t>2</w:t>
            </w:r>
            <w:r>
              <w:rPr>
                <w:rFonts w:hint="eastAsia"/>
                <w:color w:val="auto"/>
              </w:rPr>
              <w:t>、NO</w:t>
            </w:r>
            <w:r>
              <w:rPr>
                <w:rFonts w:hint="eastAsia"/>
                <w:color w:val="auto"/>
                <w:vertAlign w:val="subscript"/>
              </w:rPr>
              <w:t>2</w:t>
            </w:r>
            <w:r>
              <w:rPr>
                <w:rFonts w:hint="eastAsia"/>
                <w:color w:val="auto"/>
              </w:rPr>
              <w:t>、CO为首要污染物的超标天。</w:t>
            </w:r>
          </w:p>
          <w:p w14:paraId="415E7572">
            <w:pPr>
              <w:ind w:firstLine="480"/>
              <w:rPr>
                <w:color w:val="auto"/>
                <w:kern w:val="0"/>
              </w:rPr>
            </w:pPr>
            <w:r>
              <w:rPr>
                <w:rFonts w:hint="eastAsia"/>
                <w:color w:val="auto"/>
              </w:rPr>
              <w:t>根据《202</w:t>
            </w:r>
            <w:r>
              <w:rPr>
                <w:rFonts w:hint="eastAsia"/>
                <w:color w:val="auto"/>
                <w:lang w:val="en-US" w:eastAsia="zh-CN"/>
              </w:rPr>
              <w:t>5</w:t>
            </w:r>
            <w:r>
              <w:rPr>
                <w:rFonts w:hint="eastAsia"/>
                <w:color w:val="auto"/>
              </w:rPr>
              <w:t>巴音郭楞蒙古自治州生态环境状况公报》结论，项目所在区域SO</w:t>
            </w:r>
            <w:r>
              <w:rPr>
                <w:rFonts w:hint="eastAsia"/>
                <w:color w:val="auto"/>
                <w:vertAlign w:val="subscript"/>
              </w:rPr>
              <w:t>2</w:t>
            </w:r>
            <w:r>
              <w:rPr>
                <w:rFonts w:hint="eastAsia"/>
                <w:color w:val="auto"/>
              </w:rPr>
              <w:t>、NO</w:t>
            </w:r>
            <w:r>
              <w:rPr>
                <w:rFonts w:hint="eastAsia"/>
                <w:color w:val="auto"/>
                <w:vertAlign w:val="subscript"/>
              </w:rPr>
              <w:t>2</w:t>
            </w:r>
            <w:r>
              <w:rPr>
                <w:rFonts w:hint="eastAsia"/>
                <w:color w:val="auto"/>
              </w:rPr>
              <w:t>、CO和O</w:t>
            </w:r>
            <w:r>
              <w:rPr>
                <w:rFonts w:hint="eastAsia"/>
                <w:color w:val="auto"/>
                <w:vertAlign w:val="subscript"/>
              </w:rPr>
              <w:t>3</w:t>
            </w:r>
            <w:r>
              <w:rPr>
                <w:rFonts w:hint="eastAsia"/>
                <w:color w:val="auto"/>
              </w:rPr>
              <w:t>、PM</w:t>
            </w:r>
            <w:r>
              <w:rPr>
                <w:rFonts w:hint="eastAsia"/>
                <w:color w:val="auto"/>
                <w:vertAlign w:val="subscript"/>
              </w:rPr>
              <w:t>2.5</w:t>
            </w:r>
            <w:r>
              <w:rPr>
                <w:rFonts w:hint="eastAsia"/>
                <w:color w:val="auto"/>
              </w:rPr>
              <w:t>浓度均满足《环境空气质量标准》（GB</w:t>
            </w:r>
            <w:r>
              <w:rPr>
                <w:rFonts w:hint="eastAsia"/>
                <w:color w:val="auto"/>
                <w:lang w:eastAsia="zh-CN"/>
              </w:rPr>
              <w:t>3095-2026</w:t>
            </w:r>
            <w:r>
              <w:rPr>
                <w:rFonts w:hint="eastAsia"/>
                <w:color w:val="auto"/>
              </w:rPr>
              <w:t>）的</w:t>
            </w:r>
            <w:r>
              <w:rPr>
                <w:rFonts w:hint="eastAsia"/>
                <w:color w:val="auto"/>
                <w:lang w:eastAsia="zh-CN"/>
              </w:rPr>
              <w:t>过渡阶段二级浓度要求，</w:t>
            </w:r>
            <w:r>
              <w:rPr>
                <w:rFonts w:hint="eastAsia"/>
                <w:color w:val="auto"/>
                <w:kern w:val="0"/>
              </w:rPr>
              <w:t>PM</w:t>
            </w:r>
            <w:r>
              <w:rPr>
                <w:rFonts w:hint="eastAsia"/>
                <w:color w:val="auto"/>
                <w:kern w:val="0"/>
                <w:vertAlign w:val="subscript"/>
              </w:rPr>
              <w:t>10</w:t>
            </w:r>
            <w:r>
              <w:rPr>
                <w:rFonts w:hint="eastAsia"/>
                <w:color w:val="auto"/>
                <w:kern w:val="0"/>
              </w:rPr>
              <w:t>年均值浓度超过《环境空气质量标准》（GB</w:t>
            </w:r>
            <w:r>
              <w:rPr>
                <w:rFonts w:hint="eastAsia"/>
                <w:color w:val="auto"/>
                <w:kern w:val="0"/>
                <w:lang w:eastAsia="zh-CN"/>
              </w:rPr>
              <w:t>3095-2026</w:t>
            </w:r>
            <w:r>
              <w:rPr>
                <w:rFonts w:hint="eastAsia"/>
                <w:color w:val="auto"/>
                <w:kern w:val="0"/>
              </w:rPr>
              <w:t>）的</w:t>
            </w:r>
            <w:r>
              <w:rPr>
                <w:rFonts w:hint="eastAsia"/>
                <w:color w:val="auto"/>
                <w:kern w:val="0"/>
                <w:lang w:eastAsia="zh-CN"/>
              </w:rPr>
              <w:t>过渡阶段二级浓度要求</w:t>
            </w:r>
            <w:r>
              <w:rPr>
                <w:rFonts w:hint="eastAsia"/>
                <w:color w:val="auto"/>
                <w:kern w:val="0"/>
              </w:rPr>
              <w:t>，本项目所在区域为非达标区域。</w:t>
            </w:r>
          </w:p>
          <w:p w14:paraId="661A41E3">
            <w:pPr>
              <w:adjustRightInd w:val="0"/>
              <w:snapToGrid w:val="0"/>
              <w:ind w:firstLine="480"/>
              <w:rPr>
                <w:color w:val="auto"/>
                <w:kern w:val="0"/>
              </w:rPr>
            </w:pPr>
            <w:r>
              <w:rPr>
                <w:rFonts w:hint="eastAsia"/>
                <w:color w:val="auto"/>
                <w:kern w:val="0"/>
              </w:rPr>
              <w:t>对于环境空气质量不达标区域需提交《大气环境不达标区域削减方案》，根据关于将巴音郭楞蒙古自治州纳入执行《生态环境影响评价技术导则大气环境（HJ2.2-2018）》差别化政策范围的复函（环办环评函</w:t>
            </w:r>
            <w:r>
              <w:rPr>
                <w:rFonts w:hint="eastAsia"/>
                <w:color w:val="auto"/>
                <w:kern w:val="0"/>
                <w:lang w:eastAsia="zh-CN"/>
              </w:rPr>
              <w:t>〔2020〕341号</w:t>
            </w:r>
            <w:r>
              <w:rPr>
                <w:rFonts w:hint="eastAsia"/>
                <w:color w:val="auto"/>
                <w:kern w:val="0"/>
              </w:rPr>
              <w:t>），本地区新建项目可不提供颗粒物区域削减方案。</w:t>
            </w:r>
          </w:p>
          <w:p w14:paraId="7B923037">
            <w:pPr>
              <w:pStyle w:val="4"/>
              <w:bidi w:val="0"/>
              <w:rPr>
                <w:rFonts w:hint="default"/>
                <w:color w:val="auto"/>
              </w:rPr>
            </w:pPr>
            <w:r>
              <w:rPr>
                <w:color w:val="auto"/>
              </w:rPr>
              <w:t>特征污染物现状</w:t>
            </w:r>
          </w:p>
          <w:p w14:paraId="3250AFFB">
            <w:pPr>
              <w:pStyle w:val="6"/>
              <w:rPr>
                <w:rFonts w:hint="default"/>
                <w:color w:val="auto"/>
              </w:rPr>
            </w:pPr>
            <w:r>
              <w:rPr>
                <w:color w:val="auto"/>
              </w:rPr>
              <w:t>监测因子</w:t>
            </w:r>
          </w:p>
          <w:p w14:paraId="665371B1">
            <w:pPr>
              <w:pStyle w:val="5"/>
              <w:ind w:firstLine="480"/>
              <w:rPr>
                <w:rFonts w:hint="eastAsia"/>
                <w:color w:val="auto"/>
                <w:lang w:val="en-US" w:eastAsia="zh-CN"/>
              </w:rPr>
            </w:pPr>
            <w:r>
              <w:rPr>
                <w:color w:val="auto"/>
              </w:rPr>
              <w:t>根据项目实际情况</w:t>
            </w:r>
            <w:r>
              <w:rPr>
                <w:rFonts w:hint="eastAsia"/>
                <w:color w:val="auto"/>
                <w:lang w:val="en-US" w:eastAsia="zh-CN"/>
              </w:rPr>
              <w:t>以及《排污单位自行监测技术指南 水泥工业》HJ 848-2017最终确定</w:t>
            </w:r>
            <w:r>
              <w:rPr>
                <w:color w:val="auto"/>
              </w:rPr>
              <w:t>本次补充监测因子为：TSP、</w:t>
            </w:r>
            <w:r>
              <w:rPr>
                <w:rFonts w:hint="eastAsia"/>
                <w:color w:val="auto"/>
                <w:lang w:val="en-US" w:eastAsia="zh-CN"/>
              </w:rPr>
              <w:t>非甲烷总烃。</w:t>
            </w:r>
          </w:p>
          <w:p w14:paraId="158BF4D7">
            <w:pPr>
              <w:pStyle w:val="6"/>
              <w:bidi w:val="0"/>
              <w:rPr>
                <w:rFonts w:hint="default"/>
                <w:color w:val="auto"/>
                <w:lang w:val="en-US" w:eastAsia="zh-CN"/>
              </w:rPr>
            </w:pPr>
            <w:r>
              <w:rPr>
                <w:rFonts w:hint="eastAsia"/>
                <w:color w:val="auto"/>
                <w:lang w:val="en-US" w:eastAsia="zh-CN"/>
              </w:rPr>
              <w:t>监测布点</w:t>
            </w:r>
          </w:p>
          <w:p w14:paraId="782C145B">
            <w:pPr>
              <w:pStyle w:val="5"/>
              <w:ind w:firstLine="480"/>
              <w:rPr>
                <w:rFonts w:hint="eastAsia"/>
                <w:color w:val="auto"/>
                <w:lang w:val="en-US" w:eastAsia="zh-CN"/>
              </w:rPr>
            </w:pPr>
            <w:r>
              <w:rPr>
                <w:rFonts w:hint="eastAsia"/>
                <w:color w:val="auto"/>
                <w:lang w:val="en-US" w:eastAsia="zh-CN"/>
              </w:rPr>
              <w:t>监测布点结合项目周边环境敏感点分布及主导风向，在项目下风向及周边敏感目标处共设置2个监测点。具体如下。</w:t>
            </w:r>
          </w:p>
          <w:p w14:paraId="1AD57CFB">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18</w:t>
            </w:r>
            <w:r>
              <w:rPr>
                <w:color w:val="auto"/>
              </w:rPr>
              <w:fldChar w:fldCharType="end"/>
            </w:r>
            <w:r>
              <w:rPr>
                <w:rFonts w:hint="eastAsia"/>
                <w:color w:val="auto"/>
                <w:lang w:val="en-US" w:eastAsia="zh-CN"/>
              </w:rPr>
              <w:t xml:space="preserve">  监测点位置信息</w:t>
            </w:r>
          </w:p>
          <w:tbl>
            <w:tblPr>
              <w:tblStyle w:val="15"/>
              <w:tblW w:w="76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9"/>
              <w:gridCol w:w="2400"/>
              <w:gridCol w:w="3061"/>
              <w:gridCol w:w="1287"/>
            </w:tblGrid>
            <w:tr w14:paraId="240D31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19" w:type="dxa"/>
                  <w:tcMar>
                    <w:left w:w="0" w:type="dxa"/>
                    <w:right w:w="0" w:type="dxa"/>
                  </w:tcMar>
                  <w:vAlign w:val="center"/>
                </w:tcPr>
                <w:p w14:paraId="54F29193">
                  <w:pPr>
                    <w:pStyle w:val="19"/>
                    <w:bidi w:val="0"/>
                    <w:rPr>
                      <w:color w:val="auto"/>
                    </w:rPr>
                  </w:pPr>
                  <w:r>
                    <w:rPr>
                      <w:color w:val="auto"/>
                    </w:rPr>
                    <w:t>编号</w:t>
                  </w:r>
                </w:p>
              </w:tc>
              <w:tc>
                <w:tcPr>
                  <w:tcW w:w="2400" w:type="dxa"/>
                  <w:tcMar>
                    <w:left w:w="0" w:type="dxa"/>
                    <w:right w:w="0" w:type="dxa"/>
                  </w:tcMar>
                  <w:vAlign w:val="center"/>
                </w:tcPr>
                <w:p w14:paraId="6685F52E">
                  <w:pPr>
                    <w:pStyle w:val="19"/>
                    <w:bidi w:val="0"/>
                    <w:rPr>
                      <w:color w:val="auto"/>
                    </w:rPr>
                  </w:pPr>
                  <w:r>
                    <w:rPr>
                      <w:color w:val="auto"/>
                    </w:rPr>
                    <w:t>点位名称</w:t>
                  </w:r>
                </w:p>
              </w:tc>
              <w:tc>
                <w:tcPr>
                  <w:tcW w:w="3061" w:type="dxa"/>
                  <w:tcMar>
                    <w:left w:w="0" w:type="dxa"/>
                    <w:right w:w="0" w:type="dxa"/>
                  </w:tcMar>
                  <w:vAlign w:val="center"/>
                </w:tcPr>
                <w:p w14:paraId="1F2A578B">
                  <w:pPr>
                    <w:pStyle w:val="19"/>
                    <w:bidi w:val="0"/>
                    <w:rPr>
                      <w:color w:val="auto"/>
                    </w:rPr>
                  </w:pPr>
                  <w:r>
                    <w:rPr>
                      <w:color w:val="auto"/>
                    </w:rPr>
                    <w:t>地理坐标</w:t>
                  </w:r>
                </w:p>
              </w:tc>
              <w:tc>
                <w:tcPr>
                  <w:tcW w:w="1287" w:type="dxa"/>
                  <w:tcMar>
                    <w:left w:w="0" w:type="dxa"/>
                    <w:right w:w="0" w:type="dxa"/>
                  </w:tcMar>
                  <w:vAlign w:val="center"/>
                </w:tcPr>
                <w:p w14:paraId="50894E45">
                  <w:pPr>
                    <w:pStyle w:val="19"/>
                    <w:bidi w:val="0"/>
                    <w:rPr>
                      <w:color w:val="auto"/>
                    </w:rPr>
                  </w:pPr>
                  <w:r>
                    <w:rPr>
                      <w:color w:val="auto"/>
                    </w:rPr>
                    <w:t>与</w:t>
                  </w:r>
                  <w:r>
                    <w:rPr>
                      <w:rFonts w:hint="eastAsia"/>
                      <w:color w:val="auto"/>
                    </w:rPr>
                    <w:t>项目</w:t>
                  </w:r>
                  <w:r>
                    <w:rPr>
                      <w:color w:val="auto"/>
                    </w:rPr>
                    <w:t>方位及距离</w:t>
                  </w:r>
                </w:p>
              </w:tc>
            </w:tr>
            <w:tr w14:paraId="27C863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19" w:type="dxa"/>
                  <w:tcMar>
                    <w:left w:w="0" w:type="dxa"/>
                    <w:right w:w="0" w:type="dxa"/>
                  </w:tcMar>
                  <w:vAlign w:val="center"/>
                </w:tcPr>
                <w:p w14:paraId="39E1E8D3">
                  <w:pPr>
                    <w:pStyle w:val="19"/>
                    <w:bidi w:val="0"/>
                    <w:rPr>
                      <w:color w:val="auto"/>
                    </w:rPr>
                  </w:pPr>
                  <w:r>
                    <w:rPr>
                      <w:rFonts w:hint="eastAsia"/>
                      <w:color w:val="auto"/>
                      <w:lang w:val="en-US" w:eastAsia="zh-CN"/>
                    </w:rPr>
                    <w:t>气</w:t>
                  </w:r>
                  <w:r>
                    <w:rPr>
                      <w:color w:val="auto"/>
                    </w:rPr>
                    <w:t>1</w:t>
                  </w:r>
                </w:p>
              </w:tc>
              <w:tc>
                <w:tcPr>
                  <w:tcW w:w="2400" w:type="dxa"/>
                  <w:tcMar>
                    <w:left w:w="0" w:type="dxa"/>
                    <w:right w:w="0" w:type="dxa"/>
                  </w:tcMar>
                  <w:vAlign w:val="center"/>
                </w:tcPr>
                <w:p w14:paraId="34FEAB1C">
                  <w:pPr>
                    <w:pStyle w:val="19"/>
                    <w:bidi w:val="0"/>
                    <w:rPr>
                      <w:color w:val="auto"/>
                    </w:rPr>
                  </w:pPr>
                  <w:r>
                    <w:rPr>
                      <w:rFonts w:hint="eastAsia"/>
                      <w:color w:val="auto"/>
                    </w:rPr>
                    <w:t>新疆乾昌业新型建材有限公司内</w:t>
                  </w:r>
                </w:p>
              </w:tc>
              <w:tc>
                <w:tcPr>
                  <w:tcW w:w="3061" w:type="dxa"/>
                  <w:tcMar>
                    <w:left w:w="0" w:type="dxa"/>
                    <w:right w:w="0" w:type="dxa"/>
                  </w:tcMar>
                  <w:vAlign w:val="center"/>
                </w:tcPr>
                <w:p w14:paraId="1C75723B">
                  <w:pPr>
                    <w:pStyle w:val="19"/>
                    <w:bidi w:val="0"/>
                    <w:rPr>
                      <w:rFonts w:hint="default"/>
                      <w:color w:val="auto"/>
                    </w:rPr>
                  </w:pPr>
                  <w:r>
                    <w:rPr>
                      <w:rFonts w:hint="default"/>
                      <w:color w:val="auto"/>
                    </w:rPr>
                    <w:t>E86°13'16.6035",N41°40'18.9604"</w:t>
                  </w:r>
                </w:p>
              </w:tc>
              <w:tc>
                <w:tcPr>
                  <w:tcW w:w="1287" w:type="dxa"/>
                  <w:tcMar>
                    <w:left w:w="0" w:type="dxa"/>
                    <w:right w:w="0" w:type="dxa"/>
                  </w:tcMar>
                  <w:vAlign w:val="center"/>
                </w:tcPr>
                <w:p w14:paraId="12A8516F">
                  <w:pPr>
                    <w:pStyle w:val="19"/>
                    <w:bidi w:val="0"/>
                    <w:rPr>
                      <w:color w:val="auto"/>
                    </w:rPr>
                  </w:pPr>
                  <w:r>
                    <w:rPr>
                      <w:color w:val="auto"/>
                    </w:rPr>
                    <w:t>/</w:t>
                  </w:r>
                </w:p>
              </w:tc>
            </w:tr>
            <w:tr w14:paraId="0FE8FE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19" w:type="dxa"/>
                  <w:tcMar>
                    <w:left w:w="0" w:type="dxa"/>
                    <w:right w:w="0" w:type="dxa"/>
                  </w:tcMar>
                  <w:vAlign w:val="center"/>
                </w:tcPr>
                <w:p w14:paraId="616F39BB">
                  <w:pPr>
                    <w:pStyle w:val="19"/>
                    <w:bidi w:val="0"/>
                    <w:rPr>
                      <w:color w:val="auto"/>
                    </w:rPr>
                  </w:pPr>
                  <w:r>
                    <w:rPr>
                      <w:rFonts w:hint="eastAsia"/>
                      <w:color w:val="auto"/>
                      <w:lang w:val="en-US" w:eastAsia="zh-CN"/>
                    </w:rPr>
                    <w:t>气</w:t>
                  </w:r>
                  <w:r>
                    <w:rPr>
                      <w:color w:val="auto"/>
                    </w:rPr>
                    <w:t>2</w:t>
                  </w:r>
                </w:p>
              </w:tc>
              <w:tc>
                <w:tcPr>
                  <w:tcW w:w="2400" w:type="dxa"/>
                  <w:tcMar>
                    <w:left w:w="0" w:type="dxa"/>
                    <w:right w:w="0" w:type="dxa"/>
                  </w:tcMar>
                  <w:vAlign w:val="center"/>
                </w:tcPr>
                <w:p w14:paraId="6EC29937">
                  <w:pPr>
                    <w:pStyle w:val="19"/>
                    <w:bidi w:val="0"/>
                    <w:rPr>
                      <w:color w:val="auto"/>
                    </w:rPr>
                  </w:pPr>
                  <w:r>
                    <w:rPr>
                      <w:rFonts w:hint="eastAsia"/>
                      <w:color w:val="auto"/>
                    </w:rPr>
                    <w:t>新疆乾昌业新型建材有限公司外下风向</w:t>
                  </w:r>
                </w:p>
              </w:tc>
              <w:tc>
                <w:tcPr>
                  <w:tcW w:w="3061" w:type="dxa"/>
                  <w:tcMar>
                    <w:left w:w="0" w:type="dxa"/>
                    <w:right w:w="0" w:type="dxa"/>
                  </w:tcMar>
                  <w:vAlign w:val="center"/>
                </w:tcPr>
                <w:p w14:paraId="30F55B9C">
                  <w:pPr>
                    <w:pStyle w:val="19"/>
                    <w:bidi w:val="0"/>
                    <w:rPr>
                      <w:rFonts w:hint="default"/>
                      <w:color w:val="auto"/>
                    </w:rPr>
                  </w:pPr>
                  <w:r>
                    <w:rPr>
                      <w:rFonts w:hint="default"/>
                      <w:color w:val="auto"/>
                    </w:rPr>
                    <w:t>E86°13'12.9020",N41°40'17.1321"</w:t>
                  </w:r>
                </w:p>
              </w:tc>
              <w:tc>
                <w:tcPr>
                  <w:tcW w:w="1287" w:type="dxa"/>
                  <w:tcMar>
                    <w:left w:w="0" w:type="dxa"/>
                    <w:right w:w="0" w:type="dxa"/>
                  </w:tcMar>
                  <w:vAlign w:val="center"/>
                </w:tcPr>
                <w:p w14:paraId="24E1D457">
                  <w:pPr>
                    <w:pStyle w:val="19"/>
                    <w:bidi w:val="0"/>
                    <w:rPr>
                      <w:rFonts w:hint="default"/>
                      <w:color w:val="auto"/>
                      <w:lang w:val="en-US" w:eastAsia="zh-CN"/>
                    </w:rPr>
                  </w:pPr>
                  <w:r>
                    <w:rPr>
                      <w:rFonts w:hint="eastAsia"/>
                      <w:color w:val="auto"/>
                      <w:lang w:val="en-US" w:eastAsia="zh-CN"/>
                    </w:rPr>
                    <w:t>西南侧150m</w:t>
                  </w:r>
                </w:p>
              </w:tc>
            </w:tr>
          </w:tbl>
          <w:p w14:paraId="76D3E6BA">
            <w:pPr>
              <w:pStyle w:val="20"/>
              <w:bidi w:val="0"/>
              <w:rPr>
                <w:color w:val="auto"/>
              </w:rPr>
            </w:pPr>
            <w:r>
              <w:rPr>
                <w:color w:val="auto"/>
              </w:rPr>
              <w:drawing>
                <wp:anchor distT="0" distB="0" distL="114300" distR="114300" simplePos="0" relativeHeight="251666432" behindDoc="0" locked="0" layoutInCell="1" allowOverlap="1">
                  <wp:simplePos x="0" y="0"/>
                  <wp:positionH relativeFrom="column">
                    <wp:posOffset>104140</wp:posOffset>
                  </wp:positionH>
                  <wp:positionV relativeFrom="paragraph">
                    <wp:posOffset>2294255</wp:posOffset>
                  </wp:positionV>
                  <wp:extent cx="151765" cy="299085"/>
                  <wp:effectExtent l="0" t="0" r="635" b="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3"/>
                          <a:stretch>
                            <a:fillRect/>
                          </a:stretch>
                        </pic:blipFill>
                        <pic:spPr>
                          <a:xfrm>
                            <a:off x="0" y="0"/>
                            <a:ext cx="151765" cy="299085"/>
                          </a:xfrm>
                          <a:prstGeom prst="rect">
                            <a:avLst/>
                          </a:prstGeom>
                          <a:noFill/>
                          <a:ln>
                            <a:noFill/>
                          </a:ln>
                        </pic:spPr>
                      </pic:pic>
                    </a:graphicData>
                  </a:graphic>
                </wp:anchor>
              </w:drawing>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85090</wp:posOffset>
                      </wp:positionH>
                      <wp:positionV relativeFrom="paragraph">
                        <wp:posOffset>2592070</wp:posOffset>
                      </wp:positionV>
                      <wp:extent cx="220980" cy="129540"/>
                      <wp:effectExtent l="6350" t="6350" r="20320" b="16510"/>
                      <wp:wrapNone/>
                      <wp:docPr id="32" name="矩形 32"/>
                      <wp:cNvGraphicFramePr/>
                      <a:graphic xmlns:a="http://schemas.openxmlformats.org/drawingml/2006/main">
                        <a:graphicData uri="http://schemas.microsoft.com/office/word/2010/wordprocessingShape">
                          <wps:wsp>
                            <wps:cNvSpPr/>
                            <wps:spPr>
                              <a:xfrm>
                                <a:off x="1963420" y="4066540"/>
                                <a:ext cx="220980" cy="1295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pt;margin-top:204.1pt;height:10.2pt;width:17.4pt;z-index:251665408;v-text-anchor:middle;mso-width-relative:page;mso-height-relative:page;" filled="f" stroked="t" coordsize="21600,21600" o:gfxdata="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viGrM1QAAAAkBAAAPAAAAAAAAAAEAIAAAACIAAABkcnMvZG93&#10;bnJldi54bWxQSwECFAAUAAAACACHTuJAw8uamnUCAADYBAAADgAAAAAAAAABACAAAAAkAQAAZHJz&#10;L2Uyb0RvYy54bWxQSwUGAAAAAAYABgBZAQAACwYAAAAA&#10;">
                      <v:fill on="f" focussize="0,0"/>
                      <v:stroke weight="1pt" color="#FF0000 [2404]" miterlimit="8" joinstyle="miter"/>
                      <v:imagedata o:title=""/>
                      <o:lock v:ext="edit" aspectratio="f"/>
                    </v:rect>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1270</wp:posOffset>
                      </wp:positionH>
                      <wp:positionV relativeFrom="paragraph">
                        <wp:posOffset>2088515</wp:posOffset>
                      </wp:positionV>
                      <wp:extent cx="1170940" cy="744220"/>
                      <wp:effectExtent l="4445" t="4445" r="5715" b="13335"/>
                      <wp:wrapNone/>
                      <wp:docPr id="40" name="文本框 9"/>
                      <wp:cNvGraphicFramePr/>
                      <a:graphic xmlns:a="http://schemas.openxmlformats.org/drawingml/2006/main">
                        <a:graphicData uri="http://schemas.microsoft.com/office/word/2010/wordprocessingShape">
                          <wps:wsp>
                            <wps:cNvSpPr txBox="1"/>
                            <wps:spPr>
                              <a:xfrm>
                                <a:off x="0" y="0"/>
                                <a:ext cx="1170940" cy="744220"/>
                              </a:xfrm>
                              <a:prstGeom prst="rect">
                                <a:avLst/>
                              </a:prstGeom>
                              <a:solidFill>
                                <a:srgbClr val="95A3C6">
                                  <a:alpha val="70000"/>
                                </a:srgb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68F375E">
                                  <w:pPr>
                                    <w:jc w:val="center"/>
                                    <w:rPr>
                                      <w:b/>
                                      <w:bCs/>
                                      <w:sz w:val="18"/>
                                      <w:szCs w:val="18"/>
                                    </w:rPr>
                                  </w:pPr>
                                  <w:r>
                                    <w:rPr>
                                      <w:rFonts w:hint="eastAsia"/>
                                      <w:b/>
                                      <w:bCs/>
                                      <w:sz w:val="18"/>
                                      <w:szCs w:val="18"/>
                                    </w:rPr>
                                    <w:t>图例</w:t>
                                  </w:r>
                                </w:p>
                                <w:p w14:paraId="4D67867C">
                                  <w:pPr>
                                    <w:ind w:firstLine="360"/>
                                    <w:jc w:val="both"/>
                                    <w:rPr>
                                      <w:b/>
                                      <w:bCs/>
                                      <w:sz w:val="18"/>
                                      <w:szCs w:val="18"/>
                                    </w:rPr>
                                  </w:pPr>
                                  <w:r>
                                    <w:rPr>
                                      <w:rFonts w:hint="eastAsia"/>
                                      <w:b/>
                                      <w:bCs/>
                                      <w:sz w:val="18"/>
                                      <w:szCs w:val="18"/>
                                    </w:rPr>
                                    <w:t>大气监测点位</w:t>
                                  </w:r>
                                </w:p>
                                <w:p w14:paraId="3BA9FBC3">
                                  <w:pPr>
                                    <w:ind w:firstLine="360"/>
                                    <w:jc w:val="both"/>
                                    <w:rPr>
                                      <w:b/>
                                      <w:bCs/>
                                      <w:sz w:val="18"/>
                                      <w:szCs w:val="18"/>
                                    </w:rPr>
                                  </w:pPr>
                                  <w:r>
                                    <w:rPr>
                                      <w:rFonts w:hint="eastAsia"/>
                                      <w:b/>
                                      <w:bCs/>
                                      <w:sz w:val="18"/>
                                      <w:szCs w:val="18"/>
                                    </w:rPr>
                                    <w:t xml:space="preserve"> 厂界范围</w:t>
                                  </w:r>
                                </w:p>
                                <w:p w14:paraId="6FBA85D1">
                                  <w:pPr>
                                    <w:ind w:firstLine="360"/>
                                    <w:jc w:val="both"/>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 o:spid="_x0000_s1026" o:spt="202" type="#_x0000_t202" style="position:absolute;left:0pt;margin-left:0.1pt;margin-top:164.45pt;height:58.6pt;width:92.2pt;z-index:251664384;mso-width-relative:page;mso-height-relative:page;" fillcolor="#95A3C6" filled="t" stroked="t" coordsize="21600,21600" o:gfxdata="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VCNJtgAAAAIAQAADwAAAAAAAAABACAAAAAiAAAAZHJzL2Rvd25yZXYu&#10;eG1sUEsBAhQAFAAAAAgAh07iQPrTmpJtAgAA2QQAAA4AAAAAAAAAAQAgAAAAJwEAAGRycy9lMm9E&#10;b2MueG1sUEsFBgAAAAAGAAYAWQEAAAYGAAAAAA==&#10;">
                      <v:fill on="t" opacity="45875f" focussize="0,0"/>
                      <v:stroke weight="0.5pt" color="#000000 [3204]" joinstyle="round"/>
                      <v:imagedata o:title=""/>
                      <o:lock v:ext="edit" aspectratio="f"/>
                      <v:textbox>
                        <w:txbxContent>
                          <w:p w14:paraId="668F375E">
                            <w:pPr>
                              <w:jc w:val="center"/>
                              <w:rPr>
                                <w:b/>
                                <w:bCs/>
                                <w:sz w:val="18"/>
                                <w:szCs w:val="18"/>
                              </w:rPr>
                            </w:pPr>
                            <w:r>
                              <w:rPr>
                                <w:rFonts w:hint="eastAsia"/>
                                <w:b/>
                                <w:bCs/>
                                <w:sz w:val="18"/>
                                <w:szCs w:val="18"/>
                              </w:rPr>
                              <w:t>图例</w:t>
                            </w:r>
                          </w:p>
                          <w:p w14:paraId="4D67867C">
                            <w:pPr>
                              <w:ind w:firstLine="360"/>
                              <w:jc w:val="both"/>
                              <w:rPr>
                                <w:b/>
                                <w:bCs/>
                                <w:sz w:val="18"/>
                                <w:szCs w:val="18"/>
                              </w:rPr>
                            </w:pPr>
                            <w:r>
                              <w:rPr>
                                <w:rFonts w:hint="eastAsia"/>
                                <w:b/>
                                <w:bCs/>
                                <w:sz w:val="18"/>
                                <w:szCs w:val="18"/>
                              </w:rPr>
                              <w:t>大气监测点位</w:t>
                            </w:r>
                          </w:p>
                          <w:p w14:paraId="3BA9FBC3">
                            <w:pPr>
                              <w:ind w:firstLine="360"/>
                              <w:jc w:val="both"/>
                              <w:rPr>
                                <w:b/>
                                <w:bCs/>
                                <w:sz w:val="18"/>
                                <w:szCs w:val="18"/>
                              </w:rPr>
                            </w:pPr>
                            <w:r>
                              <w:rPr>
                                <w:rFonts w:hint="eastAsia"/>
                                <w:b/>
                                <w:bCs/>
                                <w:sz w:val="18"/>
                                <w:szCs w:val="18"/>
                              </w:rPr>
                              <w:t xml:space="preserve"> 厂界范围</w:t>
                            </w:r>
                          </w:p>
                          <w:p w14:paraId="6FBA85D1">
                            <w:pPr>
                              <w:ind w:firstLine="360"/>
                              <w:jc w:val="both"/>
                              <w:rPr>
                                <w:b/>
                                <w:bCs/>
                                <w:sz w:val="18"/>
                                <w:szCs w:val="18"/>
                              </w:rPr>
                            </w:pPr>
                          </w:p>
                        </w:txbxContent>
                      </v:textbox>
                    </v:shape>
                  </w:pict>
                </mc:Fallback>
              </mc:AlternateContent>
            </w:r>
          </w:p>
          <w:p w14:paraId="1DCB0431">
            <w:pPr>
              <w:pStyle w:val="20"/>
              <w:bidi w:val="0"/>
              <w:rPr>
                <w:rFonts w:hint="default"/>
                <w:color w:val="auto"/>
                <w:lang w:val="en-US" w:eastAsia="zh-CN"/>
              </w:rPr>
            </w:pPr>
          </w:p>
          <w:p w14:paraId="1AFF7D9A">
            <w:pPr>
              <w:pStyle w:val="6"/>
              <w:bidi w:val="0"/>
              <w:rPr>
                <w:rFonts w:hint="eastAsia"/>
                <w:color w:val="auto"/>
                <w:lang w:val="en-US" w:eastAsia="zh-CN"/>
              </w:rPr>
            </w:pPr>
            <w:r>
              <w:rPr>
                <w:rFonts w:hint="eastAsia"/>
                <w:color w:val="auto"/>
                <w:lang w:val="en-US" w:eastAsia="zh-CN"/>
              </w:rPr>
              <w:t>监测时间</w:t>
            </w:r>
          </w:p>
          <w:p w14:paraId="03A61983">
            <w:pPr>
              <w:pStyle w:val="5"/>
              <w:rPr>
                <w:rFonts w:hint="eastAsia"/>
                <w:color w:val="auto"/>
                <w:lang w:val="en-US" w:eastAsia="zh-CN"/>
              </w:rPr>
            </w:pPr>
            <w:r>
              <w:rPr>
                <w:rFonts w:hint="eastAsia"/>
                <w:color w:val="auto"/>
              </w:rPr>
              <w:t>20</w:t>
            </w:r>
            <w:r>
              <w:rPr>
                <w:rFonts w:hint="eastAsia"/>
                <w:color w:val="auto"/>
                <w:lang w:val="en-US" w:eastAsia="zh-CN"/>
              </w:rPr>
              <w:t>26</w:t>
            </w:r>
            <w:r>
              <w:rPr>
                <w:rFonts w:hint="eastAsia"/>
                <w:color w:val="auto"/>
              </w:rPr>
              <w:t>年</w:t>
            </w:r>
            <w:r>
              <w:rPr>
                <w:rFonts w:hint="eastAsia"/>
                <w:color w:val="auto"/>
                <w:lang w:val="en-US" w:eastAsia="zh-CN"/>
              </w:rPr>
              <w:t>2</w:t>
            </w:r>
            <w:r>
              <w:rPr>
                <w:rFonts w:hint="eastAsia"/>
                <w:color w:val="auto"/>
              </w:rPr>
              <w:t>月</w:t>
            </w:r>
            <w:r>
              <w:rPr>
                <w:rFonts w:hint="eastAsia"/>
                <w:color w:val="auto"/>
                <w:lang w:val="en-US" w:eastAsia="zh-CN"/>
              </w:rPr>
              <w:t>26</w:t>
            </w:r>
            <w:r>
              <w:rPr>
                <w:rFonts w:hint="eastAsia"/>
                <w:color w:val="auto"/>
              </w:rPr>
              <w:t>日</w:t>
            </w:r>
            <w:r>
              <w:rPr>
                <w:rFonts w:hint="eastAsia"/>
                <w:color w:val="auto"/>
                <w:lang w:eastAsia="zh-CN"/>
              </w:rPr>
              <w:t>—</w:t>
            </w:r>
            <w:r>
              <w:rPr>
                <w:rFonts w:hint="eastAsia"/>
                <w:color w:val="auto"/>
              </w:rPr>
              <w:t>202</w:t>
            </w:r>
            <w:r>
              <w:rPr>
                <w:rFonts w:hint="eastAsia"/>
                <w:color w:val="auto"/>
                <w:lang w:val="en-US" w:eastAsia="zh-CN"/>
              </w:rPr>
              <w:t>6</w:t>
            </w:r>
            <w:r>
              <w:rPr>
                <w:rFonts w:hint="eastAsia"/>
                <w:color w:val="auto"/>
              </w:rPr>
              <w:t>年</w:t>
            </w:r>
            <w:r>
              <w:rPr>
                <w:rFonts w:hint="eastAsia"/>
                <w:color w:val="auto"/>
                <w:lang w:val="en-US" w:eastAsia="zh-CN"/>
              </w:rPr>
              <w:t>2</w:t>
            </w:r>
            <w:r>
              <w:rPr>
                <w:rFonts w:hint="eastAsia"/>
                <w:color w:val="auto"/>
              </w:rPr>
              <w:t>月</w:t>
            </w:r>
            <w:r>
              <w:rPr>
                <w:rFonts w:hint="eastAsia"/>
                <w:color w:val="auto"/>
                <w:lang w:val="en-US" w:eastAsia="zh-CN"/>
              </w:rPr>
              <w:t>28</w:t>
            </w:r>
            <w:r>
              <w:rPr>
                <w:rFonts w:hint="eastAsia"/>
                <w:color w:val="auto"/>
              </w:rPr>
              <w:t>日，连续</w:t>
            </w:r>
            <w:r>
              <w:rPr>
                <w:rFonts w:hint="eastAsia"/>
                <w:color w:val="auto"/>
                <w:lang w:val="en-US" w:eastAsia="zh-CN"/>
              </w:rPr>
              <w:t>3</w:t>
            </w:r>
            <w:r>
              <w:rPr>
                <w:rFonts w:hint="eastAsia"/>
                <w:color w:val="auto"/>
              </w:rPr>
              <w:t>天。</w:t>
            </w:r>
          </w:p>
          <w:p w14:paraId="46999386">
            <w:pPr>
              <w:pStyle w:val="6"/>
              <w:bidi w:val="0"/>
              <w:rPr>
                <w:rFonts w:hint="eastAsia"/>
                <w:color w:val="auto"/>
                <w:lang w:val="en-US" w:eastAsia="zh-CN"/>
              </w:rPr>
            </w:pPr>
            <w:r>
              <w:rPr>
                <w:rFonts w:hint="eastAsia"/>
                <w:color w:val="auto"/>
                <w:lang w:val="en-US" w:eastAsia="zh-CN"/>
              </w:rPr>
              <w:t>监测频率</w:t>
            </w:r>
          </w:p>
          <w:p w14:paraId="1ECC1719">
            <w:pPr>
              <w:pStyle w:val="5"/>
              <w:rPr>
                <w:rFonts w:hint="eastAsia"/>
                <w:color w:val="auto"/>
              </w:rPr>
            </w:pPr>
            <w:r>
              <w:rPr>
                <w:rFonts w:hint="eastAsia"/>
                <w:color w:val="auto"/>
              </w:rPr>
              <w:t>日均浓度每天采样时间不少于24h，小时浓度每天02:00、08:00、14:00、20:00时采样，每小时采样不少于45min。采样期间同步观测记录风向、风速、气温、气压等气象参数。</w:t>
            </w:r>
          </w:p>
          <w:p w14:paraId="18707618">
            <w:pPr>
              <w:pStyle w:val="6"/>
              <w:bidi w:val="0"/>
              <w:rPr>
                <w:rFonts w:hint="eastAsia"/>
                <w:color w:val="auto"/>
                <w:lang w:val="en-US" w:eastAsia="zh-CN"/>
              </w:rPr>
            </w:pPr>
            <w:r>
              <w:rPr>
                <w:rFonts w:hint="eastAsia"/>
                <w:color w:val="auto"/>
                <w:lang w:val="en-US" w:eastAsia="zh-CN"/>
              </w:rPr>
              <w:t>监测单位</w:t>
            </w:r>
          </w:p>
          <w:p w14:paraId="5259EEFE">
            <w:pPr>
              <w:pStyle w:val="5"/>
              <w:rPr>
                <w:rFonts w:hint="eastAsia"/>
                <w:color w:val="auto"/>
                <w:lang w:val="en-US" w:eastAsia="zh-CN"/>
              </w:rPr>
            </w:pPr>
            <w:r>
              <w:rPr>
                <w:rFonts w:hint="eastAsia"/>
                <w:color w:val="auto"/>
                <w:lang w:val="en-US" w:eastAsia="zh-CN"/>
              </w:rPr>
              <w:t>新疆锡水金山环境科技有限公司</w:t>
            </w:r>
          </w:p>
          <w:p w14:paraId="4D119693">
            <w:pPr>
              <w:pStyle w:val="6"/>
              <w:bidi w:val="0"/>
              <w:rPr>
                <w:rFonts w:hint="eastAsia"/>
                <w:color w:val="auto"/>
                <w:lang w:val="en-US" w:eastAsia="zh-CN"/>
              </w:rPr>
            </w:pPr>
            <w:r>
              <w:rPr>
                <w:rFonts w:hint="eastAsia"/>
                <w:color w:val="auto"/>
                <w:lang w:val="en-US" w:eastAsia="zh-CN"/>
              </w:rPr>
              <w:t>采样、分析方法</w:t>
            </w:r>
          </w:p>
          <w:p w14:paraId="3588E5A9">
            <w:pPr>
              <w:bidi w:val="0"/>
              <w:ind w:firstLine="480" w:firstLineChars="200"/>
              <w:rPr>
                <w:color w:val="auto"/>
              </w:rPr>
            </w:pPr>
            <w:r>
              <w:rPr>
                <w:rFonts w:hint="eastAsia"/>
                <w:color w:val="auto"/>
              </w:rPr>
              <w:t>采样方法和分析方法均执行《空气和废气监测分析方法》和《环境监测技术规范》（大气部分）中有关规定。</w:t>
            </w:r>
          </w:p>
          <w:p w14:paraId="24259DD6">
            <w:pPr>
              <w:pStyle w:val="6"/>
              <w:bidi w:val="0"/>
              <w:rPr>
                <w:rFonts w:hint="eastAsia"/>
                <w:color w:val="auto"/>
                <w:lang w:val="en-US" w:eastAsia="zh-CN"/>
              </w:rPr>
            </w:pPr>
            <w:r>
              <w:rPr>
                <w:rFonts w:hint="eastAsia"/>
                <w:color w:val="auto"/>
                <w:lang w:val="en-US" w:eastAsia="zh-CN"/>
              </w:rPr>
              <w:t>评价标准</w:t>
            </w:r>
          </w:p>
          <w:p w14:paraId="429ABBBF">
            <w:pPr>
              <w:bidi w:val="0"/>
              <w:ind w:firstLine="480" w:firstLineChars="200"/>
              <w:rPr>
                <w:color w:val="auto"/>
              </w:rPr>
            </w:pPr>
            <w:r>
              <w:rPr>
                <w:rFonts w:hint="eastAsia"/>
                <w:color w:val="auto"/>
              </w:rPr>
              <w:t>区域其他污染物执行《环境空气质量标准》（</w:t>
            </w:r>
            <w:r>
              <w:rPr>
                <w:rFonts w:hint="eastAsia"/>
                <w:color w:val="auto"/>
                <w:lang w:eastAsia="zh-CN"/>
              </w:rPr>
              <w:t>GB3095-2026</w:t>
            </w:r>
            <w:r>
              <w:rPr>
                <w:rFonts w:hint="eastAsia"/>
                <w:color w:val="auto"/>
              </w:rPr>
              <w:t>）中的二级标准，《环境空气质量标准》（</w:t>
            </w:r>
            <w:r>
              <w:rPr>
                <w:rFonts w:hint="eastAsia"/>
                <w:color w:val="auto"/>
                <w:lang w:eastAsia="zh-CN"/>
              </w:rPr>
              <w:t>GB3095-2026</w:t>
            </w:r>
            <w:r>
              <w:rPr>
                <w:rFonts w:hint="eastAsia"/>
                <w:color w:val="auto"/>
              </w:rPr>
              <w:t>）中未涉及的因子，则参照《生态环境影响评价技术导则</w:t>
            </w:r>
            <w:r>
              <w:rPr>
                <w:color w:val="auto"/>
              </w:rPr>
              <w:t xml:space="preserve">  </w:t>
            </w:r>
            <w:r>
              <w:rPr>
                <w:rFonts w:hint="eastAsia"/>
                <w:color w:val="auto"/>
              </w:rPr>
              <w:t>大气环境（</w:t>
            </w:r>
            <w:r>
              <w:rPr>
                <w:color w:val="auto"/>
              </w:rPr>
              <w:t>HJ2.2-2018</w:t>
            </w:r>
            <w:r>
              <w:rPr>
                <w:rFonts w:hint="eastAsia"/>
                <w:color w:val="auto"/>
              </w:rPr>
              <w:t>）》附录</w:t>
            </w:r>
            <w:r>
              <w:rPr>
                <w:color w:val="auto"/>
              </w:rPr>
              <w:t>D</w:t>
            </w:r>
            <w:r>
              <w:rPr>
                <w:rFonts w:hint="eastAsia"/>
                <w:color w:val="auto"/>
              </w:rPr>
              <w:t>中浓度限值，其他因子再按照环境质量标准的国家标准、行业标准、地方标准以及企业标准执行。具体执行的标准限值见下表。</w:t>
            </w:r>
          </w:p>
          <w:p w14:paraId="017EEDD2">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19</w:t>
            </w:r>
            <w:r>
              <w:rPr>
                <w:color w:val="auto"/>
              </w:rPr>
              <w:fldChar w:fldCharType="end"/>
            </w:r>
            <w:r>
              <w:rPr>
                <w:rFonts w:hint="eastAsia"/>
                <w:color w:val="auto"/>
                <w:lang w:val="en-US" w:eastAsia="zh-CN"/>
              </w:rPr>
              <w:t xml:space="preserve">  其他污染物环境空气质量评价标准</w:t>
            </w:r>
          </w:p>
          <w:tbl>
            <w:tblPr>
              <w:tblStyle w:val="15"/>
              <w:tblW w:w="76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609"/>
              <w:gridCol w:w="1168"/>
              <w:gridCol w:w="1297"/>
              <w:gridCol w:w="1536"/>
              <w:gridCol w:w="3057"/>
            </w:tblGrid>
            <w:tr w14:paraId="069793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69" w:hRule="atLeast"/>
                <w:tblHeader/>
                <w:jc w:val="center"/>
              </w:trPr>
              <w:tc>
                <w:tcPr>
                  <w:tcW w:w="609" w:type="dxa"/>
                  <w:vMerge w:val="restart"/>
                  <w:vAlign w:val="center"/>
                </w:tcPr>
                <w:p w14:paraId="111EC3DD">
                  <w:pPr>
                    <w:pStyle w:val="19"/>
                    <w:bidi w:val="0"/>
                    <w:rPr>
                      <w:b w:val="0"/>
                      <w:bCs w:val="0"/>
                      <w:color w:val="auto"/>
                    </w:rPr>
                  </w:pPr>
                  <w:r>
                    <w:rPr>
                      <w:color w:val="auto"/>
                    </w:rPr>
                    <w:t>序号</w:t>
                  </w:r>
                </w:p>
              </w:tc>
              <w:tc>
                <w:tcPr>
                  <w:tcW w:w="1168" w:type="dxa"/>
                  <w:vMerge w:val="restart"/>
                  <w:vAlign w:val="center"/>
                </w:tcPr>
                <w:p w14:paraId="0CE248F1">
                  <w:pPr>
                    <w:pStyle w:val="19"/>
                    <w:bidi w:val="0"/>
                    <w:rPr>
                      <w:b w:val="0"/>
                      <w:bCs w:val="0"/>
                      <w:color w:val="auto"/>
                    </w:rPr>
                  </w:pPr>
                  <w:r>
                    <w:rPr>
                      <w:color w:val="auto"/>
                    </w:rPr>
                    <w:t>项目</w:t>
                  </w:r>
                </w:p>
              </w:tc>
              <w:tc>
                <w:tcPr>
                  <w:tcW w:w="1297" w:type="dxa"/>
                  <w:vMerge w:val="restart"/>
                  <w:vAlign w:val="center"/>
                </w:tcPr>
                <w:p w14:paraId="1F4594FE">
                  <w:pPr>
                    <w:pStyle w:val="19"/>
                    <w:bidi w:val="0"/>
                    <w:rPr>
                      <w:b w:val="0"/>
                      <w:bCs w:val="0"/>
                      <w:color w:val="auto"/>
                    </w:rPr>
                  </w:pPr>
                  <w:r>
                    <w:rPr>
                      <w:color w:val="auto"/>
                    </w:rPr>
                    <w:t>平均时间</w:t>
                  </w:r>
                </w:p>
              </w:tc>
              <w:tc>
                <w:tcPr>
                  <w:tcW w:w="1536" w:type="dxa"/>
                  <w:vAlign w:val="center"/>
                </w:tcPr>
                <w:p w14:paraId="718B5EC0">
                  <w:pPr>
                    <w:pStyle w:val="19"/>
                    <w:bidi w:val="0"/>
                    <w:rPr>
                      <w:b w:val="0"/>
                      <w:bCs w:val="0"/>
                      <w:color w:val="auto"/>
                    </w:rPr>
                  </w:pPr>
                  <w:r>
                    <w:rPr>
                      <w:color w:val="auto"/>
                    </w:rPr>
                    <w:t>标准值（μg/m³）</w:t>
                  </w:r>
                </w:p>
              </w:tc>
              <w:tc>
                <w:tcPr>
                  <w:tcW w:w="3057" w:type="dxa"/>
                  <w:vMerge w:val="restart"/>
                  <w:vAlign w:val="center"/>
                </w:tcPr>
                <w:p w14:paraId="68C00734">
                  <w:pPr>
                    <w:pStyle w:val="19"/>
                    <w:bidi w:val="0"/>
                    <w:rPr>
                      <w:b w:val="0"/>
                      <w:bCs w:val="0"/>
                      <w:color w:val="auto"/>
                    </w:rPr>
                  </w:pPr>
                  <w:r>
                    <w:rPr>
                      <w:color w:val="auto"/>
                    </w:rPr>
                    <w:t>标准来源</w:t>
                  </w:r>
                </w:p>
              </w:tc>
            </w:tr>
            <w:tr w14:paraId="627BE1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74" w:hRule="atLeast"/>
                <w:tblHeader/>
                <w:jc w:val="center"/>
              </w:trPr>
              <w:tc>
                <w:tcPr>
                  <w:tcW w:w="609" w:type="dxa"/>
                  <w:vMerge w:val="continue"/>
                  <w:vAlign w:val="center"/>
                </w:tcPr>
                <w:p w14:paraId="16205AC5">
                  <w:pPr>
                    <w:pStyle w:val="21"/>
                    <w:bidi w:val="0"/>
                    <w:rPr>
                      <w:b/>
                      <w:bCs/>
                      <w:color w:val="auto"/>
                    </w:rPr>
                  </w:pPr>
                </w:p>
              </w:tc>
              <w:tc>
                <w:tcPr>
                  <w:tcW w:w="1168" w:type="dxa"/>
                  <w:vMerge w:val="continue"/>
                  <w:vAlign w:val="center"/>
                </w:tcPr>
                <w:p w14:paraId="13B06649">
                  <w:pPr>
                    <w:pStyle w:val="21"/>
                    <w:bidi w:val="0"/>
                    <w:rPr>
                      <w:b/>
                      <w:bCs/>
                      <w:color w:val="auto"/>
                    </w:rPr>
                  </w:pPr>
                </w:p>
              </w:tc>
              <w:tc>
                <w:tcPr>
                  <w:tcW w:w="1297" w:type="dxa"/>
                  <w:vMerge w:val="continue"/>
                  <w:vAlign w:val="center"/>
                </w:tcPr>
                <w:p w14:paraId="62C391C6">
                  <w:pPr>
                    <w:pStyle w:val="21"/>
                    <w:bidi w:val="0"/>
                    <w:rPr>
                      <w:b w:val="0"/>
                      <w:bCs w:val="0"/>
                      <w:color w:val="auto"/>
                    </w:rPr>
                  </w:pPr>
                </w:p>
              </w:tc>
              <w:tc>
                <w:tcPr>
                  <w:tcW w:w="1536" w:type="dxa"/>
                  <w:vAlign w:val="center"/>
                </w:tcPr>
                <w:p w14:paraId="1DDD9B34">
                  <w:pPr>
                    <w:pStyle w:val="19"/>
                    <w:bidi w:val="0"/>
                    <w:rPr>
                      <w:b w:val="0"/>
                      <w:bCs w:val="0"/>
                      <w:color w:val="auto"/>
                    </w:rPr>
                  </w:pPr>
                  <w:r>
                    <w:rPr>
                      <w:color w:val="auto"/>
                    </w:rPr>
                    <w:t>二级</w:t>
                  </w:r>
                </w:p>
              </w:tc>
              <w:tc>
                <w:tcPr>
                  <w:tcW w:w="3057" w:type="dxa"/>
                  <w:vMerge w:val="continue"/>
                  <w:vAlign w:val="center"/>
                </w:tcPr>
                <w:p w14:paraId="001CF610">
                  <w:pPr>
                    <w:pStyle w:val="21"/>
                    <w:bidi w:val="0"/>
                    <w:rPr>
                      <w:color w:val="auto"/>
                    </w:rPr>
                  </w:pPr>
                </w:p>
              </w:tc>
            </w:tr>
            <w:tr w14:paraId="14DEB5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74" w:hRule="atLeast"/>
                <w:jc w:val="center"/>
              </w:trPr>
              <w:tc>
                <w:tcPr>
                  <w:tcW w:w="609" w:type="dxa"/>
                  <w:vAlign w:val="center"/>
                </w:tcPr>
                <w:p w14:paraId="45B80D74">
                  <w:pPr>
                    <w:pStyle w:val="19"/>
                    <w:bidi w:val="0"/>
                    <w:rPr>
                      <w:color w:val="auto"/>
                    </w:rPr>
                  </w:pPr>
                  <w:r>
                    <w:rPr>
                      <w:rFonts w:hint="eastAsia"/>
                      <w:color w:val="auto"/>
                    </w:rPr>
                    <w:t>1</w:t>
                  </w:r>
                </w:p>
              </w:tc>
              <w:tc>
                <w:tcPr>
                  <w:tcW w:w="1168" w:type="dxa"/>
                  <w:vAlign w:val="center"/>
                </w:tcPr>
                <w:p w14:paraId="2B223183">
                  <w:pPr>
                    <w:pStyle w:val="19"/>
                    <w:bidi w:val="0"/>
                    <w:rPr>
                      <w:color w:val="auto"/>
                    </w:rPr>
                  </w:pPr>
                  <w:r>
                    <w:rPr>
                      <w:color w:val="auto"/>
                    </w:rPr>
                    <w:t>TSP</w:t>
                  </w:r>
                </w:p>
              </w:tc>
              <w:tc>
                <w:tcPr>
                  <w:tcW w:w="1297" w:type="dxa"/>
                  <w:vAlign w:val="center"/>
                </w:tcPr>
                <w:p w14:paraId="203C5E1B">
                  <w:pPr>
                    <w:pStyle w:val="19"/>
                    <w:bidi w:val="0"/>
                    <w:rPr>
                      <w:color w:val="auto"/>
                    </w:rPr>
                  </w:pPr>
                  <w:r>
                    <w:rPr>
                      <w:color w:val="auto"/>
                    </w:rPr>
                    <w:t>日平均</w:t>
                  </w:r>
                </w:p>
              </w:tc>
              <w:tc>
                <w:tcPr>
                  <w:tcW w:w="1536" w:type="dxa"/>
                  <w:vAlign w:val="center"/>
                </w:tcPr>
                <w:p w14:paraId="5A59AC8C">
                  <w:pPr>
                    <w:pStyle w:val="19"/>
                    <w:bidi w:val="0"/>
                    <w:rPr>
                      <w:color w:val="auto"/>
                    </w:rPr>
                  </w:pPr>
                  <w:r>
                    <w:rPr>
                      <w:rFonts w:hint="eastAsia"/>
                      <w:color w:val="auto"/>
                    </w:rPr>
                    <w:t>300</w:t>
                  </w:r>
                </w:p>
              </w:tc>
              <w:tc>
                <w:tcPr>
                  <w:tcW w:w="3057" w:type="dxa"/>
                  <w:vAlign w:val="center"/>
                </w:tcPr>
                <w:p w14:paraId="0D5C71E5">
                  <w:pPr>
                    <w:pStyle w:val="19"/>
                    <w:bidi w:val="0"/>
                    <w:rPr>
                      <w:color w:val="auto"/>
                    </w:rPr>
                  </w:pPr>
                  <w:r>
                    <w:rPr>
                      <w:color w:val="auto"/>
                    </w:rPr>
                    <w:t>《环境空气质量标准》（GB3095—20</w:t>
                  </w:r>
                  <w:r>
                    <w:rPr>
                      <w:rFonts w:hint="eastAsia"/>
                      <w:color w:val="auto"/>
                      <w:lang w:val="en-US" w:eastAsia="zh-CN"/>
                    </w:rPr>
                    <w:t>26</w:t>
                  </w:r>
                  <w:r>
                    <w:rPr>
                      <w:color w:val="auto"/>
                    </w:rPr>
                    <w:t>）</w:t>
                  </w:r>
                </w:p>
              </w:tc>
            </w:tr>
            <w:tr w14:paraId="56F7F1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74" w:hRule="atLeast"/>
                <w:jc w:val="center"/>
              </w:trPr>
              <w:tc>
                <w:tcPr>
                  <w:tcW w:w="609" w:type="dxa"/>
                  <w:vAlign w:val="center"/>
                </w:tcPr>
                <w:p w14:paraId="6721D6B4">
                  <w:pPr>
                    <w:pStyle w:val="19"/>
                    <w:bidi w:val="0"/>
                    <w:rPr>
                      <w:rFonts w:hint="default"/>
                      <w:color w:val="auto"/>
                      <w:lang w:val="en-US" w:eastAsia="zh-CN"/>
                    </w:rPr>
                  </w:pPr>
                  <w:r>
                    <w:rPr>
                      <w:rFonts w:hint="eastAsia"/>
                      <w:color w:val="auto"/>
                      <w:lang w:val="en-US" w:eastAsia="zh-CN"/>
                    </w:rPr>
                    <w:t>2</w:t>
                  </w:r>
                </w:p>
              </w:tc>
              <w:tc>
                <w:tcPr>
                  <w:tcW w:w="1168" w:type="dxa"/>
                  <w:shd w:val="clear" w:color="auto" w:fill="auto"/>
                  <w:vAlign w:val="center"/>
                </w:tcPr>
                <w:p w14:paraId="4062A8CE">
                  <w:pPr>
                    <w:pStyle w:val="19"/>
                    <w:bidi w:val="0"/>
                    <w:rPr>
                      <w:color w:val="auto"/>
                      <w:lang w:val="en-US" w:eastAsia="zh-CN"/>
                    </w:rPr>
                  </w:pPr>
                  <w:r>
                    <w:rPr>
                      <w:color w:val="auto"/>
                    </w:rPr>
                    <w:t>非甲烷总烃</w:t>
                  </w:r>
                </w:p>
              </w:tc>
              <w:tc>
                <w:tcPr>
                  <w:tcW w:w="1297" w:type="dxa"/>
                  <w:shd w:val="clear" w:color="auto" w:fill="auto"/>
                  <w:vAlign w:val="center"/>
                </w:tcPr>
                <w:p w14:paraId="37CF3516">
                  <w:pPr>
                    <w:pStyle w:val="19"/>
                    <w:bidi w:val="0"/>
                    <w:rPr>
                      <w:color w:val="auto"/>
                      <w:lang w:val="en-US" w:eastAsia="zh-CN"/>
                    </w:rPr>
                  </w:pPr>
                  <w:r>
                    <w:rPr>
                      <w:color w:val="auto"/>
                    </w:rPr>
                    <w:t>1小时平均</w:t>
                  </w:r>
                </w:p>
              </w:tc>
              <w:tc>
                <w:tcPr>
                  <w:tcW w:w="1536" w:type="dxa"/>
                  <w:shd w:val="clear" w:color="auto" w:fill="auto"/>
                  <w:vAlign w:val="center"/>
                </w:tcPr>
                <w:p w14:paraId="257CBEAC">
                  <w:pPr>
                    <w:pStyle w:val="19"/>
                    <w:bidi w:val="0"/>
                    <w:rPr>
                      <w:rFonts w:hint="eastAsia"/>
                      <w:color w:val="auto"/>
                      <w:lang w:val="en-US" w:eastAsia="zh-CN"/>
                    </w:rPr>
                  </w:pPr>
                  <w:r>
                    <w:rPr>
                      <w:rFonts w:hint="eastAsia"/>
                      <w:color w:val="auto"/>
                    </w:rPr>
                    <w:t>2000</w:t>
                  </w:r>
                </w:p>
              </w:tc>
              <w:tc>
                <w:tcPr>
                  <w:tcW w:w="3057" w:type="dxa"/>
                  <w:shd w:val="clear" w:color="auto" w:fill="auto"/>
                  <w:vAlign w:val="center"/>
                </w:tcPr>
                <w:p w14:paraId="1C5663E4">
                  <w:pPr>
                    <w:pStyle w:val="19"/>
                    <w:bidi w:val="0"/>
                    <w:rPr>
                      <w:color w:val="auto"/>
                      <w:lang w:val="en-US" w:eastAsia="zh-CN"/>
                    </w:rPr>
                  </w:pPr>
                  <w:r>
                    <w:rPr>
                      <w:color w:val="auto"/>
                    </w:rPr>
                    <w:t>《大气污染物综合排放标准详解》</w:t>
                  </w:r>
                </w:p>
              </w:tc>
            </w:tr>
          </w:tbl>
          <w:p w14:paraId="7E74E0FE">
            <w:pPr>
              <w:pStyle w:val="20"/>
              <w:bidi w:val="0"/>
              <w:rPr>
                <w:rFonts w:hint="eastAsia"/>
                <w:color w:val="auto"/>
                <w:lang w:val="en-US" w:eastAsia="zh-CN"/>
              </w:rPr>
            </w:pPr>
          </w:p>
          <w:p w14:paraId="0A117DBD">
            <w:pPr>
              <w:pStyle w:val="6"/>
              <w:rPr>
                <w:rFonts w:hint="default"/>
                <w:color w:val="auto"/>
              </w:rPr>
            </w:pPr>
            <w:r>
              <w:rPr>
                <w:color w:val="auto"/>
              </w:rPr>
              <w:t>评价方法</w:t>
            </w:r>
          </w:p>
          <w:p w14:paraId="5C116252">
            <w:pPr>
              <w:pStyle w:val="5"/>
              <w:bidi w:val="0"/>
              <w:rPr>
                <w:color w:val="auto"/>
              </w:rPr>
            </w:pPr>
            <w:r>
              <w:rPr>
                <w:rFonts w:hint="eastAsia"/>
                <w:color w:val="auto"/>
              </w:rPr>
              <w:t>评价方法为占标率法，对于超标的污染物，计算其超标倍数和超标率。占标率法如下：</w:t>
            </w:r>
          </w:p>
          <w:p w14:paraId="21F5D981">
            <w:pPr>
              <w:pStyle w:val="5"/>
              <w:bidi w:val="0"/>
              <w:jc w:val="center"/>
              <w:rPr>
                <w:color w:val="auto"/>
              </w:rPr>
            </w:pPr>
            <w:r>
              <w:rPr>
                <w:color w:val="auto"/>
              </w:rPr>
              <w:t>Pi=Ci/Coi×100%</w:t>
            </w:r>
          </w:p>
          <w:p w14:paraId="6FA5EB0C">
            <w:pPr>
              <w:pStyle w:val="5"/>
              <w:bidi w:val="0"/>
              <w:rPr>
                <w:color w:val="auto"/>
              </w:rPr>
            </w:pPr>
            <w:r>
              <w:rPr>
                <w:rFonts w:hint="eastAsia"/>
                <w:color w:val="auto"/>
              </w:rPr>
              <w:t>式中：</w:t>
            </w:r>
            <w:r>
              <w:rPr>
                <w:color w:val="auto"/>
              </w:rPr>
              <w:t>Pi—</w:t>
            </w:r>
            <w:r>
              <w:rPr>
                <w:rFonts w:hint="eastAsia"/>
                <w:color w:val="auto"/>
              </w:rPr>
              <w:t>第</w:t>
            </w:r>
            <w:r>
              <w:rPr>
                <w:color w:val="auto"/>
              </w:rPr>
              <w:t>i</w:t>
            </w:r>
            <w:r>
              <w:rPr>
                <w:rFonts w:hint="eastAsia"/>
                <w:color w:val="auto"/>
              </w:rPr>
              <w:t>个污染物的最大地面空气质量浓度占标率，</w:t>
            </w:r>
            <w:r>
              <w:rPr>
                <w:color w:val="auto"/>
              </w:rPr>
              <w:t>%</w:t>
            </w:r>
            <w:r>
              <w:rPr>
                <w:rFonts w:hint="eastAsia"/>
                <w:color w:val="auto"/>
              </w:rPr>
              <w:t>；</w:t>
            </w:r>
          </w:p>
          <w:p w14:paraId="4B372C9C">
            <w:pPr>
              <w:pStyle w:val="5"/>
              <w:bidi w:val="0"/>
              <w:ind w:firstLine="1200" w:firstLineChars="500"/>
              <w:rPr>
                <w:color w:val="auto"/>
              </w:rPr>
            </w:pPr>
            <w:r>
              <w:rPr>
                <w:color w:val="auto"/>
              </w:rPr>
              <w:t>Ci——</w:t>
            </w:r>
            <w:r>
              <w:rPr>
                <w:rFonts w:hint="eastAsia"/>
                <w:color w:val="auto"/>
              </w:rPr>
              <w:t>实测值；</w:t>
            </w:r>
          </w:p>
          <w:p w14:paraId="1EB74340">
            <w:pPr>
              <w:pStyle w:val="5"/>
              <w:bidi w:val="0"/>
              <w:ind w:firstLine="1200" w:firstLineChars="500"/>
              <w:rPr>
                <w:rFonts w:hint="eastAsia"/>
                <w:color w:val="auto"/>
              </w:rPr>
            </w:pPr>
            <w:r>
              <w:rPr>
                <w:color w:val="auto"/>
              </w:rPr>
              <w:t>Coi——</w:t>
            </w:r>
            <w:r>
              <w:rPr>
                <w:rFonts w:hint="eastAsia"/>
                <w:color w:val="auto"/>
              </w:rPr>
              <w:t>项目评价标准。</w:t>
            </w:r>
          </w:p>
          <w:p w14:paraId="779BBB46">
            <w:pPr>
              <w:pStyle w:val="5"/>
              <w:bidi w:val="0"/>
              <w:rPr>
                <w:color w:val="auto"/>
              </w:rPr>
            </w:pPr>
            <w:r>
              <w:rPr>
                <w:rFonts w:hint="eastAsia"/>
                <w:color w:val="auto"/>
              </w:rPr>
              <w:t>当Pi</w:t>
            </w:r>
            <w:r>
              <w:rPr>
                <w:color w:val="auto"/>
              </w:rPr>
              <w:t xml:space="preserve"> </w:t>
            </w:r>
            <w:r>
              <w:rPr>
                <w:rFonts w:hint="eastAsia"/>
                <w:color w:val="auto"/>
              </w:rPr>
              <w:t>&gt;1时，说明环境中i污染物含量超过标准值，当Pi</w:t>
            </w:r>
            <w:r>
              <w:rPr>
                <w:color w:val="auto"/>
              </w:rPr>
              <w:t xml:space="preserve"> </w:t>
            </w:r>
            <w:r>
              <w:rPr>
                <w:rFonts w:hint="eastAsia"/>
                <w:color w:val="auto"/>
              </w:rPr>
              <w:t>&lt;1时，则说明i污染物符合标准。某污染物的</w:t>
            </w:r>
            <w:r>
              <w:rPr>
                <w:color w:val="auto"/>
              </w:rPr>
              <w:t>P</w:t>
            </w:r>
            <w:r>
              <w:rPr>
                <w:rFonts w:hint="eastAsia"/>
                <w:color w:val="auto"/>
              </w:rPr>
              <w:t>i值越大，则污染相对越严重。</w:t>
            </w:r>
          </w:p>
          <w:p w14:paraId="2C6C6225">
            <w:pPr>
              <w:pStyle w:val="5"/>
              <w:bidi w:val="0"/>
              <w:rPr>
                <w:color w:val="auto"/>
              </w:rPr>
            </w:pPr>
            <w:r>
              <w:rPr>
                <w:rFonts w:hint="eastAsia"/>
                <w:color w:val="auto"/>
              </w:rPr>
              <w:t>超标项目</w:t>
            </w:r>
            <w:r>
              <w:rPr>
                <w:color w:val="auto"/>
              </w:rPr>
              <w:t>i</w:t>
            </w:r>
            <w:r>
              <w:rPr>
                <w:rFonts w:hint="eastAsia"/>
                <w:color w:val="auto"/>
              </w:rPr>
              <w:t>的超标倍数为：</w:t>
            </w:r>
          </w:p>
          <w:p w14:paraId="54FDE6B4">
            <w:pPr>
              <w:pStyle w:val="5"/>
              <w:bidi w:val="0"/>
              <w:jc w:val="center"/>
              <w:rPr>
                <w:color w:val="auto"/>
              </w:rPr>
            </w:pPr>
            <w:r>
              <w:rPr>
                <w:color w:val="auto"/>
              </w:rPr>
              <w:t>Bi = (Ci - Si ) / Si</w:t>
            </w:r>
          </w:p>
          <w:p w14:paraId="2B886940">
            <w:pPr>
              <w:pStyle w:val="5"/>
              <w:bidi w:val="0"/>
              <w:rPr>
                <w:color w:val="auto"/>
              </w:rPr>
            </w:pPr>
            <w:r>
              <w:rPr>
                <w:rFonts w:hint="eastAsia"/>
                <w:color w:val="auto"/>
              </w:rPr>
              <w:t>式中：</w:t>
            </w:r>
          </w:p>
          <w:p w14:paraId="2B3A7845">
            <w:pPr>
              <w:pStyle w:val="5"/>
              <w:bidi w:val="0"/>
              <w:ind w:firstLine="1200" w:firstLineChars="500"/>
              <w:rPr>
                <w:color w:val="auto"/>
              </w:rPr>
            </w:pPr>
            <w:r>
              <w:rPr>
                <w:color w:val="auto"/>
              </w:rPr>
              <w:t xml:space="preserve">Bi —— </w:t>
            </w:r>
            <w:r>
              <w:rPr>
                <w:rFonts w:hint="eastAsia"/>
                <w:color w:val="auto"/>
              </w:rPr>
              <w:t>表示超标项目</w:t>
            </w:r>
            <w:r>
              <w:rPr>
                <w:color w:val="auto"/>
              </w:rPr>
              <w:t>i</w:t>
            </w:r>
            <w:r>
              <w:rPr>
                <w:rFonts w:hint="eastAsia"/>
                <w:color w:val="auto"/>
              </w:rPr>
              <w:t>的超标倍数；</w:t>
            </w:r>
          </w:p>
          <w:p w14:paraId="7D24B57F">
            <w:pPr>
              <w:pStyle w:val="5"/>
              <w:bidi w:val="0"/>
              <w:ind w:firstLine="1200" w:firstLineChars="500"/>
              <w:rPr>
                <w:color w:val="auto"/>
              </w:rPr>
            </w:pPr>
            <w:r>
              <w:rPr>
                <w:color w:val="auto"/>
              </w:rPr>
              <w:t xml:space="preserve">Ci —— </w:t>
            </w:r>
            <w:r>
              <w:rPr>
                <w:rFonts w:hint="eastAsia"/>
                <w:color w:val="auto"/>
              </w:rPr>
              <w:t>超标项目</w:t>
            </w:r>
            <w:r>
              <w:rPr>
                <w:color w:val="auto"/>
              </w:rPr>
              <w:t>i</w:t>
            </w:r>
            <w:r>
              <w:rPr>
                <w:rFonts w:hint="eastAsia"/>
                <w:color w:val="auto"/>
              </w:rPr>
              <w:t>的浓度值；</w:t>
            </w:r>
          </w:p>
          <w:p w14:paraId="0453BF74">
            <w:pPr>
              <w:pStyle w:val="5"/>
              <w:bidi w:val="0"/>
              <w:ind w:firstLine="1200" w:firstLineChars="500"/>
              <w:rPr>
                <w:rFonts w:hint="eastAsia"/>
                <w:color w:val="auto"/>
              </w:rPr>
            </w:pPr>
            <w:r>
              <w:rPr>
                <w:color w:val="auto"/>
              </w:rPr>
              <w:t xml:space="preserve">Si —— </w:t>
            </w:r>
            <w:r>
              <w:rPr>
                <w:rFonts w:hint="eastAsia"/>
                <w:color w:val="auto"/>
              </w:rPr>
              <w:t>超标项目</w:t>
            </w:r>
            <w:r>
              <w:rPr>
                <w:color w:val="auto"/>
              </w:rPr>
              <w:t>i</w:t>
            </w:r>
            <w:r>
              <w:rPr>
                <w:rFonts w:hint="eastAsia"/>
                <w:color w:val="auto"/>
              </w:rPr>
              <w:t>的浓度限值标准。</w:t>
            </w:r>
          </w:p>
          <w:p w14:paraId="53C26CF4">
            <w:pPr>
              <w:pStyle w:val="6"/>
              <w:bidi w:val="0"/>
              <w:rPr>
                <w:rFonts w:hint="eastAsia"/>
                <w:color w:val="auto"/>
              </w:rPr>
            </w:pPr>
            <w:r>
              <w:rPr>
                <w:rFonts w:hint="eastAsia"/>
                <w:color w:val="auto"/>
                <w:lang w:val="en-US" w:eastAsia="zh-CN"/>
              </w:rPr>
              <w:t>监测结果与评价</w:t>
            </w:r>
          </w:p>
          <w:p w14:paraId="223F6643">
            <w:pPr>
              <w:pStyle w:val="5"/>
              <w:rPr>
                <w:rFonts w:hint="default" w:eastAsia="宋体"/>
                <w:color w:val="auto"/>
                <w:lang w:val="en-US" w:eastAsia="zh-CN"/>
              </w:rPr>
            </w:pPr>
            <w:r>
              <w:rPr>
                <w:rFonts w:hint="eastAsia"/>
                <w:color w:val="auto"/>
                <w:lang w:val="en-US" w:eastAsia="zh-CN"/>
              </w:rPr>
              <w:t>根据本次监测数据可知，其监测结果如下。</w:t>
            </w:r>
          </w:p>
          <w:p w14:paraId="4D2D753E">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20</w:t>
            </w:r>
            <w:r>
              <w:rPr>
                <w:color w:val="auto"/>
              </w:rPr>
              <w:fldChar w:fldCharType="end"/>
            </w:r>
            <w:r>
              <w:rPr>
                <w:rFonts w:hint="eastAsia"/>
                <w:color w:val="auto"/>
                <w:lang w:val="en-US" w:eastAsia="zh-CN"/>
              </w:rPr>
              <w:t xml:space="preserve">  其他污染物评价表</w:t>
            </w:r>
          </w:p>
          <w:tbl>
            <w:tblPr>
              <w:tblStyle w:val="16"/>
              <w:tblW w:w="7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37"/>
              <w:gridCol w:w="1095"/>
              <w:gridCol w:w="1096"/>
              <w:gridCol w:w="1096"/>
              <w:gridCol w:w="1096"/>
              <w:gridCol w:w="1096"/>
            </w:tblGrid>
            <w:tr w14:paraId="23B0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 w:type="dxa"/>
                  <w:vAlign w:val="center"/>
                </w:tcPr>
                <w:p w14:paraId="60EEF05C">
                  <w:pPr>
                    <w:pStyle w:val="19"/>
                    <w:bidi w:val="0"/>
                    <w:rPr>
                      <w:rFonts w:hint="eastAsia" w:eastAsia="宋体"/>
                      <w:b w:val="0"/>
                      <w:bCs w:val="0"/>
                      <w:color w:val="auto"/>
                      <w:lang w:val="en-US" w:eastAsia="zh-CN"/>
                    </w:rPr>
                  </w:pPr>
                  <w:r>
                    <w:rPr>
                      <w:rFonts w:hint="eastAsia"/>
                      <w:color w:val="auto"/>
                    </w:rPr>
                    <w:t>监测点</w:t>
                  </w:r>
                </w:p>
              </w:tc>
              <w:tc>
                <w:tcPr>
                  <w:tcW w:w="1337" w:type="dxa"/>
                  <w:vAlign w:val="center"/>
                </w:tcPr>
                <w:p w14:paraId="3E389798">
                  <w:pPr>
                    <w:pStyle w:val="19"/>
                    <w:bidi w:val="0"/>
                    <w:rPr>
                      <w:rFonts w:hint="eastAsia" w:eastAsia="宋体"/>
                      <w:b w:val="0"/>
                      <w:bCs w:val="0"/>
                      <w:color w:val="auto"/>
                      <w:lang w:val="en-US" w:eastAsia="zh-CN"/>
                    </w:rPr>
                  </w:pPr>
                  <w:r>
                    <w:rPr>
                      <w:rFonts w:hint="eastAsia"/>
                      <w:color w:val="auto"/>
                    </w:rPr>
                    <w:t>监测物质</w:t>
                  </w:r>
                </w:p>
              </w:tc>
              <w:tc>
                <w:tcPr>
                  <w:tcW w:w="1095" w:type="dxa"/>
                  <w:vAlign w:val="center"/>
                </w:tcPr>
                <w:p w14:paraId="17073E1B">
                  <w:pPr>
                    <w:pStyle w:val="19"/>
                    <w:bidi w:val="0"/>
                    <w:rPr>
                      <w:rFonts w:hint="eastAsia" w:eastAsia="宋体"/>
                      <w:b w:val="0"/>
                      <w:bCs w:val="0"/>
                      <w:color w:val="auto"/>
                      <w:lang w:val="en-US" w:eastAsia="zh-CN"/>
                    </w:rPr>
                  </w:pPr>
                  <w:r>
                    <w:rPr>
                      <w:rFonts w:hint="eastAsia"/>
                      <w:color w:val="auto"/>
                    </w:rPr>
                    <w:t>评价标准（</w:t>
                  </w:r>
                  <w:r>
                    <w:rPr>
                      <w:color w:val="auto"/>
                    </w:rPr>
                    <w:t>μg/m³</w:t>
                  </w:r>
                  <w:r>
                    <w:rPr>
                      <w:rFonts w:hint="eastAsia"/>
                      <w:color w:val="auto"/>
                    </w:rPr>
                    <w:t>）</w:t>
                  </w:r>
                </w:p>
              </w:tc>
              <w:tc>
                <w:tcPr>
                  <w:tcW w:w="1096" w:type="dxa"/>
                  <w:vAlign w:val="center"/>
                </w:tcPr>
                <w:p w14:paraId="11CBC295">
                  <w:pPr>
                    <w:pStyle w:val="19"/>
                    <w:bidi w:val="0"/>
                    <w:rPr>
                      <w:rFonts w:hint="eastAsia" w:eastAsia="宋体"/>
                      <w:b w:val="0"/>
                      <w:bCs w:val="0"/>
                      <w:color w:val="auto"/>
                      <w:lang w:val="en-US" w:eastAsia="zh-CN"/>
                    </w:rPr>
                  </w:pPr>
                  <w:r>
                    <w:rPr>
                      <w:rFonts w:hint="eastAsia"/>
                      <w:color w:val="auto"/>
                    </w:rPr>
                    <w:t>监测浓度范围（</w:t>
                  </w:r>
                  <w:r>
                    <w:rPr>
                      <w:color w:val="auto"/>
                    </w:rPr>
                    <w:t>μg/m³</w:t>
                  </w:r>
                  <w:r>
                    <w:rPr>
                      <w:rFonts w:hint="eastAsia"/>
                      <w:color w:val="auto"/>
                    </w:rPr>
                    <w:t>）</w:t>
                  </w:r>
                </w:p>
              </w:tc>
              <w:tc>
                <w:tcPr>
                  <w:tcW w:w="1096" w:type="dxa"/>
                  <w:vAlign w:val="center"/>
                </w:tcPr>
                <w:p w14:paraId="459C90DF">
                  <w:pPr>
                    <w:pStyle w:val="19"/>
                    <w:bidi w:val="0"/>
                    <w:rPr>
                      <w:rFonts w:hint="eastAsia"/>
                      <w:b w:val="0"/>
                      <w:bCs w:val="0"/>
                      <w:color w:val="auto"/>
                    </w:rPr>
                  </w:pPr>
                  <w:r>
                    <w:rPr>
                      <w:rFonts w:hint="eastAsia"/>
                      <w:color w:val="auto"/>
                    </w:rPr>
                    <w:t>最大浓度占标率/%</w:t>
                  </w:r>
                </w:p>
              </w:tc>
              <w:tc>
                <w:tcPr>
                  <w:tcW w:w="1096" w:type="dxa"/>
                  <w:vAlign w:val="center"/>
                </w:tcPr>
                <w:p w14:paraId="78F937B4">
                  <w:pPr>
                    <w:pStyle w:val="19"/>
                    <w:bidi w:val="0"/>
                    <w:rPr>
                      <w:rFonts w:hint="eastAsia"/>
                      <w:b w:val="0"/>
                      <w:bCs w:val="0"/>
                      <w:color w:val="auto"/>
                    </w:rPr>
                  </w:pPr>
                  <w:r>
                    <w:rPr>
                      <w:rFonts w:hint="eastAsia"/>
                      <w:color w:val="auto"/>
                    </w:rPr>
                    <w:t>超标率/%</w:t>
                  </w:r>
                </w:p>
              </w:tc>
              <w:tc>
                <w:tcPr>
                  <w:tcW w:w="1096" w:type="dxa"/>
                  <w:vAlign w:val="center"/>
                </w:tcPr>
                <w:p w14:paraId="5BD7AFB5">
                  <w:pPr>
                    <w:pStyle w:val="19"/>
                    <w:bidi w:val="0"/>
                    <w:rPr>
                      <w:rFonts w:hint="eastAsia"/>
                      <w:b w:val="0"/>
                      <w:bCs w:val="0"/>
                      <w:color w:val="auto"/>
                    </w:rPr>
                  </w:pPr>
                  <w:r>
                    <w:rPr>
                      <w:rFonts w:hint="eastAsia"/>
                      <w:color w:val="auto"/>
                    </w:rPr>
                    <w:t>达标情况</w:t>
                  </w:r>
                </w:p>
              </w:tc>
            </w:tr>
            <w:tr w14:paraId="62D3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4C8FBE27">
                  <w:pPr>
                    <w:pStyle w:val="19"/>
                    <w:bidi w:val="0"/>
                    <w:rPr>
                      <w:rFonts w:hint="default" w:eastAsia="宋体"/>
                      <w:color w:val="auto"/>
                      <w:lang w:val="en-US" w:eastAsia="zh-CN"/>
                    </w:rPr>
                  </w:pPr>
                  <w:r>
                    <w:rPr>
                      <w:rFonts w:hint="eastAsia"/>
                      <w:color w:val="auto"/>
                      <w:lang w:val="en-US" w:eastAsia="zh-CN"/>
                    </w:rPr>
                    <w:t>气1</w:t>
                  </w:r>
                </w:p>
              </w:tc>
              <w:tc>
                <w:tcPr>
                  <w:tcW w:w="1337" w:type="dxa"/>
                  <w:vAlign w:val="center"/>
                </w:tcPr>
                <w:p w14:paraId="32EF6D37">
                  <w:pPr>
                    <w:pStyle w:val="19"/>
                    <w:bidi w:val="0"/>
                    <w:rPr>
                      <w:rFonts w:hint="default" w:eastAsia="宋体"/>
                      <w:color w:val="auto"/>
                      <w:lang w:val="en-US" w:eastAsia="zh-CN"/>
                    </w:rPr>
                  </w:pPr>
                  <w:r>
                    <w:rPr>
                      <w:rFonts w:hint="eastAsia"/>
                      <w:color w:val="auto"/>
                      <w:lang w:val="en-US" w:eastAsia="zh-CN"/>
                    </w:rPr>
                    <w:t>TSP</w:t>
                  </w:r>
                </w:p>
              </w:tc>
              <w:tc>
                <w:tcPr>
                  <w:tcW w:w="1095" w:type="dxa"/>
                  <w:vAlign w:val="center"/>
                </w:tcPr>
                <w:p w14:paraId="737F2052">
                  <w:pPr>
                    <w:pStyle w:val="19"/>
                    <w:bidi w:val="0"/>
                    <w:rPr>
                      <w:rFonts w:hint="eastAsia"/>
                      <w:color w:val="auto"/>
                    </w:rPr>
                  </w:pPr>
                  <w:r>
                    <w:rPr>
                      <w:rFonts w:hint="eastAsia"/>
                      <w:color w:val="auto"/>
                    </w:rPr>
                    <w:t>300</w:t>
                  </w:r>
                </w:p>
              </w:tc>
              <w:tc>
                <w:tcPr>
                  <w:tcW w:w="1096" w:type="dxa"/>
                  <w:vAlign w:val="center"/>
                </w:tcPr>
                <w:p w14:paraId="5241F17E">
                  <w:pPr>
                    <w:pStyle w:val="19"/>
                    <w:bidi w:val="0"/>
                    <w:rPr>
                      <w:rFonts w:hint="default" w:eastAsia="宋体"/>
                      <w:color w:val="auto"/>
                      <w:lang w:val="en-US" w:eastAsia="zh-CN"/>
                    </w:rPr>
                  </w:pPr>
                  <w:r>
                    <w:rPr>
                      <w:rFonts w:hint="eastAsia"/>
                      <w:color w:val="auto"/>
                      <w:lang w:val="en-US" w:eastAsia="zh-CN"/>
                    </w:rPr>
                    <w:t>138~181</w:t>
                  </w:r>
                </w:p>
              </w:tc>
              <w:tc>
                <w:tcPr>
                  <w:tcW w:w="1096" w:type="dxa"/>
                  <w:vAlign w:val="center"/>
                </w:tcPr>
                <w:p w14:paraId="7182CE38">
                  <w:pPr>
                    <w:pStyle w:val="19"/>
                    <w:bidi w:val="0"/>
                    <w:rPr>
                      <w:rFonts w:hint="eastAsia"/>
                      <w:color w:val="auto"/>
                    </w:rPr>
                  </w:pPr>
                  <w:r>
                    <w:rPr>
                      <w:rFonts w:hint="eastAsia"/>
                      <w:color w:val="auto"/>
                      <w:lang w:val="en-US" w:eastAsia="zh-CN"/>
                    </w:rPr>
                    <w:t xml:space="preserve">60.33 </w:t>
                  </w:r>
                </w:p>
              </w:tc>
              <w:tc>
                <w:tcPr>
                  <w:tcW w:w="1096" w:type="dxa"/>
                  <w:vAlign w:val="center"/>
                </w:tcPr>
                <w:p w14:paraId="3EDA1D7F">
                  <w:pPr>
                    <w:pStyle w:val="19"/>
                    <w:bidi w:val="0"/>
                    <w:rPr>
                      <w:rFonts w:hint="eastAsia"/>
                      <w:color w:val="auto"/>
                    </w:rPr>
                  </w:pPr>
                  <w:r>
                    <w:rPr>
                      <w:rFonts w:hint="eastAsia"/>
                      <w:color w:val="auto"/>
                    </w:rPr>
                    <w:t>0</w:t>
                  </w:r>
                </w:p>
              </w:tc>
              <w:tc>
                <w:tcPr>
                  <w:tcW w:w="1096" w:type="dxa"/>
                  <w:vAlign w:val="center"/>
                </w:tcPr>
                <w:p w14:paraId="11EC2795">
                  <w:pPr>
                    <w:pStyle w:val="19"/>
                    <w:bidi w:val="0"/>
                    <w:rPr>
                      <w:rFonts w:hint="eastAsia"/>
                      <w:color w:val="auto"/>
                    </w:rPr>
                  </w:pPr>
                  <w:r>
                    <w:rPr>
                      <w:rFonts w:hint="eastAsia"/>
                      <w:color w:val="auto"/>
                    </w:rPr>
                    <w:t>达标</w:t>
                  </w:r>
                </w:p>
              </w:tc>
            </w:tr>
            <w:tr w14:paraId="74E4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76DC496D">
                  <w:pPr>
                    <w:pStyle w:val="19"/>
                    <w:bidi w:val="0"/>
                    <w:rPr>
                      <w:rFonts w:hint="eastAsia"/>
                      <w:color w:val="auto"/>
                      <w:lang w:val="en-US" w:eastAsia="zh-CN"/>
                    </w:rPr>
                  </w:pPr>
                </w:p>
              </w:tc>
              <w:tc>
                <w:tcPr>
                  <w:tcW w:w="1337" w:type="dxa"/>
                  <w:vAlign w:val="center"/>
                </w:tcPr>
                <w:p w14:paraId="4E042B07">
                  <w:pPr>
                    <w:pStyle w:val="19"/>
                    <w:bidi w:val="0"/>
                    <w:rPr>
                      <w:rFonts w:hint="eastAsia" w:eastAsia="宋体"/>
                      <w:color w:val="auto"/>
                      <w:lang w:val="en-US" w:eastAsia="zh-CN"/>
                    </w:rPr>
                  </w:pPr>
                  <w:r>
                    <w:rPr>
                      <w:rFonts w:hint="eastAsia"/>
                      <w:color w:val="auto"/>
                      <w:lang w:val="en-US" w:eastAsia="zh-CN"/>
                    </w:rPr>
                    <w:t>非甲烷总烃</w:t>
                  </w:r>
                </w:p>
              </w:tc>
              <w:tc>
                <w:tcPr>
                  <w:tcW w:w="1095" w:type="dxa"/>
                  <w:vAlign w:val="center"/>
                </w:tcPr>
                <w:p w14:paraId="678980B6">
                  <w:pPr>
                    <w:pStyle w:val="19"/>
                    <w:bidi w:val="0"/>
                    <w:rPr>
                      <w:rFonts w:hint="eastAsia"/>
                      <w:color w:val="auto"/>
                    </w:rPr>
                  </w:pPr>
                  <w:r>
                    <w:rPr>
                      <w:rFonts w:hint="eastAsia"/>
                      <w:color w:val="auto"/>
                    </w:rPr>
                    <w:t>2000</w:t>
                  </w:r>
                </w:p>
              </w:tc>
              <w:tc>
                <w:tcPr>
                  <w:tcW w:w="1096" w:type="dxa"/>
                  <w:vAlign w:val="center"/>
                </w:tcPr>
                <w:p w14:paraId="23BD8F8E">
                  <w:pPr>
                    <w:pStyle w:val="19"/>
                    <w:bidi w:val="0"/>
                    <w:rPr>
                      <w:rFonts w:hint="default" w:eastAsia="宋体"/>
                      <w:color w:val="auto"/>
                      <w:lang w:val="en-US" w:eastAsia="zh-CN"/>
                    </w:rPr>
                  </w:pPr>
                  <w:r>
                    <w:rPr>
                      <w:rFonts w:hint="eastAsia"/>
                      <w:color w:val="auto"/>
                      <w:lang w:val="en-US" w:eastAsia="zh-CN"/>
                    </w:rPr>
                    <w:t>730~860</w:t>
                  </w:r>
                </w:p>
              </w:tc>
              <w:tc>
                <w:tcPr>
                  <w:tcW w:w="1096" w:type="dxa"/>
                  <w:vAlign w:val="center"/>
                </w:tcPr>
                <w:p w14:paraId="58D38F8E">
                  <w:pPr>
                    <w:pStyle w:val="19"/>
                    <w:bidi w:val="0"/>
                    <w:rPr>
                      <w:rFonts w:hint="eastAsia"/>
                      <w:color w:val="auto"/>
                    </w:rPr>
                  </w:pPr>
                  <w:r>
                    <w:rPr>
                      <w:rFonts w:hint="eastAsia"/>
                      <w:color w:val="auto"/>
                      <w:lang w:val="en-US" w:eastAsia="zh-CN"/>
                    </w:rPr>
                    <w:t xml:space="preserve">43.00 </w:t>
                  </w:r>
                </w:p>
              </w:tc>
              <w:tc>
                <w:tcPr>
                  <w:tcW w:w="1096" w:type="dxa"/>
                  <w:vAlign w:val="top"/>
                </w:tcPr>
                <w:p w14:paraId="0F241346">
                  <w:pPr>
                    <w:pStyle w:val="19"/>
                    <w:bidi w:val="0"/>
                    <w:rPr>
                      <w:rFonts w:hint="eastAsia"/>
                      <w:color w:val="auto"/>
                    </w:rPr>
                  </w:pPr>
                  <w:r>
                    <w:rPr>
                      <w:color w:val="auto"/>
                    </w:rPr>
                    <w:t>0</w:t>
                  </w:r>
                </w:p>
              </w:tc>
              <w:tc>
                <w:tcPr>
                  <w:tcW w:w="1096" w:type="dxa"/>
                  <w:vAlign w:val="top"/>
                </w:tcPr>
                <w:p w14:paraId="61E7D368">
                  <w:pPr>
                    <w:pStyle w:val="19"/>
                    <w:bidi w:val="0"/>
                    <w:rPr>
                      <w:rFonts w:hint="eastAsia"/>
                      <w:color w:val="auto"/>
                    </w:rPr>
                  </w:pPr>
                  <w:r>
                    <w:rPr>
                      <w:rFonts w:hint="eastAsia"/>
                      <w:color w:val="auto"/>
                    </w:rPr>
                    <w:t>达标</w:t>
                  </w:r>
                </w:p>
              </w:tc>
            </w:tr>
            <w:tr w14:paraId="10D9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14:paraId="20CAAD73">
                  <w:pPr>
                    <w:pStyle w:val="19"/>
                    <w:bidi w:val="0"/>
                    <w:rPr>
                      <w:rFonts w:hint="default" w:eastAsia="宋体"/>
                      <w:color w:val="auto"/>
                      <w:lang w:val="en-US" w:eastAsia="zh-CN"/>
                    </w:rPr>
                  </w:pPr>
                  <w:r>
                    <w:rPr>
                      <w:rFonts w:hint="eastAsia"/>
                      <w:color w:val="auto"/>
                      <w:lang w:val="en-US" w:eastAsia="zh-CN"/>
                    </w:rPr>
                    <w:t>气2</w:t>
                  </w:r>
                </w:p>
              </w:tc>
              <w:tc>
                <w:tcPr>
                  <w:tcW w:w="1337" w:type="dxa"/>
                  <w:vAlign w:val="center"/>
                </w:tcPr>
                <w:p w14:paraId="194F0B03">
                  <w:pPr>
                    <w:pStyle w:val="19"/>
                    <w:bidi w:val="0"/>
                    <w:rPr>
                      <w:rFonts w:hint="eastAsia"/>
                      <w:color w:val="auto"/>
                    </w:rPr>
                  </w:pPr>
                  <w:r>
                    <w:rPr>
                      <w:rFonts w:hint="eastAsia"/>
                      <w:color w:val="auto"/>
                      <w:lang w:val="en-US" w:eastAsia="zh-CN"/>
                    </w:rPr>
                    <w:t>TSP</w:t>
                  </w:r>
                </w:p>
              </w:tc>
              <w:tc>
                <w:tcPr>
                  <w:tcW w:w="1095" w:type="dxa"/>
                  <w:vAlign w:val="center"/>
                </w:tcPr>
                <w:p w14:paraId="0EDE7C91">
                  <w:pPr>
                    <w:pStyle w:val="19"/>
                    <w:bidi w:val="0"/>
                    <w:rPr>
                      <w:rFonts w:hint="eastAsia"/>
                      <w:color w:val="auto"/>
                    </w:rPr>
                  </w:pPr>
                  <w:r>
                    <w:rPr>
                      <w:rFonts w:hint="eastAsia"/>
                      <w:color w:val="auto"/>
                    </w:rPr>
                    <w:t>300</w:t>
                  </w:r>
                </w:p>
              </w:tc>
              <w:tc>
                <w:tcPr>
                  <w:tcW w:w="1096" w:type="dxa"/>
                  <w:vAlign w:val="center"/>
                </w:tcPr>
                <w:p w14:paraId="4F973475">
                  <w:pPr>
                    <w:pStyle w:val="19"/>
                    <w:bidi w:val="0"/>
                    <w:rPr>
                      <w:rFonts w:hint="default" w:eastAsia="宋体"/>
                      <w:color w:val="auto"/>
                      <w:lang w:val="en-US" w:eastAsia="zh-CN"/>
                    </w:rPr>
                  </w:pPr>
                  <w:r>
                    <w:rPr>
                      <w:rFonts w:hint="eastAsia"/>
                      <w:color w:val="auto"/>
                      <w:lang w:val="en-US" w:eastAsia="zh-CN"/>
                    </w:rPr>
                    <w:t>143~179</w:t>
                  </w:r>
                </w:p>
              </w:tc>
              <w:tc>
                <w:tcPr>
                  <w:tcW w:w="1096" w:type="dxa"/>
                  <w:vAlign w:val="center"/>
                </w:tcPr>
                <w:p w14:paraId="27A0783B">
                  <w:pPr>
                    <w:pStyle w:val="19"/>
                    <w:bidi w:val="0"/>
                    <w:rPr>
                      <w:rFonts w:hint="eastAsia"/>
                      <w:color w:val="auto"/>
                    </w:rPr>
                  </w:pPr>
                  <w:r>
                    <w:rPr>
                      <w:rFonts w:hint="eastAsia"/>
                      <w:color w:val="auto"/>
                      <w:lang w:val="en-US" w:eastAsia="zh-CN"/>
                    </w:rPr>
                    <w:t xml:space="preserve">59.67 </w:t>
                  </w:r>
                </w:p>
              </w:tc>
              <w:tc>
                <w:tcPr>
                  <w:tcW w:w="1096" w:type="dxa"/>
                  <w:vAlign w:val="center"/>
                </w:tcPr>
                <w:p w14:paraId="56372F58">
                  <w:pPr>
                    <w:pStyle w:val="19"/>
                    <w:bidi w:val="0"/>
                    <w:rPr>
                      <w:rFonts w:hint="eastAsia"/>
                      <w:color w:val="auto"/>
                    </w:rPr>
                  </w:pPr>
                  <w:r>
                    <w:rPr>
                      <w:rFonts w:hint="eastAsia"/>
                      <w:color w:val="auto"/>
                    </w:rPr>
                    <w:t>0</w:t>
                  </w:r>
                </w:p>
              </w:tc>
              <w:tc>
                <w:tcPr>
                  <w:tcW w:w="1096" w:type="dxa"/>
                  <w:vAlign w:val="center"/>
                </w:tcPr>
                <w:p w14:paraId="4B476AD1">
                  <w:pPr>
                    <w:pStyle w:val="19"/>
                    <w:bidi w:val="0"/>
                    <w:rPr>
                      <w:rFonts w:hint="eastAsia"/>
                      <w:color w:val="auto"/>
                    </w:rPr>
                  </w:pPr>
                  <w:r>
                    <w:rPr>
                      <w:rFonts w:hint="eastAsia"/>
                      <w:color w:val="auto"/>
                    </w:rPr>
                    <w:t>达标</w:t>
                  </w:r>
                </w:p>
              </w:tc>
            </w:tr>
            <w:tr w14:paraId="2DDD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14:paraId="3493E40D">
                  <w:pPr>
                    <w:pStyle w:val="19"/>
                    <w:bidi w:val="0"/>
                    <w:rPr>
                      <w:rFonts w:hint="eastAsia"/>
                      <w:color w:val="auto"/>
                      <w:lang w:val="en-US" w:eastAsia="zh-CN"/>
                    </w:rPr>
                  </w:pPr>
                </w:p>
              </w:tc>
              <w:tc>
                <w:tcPr>
                  <w:tcW w:w="1337" w:type="dxa"/>
                  <w:vAlign w:val="center"/>
                </w:tcPr>
                <w:p w14:paraId="096EAE6F">
                  <w:pPr>
                    <w:pStyle w:val="19"/>
                    <w:bidi w:val="0"/>
                    <w:rPr>
                      <w:rFonts w:hint="eastAsia"/>
                      <w:color w:val="auto"/>
                    </w:rPr>
                  </w:pPr>
                  <w:r>
                    <w:rPr>
                      <w:rFonts w:hint="eastAsia"/>
                      <w:color w:val="auto"/>
                      <w:lang w:val="en-US" w:eastAsia="zh-CN"/>
                    </w:rPr>
                    <w:t>非甲烷总烃</w:t>
                  </w:r>
                </w:p>
              </w:tc>
              <w:tc>
                <w:tcPr>
                  <w:tcW w:w="1095" w:type="dxa"/>
                  <w:vAlign w:val="center"/>
                </w:tcPr>
                <w:p w14:paraId="679F6D10">
                  <w:pPr>
                    <w:pStyle w:val="19"/>
                    <w:bidi w:val="0"/>
                    <w:rPr>
                      <w:rFonts w:hint="eastAsia"/>
                      <w:color w:val="auto"/>
                    </w:rPr>
                  </w:pPr>
                  <w:r>
                    <w:rPr>
                      <w:rFonts w:hint="eastAsia"/>
                      <w:color w:val="auto"/>
                    </w:rPr>
                    <w:t>2000</w:t>
                  </w:r>
                </w:p>
              </w:tc>
              <w:tc>
                <w:tcPr>
                  <w:tcW w:w="1096" w:type="dxa"/>
                  <w:vAlign w:val="center"/>
                </w:tcPr>
                <w:p w14:paraId="28819634">
                  <w:pPr>
                    <w:pStyle w:val="19"/>
                    <w:bidi w:val="0"/>
                    <w:rPr>
                      <w:rFonts w:hint="default" w:eastAsia="宋体"/>
                      <w:color w:val="auto"/>
                      <w:lang w:val="en-US" w:eastAsia="zh-CN"/>
                    </w:rPr>
                  </w:pPr>
                  <w:r>
                    <w:rPr>
                      <w:rFonts w:hint="eastAsia"/>
                      <w:color w:val="auto"/>
                      <w:lang w:val="en-US" w:eastAsia="zh-CN"/>
                    </w:rPr>
                    <w:t>750~850</w:t>
                  </w:r>
                </w:p>
              </w:tc>
              <w:tc>
                <w:tcPr>
                  <w:tcW w:w="1096" w:type="dxa"/>
                  <w:vAlign w:val="center"/>
                </w:tcPr>
                <w:p w14:paraId="50299F9D">
                  <w:pPr>
                    <w:pStyle w:val="19"/>
                    <w:bidi w:val="0"/>
                    <w:rPr>
                      <w:rFonts w:hint="eastAsia"/>
                      <w:color w:val="auto"/>
                    </w:rPr>
                  </w:pPr>
                  <w:r>
                    <w:rPr>
                      <w:rFonts w:hint="eastAsia"/>
                      <w:color w:val="auto"/>
                      <w:lang w:val="en-US" w:eastAsia="zh-CN"/>
                    </w:rPr>
                    <w:t xml:space="preserve">42.50 </w:t>
                  </w:r>
                </w:p>
              </w:tc>
              <w:tc>
                <w:tcPr>
                  <w:tcW w:w="1096" w:type="dxa"/>
                  <w:vAlign w:val="center"/>
                </w:tcPr>
                <w:p w14:paraId="27C1C259">
                  <w:pPr>
                    <w:pStyle w:val="19"/>
                    <w:bidi w:val="0"/>
                    <w:rPr>
                      <w:rFonts w:hint="eastAsia"/>
                      <w:color w:val="auto"/>
                    </w:rPr>
                  </w:pPr>
                  <w:r>
                    <w:rPr>
                      <w:rFonts w:hint="eastAsia"/>
                      <w:color w:val="auto"/>
                    </w:rPr>
                    <w:t>0</w:t>
                  </w:r>
                </w:p>
              </w:tc>
              <w:tc>
                <w:tcPr>
                  <w:tcW w:w="1096" w:type="dxa"/>
                  <w:vAlign w:val="center"/>
                </w:tcPr>
                <w:p w14:paraId="6287BC74">
                  <w:pPr>
                    <w:pStyle w:val="19"/>
                    <w:bidi w:val="0"/>
                    <w:rPr>
                      <w:rFonts w:hint="eastAsia"/>
                      <w:color w:val="auto"/>
                    </w:rPr>
                  </w:pPr>
                  <w:r>
                    <w:rPr>
                      <w:rFonts w:hint="eastAsia"/>
                      <w:color w:val="auto"/>
                    </w:rPr>
                    <w:t>达标</w:t>
                  </w:r>
                </w:p>
              </w:tc>
            </w:tr>
          </w:tbl>
          <w:p w14:paraId="2763021D">
            <w:pPr>
              <w:pStyle w:val="20"/>
              <w:bidi w:val="0"/>
              <w:rPr>
                <w:rFonts w:hint="eastAsia"/>
                <w:color w:val="auto"/>
              </w:rPr>
            </w:pPr>
          </w:p>
          <w:p w14:paraId="4D4D93DA">
            <w:pPr>
              <w:pStyle w:val="5"/>
              <w:ind w:firstLine="480"/>
              <w:rPr>
                <w:color w:val="auto"/>
              </w:rPr>
            </w:pPr>
            <w:r>
              <w:rPr>
                <w:color w:val="auto"/>
              </w:rPr>
              <w:t>从监测结果可知：监测期间评价区域内监测点其他污染物浓度均满足标准要求，TSP满足《环境空气质量标准》（GB</w:t>
            </w:r>
            <w:r>
              <w:rPr>
                <w:rFonts w:hint="eastAsia"/>
                <w:color w:val="auto"/>
                <w:lang w:eastAsia="zh-CN"/>
              </w:rPr>
              <w:t>3095-2026</w:t>
            </w:r>
            <w:r>
              <w:rPr>
                <w:color w:val="auto"/>
              </w:rPr>
              <w:t>）二级标准限值；非甲烷总烃均满足《大气污染物综合排放标准详解》中的要求。</w:t>
            </w:r>
          </w:p>
          <w:p w14:paraId="342DE66A">
            <w:pPr>
              <w:pStyle w:val="3"/>
              <w:rPr>
                <w:rFonts w:hint="default"/>
                <w:color w:val="auto"/>
              </w:rPr>
            </w:pPr>
            <w:r>
              <w:rPr>
                <w:color w:val="auto"/>
              </w:rPr>
              <w:t>水环境质量现状调查与评价</w:t>
            </w:r>
          </w:p>
          <w:p w14:paraId="5FED50A4">
            <w:pPr>
              <w:pStyle w:val="4"/>
              <w:bidi w:val="0"/>
              <w:rPr>
                <w:rFonts w:hint="default"/>
                <w:color w:val="auto"/>
              </w:rPr>
            </w:pPr>
            <w:r>
              <w:rPr>
                <w:color w:val="auto"/>
              </w:rPr>
              <w:t>地表水</w:t>
            </w:r>
          </w:p>
          <w:p w14:paraId="59BCB6A3">
            <w:pPr>
              <w:ind w:firstLine="480"/>
              <w:rPr>
                <w:rFonts w:hint="eastAsia"/>
                <w:color w:val="auto"/>
              </w:rPr>
            </w:pPr>
            <w:bookmarkStart w:id="7" w:name="_Hlk97245670"/>
            <w:r>
              <w:rPr>
                <w:rFonts w:hint="eastAsia"/>
                <w:color w:val="auto"/>
              </w:rPr>
              <w:t>本项目周边地表水系</w:t>
            </w:r>
            <w:r>
              <w:rPr>
                <w:color w:val="auto"/>
              </w:rPr>
              <w:t>属于孔雀河</w:t>
            </w:r>
            <w:r>
              <w:rPr>
                <w:rFonts w:hint="eastAsia"/>
                <w:color w:val="auto"/>
              </w:rPr>
              <w:t>流域</w:t>
            </w:r>
            <w:r>
              <w:rPr>
                <w:rFonts w:hint="eastAsia"/>
                <w:bCs/>
                <w:color w:val="auto"/>
              </w:rPr>
              <w:t>，</w:t>
            </w:r>
            <w:r>
              <w:rPr>
                <w:rFonts w:hint="eastAsia"/>
                <w:color w:val="auto"/>
              </w:rPr>
              <w:t>根据《</w:t>
            </w:r>
            <w:r>
              <w:rPr>
                <w:rFonts w:hint="eastAsia"/>
                <w:color w:val="auto"/>
                <w:lang w:eastAsia="zh-CN"/>
              </w:rPr>
              <w:t>巴音郭楞蒙古自治州2025年生态环境状况公报</w:t>
            </w:r>
            <w:r>
              <w:rPr>
                <w:rFonts w:hint="eastAsia"/>
                <w:color w:val="auto"/>
              </w:rPr>
              <w:t>》，2025年，全州地表水监测的31个考核断面（点位）中，Ⅰ~Ⅲ类优良水质断面（点位）占比96.8%。6条主要河流19个监测断面中Ⅰ~Ⅲ类优良水质断面占100%，3个重要湖泊（水库）12个监测点位中Ⅰ~Ⅲ类优良水质断面占91.7%，无劣Ⅴ类水体。</w:t>
            </w:r>
          </w:p>
          <w:bookmarkEnd w:id="7"/>
          <w:p w14:paraId="3B896092">
            <w:pPr>
              <w:pStyle w:val="4"/>
              <w:bidi w:val="0"/>
              <w:rPr>
                <w:rFonts w:hint="default"/>
                <w:color w:val="auto"/>
              </w:rPr>
            </w:pPr>
            <w:r>
              <w:rPr>
                <w:color w:val="auto"/>
              </w:rPr>
              <w:t>地下水</w:t>
            </w:r>
          </w:p>
          <w:p w14:paraId="2F722180">
            <w:pPr>
              <w:pStyle w:val="5"/>
              <w:ind w:firstLine="480"/>
              <w:rPr>
                <w:rFonts w:hint="eastAsia"/>
                <w:color w:val="auto"/>
              </w:rPr>
            </w:pPr>
            <w:r>
              <w:rPr>
                <w:rFonts w:hint="eastAsia"/>
                <w:color w:val="auto"/>
              </w:rPr>
              <w:t>本建设项目不存在地下水环境污染途径。</w:t>
            </w:r>
            <w:r>
              <w:rPr>
                <w:color w:val="auto"/>
              </w:rPr>
              <w:t>根据《中华人民共和国生态环境法典》第一编第五章及建设项目生态环境影响报告表编制技术指南（污染影响类）《</w:t>
            </w:r>
            <w:r>
              <w:rPr>
                <w:rFonts w:hint="eastAsia"/>
                <w:color w:val="auto"/>
              </w:rPr>
              <w:t>地下水环境监测技术规范》（</w:t>
            </w:r>
            <w:r>
              <w:rPr>
                <w:rFonts w:hint="eastAsia"/>
                <w:color w:val="auto"/>
                <w:lang w:eastAsia="zh-CN"/>
              </w:rPr>
              <w:t>HJ 164-2020</w:t>
            </w:r>
            <w:r>
              <w:rPr>
                <w:rFonts w:hint="eastAsia"/>
                <w:color w:val="auto"/>
              </w:rPr>
              <w:t>），原则上不开展环境质量现状调查。</w:t>
            </w:r>
          </w:p>
          <w:p w14:paraId="2732615C">
            <w:pPr>
              <w:pStyle w:val="3"/>
              <w:rPr>
                <w:rFonts w:hint="default"/>
                <w:color w:val="auto"/>
              </w:rPr>
            </w:pPr>
            <w:r>
              <w:rPr>
                <w:color w:val="auto"/>
              </w:rPr>
              <w:t>声环境现状调查与评价</w:t>
            </w:r>
          </w:p>
          <w:p w14:paraId="220ECC71">
            <w:pPr>
              <w:pStyle w:val="5"/>
              <w:ind w:firstLine="480"/>
              <w:rPr>
                <w:color w:val="auto"/>
              </w:rPr>
            </w:pPr>
            <w:r>
              <w:rPr>
                <w:color w:val="auto"/>
              </w:rPr>
              <w:t>根据《建设项目生态环境影响报告表编制技术指南》（污染影响类）中的“声环境”，本项目周边50m范围内没有声环境保护目标，</w:t>
            </w:r>
            <w:r>
              <w:rPr>
                <w:rFonts w:hint="eastAsia"/>
                <w:color w:val="auto"/>
              </w:rPr>
              <w:t>本次不</w:t>
            </w:r>
            <w:r>
              <w:rPr>
                <w:color w:val="auto"/>
              </w:rPr>
              <w:t>对环境敏感点进行声环境质量现状监测。</w:t>
            </w:r>
          </w:p>
          <w:p w14:paraId="3059F916">
            <w:pPr>
              <w:pStyle w:val="3"/>
              <w:rPr>
                <w:rFonts w:hint="default"/>
                <w:color w:val="auto"/>
              </w:rPr>
            </w:pPr>
            <w:r>
              <w:rPr>
                <w:color w:val="auto"/>
              </w:rPr>
              <w:t>土壤环境现状调查与评价</w:t>
            </w:r>
          </w:p>
          <w:p w14:paraId="7E91BF9A">
            <w:pPr>
              <w:pStyle w:val="5"/>
              <w:ind w:firstLine="480"/>
              <w:rPr>
                <w:rFonts w:hint="default"/>
                <w:color w:val="auto"/>
              </w:rPr>
            </w:pPr>
            <w:r>
              <w:rPr>
                <w:rFonts w:hint="eastAsia"/>
                <w:color w:val="auto"/>
              </w:rPr>
              <w:t>本项目不产生</w:t>
            </w:r>
            <w:r>
              <w:rPr>
                <w:rFonts w:hint="eastAsia"/>
                <w:color w:val="auto"/>
                <w:lang w:val="en-US" w:eastAsia="zh-CN"/>
              </w:rPr>
              <w:t>生产</w:t>
            </w:r>
            <w:r>
              <w:rPr>
                <w:rFonts w:hint="eastAsia"/>
                <w:color w:val="auto"/>
              </w:rPr>
              <w:t>废水、所有生产过程在具有硬化地面且进行了防渗处理的生产装置内进行，不存在土壤污染途径。且</w:t>
            </w:r>
            <w:r>
              <w:rPr>
                <w:color w:val="auto"/>
              </w:rPr>
              <w:t>根据</w:t>
            </w:r>
            <w:r>
              <w:rPr>
                <w:rFonts w:hint="eastAsia"/>
                <w:color w:val="auto"/>
              </w:rPr>
              <w:t>《土壤环境监测技术规范》（</w:t>
            </w:r>
            <w:r>
              <w:rPr>
                <w:rFonts w:hint="eastAsia"/>
                <w:color w:val="auto"/>
                <w:lang w:eastAsia="zh-CN"/>
              </w:rPr>
              <w:t>HJ 166-2026</w:t>
            </w:r>
            <w:r>
              <w:rPr>
                <w:rFonts w:hint="eastAsia"/>
                <w:color w:val="auto"/>
              </w:rPr>
              <w:t>）</w:t>
            </w:r>
            <w:r>
              <w:rPr>
                <w:rFonts w:hint="eastAsia"/>
                <w:color w:val="auto"/>
                <w:lang w:eastAsia="zh-CN"/>
              </w:rPr>
              <w:t>、</w:t>
            </w:r>
            <w:r>
              <w:rPr>
                <w:color w:val="auto"/>
              </w:rPr>
              <w:t>《</w:t>
            </w:r>
            <w:r>
              <w:rPr>
                <w:rFonts w:hint="eastAsia"/>
                <w:color w:val="auto"/>
                <w:lang w:eastAsia="zh-CN"/>
              </w:rPr>
              <w:t>环境影响评价技术导则 土壤环境（试行）</w:t>
            </w:r>
            <w:r>
              <w:rPr>
                <w:color w:val="auto"/>
              </w:rPr>
              <w:t>》（HJ 964-2018）可知，项目区土壤敏感程度为不敏感</w:t>
            </w:r>
            <w:r>
              <w:rPr>
                <w:rFonts w:hint="eastAsia"/>
                <w:color w:val="auto"/>
                <w:lang w:eastAsia="zh-CN"/>
              </w:rPr>
              <w:t>，</w:t>
            </w:r>
            <w:r>
              <w:rPr>
                <w:color w:val="auto"/>
              </w:rPr>
              <w:t>原则上不开展环境质量现状调查。</w:t>
            </w:r>
          </w:p>
          <w:p w14:paraId="38706D1C">
            <w:pPr>
              <w:pStyle w:val="3"/>
              <w:rPr>
                <w:rFonts w:hint="default"/>
                <w:color w:val="auto"/>
              </w:rPr>
            </w:pPr>
            <w:r>
              <w:rPr>
                <w:color w:val="auto"/>
              </w:rPr>
              <w:t>生态环境</w:t>
            </w:r>
          </w:p>
          <w:p w14:paraId="4C168FE1">
            <w:pPr>
              <w:pStyle w:val="5"/>
              <w:ind w:firstLine="480"/>
              <w:rPr>
                <w:rFonts w:hint="default"/>
                <w:color w:val="auto"/>
              </w:rPr>
            </w:pPr>
            <w:r>
              <w:rPr>
                <w:rFonts w:hint="default"/>
                <w:color w:val="auto"/>
              </w:rPr>
              <w:t>根据</w:t>
            </w:r>
            <w:r>
              <w:rPr>
                <w:color w:val="auto"/>
              </w:rPr>
              <w:t>《中华人民共和国生态环境法典》第一编第五章及</w:t>
            </w:r>
            <w:r>
              <w:rPr>
                <w:rFonts w:hint="eastAsia"/>
                <w:color w:val="auto"/>
                <w:lang w:eastAsia="zh-CN"/>
              </w:rPr>
              <w:t>《建设项目生态环境影响报告表编制技术指南（污染影响类）》，</w:t>
            </w:r>
            <w:r>
              <w:rPr>
                <w:color w:val="auto"/>
              </w:rPr>
              <w:t>产业园区外建设项目新增用地且用地范围内含有生态环境保护目标时</w:t>
            </w:r>
            <w:r>
              <w:rPr>
                <w:rFonts w:hint="default"/>
                <w:color w:val="auto"/>
              </w:rPr>
              <w:t>，</w:t>
            </w:r>
            <w:r>
              <w:rPr>
                <w:color w:val="auto"/>
              </w:rPr>
              <w:t>应进行生态现状调查</w:t>
            </w:r>
            <w:r>
              <w:rPr>
                <w:rFonts w:hint="default"/>
                <w:color w:val="auto"/>
              </w:rPr>
              <w:t>。</w:t>
            </w:r>
          </w:p>
          <w:p w14:paraId="189A9A3C">
            <w:pPr>
              <w:pStyle w:val="5"/>
              <w:ind w:firstLine="480"/>
              <w:rPr>
                <w:rFonts w:hint="default"/>
                <w:color w:val="auto"/>
              </w:rPr>
            </w:pPr>
            <w:r>
              <w:rPr>
                <w:color w:val="auto"/>
              </w:rPr>
              <w:t>本项目用地为</w:t>
            </w:r>
            <w:r>
              <w:rPr>
                <w:rFonts w:hint="eastAsia"/>
                <w:color w:val="auto"/>
              </w:rPr>
              <w:t>库尔勒经济技术开发区</w:t>
            </w:r>
            <w:r>
              <w:rPr>
                <w:rFonts w:hint="eastAsia"/>
                <w:color w:val="auto"/>
                <w:lang w:val="en-US" w:eastAsia="zh-CN"/>
              </w:rPr>
              <w:t>自然资源局已批准的建设用地，批准用地文号为库开管函〔2025〕34号，故</w:t>
            </w:r>
            <w:r>
              <w:rPr>
                <w:rFonts w:hint="default"/>
                <w:color w:val="auto"/>
              </w:rPr>
              <w:t>评价范围内环境的功能具有一定的稳定性及可持续发展性，具有一定的承受干扰的能力及生态完整性。</w:t>
            </w:r>
          </w:p>
        </w:tc>
      </w:tr>
      <w:tr w14:paraId="35BFE7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vAlign w:val="center"/>
          </w:tcPr>
          <w:p w14:paraId="66E6D780">
            <w:pPr>
              <w:pStyle w:val="5"/>
              <w:bidi w:val="0"/>
              <w:ind w:left="0" w:leftChars="0" w:firstLine="0" w:firstLineChars="0"/>
              <w:jc w:val="center"/>
              <w:rPr>
                <w:rFonts w:hint="eastAsia"/>
                <w:color w:val="auto"/>
              </w:rPr>
            </w:pPr>
            <w:r>
              <w:rPr>
                <w:rFonts w:hint="eastAsia"/>
                <w:color w:val="auto"/>
              </w:rPr>
              <w:t>环境保护</w:t>
            </w:r>
          </w:p>
          <w:p w14:paraId="19EAF8E9">
            <w:pPr>
              <w:pStyle w:val="5"/>
              <w:bidi w:val="0"/>
              <w:ind w:left="0" w:leftChars="0" w:firstLine="0" w:firstLineChars="0"/>
              <w:jc w:val="center"/>
              <w:rPr>
                <w:color w:val="auto"/>
              </w:rPr>
            </w:pPr>
            <w:r>
              <w:rPr>
                <w:rFonts w:hint="eastAsia"/>
                <w:color w:val="auto"/>
              </w:rPr>
              <w:t>目标</w:t>
            </w:r>
          </w:p>
        </w:tc>
        <w:tc>
          <w:tcPr>
            <w:tcW w:w="7598" w:type="dxa"/>
          </w:tcPr>
          <w:p w14:paraId="665BBDE9">
            <w:pPr>
              <w:pStyle w:val="3"/>
              <w:rPr>
                <w:rFonts w:hint="default"/>
                <w:color w:val="auto"/>
              </w:rPr>
            </w:pPr>
            <w:r>
              <w:rPr>
                <w:color w:val="auto"/>
              </w:rPr>
              <w:t>环境保护目标</w:t>
            </w:r>
          </w:p>
          <w:p w14:paraId="1660D965">
            <w:pPr>
              <w:pStyle w:val="5"/>
              <w:ind w:firstLine="480"/>
              <w:rPr>
                <w:color w:val="auto"/>
              </w:rPr>
            </w:pPr>
            <w:r>
              <w:rPr>
                <w:color w:val="auto"/>
              </w:rPr>
              <w:t>根据本项目特点和外环境特征确定环境保护目标如下：</w:t>
            </w:r>
          </w:p>
          <w:p w14:paraId="31825D83">
            <w:pPr>
              <w:pStyle w:val="5"/>
              <w:ind w:firstLine="480"/>
              <w:rPr>
                <w:color w:val="auto"/>
              </w:rPr>
            </w:pPr>
            <w:r>
              <w:rPr>
                <w:rFonts w:hint="eastAsia"/>
                <w:color w:val="auto"/>
              </w:rPr>
              <w:t>（1）空气环境：保护项目区所在的区域环境空气质量，不因本项目实施而降低空气质量级别。根据现场调查，厂界外500m范围内不存在大气环境保护目标。</w:t>
            </w:r>
          </w:p>
          <w:p w14:paraId="786DC254">
            <w:pPr>
              <w:pStyle w:val="5"/>
              <w:ind w:firstLine="480"/>
              <w:rPr>
                <w:color w:val="auto"/>
              </w:rPr>
            </w:pPr>
            <w:r>
              <w:rPr>
                <w:rFonts w:hint="eastAsia"/>
                <w:color w:val="auto"/>
              </w:rPr>
              <w:t>（2）声环境：根据现场调查，厂界50m范围内无声环境保护目标；</w:t>
            </w:r>
          </w:p>
          <w:p w14:paraId="6E3B5ACF">
            <w:pPr>
              <w:pStyle w:val="5"/>
              <w:ind w:firstLine="480"/>
              <w:rPr>
                <w:color w:val="auto"/>
              </w:rPr>
            </w:pPr>
            <w:r>
              <w:rPr>
                <w:rFonts w:hint="eastAsia"/>
                <w:color w:val="auto"/>
              </w:rPr>
              <w:t>（3）地下水环境：根据现场调查，厂界外500m范围内无地下水集中式饮用水源和热水、矿泉水、温泉等特殊地下水资源；</w:t>
            </w:r>
          </w:p>
          <w:p w14:paraId="685AE40E">
            <w:pPr>
              <w:pStyle w:val="5"/>
              <w:ind w:firstLine="480"/>
              <w:rPr>
                <w:rFonts w:hint="eastAsia" w:eastAsia="宋体"/>
                <w:color w:val="auto"/>
                <w:lang w:eastAsia="zh-CN"/>
              </w:rPr>
            </w:pPr>
            <w:r>
              <w:rPr>
                <w:rFonts w:hint="eastAsia"/>
                <w:color w:val="auto"/>
              </w:rPr>
              <w:t>（4）生态环境：</w:t>
            </w:r>
            <w:r>
              <w:rPr>
                <w:rFonts w:hint="eastAsia"/>
                <w:color w:val="auto"/>
                <w:lang w:eastAsia="zh-CN"/>
              </w:rPr>
              <w:t xml:space="preserve">本项目建设地点所属土地性质为工业用地，项目用地范围内不存在生态环境保护目标。为推动区域实现可持续发展，在项目建设及运营进程中，将严格贯彻生态环境保护要求，通过实施源头控制、过程监管与末端治理相融合的综合举措，维系区域工业用地的生态功能稳定。具体举措如下：严格遵循国家及地方针对工业用地污染防治的相关标准，于工程设计阶段优化工艺流程布局，选用具备环保特性的材料与设备；强化施工期管理，防范施工扬尘、废水及固体废弃物对土壤和地下水产生影响；在运营期构建完备的环境监测制度，定期对厂区土壤和地下水质量开展监测，一旦察觉污染风险，及时采取有效措施加以控制和治理，确保避免土壤和地下水遭受污染，保障区域工业用地生态功能的长期稳定性。 </w:t>
            </w:r>
          </w:p>
          <w:p w14:paraId="014A1157">
            <w:pPr>
              <w:pStyle w:val="12"/>
              <w:rPr>
                <w:color w:val="auto"/>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21</w:t>
            </w:r>
            <w:r>
              <w:rPr>
                <w:color w:val="auto"/>
              </w:rPr>
              <w:fldChar w:fldCharType="end"/>
            </w:r>
            <w:r>
              <w:rPr>
                <w:rFonts w:hint="eastAsia"/>
                <w:color w:val="auto"/>
              </w:rPr>
              <w:t xml:space="preserve">  主要环境保护目标一览表</w:t>
            </w:r>
          </w:p>
          <w:tbl>
            <w:tblPr>
              <w:tblStyle w:val="15"/>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
              <w:gridCol w:w="359"/>
              <w:gridCol w:w="633"/>
              <w:gridCol w:w="633"/>
              <w:gridCol w:w="655"/>
              <w:gridCol w:w="449"/>
              <w:gridCol w:w="547"/>
              <w:gridCol w:w="809"/>
              <w:gridCol w:w="1170"/>
              <w:gridCol w:w="2064"/>
            </w:tblGrid>
            <w:tr w14:paraId="73B4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Merge w:val="restart"/>
                  <w:vAlign w:val="center"/>
                </w:tcPr>
                <w:p w14:paraId="1187EEF4">
                  <w:pPr>
                    <w:pStyle w:val="19"/>
                    <w:rPr>
                      <w:color w:val="auto"/>
                    </w:rPr>
                  </w:pPr>
                  <w:r>
                    <w:rPr>
                      <w:color w:val="auto"/>
                    </w:rPr>
                    <w:t>序号</w:t>
                  </w:r>
                </w:p>
              </w:tc>
              <w:tc>
                <w:tcPr>
                  <w:tcW w:w="331" w:type="dxa"/>
                  <w:vMerge w:val="restart"/>
                  <w:vAlign w:val="center"/>
                </w:tcPr>
                <w:p w14:paraId="26E6D0E6">
                  <w:pPr>
                    <w:pStyle w:val="19"/>
                    <w:rPr>
                      <w:color w:val="auto"/>
                    </w:rPr>
                  </w:pPr>
                  <w:r>
                    <w:rPr>
                      <w:color w:val="auto"/>
                    </w:rPr>
                    <w:t>环境要素</w:t>
                  </w:r>
                </w:p>
              </w:tc>
              <w:tc>
                <w:tcPr>
                  <w:tcW w:w="586" w:type="dxa"/>
                  <w:vMerge w:val="restart"/>
                  <w:vAlign w:val="center"/>
                </w:tcPr>
                <w:p w14:paraId="7FE8C6C1">
                  <w:pPr>
                    <w:pStyle w:val="19"/>
                    <w:rPr>
                      <w:color w:val="auto"/>
                    </w:rPr>
                  </w:pPr>
                  <w:r>
                    <w:rPr>
                      <w:rFonts w:hint="eastAsia"/>
                      <w:color w:val="auto"/>
                    </w:rPr>
                    <w:t>名称</w:t>
                  </w:r>
                </w:p>
              </w:tc>
              <w:tc>
                <w:tcPr>
                  <w:tcW w:w="1192" w:type="dxa"/>
                  <w:gridSpan w:val="2"/>
                  <w:vAlign w:val="center"/>
                </w:tcPr>
                <w:p w14:paraId="201DCF57">
                  <w:pPr>
                    <w:pStyle w:val="19"/>
                    <w:rPr>
                      <w:color w:val="auto"/>
                    </w:rPr>
                  </w:pPr>
                  <w:r>
                    <w:rPr>
                      <w:rFonts w:hint="eastAsia"/>
                      <w:color w:val="auto"/>
                    </w:rPr>
                    <w:t>坐标</w:t>
                  </w:r>
                </w:p>
              </w:tc>
              <w:tc>
                <w:tcPr>
                  <w:tcW w:w="415" w:type="dxa"/>
                  <w:vMerge w:val="restart"/>
                  <w:vAlign w:val="center"/>
                </w:tcPr>
                <w:p w14:paraId="32A80A28">
                  <w:pPr>
                    <w:pStyle w:val="19"/>
                    <w:rPr>
                      <w:color w:val="auto"/>
                    </w:rPr>
                  </w:pPr>
                  <w:r>
                    <w:rPr>
                      <w:rFonts w:hint="eastAsia"/>
                      <w:color w:val="auto"/>
                    </w:rPr>
                    <w:t>保护对象</w:t>
                  </w:r>
                </w:p>
              </w:tc>
              <w:tc>
                <w:tcPr>
                  <w:tcW w:w="505" w:type="dxa"/>
                  <w:vMerge w:val="restart"/>
                  <w:vAlign w:val="center"/>
                </w:tcPr>
                <w:p w14:paraId="739A7A4B">
                  <w:pPr>
                    <w:pStyle w:val="19"/>
                    <w:rPr>
                      <w:color w:val="auto"/>
                    </w:rPr>
                  </w:pPr>
                  <w:r>
                    <w:rPr>
                      <w:rFonts w:hint="eastAsia"/>
                      <w:color w:val="auto"/>
                    </w:rPr>
                    <w:t>保护内容</w:t>
                  </w:r>
                </w:p>
              </w:tc>
              <w:tc>
                <w:tcPr>
                  <w:tcW w:w="747" w:type="dxa"/>
                  <w:vMerge w:val="restart"/>
                  <w:vAlign w:val="center"/>
                </w:tcPr>
                <w:p w14:paraId="08528051">
                  <w:pPr>
                    <w:pStyle w:val="19"/>
                    <w:rPr>
                      <w:color w:val="auto"/>
                    </w:rPr>
                  </w:pPr>
                  <w:r>
                    <w:rPr>
                      <w:color w:val="auto"/>
                    </w:rPr>
                    <w:t>相对</w:t>
                  </w:r>
                  <w:r>
                    <w:rPr>
                      <w:rFonts w:hint="eastAsia"/>
                      <w:color w:val="auto"/>
                    </w:rPr>
                    <w:t>厂址方位</w:t>
                  </w:r>
                </w:p>
              </w:tc>
              <w:tc>
                <w:tcPr>
                  <w:tcW w:w="1082" w:type="dxa"/>
                  <w:vMerge w:val="restart"/>
                  <w:vAlign w:val="center"/>
                </w:tcPr>
                <w:p w14:paraId="60115AA5">
                  <w:pPr>
                    <w:pStyle w:val="19"/>
                    <w:rPr>
                      <w:color w:val="auto"/>
                    </w:rPr>
                  </w:pPr>
                  <w:r>
                    <w:rPr>
                      <w:color w:val="auto"/>
                    </w:rPr>
                    <w:t>相对距离（m）</w:t>
                  </w:r>
                </w:p>
              </w:tc>
              <w:tc>
                <w:tcPr>
                  <w:tcW w:w="1909" w:type="dxa"/>
                  <w:vMerge w:val="restart"/>
                  <w:vAlign w:val="center"/>
                </w:tcPr>
                <w:p w14:paraId="14CF6720">
                  <w:pPr>
                    <w:pStyle w:val="19"/>
                    <w:rPr>
                      <w:color w:val="auto"/>
                    </w:rPr>
                  </w:pPr>
                  <w:r>
                    <w:rPr>
                      <w:color w:val="auto"/>
                    </w:rPr>
                    <w:t>备注</w:t>
                  </w:r>
                </w:p>
              </w:tc>
            </w:tr>
            <w:tr w14:paraId="661D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Merge w:val="continue"/>
                  <w:vAlign w:val="center"/>
                </w:tcPr>
                <w:p w14:paraId="5BB51040">
                  <w:pPr>
                    <w:pStyle w:val="19"/>
                    <w:rPr>
                      <w:color w:val="auto"/>
                    </w:rPr>
                  </w:pPr>
                </w:p>
              </w:tc>
              <w:tc>
                <w:tcPr>
                  <w:tcW w:w="331" w:type="dxa"/>
                  <w:vMerge w:val="continue"/>
                  <w:vAlign w:val="center"/>
                </w:tcPr>
                <w:p w14:paraId="4C3D42E3">
                  <w:pPr>
                    <w:pStyle w:val="19"/>
                    <w:rPr>
                      <w:color w:val="auto"/>
                    </w:rPr>
                  </w:pPr>
                </w:p>
              </w:tc>
              <w:tc>
                <w:tcPr>
                  <w:tcW w:w="586" w:type="dxa"/>
                  <w:vMerge w:val="continue"/>
                  <w:vAlign w:val="center"/>
                </w:tcPr>
                <w:p w14:paraId="653BDDEC">
                  <w:pPr>
                    <w:pStyle w:val="19"/>
                    <w:rPr>
                      <w:color w:val="auto"/>
                    </w:rPr>
                  </w:pPr>
                </w:p>
              </w:tc>
              <w:tc>
                <w:tcPr>
                  <w:tcW w:w="586" w:type="dxa"/>
                  <w:vAlign w:val="center"/>
                </w:tcPr>
                <w:p w14:paraId="44BD904F">
                  <w:pPr>
                    <w:pStyle w:val="19"/>
                    <w:rPr>
                      <w:color w:val="auto"/>
                    </w:rPr>
                  </w:pPr>
                  <w:r>
                    <w:rPr>
                      <w:rFonts w:hint="eastAsia"/>
                      <w:color w:val="auto"/>
                    </w:rPr>
                    <w:t>X</w:t>
                  </w:r>
                </w:p>
              </w:tc>
              <w:tc>
                <w:tcPr>
                  <w:tcW w:w="606" w:type="dxa"/>
                  <w:vAlign w:val="center"/>
                </w:tcPr>
                <w:p w14:paraId="3755FDEB">
                  <w:pPr>
                    <w:pStyle w:val="19"/>
                    <w:rPr>
                      <w:color w:val="auto"/>
                    </w:rPr>
                  </w:pPr>
                  <w:r>
                    <w:rPr>
                      <w:rFonts w:hint="eastAsia"/>
                      <w:color w:val="auto"/>
                    </w:rPr>
                    <w:t>Y</w:t>
                  </w:r>
                </w:p>
              </w:tc>
              <w:tc>
                <w:tcPr>
                  <w:tcW w:w="415" w:type="dxa"/>
                  <w:vMerge w:val="continue"/>
                  <w:vAlign w:val="center"/>
                </w:tcPr>
                <w:p w14:paraId="78FAE454">
                  <w:pPr>
                    <w:pStyle w:val="19"/>
                    <w:rPr>
                      <w:color w:val="auto"/>
                    </w:rPr>
                  </w:pPr>
                </w:p>
              </w:tc>
              <w:tc>
                <w:tcPr>
                  <w:tcW w:w="505" w:type="dxa"/>
                  <w:vMerge w:val="continue"/>
                  <w:vAlign w:val="center"/>
                </w:tcPr>
                <w:p w14:paraId="4C16610D">
                  <w:pPr>
                    <w:pStyle w:val="19"/>
                    <w:rPr>
                      <w:color w:val="auto"/>
                    </w:rPr>
                  </w:pPr>
                </w:p>
              </w:tc>
              <w:tc>
                <w:tcPr>
                  <w:tcW w:w="747" w:type="dxa"/>
                  <w:vMerge w:val="continue"/>
                  <w:vAlign w:val="center"/>
                </w:tcPr>
                <w:p w14:paraId="1196175A">
                  <w:pPr>
                    <w:pStyle w:val="19"/>
                    <w:rPr>
                      <w:color w:val="auto"/>
                    </w:rPr>
                  </w:pPr>
                </w:p>
              </w:tc>
              <w:tc>
                <w:tcPr>
                  <w:tcW w:w="1082" w:type="dxa"/>
                  <w:vMerge w:val="continue"/>
                  <w:vAlign w:val="center"/>
                </w:tcPr>
                <w:p w14:paraId="460A9330">
                  <w:pPr>
                    <w:pStyle w:val="19"/>
                    <w:rPr>
                      <w:color w:val="auto"/>
                    </w:rPr>
                  </w:pPr>
                </w:p>
              </w:tc>
              <w:tc>
                <w:tcPr>
                  <w:tcW w:w="1909" w:type="dxa"/>
                  <w:vMerge w:val="continue"/>
                  <w:vAlign w:val="center"/>
                </w:tcPr>
                <w:p w14:paraId="1EBD7AD2">
                  <w:pPr>
                    <w:pStyle w:val="19"/>
                    <w:rPr>
                      <w:color w:val="auto"/>
                    </w:rPr>
                  </w:pPr>
                </w:p>
              </w:tc>
            </w:tr>
            <w:tr w14:paraId="5B50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Align w:val="center"/>
                </w:tcPr>
                <w:p w14:paraId="1745D929">
                  <w:pPr>
                    <w:pStyle w:val="19"/>
                    <w:rPr>
                      <w:color w:val="auto"/>
                    </w:rPr>
                  </w:pPr>
                  <w:r>
                    <w:rPr>
                      <w:color w:val="auto"/>
                    </w:rPr>
                    <w:t>1</w:t>
                  </w:r>
                </w:p>
              </w:tc>
              <w:tc>
                <w:tcPr>
                  <w:tcW w:w="917" w:type="dxa"/>
                  <w:gridSpan w:val="2"/>
                  <w:vAlign w:val="center"/>
                </w:tcPr>
                <w:p w14:paraId="6DA8A61A">
                  <w:pPr>
                    <w:pStyle w:val="19"/>
                    <w:rPr>
                      <w:color w:val="auto"/>
                    </w:rPr>
                  </w:pPr>
                  <w:r>
                    <w:rPr>
                      <w:color w:val="auto"/>
                    </w:rPr>
                    <w:t>环境空气</w:t>
                  </w:r>
                </w:p>
              </w:tc>
              <w:tc>
                <w:tcPr>
                  <w:tcW w:w="3941" w:type="dxa"/>
                  <w:gridSpan w:val="6"/>
                  <w:vAlign w:val="center"/>
                </w:tcPr>
                <w:p w14:paraId="79F913BA">
                  <w:pPr>
                    <w:pStyle w:val="19"/>
                    <w:rPr>
                      <w:color w:val="auto"/>
                    </w:rPr>
                  </w:pPr>
                  <w:r>
                    <w:rPr>
                      <w:color w:val="auto"/>
                    </w:rPr>
                    <w:t>厂址附近500m范围内无大气环境敏感目标</w:t>
                  </w:r>
                </w:p>
              </w:tc>
              <w:tc>
                <w:tcPr>
                  <w:tcW w:w="1909" w:type="dxa"/>
                  <w:vAlign w:val="center"/>
                </w:tcPr>
                <w:p w14:paraId="6376B024">
                  <w:pPr>
                    <w:pStyle w:val="19"/>
                    <w:rPr>
                      <w:color w:val="auto"/>
                    </w:rPr>
                  </w:pPr>
                  <w:r>
                    <w:rPr>
                      <w:color w:val="auto"/>
                    </w:rPr>
                    <w:t>《环境空气质量标准》（GB</w:t>
                  </w:r>
                  <w:r>
                    <w:rPr>
                      <w:rFonts w:hint="eastAsia"/>
                      <w:color w:val="auto"/>
                      <w:lang w:eastAsia="zh-CN"/>
                    </w:rPr>
                    <w:t>3095-2026</w:t>
                  </w:r>
                  <w:r>
                    <w:rPr>
                      <w:color w:val="auto"/>
                    </w:rPr>
                    <w:t>）二级标准</w:t>
                  </w:r>
                </w:p>
              </w:tc>
            </w:tr>
            <w:tr w14:paraId="06B6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Align w:val="center"/>
                </w:tcPr>
                <w:p w14:paraId="3382C13A">
                  <w:pPr>
                    <w:pStyle w:val="19"/>
                    <w:rPr>
                      <w:color w:val="auto"/>
                    </w:rPr>
                  </w:pPr>
                  <w:r>
                    <w:rPr>
                      <w:rFonts w:hint="eastAsia"/>
                      <w:color w:val="auto"/>
                    </w:rPr>
                    <w:t>2</w:t>
                  </w:r>
                </w:p>
              </w:tc>
              <w:tc>
                <w:tcPr>
                  <w:tcW w:w="917" w:type="dxa"/>
                  <w:gridSpan w:val="2"/>
                  <w:vAlign w:val="center"/>
                </w:tcPr>
                <w:p w14:paraId="3A3B9A20">
                  <w:pPr>
                    <w:pStyle w:val="19"/>
                    <w:rPr>
                      <w:color w:val="auto"/>
                    </w:rPr>
                  </w:pPr>
                  <w:r>
                    <w:rPr>
                      <w:color w:val="auto"/>
                    </w:rPr>
                    <w:t>声环境</w:t>
                  </w:r>
                </w:p>
              </w:tc>
              <w:tc>
                <w:tcPr>
                  <w:tcW w:w="3941" w:type="dxa"/>
                  <w:gridSpan w:val="6"/>
                  <w:vAlign w:val="center"/>
                </w:tcPr>
                <w:p w14:paraId="1B947F1D">
                  <w:pPr>
                    <w:pStyle w:val="19"/>
                    <w:rPr>
                      <w:color w:val="auto"/>
                    </w:rPr>
                  </w:pPr>
                  <w:r>
                    <w:rPr>
                      <w:color w:val="auto"/>
                    </w:rPr>
                    <w:t>厂址附近</w:t>
                  </w:r>
                  <w:r>
                    <w:rPr>
                      <w:rFonts w:hint="eastAsia"/>
                      <w:color w:val="auto"/>
                    </w:rPr>
                    <w:t>50</w:t>
                  </w:r>
                  <w:r>
                    <w:rPr>
                      <w:color w:val="auto"/>
                    </w:rPr>
                    <w:t>m范围内无声环境敏感目标</w:t>
                  </w:r>
                </w:p>
              </w:tc>
              <w:tc>
                <w:tcPr>
                  <w:tcW w:w="1909" w:type="dxa"/>
                  <w:vAlign w:val="center"/>
                </w:tcPr>
                <w:p w14:paraId="2ADD4BEF">
                  <w:pPr>
                    <w:pStyle w:val="19"/>
                    <w:bidi w:val="0"/>
                    <w:rPr>
                      <w:color w:val="auto"/>
                    </w:rPr>
                  </w:pPr>
                  <w:r>
                    <w:rPr>
                      <w:rFonts w:hint="eastAsia"/>
                      <w:color w:val="auto"/>
                    </w:rPr>
                    <w:t>《声环境质量标准》</w:t>
                  </w:r>
                  <w:r>
                    <w:rPr>
                      <w:rFonts w:hint="eastAsia"/>
                      <w:color w:val="auto"/>
                      <w:lang w:eastAsia="zh-CN"/>
                    </w:rPr>
                    <w:t>（</w:t>
                  </w:r>
                  <w:r>
                    <w:rPr>
                      <w:rFonts w:hint="eastAsia"/>
                      <w:color w:val="auto"/>
                    </w:rPr>
                    <w:t>GB3096-2008</w:t>
                  </w:r>
                  <w:r>
                    <w:rPr>
                      <w:rFonts w:hint="eastAsia"/>
                      <w:color w:val="auto"/>
                      <w:lang w:eastAsia="zh-CN"/>
                    </w:rPr>
                    <w:t>）</w:t>
                  </w:r>
                  <w:r>
                    <w:rPr>
                      <w:rFonts w:hint="eastAsia"/>
                      <w:color w:val="auto"/>
                    </w:rPr>
                    <w:t>3类标准</w:t>
                  </w:r>
                </w:p>
              </w:tc>
            </w:tr>
            <w:tr w14:paraId="7777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Align w:val="center"/>
                </w:tcPr>
                <w:p w14:paraId="319C5707">
                  <w:pPr>
                    <w:pStyle w:val="19"/>
                    <w:rPr>
                      <w:color w:val="auto"/>
                    </w:rPr>
                  </w:pPr>
                  <w:r>
                    <w:rPr>
                      <w:rFonts w:hint="eastAsia"/>
                      <w:color w:val="auto"/>
                    </w:rPr>
                    <w:t>3</w:t>
                  </w:r>
                </w:p>
              </w:tc>
              <w:tc>
                <w:tcPr>
                  <w:tcW w:w="917" w:type="dxa"/>
                  <w:gridSpan w:val="2"/>
                  <w:vAlign w:val="center"/>
                </w:tcPr>
                <w:p w14:paraId="55C36CED">
                  <w:pPr>
                    <w:pStyle w:val="19"/>
                    <w:rPr>
                      <w:color w:val="auto"/>
                    </w:rPr>
                  </w:pPr>
                  <w:r>
                    <w:rPr>
                      <w:color w:val="auto"/>
                    </w:rPr>
                    <w:t>地下水环境</w:t>
                  </w:r>
                </w:p>
              </w:tc>
              <w:tc>
                <w:tcPr>
                  <w:tcW w:w="3941" w:type="dxa"/>
                  <w:gridSpan w:val="6"/>
                  <w:vAlign w:val="center"/>
                </w:tcPr>
                <w:p w14:paraId="4536A194">
                  <w:pPr>
                    <w:pStyle w:val="19"/>
                    <w:rPr>
                      <w:color w:val="auto"/>
                    </w:rPr>
                  </w:pPr>
                  <w:r>
                    <w:rPr>
                      <w:color w:val="auto"/>
                    </w:rPr>
                    <w:t>厂界500</w:t>
                  </w:r>
                  <w:r>
                    <w:rPr>
                      <w:rFonts w:hint="eastAsia"/>
                      <w:color w:val="auto"/>
                      <w:lang w:val="en-US" w:eastAsia="zh-CN"/>
                    </w:rPr>
                    <w:t>m</w:t>
                  </w:r>
                  <w:r>
                    <w:rPr>
                      <w:color w:val="auto"/>
                    </w:rPr>
                    <w:t>范围内无地下水</w:t>
                  </w:r>
                  <w:r>
                    <w:rPr>
                      <w:rFonts w:hint="eastAsia"/>
                      <w:color w:val="auto"/>
                    </w:rPr>
                    <w:t>环境敏感目标</w:t>
                  </w:r>
                </w:p>
              </w:tc>
              <w:tc>
                <w:tcPr>
                  <w:tcW w:w="1909" w:type="dxa"/>
                  <w:vAlign w:val="center"/>
                </w:tcPr>
                <w:p w14:paraId="5BE190AB">
                  <w:pPr>
                    <w:pStyle w:val="19"/>
                    <w:bidi w:val="0"/>
                    <w:rPr>
                      <w:color w:val="auto"/>
                    </w:rPr>
                  </w:pPr>
                  <w:r>
                    <w:rPr>
                      <w:rFonts w:hint="eastAsia"/>
                      <w:color w:val="auto"/>
                    </w:rPr>
                    <w:t>《地下水质量标准》</w:t>
                  </w:r>
                  <w:r>
                    <w:rPr>
                      <w:rFonts w:hint="eastAsia"/>
                      <w:color w:val="auto"/>
                      <w:lang w:eastAsia="zh-CN"/>
                    </w:rPr>
                    <w:t>（</w:t>
                  </w:r>
                  <w:r>
                    <w:rPr>
                      <w:rFonts w:hint="eastAsia"/>
                      <w:color w:val="auto"/>
                    </w:rPr>
                    <w:t>GB/T14848-2017</w:t>
                  </w:r>
                  <w:r>
                    <w:rPr>
                      <w:rFonts w:hint="eastAsia"/>
                      <w:color w:val="auto"/>
                      <w:lang w:eastAsia="zh-CN"/>
                    </w:rPr>
                    <w:t>）Ⅲ类</w:t>
                  </w:r>
                  <w:r>
                    <w:rPr>
                      <w:rFonts w:hint="eastAsia"/>
                      <w:color w:val="auto"/>
                    </w:rPr>
                    <w:t>标准</w:t>
                  </w:r>
                </w:p>
              </w:tc>
            </w:tr>
            <w:tr w14:paraId="37C9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 w:type="dxa"/>
                  <w:vAlign w:val="center"/>
                </w:tcPr>
                <w:p w14:paraId="49B9B1F8">
                  <w:pPr>
                    <w:pStyle w:val="19"/>
                    <w:rPr>
                      <w:color w:val="auto"/>
                    </w:rPr>
                  </w:pPr>
                  <w:r>
                    <w:rPr>
                      <w:rFonts w:hint="eastAsia"/>
                      <w:color w:val="auto"/>
                    </w:rPr>
                    <w:t>4</w:t>
                  </w:r>
                </w:p>
              </w:tc>
              <w:tc>
                <w:tcPr>
                  <w:tcW w:w="917" w:type="dxa"/>
                  <w:gridSpan w:val="2"/>
                  <w:vAlign w:val="center"/>
                </w:tcPr>
                <w:p w14:paraId="73ED5B6B">
                  <w:pPr>
                    <w:pStyle w:val="19"/>
                    <w:rPr>
                      <w:color w:val="auto"/>
                    </w:rPr>
                  </w:pPr>
                  <w:r>
                    <w:rPr>
                      <w:color w:val="auto"/>
                    </w:rPr>
                    <w:t>地表水</w:t>
                  </w:r>
                </w:p>
              </w:tc>
              <w:tc>
                <w:tcPr>
                  <w:tcW w:w="3941" w:type="dxa"/>
                  <w:gridSpan w:val="6"/>
                  <w:vAlign w:val="center"/>
                </w:tcPr>
                <w:p w14:paraId="73D92063">
                  <w:pPr>
                    <w:pStyle w:val="19"/>
                    <w:rPr>
                      <w:color w:val="auto"/>
                    </w:rPr>
                  </w:pPr>
                  <w:r>
                    <w:rPr>
                      <w:color w:val="auto"/>
                    </w:rPr>
                    <w:t>厂址</w:t>
                  </w:r>
                  <w:r>
                    <w:rPr>
                      <w:rFonts w:hint="eastAsia"/>
                      <w:color w:val="auto"/>
                    </w:rPr>
                    <w:t>500m</w:t>
                  </w:r>
                  <w:r>
                    <w:rPr>
                      <w:color w:val="auto"/>
                    </w:rPr>
                    <w:t>范围内无</w:t>
                  </w:r>
                  <w:r>
                    <w:rPr>
                      <w:rFonts w:hint="eastAsia"/>
                      <w:color w:val="auto"/>
                    </w:rPr>
                    <w:t>地表水敏感目标</w:t>
                  </w:r>
                </w:p>
              </w:tc>
              <w:tc>
                <w:tcPr>
                  <w:tcW w:w="1909" w:type="dxa"/>
                  <w:vAlign w:val="center"/>
                </w:tcPr>
                <w:p w14:paraId="6BBC745E">
                  <w:pPr>
                    <w:pStyle w:val="19"/>
                    <w:rPr>
                      <w:color w:val="auto"/>
                    </w:rPr>
                  </w:pPr>
                  <w:r>
                    <w:rPr>
                      <w:rFonts w:hint="eastAsia"/>
                      <w:color w:val="auto"/>
                    </w:rPr>
                    <w:t>项目区</w:t>
                  </w:r>
                  <w:r>
                    <w:rPr>
                      <w:rFonts w:hint="eastAsia"/>
                      <w:color w:val="auto"/>
                      <w:lang w:val="en-US" w:eastAsia="zh-CN"/>
                    </w:rPr>
                    <w:t>不产生生产废水，</w:t>
                  </w:r>
                  <w:r>
                    <w:rPr>
                      <w:rFonts w:hint="eastAsia"/>
                      <w:color w:val="auto"/>
                    </w:rPr>
                    <w:t>生活废水依托园区污水处理厂处理</w:t>
                  </w:r>
                  <w:r>
                    <w:rPr>
                      <w:rFonts w:hint="eastAsia"/>
                      <w:color w:val="auto"/>
                      <w:lang w:eastAsia="zh-CN"/>
                    </w:rPr>
                    <w:t>，</w:t>
                  </w:r>
                  <w:r>
                    <w:rPr>
                      <w:rFonts w:hint="eastAsia"/>
                      <w:color w:val="auto"/>
                    </w:rPr>
                    <w:t>项目运行后与地表水无直接水力联系</w:t>
                  </w:r>
                </w:p>
              </w:tc>
            </w:tr>
          </w:tbl>
          <w:p w14:paraId="12E1AF13">
            <w:pPr>
              <w:jc w:val="both"/>
              <w:rPr>
                <w:color w:val="auto"/>
              </w:rPr>
            </w:pPr>
          </w:p>
        </w:tc>
      </w:tr>
      <w:tr w14:paraId="1F00C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tcMar>
              <w:left w:w="28" w:type="dxa"/>
              <w:right w:w="28" w:type="dxa"/>
            </w:tcMar>
            <w:vAlign w:val="center"/>
          </w:tcPr>
          <w:p w14:paraId="7AAA1F44">
            <w:pPr>
              <w:pStyle w:val="5"/>
              <w:bidi w:val="0"/>
              <w:ind w:left="0" w:leftChars="0" w:firstLine="0" w:firstLineChars="0"/>
              <w:jc w:val="center"/>
              <w:rPr>
                <w:color w:val="auto"/>
              </w:rPr>
            </w:pPr>
            <w:r>
              <w:rPr>
                <w:rFonts w:hint="eastAsia"/>
                <w:color w:val="auto"/>
              </w:rPr>
              <w:t>污染物排放控制标准</w:t>
            </w:r>
          </w:p>
        </w:tc>
        <w:tc>
          <w:tcPr>
            <w:tcW w:w="7598" w:type="dxa"/>
          </w:tcPr>
          <w:p w14:paraId="6B7E60DF">
            <w:pPr>
              <w:pStyle w:val="3"/>
              <w:rPr>
                <w:rFonts w:hint="default"/>
                <w:color w:val="auto"/>
              </w:rPr>
            </w:pPr>
            <w:r>
              <w:rPr>
                <w:rFonts w:hint="eastAsia"/>
                <w:color w:val="auto"/>
                <w:lang w:val="en-US" w:eastAsia="zh-CN"/>
              </w:rPr>
              <w:t>污染物排放控制标准</w:t>
            </w:r>
          </w:p>
          <w:p w14:paraId="6A573DE0">
            <w:pPr>
              <w:pStyle w:val="4"/>
              <w:bidi w:val="0"/>
              <w:rPr>
                <w:rFonts w:hint="default"/>
                <w:color w:val="auto"/>
              </w:rPr>
            </w:pPr>
            <w:r>
              <w:rPr>
                <w:color w:val="auto"/>
              </w:rPr>
              <w:t>施工期间的排放标准</w:t>
            </w:r>
          </w:p>
          <w:p w14:paraId="7C9DB26C">
            <w:pPr>
              <w:pStyle w:val="5"/>
              <w:ind w:firstLine="480"/>
              <w:rPr>
                <w:rFonts w:hint="eastAsia"/>
                <w:color w:val="auto"/>
                <w:lang w:eastAsia="zh-CN"/>
              </w:rPr>
            </w:pPr>
            <w:r>
              <w:rPr>
                <w:color w:val="auto"/>
              </w:rPr>
              <w:t>施工期拆除、土方及地基处理工程施工扬尘排放执</w:t>
            </w:r>
            <w:r>
              <w:rPr>
                <w:rFonts w:hint="eastAsia"/>
                <w:color w:val="auto"/>
                <w:lang w:val="en-US" w:eastAsia="zh-CN"/>
              </w:rPr>
              <w:t>行</w:t>
            </w:r>
            <w:r>
              <w:rPr>
                <w:rFonts w:hint="eastAsia"/>
                <w:color w:val="auto"/>
                <w:lang w:eastAsia="zh-CN"/>
              </w:rPr>
              <w:t>《大气污染物综合排放标准》（GB16297-1996）中无组织排放监控浓度限值要求，颗粒物周界外浓度最高点≤1.0mg/m³。</w:t>
            </w:r>
          </w:p>
          <w:p w14:paraId="5E4059C7">
            <w:pPr>
              <w:pStyle w:val="5"/>
              <w:ind w:firstLine="480"/>
              <w:rPr>
                <w:rFonts w:hint="eastAsia"/>
                <w:color w:val="auto"/>
                <w:lang w:eastAsia="zh-CN"/>
              </w:rPr>
            </w:pPr>
            <w:r>
              <w:rPr>
                <w:rFonts w:hint="eastAsia"/>
                <w:color w:val="auto"/>
                <w:lang w:eastAsia="zh-CN"/>
              </w:rPr>
              <w:t>施工机械废气排放执行《非道路移动机械用柴油机排气污染物排放限值及测量方法（中国第三、四阶段）》（GB20891-2014）中相关标准。</w:t>
            </w:r>
          </w:p>
          <w:p w14:paraId="60B7DB6E">
            <w:pPr>
              <w:pStyle w:val="5"/>
              <w:ind w:firstLine="480"/>
              <w:rPr>
                <w:rFonts w:hint="eastAsia"/>
                <w:color w:val="auto"/>
                <w:lang w:eastAsia="zh-CN"/>
              </w:rPr>
            </w:pPr>
            <w:r>
              <w:rPr>
                <w:rFonts w:hint="eastAsia"/>
                <w:color w:val="auto"/>
                <w:lang w:eastAsia="zh-CN"/>
              </w:rPr>
              <w:t>施工期废水主要为施工人员生活污水和施工废水，施工人员生活污水经依托园区污水处理厂处理。</w:t>
            </w:r>
          </w:p>
          <w:p w14:paraId="2CB997FB">
            <w:pPr>
              <w:pStyle w:val="5"/>
              <w:ind w:firstLine="480"/>
              <w:rPr>
                <w:rFonts w:hint="eastAsia"/>
                <w:color w:val="auto"/>
                <w:lang w:eastAsia="zh-CN"/>
              </w:rPr>
            </w:pPr>
            <w:r>
              <w:rPr>
                <w:rFonts w:hint="eastAsia"/>
                <w:color w:val="auto"/>
                <w:lang w:eastAsia="zh-CN"/>
              </w:rPr>
              <w:t>施工期噪声执行《建筑施工噪声排放标准》（GB 12523-2025）中限值要求，昼间≤70dB（A），夜间≤55dB（A）。</w:t>
            </w:r>
          </w:p>
          <w:p w14:paraId="0AD5E54C">
            <w:pPr>
              <w:pStyle w:val="4"/>
              <w:bidi w:val="0"/>
              <w:rPr>
                <w:rFonts w:hint="eastAsia"/>
                <w:color w:val="auto"/>
                <w:lang w:eastAsia="zh-CN"/>
              </w:rPr>
            </w:pPr>
            <w:r>
              <w:rPr>
                <w:rFonts w:hint="eastAsia"/>
                <w:color w:val="auto"/>
                <w:lang w:val="en-US" w:eastAsia="zh-CN"/>
              </w:rPr>
              <w:t>运营期的大气排放标准</w:t>
            </w:r>
          </w:p>
          <w:p w14:paraId="52B01033">
            <w:pPr>
              <w:pStyle w:val="5"/>
              <w:ind w:firstLine="480"/>
              <w:rPr>
                <w:rFonts w:hint="eastAsia"/>
                <w:color w:val="auto"/>
                <w:lang w:val="en-US" w:eastAsia="zh-CN"/>
              </w:rPr>
            </w:pPr>
            <w:r>
              <w:rPr>
                <w:rFonts w:hint="eastAsia"/>
                <w:color w:val="auto"/>
                <w:lang w:eastAsia="zh-CN"/>
              </w:rPr>
              <w:t>运营期大气污染物排放标准根据项目生产工艺及排放特征</w:t>
            </w:r>
            <w:r>
              <w:rPr>
                <w:rFonts w:hint="eastAsia"/>
                <w:color w:val="auto"/>
                <w:lang w:val="en-US" w:eastAsia="zh-CN"/>
              </w:rPr>
              <w:t>执行标准见下表。</w:t>
            </w:r>
          </w:p>
          <w:p w14:paraId="09532CC3">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22</w:t>
            </w:r>
            <w:r>
              <w:rPr>
                <w:color w:val="auto"/>
              </w:rPr>
              <w:fldChar w:fldCharType="end"/>
            </w:r>
            <w:r>
              <w:rPr>
                <w:rFonts w:hint="eastAsia"/>
                <w:color w:val="auto"/>
                <w:lang w:val="en-US" w:eastAsia="zh-CN"/>
              </w:rPr>
              <w:t xml:space="preserve">  大气污染物有组织排放标准</w:t>
            </w:r>
          </w:p>
          <w:tbl>
            <w:tblPr>
              <w:tblStyle w:val="16"/>
              <w:tblW w:w="7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320"/>
              <w:gridCol w:w="957"/>
              <w:gridCol w:w="881"/>
              <w:gridCol w:w="1894"/>
              <w:gridCol w:w="1780"/>
            </w:tblGrid>
            <w:tr w14:paraId="66F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35" w:type="dxa"/>
                  <w:vAlign w:val="center"/>
                </w:tcPr>
                <w:p w14:paraId="2B75229C">
                  <w:pPr>
                    <w:pStyle w:val="19"/>
                    <w:bidi w:val="0"/>
                    <w:jc w:val="center"/>
                    <w:rPr>
                      <w:rFonts w:hint="default"/>
                      <w:color w:val="auto"/>
                      <w:lang w:val="en-US" w:eastAsia="zh-CN"/>
                    </w:rPr>
                  </w:pPr>
                  <w:r>
                    <w:rPr>
                      <w:rFonts w:hint="eastAsia"/>
                      <w:color w:val="auto"/>
                      <w:lang w:val="en-US" w:eastAsia="zh-CN"/>
                    </w:rPr>
                    <w:t>编号</w:t>
                  </w:r>
                </w:p>
              </w:tc>
              <w:tc>
                <w:tcPr>
                  <w:tcW w:w="1320" w:type="dxa"/>
                  <w:vAlign w:val="center"/>
                </w:tcPr>
                <w:p w14:paraId="5011D3CE">
                  <w:pPr>
                    <w:pStyle w:val="19"/>
                    <w:bidi w:val="0"/>
                    <w:jc w:val="center"/>
                    <w:rPr>
                      <w:rFonts w:hint="default"/>
                      <w:color w:val="auto"/>
                      <w:lang w:val="en-US" w:eastAsia="zh-CN"/>
                    </w:rPr>
                  </w:pPr>
                  <w:r>
                    <w:rPr>
                      <w:rFonts w:hint="eastAsia"/>
                      <w:color w:val="auto"/>
                      <w:lang w:val="en-US" w:eastAsia="zh-CN"/>
                    </w:rPr>
                    <w:t>排放口类型</w:t>
                  </w:r>
                </w:p>
              </w:tc>
              <w:tc>
                <w:tcPr>
                  <w:tcW w:w="957" w:type="dxa"/>
                  <w:vAlign w:val="center"/>
                </w:tcPr>
                <w:p w14:paraId="58FEABDF">
                  <w:pPr>
                    <w:pStyle w:val="19"/>
                    <w:bidi w:val="0"/>
                    <w:jc w:val="center"/>
                    <w:rPr>
                      <w:rFonts w:hint="default"/>
                      <w:color w:val="auto"/>
                      <w:lang w:val="en-US" w:eastAsia="zh-CN"/>
                    </w:rPr>
                  </w:pPr>
                  <w:r>
                    <w:rPr>
                      <w:rFonts w:hint="eastAsia"/>
                      <w:color w:val="auto"/>
                      <w:lang w:val="en-US" w:eastAsia="zh-CN"/>
                    </w:rPr>
                    <w:t>污染源</w:t>
                  </w:r>
                </w:p>
              </w:tc>
              <w:tc>
                <w:tcPr>
                  <w:tcW w:w="881" w:type="dxa"/>
                  <w:vAlign w:val="center"/>
                </w:tcPr>
                <w:p w14:paraId="239A99BF">
                  <w:pPr>
                    <w:pStyle w:val="19"/>
                    <w:bidi w:val="0"/>
                    <w:jc w:val="center"/>
                    <w:rPr>
                      <w:rFonts w:hint="default"/>
                      <w:color w:val="auto"/>
                      <w:lang w:val="en-US" w:eastAsia="zh-CN"/>
                    </w:rPr>
                  </w:pPr>
                  <w:r>
                    <w:rPr>
                      <w:rFonts w:hint="eastAsia"/>
                      <w:color w:val="auto"/>
                      <w:lang w:val="en-US" w:eastAsia="zh-CN"/>
                    </w:rPr>
                    <w:t>污染物</w:t>
                  </w:r>
                </w:p>
              </w:tc>
              <w:tc>
                <w:tcPr>
                  <w:tcW w:w="1894" w:type="dxa"/>
                  <w:vAlign w:val="center"/>
                </w:tcPr>
                <w:p w14:paraId="718B37F6">
                  <w:pPr>
                    <w:pStyle w:val="19"/>
                    <w:bidi w:val="0"/>
                    <w:jc w:val="center"/>
                    <w:rPr>
                      <w:rFonts w:hint="default"/>
                      <w:color w:val="auto"/>
                      <w:lang w:val="en-US" w:eastAsia="zh-CN"/>
                    </w:rPr>
                  </w:pPr>
                  <w:r>
                    <w:rPr>
                      <w:rFonts w:hint="eastAsia"/>
                      <w:color w:val="auto"/>
                      <w:lang w:val="en-US" w:eastAsia="zh-CN"/>
                    </w:rPr>
                    <w:t>标准限值</w:t>
                  </w:r>
                </w:p>
              </w:tc>
              <w:tc>
                <w:tcPr>
                  <w:tcW w:w="1780" w:type="dxa"/>
                  <w:vAlign w:val="center"/>
                </w:tcPr>
                <w:p w14:paraId="0E64C090">
                  <w:pPr>
                    <w:pStyle w:val="19"/>
                    <w:bidi w:val="0"/>
                    <w:jc w:val="center"/>
                    <w:rPr>
                      <w:rFonts w:hint="default"/>
                      <w:color w:val="auto"/>
                      <w:lang w:val="en-US" w:eastAsia="zh-CN"/>
                    </w:rPr>
                  </w:pPr>
                  <w:r>
                    <w:rPr>
                      <w:rFonts w:hint="eastAsia"/>
                      <w:color w:val="auto"/>
                      <w:lang w:val="en-US" w:eastAsia="zh-CN"/>
                    </w:rPr>
                    <w:t>执行标准</w:t>
                  </w:r>
                </w:p>
              </w:tc>
            </w:tr>
            <w:tr w14:paraId="67B2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5" w:type="dxa"/>
                  <w:vAlign w:val="center"/>
                </w:tcPr>
                <w:p w14:paraId="395B99CA">
                  <w:pPr>
                    <w:pStyle w:val="19"/>
                    <w:bidi w:val="0"/>
                    <w:jc w:val="center"/>
                    <w:rPr>
                      <w:rFonts w:hint="default"/>
                      <w:color w:val="auto"/>
                      <w:lang w:val="en-US" w:eastAsia="zh-CN"/>
                    </w:rPr>
                  </w:pPr>
                  <w:r>
                    <w:rPr>
                      <w:rFonts w:hint="eastAsia"/>
                      <w:color w:val="auto"/>
                      <w:lang w:val="en-US" w:eastAsia="zh-CN"/>
                    </w:rPr>
                    <w:t>DA001</w:t>
                  </w:r>
                </w:p>
              </w:tc>
              <w:tc>
                <w:tcPr>
                  <w:tcW w:w="1320" w:type="dxa"/>
                  <w:vAlign w:val="center"/>
                </w:tcPr>
                <w:p w14:paraId="23040978">
                  <w:pPr>
                    <w:pStyle w:val="19"/>
                    <w:bidi w:val="0"/>
                    <w:jc w:val="center"/>
                    <w:rPr>
                      <w:rFonts w:hint="default"/>
                      <w:color w:val="auto"/>
                      <w:lang w:val="en-US" w:eastAsia="zh-CN"/>
                    </w:rPr>
                  </w:pPr>
                  <w:r>
                    <w:rPr>
                      <w:rFonts w:hint="eastAsia"/>
                      <w:color w:val="auto"/>
                      <w:lang w:val="en-US" w:eastAsia="zh-CN"/>
                    </w:rPr>
                    <w:t>一般排口</w:t>
                  </w:r>
                </w:p>
              </w:tc>
              <w:tc>
                <w:tcPr>
                  <w:tcW w:w="957" w:type="dxa"/>
                  <w:vAlign w:val="center"/>
                </w:tcPr>
                <w:p w14:paraId="7B9D2642">
                  <w:pPr>
                    <w:pStyle w:val="19"/>
                    <w:bidi w:val="0"/>
                    <w:jc w:val="center"/>
                    <w:rPr>
                      <w:rFonts w:hint="default"/>
                      <w:color w:val="auto"/>
                      <w:lang w:val="en-US" w:eastAsia="zh-CN"/>
                    </w:rPr>
                  </w:pPr>
                  <w:r>
                    <w:rPr>
                      <w:rFonts w:hint="eastAsia"/>
                      <w:color w:val="auto"/>
                      <w:lang w:val="en-US" w:eastAsia="zh-CN"/>
                    </w:rPr>
                    <w:t>干粉入仓</w:t>
                  </w:r>
                </w:p>
              </w:tc>
              <w:tc>
                <w:tcPr>
                  <w:tcW w:w="881" w:type="dxa"/>
                  <w:vAlign w:val="center"/>
                </w:tcPr>
                <w:p w14:paraId="52314B95">
                  <w:pPr>
                    <w:pStyle w:val="19"/>
                    <w:bidi w:val="0"/>
                    <w:jc w:val="center"/>
                    <w:rPr>
                      <w:rFonts w:hint="default"/>
                      <w:color w:val="auto"/>
                      <w:lang w:val="en-US" w:eastAsia="zh-CN"/>
                    </w:rPr>
                  </w:pPr>
                  <w:r>
                    <w:rPr>
                      <w:rFonts w:hint="eastAsia"/>
                      <w:color w:val="auto"/>
                      <w:lang w:val="en-US" w:eastAsia="zh-CN"/>
                    </w:rPr>
                    <w:t>颗粒物</w:t>
                  </w:r>
                </w:p>
              </w:tc>
              <w:tc>
                <w:tcPr>
                  <w:tcW w:w="1894" w:type="dxa"/>
                  <w:vAlign w:val="center"/>
                </w:tcPr>
                <w:p w14:paraId="47139120">
                  <w:pPr>
                    <w:pStyle w:val="19"/>
                    <w:bidi w:val="0"/>
                    <w:jc w:val="center"/>
                    <w:rPr>
                      <w:rFonts w:hint="default"/>
                      <w:color w:val="auto"/>
                      <w:lang w:val="en-US" w:eastAsia="zh-CN"/>
                    </w:rPr>
                  </w:pPr>
                  <w:r>
                    <w:rPr>
                      <w:rFonts w:hint="eastAsia"/>
                      <w:color w:val="auto"/>
                      <w:lang w:val="en-US" w:eastAsia="zh-CN"/>
                    </w:rPr>
                    <w:t>水泥制品企业水泥仓及其他通风生产设备颗粒物有组织排放限值20mg/m³</w:t>
                  </w:r>
                </w:p>
              </w:tc>
              <w:tc>
                <w:tcPr>
                  <w:tcW w:w="1780" w:type="dxa"/>
                  <w:vAlign w:val="center"/>
                </w:tcPr>
                <w:p w14:paraId="1FB5B026">
                  <w:pPr>
                    <w:pStyle w:val="19"/>
                    <w:bidi w:val="0"/>
                    <w:jc w:val="center"/>
                    <w:rPr>
                      <w:rFonts w:hint="eastAsia"/>
                      <w:color w:val="auto"/>
                      <w:lang w:val="en-US" w:eastAsia="zh-CN"/>
                    </w:rPr>
                  </w:pPr>
                  <w:r>
                    <w:rPr>
                      <w:rFonts w:hint="eastAsia"/>
                      <w:color w:val="auto"/>
                      <w:lang w:val="en-US" w:eastAsia="zh-CN"/>
                    </w:rPr>
                    <w:t>《水泥工业大气污染物排放标准》（GB4915-2013，含2025年修改单）</w:t>
                  </w:r>
                </w:p>
              </w:tc>
            </w:tr>
            <w:tr w14:paraId="4569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 w:type="dxa"/>
                  <w:vAlign w:val="center"/>
                </w:tcPr>
                <w:p w14:paraId="1DBA6174">
                  <w:pPr>
                    <w:pStyle w:val="19"/>
                    <w:bidi w:val="0"/>
                    <w:jc w:val="center"/>
                    <w:rPr>
                      <w:rFonts w:hint="default"/>
                      <w:color w:val="auto"/>
                      <w:lang w:val="en-US" w:eastAsia="zh-CN"/>
                    </w:rPr>
                  </w:pPr>
                  <w:r>
                    <w:rPr>
                      <w:rFonts w:hint="eastAsia"/>
                      <w:color w:val="auto"/>
                      <w:lang w:val="en-US" w:eastAsia="zh-CN"/>
                    </w:rPr>
                    <w:t>DA002</w:t>
                  </w:r>
                </w:p>
              </w:tc>
              <w:tc>
                <w:tcPr>
                  <w:tcW w:w="1320" w:type="dxa"/>
                  <w:vAlign w:val="center"/>
                </w:tcPr>
                <w:p w14:paraId="49C0D17E">
                  <w:pPr>
                    <w:pStyle w:val="19"/>
                    <w:bidi w:val="0"/>
                    <w:jc w:val="center"/>
                    <w:rPr>
                      <w:rFonts w:hint="default"/>
                      <w:color w:val="auto"/>
                      <w:lang w:val="en-US" w:eastAsia="zh-CN"/>
                    </w:rPr>
                  </w:pPr>
                  <w:r>
                    <w:rPr>
                      <w:rFonts w:hint="eastAsia"/>
                      <w:color w:val="auto"/>
                      <w:lang w:val="en-US" w:eastAsia="zh-CN"/>
                    </w:rPr>
                    <w:t>一般排口</w:t>
                  </w:r>
                </w:p>
              </w:tc>
              <w:tc>
                <w:tcPr>
                  <w:tcW w:w="957" w:type="dxa"/>
                  <w:vAlign w:val="center"/>
                </w:tcPr>
                <w:p w14:paraId="62574805">
                  <w:pPr>
                    <w:pStyle w:val="19"/>
                    <w:bidi w:val="0"/>
                    <w:jc w:val="center"/>
                    <w:rPr>
                      <w:rFonts w:hint="default"/>
                      <w:color w:val="auto"/>
                      <w:lang w:val="en-US" w:eastAsia="zh-CN"/>
                    </w:rPr>
                  </w:pPr>
                  <w:r>
                    <w:rPr>
                      <w:rFonts w:hint="eastAsia"/>
                      <w:color w:val="auto"/>
                      <w:lang w:val="en-US" w:eastAsia="zh-CN"/>
                    </w:rPr>
                    <w:t>复合制板、养护</w:t>
                  </w:r>
                </w:p>
              </w:tc>
              <w:tc>
                <w:tcPr>
                  <w:tcW w:w="881" w:type="dxa"/>
                  <w:vAlign w:val="center"/>
                </w:tcPr>
                <w:p w14:paraId="6305AC05">
                  <w:pPr>
                    <w:pStyle w:val="19"/>
                    <w:bidi w:val="0"/>
                    <w:jc w:val="center"/>
                    <w:rPr>
                      <w:rFonts w:hint="eastAsia"/>
                      <w:color w:val="auto"/>
                      <w:lang w:val="en-US" w:eastAsia="zh-CN"/>
                    </w:rPr>
                  </w:pPr>
                  <w:r>
                    <w:rPr>
                      <w:rFonts w:hint="eastAsia"/>
                      <w:color w:val="auto"/>
                      <w:lang w:val="en-US" w:eastAsia="zh-CN"/>
                    </w:rPr>
                    <w:t>NMHC</w:t>
                  </w:r>
                </w:p>
              </w:tc>
              <w:tc>
                <w:tcPr>
                  <w:tcW w:w="1894" w:type="dxa"/>
                  <w:vAlign w:val="center"/>
                </w:tcPr>
                <w:p w14:paraId="33C014B3">
                  <w:pPr>
                    <w:pStyle w:val="19"/>
                    <w:bidi w:val="0"/>
                    <w:rPr>
                      <w:rFonts w:hint="default"/>
                      <w:color w:val="auto"/>
                      <w:lang w:val="en-US" w:eastAsia="zh-CN"/>
                    </w:rPr>
                  </w:pPr>
                  <w:r>
                    <w:rPr>
                      <w:rFonts w:hint="eastAsia"/>
                      <w:color w:val="auto"/>
                      <w:lang w:val="en-US" w:eastAsia="zh-CN"/>
                    </w:rPr>
                    <w:t>最高允许浓度120mg/m³；新污染源二级标准20m排气筒最高允许排放速率17kg/h</w:t>
                  </w:r>
                </w:p>
              </w:tc>
              <w:tc>
                <w:tcPr>
                  <w:tcW w:w="1780" w:type="dxa"/>
                  <w:vAlign w:val="center"/>
                </w:tcPr>
                <w:p w14:paraId="4D3B5FB9">
                  <w:pPr>
                    <w:pStyle w:val="19"/>
                    <w:bidi w:val="0"/>
                    <w:rPr>
                      <w:color w:val="auto"/>
                    </w:rPr>
                  </w:pPr>
                  <w:r>
                    <w:rPr>
                      <w:rFonts w:hint="eastAsia"/>
                      <w:color w:val="auto"/>
                      <w:lang w:val="en-US" w:eastAsia="zh-CN"/>
                    </w:rPr>
                    <w:t>《大气污染物综合排放标准》</w:t>
                  </w:r>
                </w:p>
                <w:p w14:paraId="473179C1">
                  <w:pPr>
                    <w:pStyle w:val="19"/>
                    <w:bidi w:val="0"/>
                    <w:rPr>
                      <w:rFonts w:hint="eastAsia"/>
                      <w:color w:val="auto"/>
                      <w:lang w:val="en-US" w:eastAsia="zh-CN"/>
                    </w:rPr>
                  </w:pPr>
                  <w:r>
                    <w:rPr>
                      <w:rFonts w:hint="eastAsia"/>
                      <w:color w:val="auto"/>
                      <w:lang w:val="en-US" w:eastAsia="zh-CN"/>
                    </w:rPr>
                    <w:t>（</w:t>
                  </w:r>
                  <w:r>
                    <w:rPr>
                      <w:rFonts w:hint="default"/>
                      <w:color w:val="auto"/>
                      <w:lang w:val="en-US" w:eastAsia="zh-CN"/>
                    </w:rPr>
                    <w:t>GB16297-1996</w:t>
                  </w:r>
                  <w:r>
                    <w:rPr>
                      <w:rFonts w:hint="eastAsia"/>
                      <w:color w:val="auto"/>
                      <w:lang w:val="en-US" w:eastAsia="zh-CN"/>
                    </w:rPr>
                    <w:t xml:space="preserve">）表 </w:t>
                  </w:r>
                  <w:r>
                    <w:rPr>
                      <w:rFonts w:hint="default"/>
                      <w:color w:val="auto"/>
                      <w:lang w:val="en-US" w:eastAsia="zh-CN"/>
                    </w:rPr>
                    <w:t xml:space="preserve">2 </w:t>
                  </w:r>
                  <w:r>
                    <w:rPr>
                      <w:rFonts w:hint="eastAsia"/>
                      <w:color w:val="auto"/>
                      <w:lang w:val="en-US" w:eastAsia="zh-CN"/>
                    </w:rPr>
                    <w:t>中二级 标准</w:t>
                  </w:r>
                </w:p>
              </w:tc>
            </w:tr>
            <w:tr w14:paraId="2C2E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 w:type="dxa"/>
                  <w:vAlign w:val="center"/>
                </w:tcPr>
                <w:p w14:paraId="4C4AB2E4">
                  <w:pPr>
                    <w:pStyle w:val="19"/>
                    <w:bidi w:val="0"/>
                    <w:jc w:val="center"/>
                    <w:rPr>
                      <w:rFonts w:hint="default"/>
                      <w:color w:val="auto"/>
                      <w:lang w:val="en-US" w:eastAsia="zh-CN"/>
                    </w:rPr>
                  </w:pPr>
                  <w:r>
                    <w:rPr>
                      <w:rFonts w:hint="eastAsia"/>
                      <w:color w:val="auto"/>
                      <w:lang w:val="en-US" w:eastAsia="zh-CN"/>
                    </w:rPr>
                    <w:t>DA003</w:t>
                  </w:r>
                </w:p>
              </w:tc>
              <w:tc>
                <w:tcPr>
                  <w:tcW w:w="1320" w:type="dxa"/>
                  <w:vAlign w:val="center"/>
                </w:tcPr>
                <w:p w14:paraId="52891F28">
                  <w:pPr>
                    <w:pStyle w:val="19"/>
                    <w:bidi w:val="0"/>
                    <w:jc w:val="center"/>
                    <w:rPr>
                      <w:rFonts w:hint="default"/>
                      <w:color w:val="auto"/>
                      <w:lang w:val="en-US" w:eastAsia="zh-CN"/>
                    </w:rPr>
                  </w:pPr>
                  <w:r>
                    <w:rPr>
                      <w:rFonts w:hint="eastAsia"/>
                      <w:color w:val="auto"/>
                      <w:lang w:val="en-US" w:eastAsia="zh-CN"/>
                    </w:rPr>
                    <w:t>一般排口</w:t>
                  </w:r>
                </w:p>
              </w:tc>
              <w:tc>
                <w:tcPr>
                  <w:tcW w:w="957" w:type="dxa"/>
                  <w:vAlign w:val="center"/>
                </w:tcPr>
                <w:p w14:paraId="21D79847">
                  <w:pPr>
                    <w:pStyle w:val="19"/>
                    <w:bidi w:val="0"/>
                    <w:jc w:val="center"/>
                    <w:rPr>
                      <w:rFonts w:hint="eastAsia"/>
                      <w:color w:val="auto"/>
                      <w:lang w:val="en-US" w:eastAsia="zh-CN"/>
                    </w:rPr>
                  </w:pPr>
                  <w:r>
                    <w:rPr>
                      <w:rFonts w:hint="eastAsia"/>
                      <w:color w:val="auto"/>
                      <w:lang w:val="en-US" w:eastAsia="zh-CN"/>
                    </w:rPr>
                    <w:t>修边切割、雕刻</w:t>
                  </w:r>
                </w:p>
              </w:tc>
              <w:tc>
                <w:tcPr>
                  <w:tcW w:w="881" w:type="dxa"/>
                  <w:vAlign w:val="center"/>
                </w:tcPr>
                <w:p w14:paraId="35ED0453">
                  <w:pPr>
                    <w:pStyle w:val="19"/>
                    <w:bidi w:val="0"/>
                    <w:jc w:val="center"/>
                    <w:rPr>
                      <w:rFonts w:hint="eastAsia"/>
                      <w:color w:val="auto"/>
                      <w:lang w:val="en-US" w:eastAsia="zh-CN"/>
                    </w:rPr>
                  </w:pPr>
                  <w:r>
                    <w:rPr>
                      <w:rFonts w:hint="eastAsia"/>
                      <w:color w:val="auto"/>
                      <w:lang w:val="en-US" w:eastAsia="zh-CN"/>
                    </w:rPr>
                    <w:t>颗粒物</w:t>
                  </w:r>
                </w:p>
              </w:tc>
              <w:tc>
                <w:tcPr>
                  <w:tcW w:w="1894" w:type="dxa"/>
                  <w:vAlign w:val="center"/>
                </w:tcPr>
                <w:p w14:paraId="14E9D600">
                  <w:pPr>
                    <w:pStyle w:val="19"/>
                    <w:bidi w:val="0"/>
                    <w:jc w:val="center"/>
                    <w:rPr>
                      <w:rFonts w:hint="eastAsia"/>
                      <w:color w:val="auto"/>
                      <w:lang w:val="en-US" w:eastAsia="zh-CN"/>
                    </w:rPr>
                  </w:pPr>
                  <w:r>
                    <w:rPr>
                      <w:rFonts w:hint="eastAsia"/>
                      <w:color w:val="auto"/>
                      <w:lang w:val="en-US" w:eastAsia="zh-CN"/>
                    </w:rPr>
                    <w:t>有组织：水泥制品企业水泥仓及其他通风生产设备颗粒物有组织排放限值20mg/m³</w:t>
                  </w:r>
                </w:p>
              </w:tc>
              <w:tc>
                <w:tcPr>
                  <w:tcW w:w="1780" w:type="dxa"/>
                  <w:vAlign w:val="center"/>
                </w:tcPr>
                <w:p w14:paraId="534F5092">
                  <w:pPr>
                    <w:pStyle w:val="19"/>
                    <w:bidi w:val="0"/>
                    <w:jc w:val="center"/>
                    <w:rPr>
                      <w:rFonts w:hint="eastAsia"/>
                      <w:color w:val="auto"/>
                      <w:lang w:val="en-US" w:eastAsia="zh-CN"/>
                    </w:rPr>
                  </w:pPr>
                  <w:r>
                    <w:rPr>
                      <w:rFonts w:hint="eastAsia"/>
                      <w:color w:val="auto"/>
                      <w:lang w:val="en-US" w:eastAsia="zh-CN"/>
                    </w:rPr>
                    <w:t>《水泥工业大气污染物排放标准》（GB4915-2013，含2025年修改单））</w:t>
                  </w:r>
                </w:p>
              </w:tc>
            </w:tr>
          </w:tbl>
          <w:p w14:paraId="10198DC4">
            <w:pPr>
              <w:pStyle w:val="20"/>
              <w:bidi w:val="0"/>
              <w:rPr>
                <w:rFonts w:hint="eastAsia"/>
                <w:color w:val="auto"/>
                <w:lang w:val="en-US" w:eastAsia="zh-CN"/>
              </w:rPr>
            </w:pPr>
          </w:p>
          <w:p w14:paraId="3C2E7777">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23</w:t>
            </w:r>
            <w:r>
              <w:rPr>
                <w:color w:val="auto"/>
              </w:rPr>
              <w:fldChar w:fldCharType="end"/>
            </w:r>
            <w:r>
              <w:rPr>
                <w:rFonts w:hint="eastAsia"/>
                <w:color w:val="auto"/>
                <w:lang w:val="en-US" w:eastAsia="zh-CN"/>
              </w:rPr>
              <w:t xml:space="preserve">  大气污染物无组织排放标准</w:t>
            </w:r>
          </w:p>
          <w:tbl>
            <w:tblPr>
              <w:tblStyle w:val="26"/>
              <w:tblW w:w="7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5"/>
              <w:gridCol w:w="2721"/>
              <w:gridCol w:w="1136"/>
              <w:gridCol w:w="2715"/>
            </w:tblGrid>
            <w:tr w14:paraId="0827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4" w:type="pct"/>
                  <w:shd w:val="clear" w:color="auto" w:fill="auto"/>
                  <w:vAlign w:val="center"/>
                </w:tcPr>
                <w:p w14:paraId="0DF05977">
                  <w:pPr>
                    <w:pStyle w:val="19"/>
                    <w:bidi w:val="0"/>
                    <w:rPr>
                      <w:color w:val="auto"/>
                    </w:rPr>
                  </w:pPr>
                  <w:r>
                    <w:rPr>
                      <w:color w:val="auto"/>
                    </w:rPr>
                    <w:t>污染物</w:t>
                  </w:r>
                </w:p>
              </w:tc>
              <w:tc>
                <w:tcPr>
                  <w:tcW w:w="2515" w:type="pct"/>
                  <w:gridSpan w:val="2"/>
                  <w:shd w:val="clear" w:color="auto" w:fill="auto"/>
                  <w:vAlign w:val="center"/>
                </w:tcPr>
                <w:p w14:paraId="58A4E2A6">
                  <w:pPr>
                    <w:pStyle w:val="19"/>
                    <w:bidi w:val="0"/>
                    <w:rPr>
                      <w:color w:val="auto"/>
                    </w:rPr>
                  </w:pPr>
                  <w:r>
                    <w:rPr>
                      <w:rFonts w:hint="eastAsia"/>
                      <w:color w:val="auto"/>
                    </w:rPr>
                    <w:t>标准限值（mg/m3）</w:t>
                  </w:r>
                </w:p>
              </w:tc>
              <w:tc>
                <w:tcPr>
                  <w:tcW w:w="1770" w:type="pct"/>
                  <w:shd w:val="clear" w:color="auto" w:fill="auto"/>
                  <w:vAlign w:val="center"/>
                </w:tcPr>
                <w:p w14:paraId="4897F1E4">
                  <w:pPr>
                    <w:pStyle w:val="19"/>
                    <w:bidi w:val="0"/>
                    <w:rPr>
                      <w:color w:val="auto"/>
                    </w:rPr>
                  </w:pPr>
                  <w:r>
                    <w:rPr>
                      <w:rFonts w:hint="eastAsia"/>
                      <w:color w:val="auto"/>
                    </w:rPr>
                    <w:t>执行</w:t>
                  </w:r>
                  <w:r>
                    <w:rPr>
                      <w:color w:val="auto"/>
                    </w:rPr>
                    <w:t>标准</w:t>
                  </w:r>
                </w:p>
              </w:tc>
            </w:tr>
            <w:tr w14:paraId="6E75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4" w:type="pct"/>
                  <w:shd w:val="clear" w:color="auto" w:fill="auto"/>
                  <w:vAlign w:val="center"/>
                </w:tcPr>
                <w:p w14:paraId="7076A584">
                  <w:pPr>
                    <w:pStyle w:val="19"/>
                    <w:bidi w:val="0"/>
                    <w:rPr>
                      <w:color w:val="auto"/>
                    </w:rPr>
                  </w:pPr>
                  <w:bookmarkStart w:id="8" w:name="_Hlk186559518"/>
                  <w:r>
                    <w:rPr>
                      <w:rFonts w:hint="eastAsia"/>
                      <w:color w:val="auto"/>
                    </w:rPr>
                    <w:t>颗粒物</w:t>
                  </w:r>
                </w:p>
              </w:tc>
              <w:tc>
                <w:tcPr>
                  <w:tcW w:w="2515" w:type="pct"/>
                  <w:gridSpan w:val="2"/>
                  <w:shd w:val="clear" w:color="auto" w:fill="auto"/>
                  <w:vAlign w:val="center"/>
                </w:tcPr>
                <w:p w14:paraId="12B8A8D3">
                  <w:pPr>
                    <w:pStyle w:val="19"/>
                    <w:bidi w:val="0"/>
                    <w:rPr>
                      <w:color w:val="auto"/>
                    </w:rPr>
                  </w:pPr>
                  <w:r>
                    <w:rPr>
                      <w:rFonts w:hint="eastAsia"/>
                      <w:color w:val="auto"/>
                    </w:rPr>
                    <w:t>监控点与参照点总悬浮颗粒物（TSP）1h浓度值的差值0.5mg/m³</w:t>
                  </w:r>
                </w:p>
              </w:tc>
              <w:tc>
                <w:tcPr>
                  <w:tcW w:w="1770" w:type="pct"/>
                  <w:shd w:val="clear" w:color="auto" w:fill="auto"/>
                  <w:vAlign w:val="center"/>
                </w:tcPr>
                <w:p w14:paraId="51316178">
                  <w:pPr>
                    <w:pStyle w:val="19"/>
                    <w:bidi w:val="0"/>
                    <w:rPr>
                      <w:color w:val="auto"/>
                    </w:rPr>
                  </w:pPr>
                  <w:r>
                    <w:rPr>
                      <w:rFonts w:hint="eastAsia"/>
                      <w:color w:val="auto"/>
                      <w:lang w:val="en-US" w:eastAsia="zh-CN"/>
                    </w:rPr>
                    <w:t>《水泥工业大气污染物排放标准》（GB4915-2013，含2025年修改单）</w:t>
                  </w:r>
                </w:p>
              </w:tc>
            </w:tr>
            <w:bookmarkEnd w:id="8"/>
            <w:tr w14:paraId="0CA3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4" w:type="pct"/>
                  <w:vMerge w:val="restart"/>
                  <w:shd w:val="clear" w:color="auto" w:fill="auto"/>
                  <w:vAlign w:val="center"/>
                </w:tcPr>
                <w:p w14:paraId="0E0A5FB0">
                  <w:pPr>
                    <w:pStyle w:val="19"/>
                    <w:bidi w:val="0"/>
                    <w:rPr>
                      <w:color w:val="auto"/>
                    </w:rPr>
                  </w:pPr>
                  <w:r>
                    <w:rPr>
                      <w:rFonts w:hint="eastAsia"/>
                      <w:color w:val="auto"/>
                    </w:rPr>
                    <w:t>NMHC</w:t>
                  </w:r>
                </w:p>
              </w:tc>
              <w:tc>
                <w:tcPr>
                  <w:tcW w:w="2515" w:type="pct"/>
                  <w:gridSpan w:val="2"/>
                  <w:shd w:val="clear" w:color="auto" w:fill="auto"/>
                  <w:vAlign w:val="center"/>
                </w:tcPr>
                <w:p w14:paraId="3F05A879">
                  <w:pPr>
                    <w:pStyle w:val="19"/>
                    <w:bidi w:val="0"/>
                    <w:rPr>
                      <w:color w:val="auto"/>
                    </w:rPr>
                  </w:pPr>
                  <w:r>
                    <w:rPr>
                      <w:color w:val="auto"/>
                    </w:rPr>
                    <w:t xml:space="preserve">4.0 </w:t>
                  </w:r>
                  <w:r>
                    <w:rPr>
                      <w:rFonts w:hint="eastAsia"/>
                      <w:color w:val="auto"/>
                    </w:rPr>
                    <w:t>mg/m</w:t>
                  </w:r>
                  <w:r>
                    <w:rPr>
                      <w:rFonts w:hint="eastAsia"/>
                      <w:color w:val="auto"/>
                      <w:vertAlign w:val="superscript"/>
                    </w:rPr>
                    <w:t>3</w:t>
                  </w:r>
                </w:p>
              </w:tc>
              <w:tc>
                <w:tcPr>
                  <w:tcW w:w="1770" w:type="pct"/>
                  <w:vMerge w:val="restart"/>
                  <w:shd w:val="clear" w:color="auto" w:fill="auto"/>
                  <w:vAlign w:val="center"/>
                </w:tcPr>
                <w:p w14:paraId="58A45C2E">
                  <w:pPr>
                    <w:pStyle w:val="19"/>
                    <w:bidi w:val="0"/>
                    <w:rPr>
                      <w:color w:val="auto"/>
                    </w:rPr>
                  </w:pPr>
                  <w:r>
                    <w:rPr>
                      <w:rFonts w:hint="eastAsia"/>
                      <w:color w:val="auto"/>
                    </w:rPr>
                    <w:t>《挥发性有机物无组织排放控制标准》（G</w:t>
                  </w:r>
                  <w:r>
                    <w:rPr>
                      <w:color w:val="auto"/>
                    </w:rPr>
                    <w:t>B 37822-2019</w:t>
                  </w:r>
                  <w:r>
                    <w:rPr>
                      <w:rFonts w:hint="eastAsia"/>
                      <w:color w:val="auto"/>
                    </w:rPr>
                    <w:t>）表</w:t>
                  </w:r>
                  <w:r>
                    <w:rPr>
                      <w:color w:val="auto"/>
                    </w:rPr>
                    <w:t>A.1</w:t>
                  </w:r>
                </w:p>
              </w:tc>
            </w:tr>
            <w:tr w14:paraId="1792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4" w:type="pct"/>
                  <w:vMerge w:val="continue"/>
                  <w:shd w:val="clear" w:color="auto" w:fill="auto"/>
                  <w:vAlign w:val="center"/>
                </w:tcPr>
                <w:p w14:paraId="7B017C89">
                  <w:pPr>
                    <w:pStyle w:val="21"/>
                    <w:rPr>
                      <w:color w:val="auto"/>
                    </w:rPr>
                  </w:pPr>
                </w:p>
              </w:tc>
              <w:tc>
                <w:tcPr>
                  <w:tcW w:w="1774" w:type="pct"/>
                  <w:shd w:val="clear" w:color="auto" w:fill="auto"/>
                  <w:vAlign w:val="center"/>
                </w:tcPr>
                <w:p w14:paraId="0313812B">
                  <w:pPr>
                    <w:pStyle w:val="19"/>
                    <w:bidi w:val="0"/>
                    <w:rPr>
                      <w:color w:val="auto"/>
                    </w:rPr>
                  </w:pPr>
                  <w:r>
                    <w:rPr>
                      <w:rFonts w:hint="eastAsia"/>
                      <w:color w:val="auto"/>
                    </w:rPr>
                    <w:t>监控点处1h平均浓度值10mg/m</w:t>
                  </w:r>
                  <w:r>
                    <w:rPr>
                      <w:rFonts w:hint="eastAsia"/>
                      <w:color w:val="auto"/>
                      <w:vertAlign w:val="superscript"/>
                    </w:rPr>
                    <w:t>3</w:t>
                  </w:r>
                </w:p>
              </w:tc>
              <w:tc>
                <w:tcPr>
                  <w:tcW w:w="740" w:type="pct"/>
                  <w:vMerge w:val="restart"/>
                  <w:shd w:val="clear" w:color="auto" w:fill="auto"/>
                  <w:vAlign w:val="center"/>
                </w:tcPr>
                <w:p w14:paraId="1E4F0998">
                  <w:pPr>
                    <w:pStyle w:val="19"/>
                    <w:bidi w:val="0"/>
                    <w:rPr>
                      <w:color w:val="auto"/>
                    </w:rPr>
                  </w:pPr>
                  <w:r>
                    <w:rPr>
                      <w:rFonts w:hint="eastAsia"/>
                      <w:color w:val="auto"/>
                    </w:rPr>
                    <w:t>在厂房外设置监控点</w:t>
                  </w:r>
                </w:p>
              </w:tc>
              <w:tc>
                <w:tcPr>
                  <w:tcW w:w="1770" w:type="pct"/>
                  <w:vMerge w:val="continue"/>
                  <w:shd w:val="clear" w:color="auto" w:fill="auto"/>
                  <w:vAlign w:val="center"/>
                </w:tcPr>
                <w:p w14:paraId="592FBDD3">
                  <w:pPr>
                    <w:pStyle w:val="21"/>
                    <w:rPr>
                      <w:color w:val="auto"/>
                    </w:rPr>
                  </w:pPr>
                </w:p>
              </w:tc>
            </w:tr>
            <w:tr w14:paraId="6A52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4" w:type="pct"/>
                  <w:vMerge w:val="continue"/>
                  <w:shd w:val="clear" w:color="auto" w:fill="auto"/>
                  <w:vAlign w:val="center"/>
                </w:tcPr>
                <w:p w14:paraId="5B389AA9">
                  <w:pPr>
                    <w:pStyle w:val="21"/>
                    <w:rPr>
                      <w:color w:val="auto"/>
                    </w:rPr>
                  </w:pPr>
                </w:p>
              </w:tc>
              <w:tc>
                <w:tcPr>
                  <w:tcW w:w="1774" w:type="pct"/>
                  <w:shd w:val="clear" w:color="auto" w:fill="auto"/>
                  <w:vAlign w:val="center"/>
                </w:tcPr>
                <w:p w14:paraId="25923171">
                  <w:pPr>
                    <w:pStyle w:val="19"/>
                    <w:bidi w:val="0"/>
                    <w:rPr>
                      <w:rFonts w:hint="eastAsia" w:eastAsia="宋体"/>
                      <w:color w:val="auto"/>
                      <w:lang w:val="en-US" w:eastAsia="zh-CN"/>
                    </w:rPr>
                  </w:pPr>
                  <w:r>
                    <w:rPr>
                      <w:rFonts w:hint="eastAsia"/>
                      <w:color w:val="auto"/>
                    </w:rPr>
                    <w:t>监控点处任意一次浓度值3</w:t>
                  </w:r>
                  <w:r>
                    <w:rPr>
                      <w:rFonts w:hint="eastAsia"/>
                      <w:color w:val="auto"/>
                      <w:lang w:val="en-US" w:eastAsia="zh-CN"/>
                    </w:rPr>
                    <w:t>0</w:t>
                  </w:r>
                  <w:r>
                    <w:rPr>
                      <w:rFonts w:hint="eastAsia"/>
                      <w:color w:val="auto"/>
                    </w:rPr>
                    <w:t>mg/m</w:t>
                  </w:r>
                  <w:r>
                    <w:rPr>
                      <w:rFonts w:hint="eastAsia"/>
                      <w:color w:val="auto"/>
                      <w:vertAlign w:val="superscript"/>
                    </w:rPr>
                    <w:t>3</w:t>
                  </w:r>
                </w:p>
              </w:tc>
              <w:tc>
                <w:tcPr>
                  <w:tcW w:w="740" w:type="pct"/>
                  <w:vMerge w:val="continue"/>
                  <w:shd w:val="clear" w:color="auto" w:fill="auto"/>
                  <w:vAlign w:val="center"/>
                </w:tcPr>
                <w:p w14:paraId="747F930A">
                  <w:pPr>
                    <w:pStyle w:val="21"/>
                    <w:rPr>
                      <w:color w:val="auto"/>
                    </w:rPr>
                  </w:pPr>
                </w:p>
              </w:tc>
              <w:tc>
                <w:tcPr>
                  <w:tcW w:w="1770" w:type="pct"/>
                  <w:vMerge w:val="continue"/>
                  <w:shd w:val="clear" w:color="auto" w:fill="auto"/>
                  <w:vAlign w:val="center"/>
                </w:tcPr>
                <w:p w14:paraId="5D38E26A">
                  <w:pPr>
                    <w:pStyle w:val="21"/>
                    <w:rPr>
                      <w:color w:val="auto"/>
                    </w:rPr>
                  </w:pPr>
                </w:p>
              </w:tc>
            </w:tr>
          </w:tbl>
          <w:p w14:paraId="54AF29B6">
            <w:pPr>
              <w:pStyle w:val="20"/>
              <w:bidi w:val="0"/>
              <w:rPr>
                <w:rFonts w:hint="default"/>
                <w:color w:val="auto"/>
                <w:lang w:val="en-US" w:eastAsia="zh-CN"/>
              </w:rPr>
            </w:pPr>
          </w:p>
          <w:p w14:paraId="327AF217">
            <w:pPr>
              <w:pStyle w:val="4"/>
              <w:bidi w:val="0"/>
              <w:rPr>
                <w:rFonts w:hint="eastAsia"/>
                <w:color w:val="auto"/>
                <w:lang w:eastAsia="zh-CN"/>
              </w:rPr>
            </w:pPr>
            <w:r>
              <w:rPr>
                <w:rFonts w:hint="eastAsia"/>
                <w:color w:val="auto"/>
                <w:lang w:val="en-US" w:eastAsia="zh-CN"/>
              </w:rPr>
              <w:t>运营期间的声排放标准</w:t>
            </w:r>
          </w:p>
          <w:p w14:paraId="338E03A9">
            <w:pPr>
              <w:pStyle w:val="5"/>
              <w:jc w:val="both"/>
              <w:rPr>
                <w:rFonts w:hint="eastAsia"/>
                <w:color w:val="auto"/>
                <w:lang w:val="en-US" w:eastAsia="zh-CN"/>
              </w:rPr>
            </w:pPr>
            <w:r>
              <w:rPr>
                <w:rFonts w:hint="eastAsia"/>
                <w:color w:val="auto"/>
              </w:rPr>
              <w:t>厂界噪声评价标准执行《工业企业厂界环境噪声排放标准》（GB12348-2008）3类标准</w:t>
            </w:r>
            <w:r>
              <w:rPr>
                <w:rFonts w:hint="eastAsia"/>
                <w:color w:val="auto"/>
                <w:lang w:eastAsia="zh-CN"/>
              </w:rPr>
              <w:t>，</w:t>
            </w:r>
            <w:r>
              <w:rPr>
                <w:rFonts w:hint="eastAsia"/>
                <w:color w:val="auto"/>
                <w:lang w:val="en-US" w:eastAsia="zh-CN"/>
              </w:rPr>
              <w:t>见下表。</w:t>
            </w:r>
          </w:p>
          <w:p w14:paraId="29899EE0">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24</w:t>
            </w:r>
            <w:r>
              <w:rPr>
                <w:color w:val="auto"/>
              </w:rPr>
              <w:fldChar w:fldCharType="end"/>
            </w:r>
            <w:r>
              <w:rPr>
                <w:rFonts w:hint="eastAsia"/>
                <w:color w:val="auto"/>
                <w:lang w:val="en-US" w:eastAsia="zh-CN"/>
              </w:rPr>
              <w:t xml:space="preserve">  噪声污染排放标准</w:t>
            </w:r>
          </w:p>
          <w:tbl>
            <w:tblPr>
              <w:tblStyle w:val="16"/>
              <w:tblW w:w="7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2555"/>
              <w:gridCol w:w="2556"/>
            </w:tblGrid>
            <w:tr w14:paraId="50E9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5" w:type="dxa"/>
                  <w:vAlign w:val="top"/>
                </w:tcPr>
                <w:p w14:paraId="7BF4B8B3">
                  <w:pPr>
                    <w:pStyle w:val="19"/>
                    <w:bidi w:val="0"/>
                    <w:rPr>
                      <w:rFonts w:hint="default"/>
                      <w:b/>
                      <w:bCs/>
                      <w:color w:val="auto"/>
                      <w:lang w:val="en-US" w:eastAsia="zh-CN"/>
                    </w:rPr>
                  </w:pPr>
                  <w:r>
                    <w:rPr>
                      <w:rFonts w:hint="eastAsia"/>
                      <w:color w:val="auto"/>
                      <w:lang w:val="en-US" w:eastAsia="zh-CN"/>
                    </w:rPr>
                    <w:t>时期及监测点</w:t>
                  </w:r>
                </w:p>
              </w:tc>
              <w:tc>
                <w:tcPr>
                  <w:tcW w:w="2555" w:type="dxa"/>
                  <w:vAlign w:val="top"/>
                </w:tcPr>
                <w:p w14:paraId="7EB8B251">
                  <w:pPr>
                    <w:pStyle w:val="19"/>
                    <w:bidi w:val="0"/>
                    <w:rPr>
                      <w:rFonts w:hint="default"/>
                      <w:b/>
                      <w:bCs/>
                      <w:color w:val="auto"/>
                      <w:lang w:val="en-US" w:eastAsia="zh-CN"/>
                    </w:rPr>
                  </w:pPr>
                  <w:r>
                    <w:rPr>
                      <w:rFonts w:hint="eastAsia"/>
                      <w:color w:val="auto"/>
                      <w:lang w:val="en-US" w:eastAsia="zh-CN"/>
                    </w:rPr>
                    <w:t>昼（dB（A））</w:t>
                  </w:r>
                </w:p>
              </w:tc>
              <w:tc>
                <w:tcPr>
                  <w:tcW w:w="2556" w:type="dxa"/>
                  <w:shd w:val="clear" w:color="auto" w:fill="auto"/>
                  <w:vAlign w:val="top"/>
                </w:tcPr>
                <w:p w14:paraId="66E38914">
                  <w:pPr>
                    <w:pStyle w:val="19"/>
                    <w:bidi w:val="0"/>
                    <w:rPr>
                      <w:rFonts w:hint="default" w:ascii="Times New Roman" w:hAnsi="Times New Roman" w:eastAsia="宋体" w:cstheme="minorBidi"/>
                      <w:b/>
                      <w:bCs/>
                      <w:color w:val="auto"/>
                      <w:kern w:val="2"/>
                      <w:szCs w:val="24"/>
                      <w:lang w:val="en-US" w:eastAsia="zh-CN" w:bidi="ar-SA"/>
                    </w:rPr>
                  </w:pPr>
                  <w:r>
                    <w:rPr>
                      <w:rFonts w:hint="eastAsia"/>
                      <w:color w:val="auto"/>
                      <w:lang w:val="en-US" w:eastAsia="zh-CN"/>
                    </w:rPr>
                    <w:t>夜（dB（A））</w:t>
                  </w:r>
                </w:p>
              </w:tc>
            </w:tr>
            <w:tr w14:paraId="3806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5" w:type="dxa"/>
                  <w:vAlign w:val="top"/>
                </w:tcPr>
                <w:p w14:paraId="6198CE42">
                  <w:pPr>
                    <w:pStyle w:val="19"/>
                    <w:bidi w:val="0"/>
                    <w:rPr>
                      <w:rFonts w:hint="default"/>
                      <w:color w:val="auto"/>
                      <w:lang w:val="en-US" w:eastAsia="zh-CN"/>
                    </w:rPr>
                  </w:pPr>
                  <w:r>
                    <w:rPr>
                      <w:rFonts w:hint="eastAsia"/>
                      <w:color w:val="auto"/>
                      <w:lang w:val="en-US" w:eastAsia="zh-CN"/>
                    </w:rPr>
                    <w:t>运行期厂界</w:t>
                  </w:r>
                </w:p>
              </w:tc>
              <w:tc>
                <w:tcPr>
                  <w:tcW w:w="2555" w:type="dxa"/>
                  <w:vAlign w:val="top"/>
                </w:tcPr>
                <w:p w14:paraId="42D66BE0">
                  <w:pPr>
                    <w:pStyle w:val="19"/>
                    <w:bidi w:val="0"/>
                    <w:rPr>
                      <w:rFonts w:hint="default"/>
                      <w:color w:val="auto"/>
                      <w:lang w:val="en-US" w:eastAsia="zh-CN"/>
                    </w:rPr>
                  </w:pPr>
                  <w:r>
                    <w:rPr>
                      <w:rFonts w:hint="eastAsia"/>
                      <w:color w:val="auto"/>
                      <w:lang w:val="en-US" w:eastAsia="zh-CN"/>
                    </w:rPr>
                    <w:t>65</w:t>
                  </w:r>
                </w:p>
              </w:tc>
              <w:tc>
                <w:tcPr>
                  <w:tcW w:w="2556" w:type="dxa"/>
                  <w:vAlign w:val="top"/>
                </w:tcPr>
                <w:p w14:paraId="2C6EF8C7">
                  <w:pPr>
                    <w:pStyle w:val="19"/>
                    <w:bidi w:val="0"/>
                    <w:rPr>
                      <w:rFonts w:hint="default"/>
                      <w:color w:val="auto"/>
                      <w:lang w:val="en-US" w:eastAsia="zh-CN"/>
                    </w:rPr>
                  </w:pPr>
                  <w:r>
                    <w:rPr>
                      <w:rFonts w:hint="eastAsia"/>
                      <w:color w:val="auto"/>
                      <w:lang w:val="en-US" w:eastAsia="zh-CN"/>
                    </w:rPr>
                    <w:t>55</w:t>
                  </w:r>
                </w:p>
              </w:tc>
            </w:tr>
          </w:tbl>
          <w:p w14:paraId="75BE8311">
            <w:pPr>
              <w:pStyle w:val="20"/>
              <w:bidi w:val="0"/>
              <w:rPr>
                <w:rFonts w:hint="default"/>
                <w:color w:val="auto"/>
                <w:lang w:val="en-US" w:eastAsia="zh-CN"/>
              </w:rPr>
            </w:pPr>
          </w:p>
          <w:p w14:paraId="0590CBD5">
            <w:pPr>
              <w:pStyle w:val="4"/>
              <w:bidi w:val="0"/>
              <w:rPr>
                <w:rFonts w:hint="eastAsia"/>
                <w:color w:val="auto"/>
                <w:lang w:eastAsia="zh-CN"/>
              </w:rPr>
            </w:pPr>
            <w:r>
              <w:rPr>
                <w:rFonts w:hint="eastAsia"/>
                <w:color w:val="auto"/>
                <w:lang w:val="en-US" w:eastAsia="zh-CN"/>
              </w:rPr>
              <w:t>运营期间的水排放标准</w:t>
            </w:r>
          </w:p>
          <w:p w14:paraId="4C0F002D">
            <w:pPr>
              <w:pStyle w:val="5"/>
              <w:ind w:firstLine="480"/>
              <w:rPr>
                <w:rFonts w:hint="eastAsia"/>
                <w:color w:val="auto"/>
                <w:lang w:val="en-US" w:eastAsia="zh-CN"/>
              </w:rPr>
            </w:pPr>
            <w:r>
              <w:rPr>
                <w:rFonts w:hint="eastAsia"/>
                <w:color w:val="auto"/>
                <w:lang w:eastAsia="zh-CN"/>
              </w:rPr>
              <w:t>运营期生活污水排放量约为</w:t>
            </w:r>
            <w:r>
              <w:rPr>
                <w:rFonts w:hint="eastAsia"/>
                <w:color w:val="auto"/>
                <w:lang w:val="en-US" w:eastAsia="zh-CN"/>
              </w:rPr>
              <w:t>2.08m</w:t>
            </w:r>
            <w:r>
              <w:rPr>
                <w:rFonts w:hint="eastAsia"/>
                <w:color w:val="auto"/>
                <w:vertAlign w:val="superscript"/>
                <w:lang w:val="en-US" w:eastAsia="zh-CN"/>
              </w:rPr>
              <w:t>3/</w:t>
            </w:r>
            <w:r>
              <w:rPr>
                <w:rFonts w:hint="eastAsia"/>
                <w:color w:val="auto"/>
                <w:vertAlign w:val="baseline"/>
                <w:lang w:val="en-US" w:eastAsia="zh-CN"/>
              </w:rPr>
              <w:t>d</w:t>
            </w:r>
            <w:r>
              <w:rPr>
                <w:rFonts w:hint="eastAsia"/>
                <w:color w:val="auto"/>
                <w:lang w:eastAsia="zh-CN"/>
              </w:rPr>
              <w:t>，经市政污水管网排入库尔勒经济技术开发区污水处理厂处理，排放水质执行《污水综合排放标准》（GB8978-1996）表4中三级标准及污水处理厂接管要求，</w:t>
            </w:r>
            <w:r>
              <w:rPr>
                <w:rFonts w:hint="eastAsia"/>
                <w:color w:val="auto"/>
                <w:lang w:val="en-US" w:eastAsia="zh-CN"/>
              </w:rPr>
              <w:t>具体见下表。</w:t>
            </w:r>
          </w:p>
          <w:p w14:paraId="609C6E05">
            <w:pPr>
              <w:pStyle w:val="12"/>
              <w:rPr>
                <w:rFonts w:hint="eastAsia"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25</w:t>
            </w:r>
            <w:r>
              <w:rPr>
                <w:color w:val="auto"/>
              </w:rPr>
              <w:fldChar w:fldCharType="end"/>
            </w:r>
            <w:r>
              <w:rPr>
                <w:rFonts w:hint="eastAsia"/>
                <w:color w:val="auto"/>
                <w:lang w:val="en-US" w:eastAsia="zh-CN"/>
              </w:rPr>
              <w:t xml:space="preserve">  水污染物排放标准</w:t>
            </w:r>
          </w:p>
          <w:tbl>
            <w:tblPr>
              <w:tblStyle w:val="2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26"/>
              <w:gridCol w:w="3220"/>
              <w:gridCol w:w="3221"/>
            </w:tblGrid>
            <w:tr w14:paraId="6F05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9" w:type="pct"/>
                  <w:shd w:val="clear" w:color="auto" w:fill="auto"/>
                  <w:vAlign w:val="center"/>
                </w:tcPr>
                <w:p w14:paraId="19552A1C">
                  <w:pPr>
                    <w:pStyle w:val="19"/>
                    <w:bidi w:val="0"/>
                    <w:rPr>
                      <w:color w:val="auto"/>
                    </w:rPr>
                  </w:pPr>
                  <w:r>
                    <w:rPr>
                      <w:rFonts w:hint="eastAsia"/>
                      <w:color w:val="auto"/>
                    </w:rPr>
                    <w:t>序号</w:t>
                  </w:r>
                </w:p>
              </w:tc>
              <w:tc>
                <w:tcPr>
                  <w:tcW w:w="2099" w:type="pct"/>
                  <w:shd w:val="clear" w:color="auto" w:fill="auto"/>
                  <w:vAlign w:val="center"/>
                </w:tcPr>
                <w:p w14:paraId="733D2C5E">
                  <w:pPr>
                    <w:pStyle w:val="19"/>
                    <w:bidi w:val="0"/>
                    <w:rPr>
                      <w:color w:val="auto"/>
                    </w:rPr>
                  </w:pPr>
                  <w:r>
                    <w:rPr>
                      <w:color w:val="auto"/>
                    </w:rPr>
                    <w:t>污染物</w:t>
                  </w:r>
                </w:p>
              </w:tc>
              <w:tc>
                <w:tcPr>
                  <w:tcW w:w="2100" w:type="pct"/>
                  <w:shd w:val="clear" w:color="auto" w:fill="auto"/>
                  <w:vAlign w:val="center"/>
                </w:tcPr>
                <w:p w14:paraId="0CDC0055">
                  <w:pPr>
                    <w:pStyle w:val="19"/>
                    <w:bidi w:val="0"/>
                    <w:rPr>
                      <w:color w:val="auto"/>
                    </w:rPr>
                  </w:pPr>
                  <w:r>
                    <w:rPr>
                      <w:color w:val="auto"/>
                    </w:rPr>
                    <w:t>标准（mg/</w:t>
                  </w:r>
                  <w:r>
                    <w:rPr>
                      <w:rFonts w:hint="eastAsia"/>
                      <w:color w:val="auto"/>
                    </w:rPr>
                    <w:t>L</w:t>
                  </w:r>
                  <w:r>
                    <w:rPr>
                      <w:color w:val="auto"/>
                    </w:rPr>
                    <w:t>）</w:t>
                  </w:r>
                </w:p>
              </w:tc>
            </w:tr>
            <w:tr w14:paraId="3B9E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9" w:type="pct"/>
                  <w:shd w:val="clear" w:color="auto" w:fill="auto"/>
                  <w:vAlign w:val="center"/>
                </w:tcPr>
                <w:p w14:paraId="422F3CA4">
                  <w:pPr>
                    <w:pStyle w:val="19"/>
                    <w:bidi w:val="0"/>
                    <w:rPr>
                      <w:color w:val="auto"/>
                    </w:rPr>
                  </w:pPr>
                  <w:r>
                    <w:rPr>
                      <w:rFonts w:hint="eastAsia"/>
                      <w:color w:val="auto"/>
                    </w:rPr>
                    <w:t>1</w:t>
                  </w:r>
                </w:p>
              </w:tc>
              <w:tc>
                <w:tcPr>
                  <w:tcW w:w="2099" w:type="pct"/>
                  <w:shd w:val="clear" w:color="auto" w:fill="auto"/>
                  <w:vAlign w:val="center"/>
                </w:tcPr>
                <w:p w14:paraId="29362D6E">
                  <w:pPr>
                    <w:pStyle w:val="19"/>
                    <w:bidi w:val="0"/>
                    <w:rPr>
                      <w:color w:val="auto"/>
                    </w:rPr>
                  </w:pPr>
                  <w:r>
                    <w:rPr>
                      <w:rFonts w:hint="eastAsia"/>
                      <w:color w:val="auto"/>
                    </w:rPr>
                    <w:t>C</w:t>
                  </w:r>
                  <w:r>
                    <w:rPr>
                      <w:color w:val="auto"/>
                    </w:rPr>
                    <w:t>ODcr</w:t>
                  </w:r>
                </w:p>
              </w:tc>
              <w:tc>
                <w:tcPr>
                  <w:tcW w:w="2100" w:type="pct"/>
                  <w:shd w:val="clear" w:color="auto" w:fill="auto"/>
                  <w:vAlign w:val="center"/>
                </w:tcPr>
                <w:p w14:paraId="1E79A43D">
                  <w:pPr>
                    <w:pStyle w:val="19"/>
                    <w:bidi w:val="0"/>
                    <w:rPr>
                      <w:color w:val="auto"/>
                    </w:rPr>
                  </w:pPr>
                  <w:r>
                    <w:rPr>
                      <w:rFonts w:hint="eastAsia"/>
                      <w:color w:val="auto"/>
                    </w:rPr>
                    <w:t>500</w:t>
                  </w:r>
                </w:p>
              </w:tc>
            </w:tr>
            <w:tr w14:paraId="6C64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9" w:type="pct"/>
                  <w:shd w:val="clear" w:color="auto" w:fill="auto"/>
                  <w:vAlign w:val="center"/>
                </w:tcPr>
                <w:p w14:paraId="4896D23F">
                  <w:pPr>
                    <w:pStyle w:val="19"/>
                    <w:bidi w:val="0"/>
                    <w:rPr>
                      <w:color w:val="auto"/>
                    </w:rPr>
                  </w:pPr>
                  <w:r>
                    <w:rPr>
                      <w:rFonts w:hint="eastAsia"/>
                      <w:color w:val="auto"/>
                    </w:rPr>
                    <w:t>3</w:t>
                  </w:r>
                </w:p>
              </w:tc>
              <w:tc>
                <w:tcPr>
                  <w:tcW w:w="2099" w:type="pct"/>
                  <w:shd w:val="clear" w:color="auto" w:fill="auto"/>
                  <w:vAlign w:val="center"/>
                </w:tcPr>
                <w:p w14:paraId="5D0CA103">
                  <w:pPr>
                    <w:pStyle w:val="19"/>
                    <w:bidi w:val="0"/>
                    <w:rPr>
                      <w:color w:val="auto"/>
                    </w:rPr>
                  </w:pPr>
                  <w:r>
                    <w:rPr>
                      <w:rFonts w:hint="eastAsia"/>
                      <w:color w:val="auto"/>
                    </w:rPr>
                    <w:t>B</w:t>
                  </w:r>
                  <w:r>
                    <w:rPr>
                      <w:color w:val="auto"/>
                    </w:rPr>
                    <w:t>OD</w:t>
                  </w:r>
                  <w:r>
                    <w:rPr>
                      <w:color w:val="auto"/>
                      <w:vertAlign w:val="subscript"/>
                    </w:rPr>
                    <w:t>5</w:t>
                  </w:r>
                </w:p>
              </w:tc>
              <w:tc>
                <w:tcPr>
                  <w:tcW w:w="2100" w:type="pct"/>
                  <w:shd w:val="clear" w:color="auto" w:fill="auto"/>
                  <w:vAlign w:val="center"/>
                </w:tcPr>
                <w:p w14:paraId="4889E008">
                  <w:pPr>
                    <w:pStyle w:val="19"/>
                    <w:bidi w:val="0"/>
                    <w:rPr>
                      <w:color w:val="auto"/>
                    </w:rPr>
                  </w:pPr>
                  <w:r>
                    <w:rPr>
                      <w:rFonts w:hint="eastAsia"/>
                      <w:color w:val="auto"/>
                    </w:rPr>
                    <w:t>300</w:t>
                  </w:r>
                </w:p>
              </w:tc>
            </w:tr>
            <w:tr w14:paraId="50D1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9" w:type="pct"/>
                  <w:shd w:val="clear" w:color="auto" w:fill="auto"/>
                  <w:vAlign w:val="center"/>
                </w:tcPr>
                <w:p w14:paraId="65CED47C">
                  <w:pPr>
                    <w:pStyle w:val="19"/>
                    <w:bidi w:val="0"/>
                    <w:rPr>
                      <w:color w:val="auto"/>
                    </w:rPr>
                  </w:pPr>
                  <w:r>
                    <w:rPr>
                      <w:rFonts w:hint="eastAsia"/>
                      <w:color w:val="auto"/>
                    </w:rPr>
                    <w:t>3</w:t>
                  </w:r>
                </w:p>
              </w:tc>
              <w:tc>
                <w:tcPr>
                  <w:tcW w:w="2099" w:type="pct"/>
                  <w:shd w:val="clear" w:color="auto" w:fill="auto"/>
                  <w:vAlign w:val="center"/>
                </w:tcPr>
                <w:p w14:paraId="4ABA8910">
                  <w:pPr>
                    <w:pStyle w:val="19"/>
                    <w:bidi w:val="0"/>
                    <w:rPr>
                      <w:color w:val="auto"/>
                    </w:rPr>
                  </w:pPr>
                  <w:r>
                    <w:rPr>
                      <w:rFonts w:hint="eastAsia"/>
                      <w:color w:val="auto"/>
                    </w:rPr>
                    <w:t>S</w:t>
                  </w:r>
                  <w:r>
                    <w:rPr>
                      <w:color w:val="auto"/>
                    </w:rPr>
                    <w:t>S</w:t>
                  </w:r>
                </w:p>
              </w:tc>
              <w:tc>
                <w:tcPr>
                  <w:tcW w:w="2100" w:type="pct"/>
                  <w:shd w:val="clear" w:color="auto" w:fill="auto"/>
                  <w:vAlign w:val="center"/>
                </w:tcPr>
                <w:p w14:paraId="712919DB">
                  <w:pPr>
                    <w:pStyle w:val="19"/>
                    <w:bidi w:val="0"/>
                    <w:rPr>
                      <w:color w:val="auto"/>
                    </w:rPr>
                  </w:pPr>
                  <w:r>
                    <w:rPr>
                      <w:rFonts w:hint="eastAsia"/>
                      <w:color w:val="auto"/>
                    </w:rPr>
                    <w:t>400</w:t>
                  </w:r>
                </w:p>
              </w:tc>
            </w:tr>
            <w:tr w14:paraId="5C9A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99" w:type="pct"/>
                  <w:shd w:val="clear" w:color="auto" w:fill="auto"/>
                  <w:vAlign w:val="center"/>
                </w:tcPr>
                <w:p w14:paraId="1AE88E21">
                  <w:pPr>
                    <w:pStyle w:val="19"/>
                    <w:bidi w:val="0"/>
                    <w:rPr>
                      <w:color w:val="auto"/>
                    </w:rPr>
                  </w:pPr>
                  <w:r>
                    <w:rPr>
                      <w:rFonts w:hint="eastAsia"/>
                      <w:color w:val="auto"/>
                    </w:rPr>
                    <w:t>4</w:t>
                  </w:r>
                </w:p>
              </w:tc>
              <w:tc>
                <w:tcPr>
                  <w:tcW w:w="2099" w:type="pct"/>
                  <w:shd w:val="clear" w:color="auto" w:fill="auto"/>
                  <w:vAlign w:val="center"/>
                </w:tcPr>
                <w:p w14:paraId="66A1541D">
                  <w:pPr>
                    <w:pStyle w:val="19"/>
                    <w:bidi w:val="0"/>
                    <w:rPr>
                      <w:color w:val="auto"/>
                    </w:rPr>
                  </w:pPr>
                  <w:r>
                    <w:rPr>
                      <w:rFonts w:hint="eastAsia"/>
                      <w:color w:val="auto"/>
                    </w:rPr>
                    <w:t>N</w:t>
                  </w:r>
                  <w:r>
                    <w:rPr>
                      <w:color w:val="auto"/>
                    </w:rPr>
                    <w:t>H</w:t>
                  </w:r>
                  <w:r>
                    <w:rPr>
                      <w:color w:val="auto"/>
                      <w:vertAlign w:val="subscript"/>
                    </w:rPr>
                    <w:t>3</w:t>
                  </w:r>
                  <w:r>
                    <w:rPr>
                      <w:color w:val="auto"/>
                    </w:rPr>
                    <w:t>-N</w:t>
                  </w:r>
                </w:p>
              </w:tc>
              <w:tc>
                <w:tcPr>
                  <w:tcW w:w="2100" w:type="pct"/>
                  <w:shd w:val="clear" w:color="auto" w:fill="auto"/>
                  <w:vAlign w:val="center"/>
                </w:tcPr>
                <w:p w14:paraId="5624CB5A">
                  <w:pPr>
                    <w:pStyle w:val="19"/>
                    <w:bidi w:val="0"/>
                    <w:rPr>
                      <w:color w:val="auto"/>
                    </w:rPr>
                  </w:pPr>
                  <w:r>
                    <w:rPr>
                      <w:rFonts w:hint="eastAsia"/>
                      <w:color w:val="auto"/>
                    </w:rPr>
                    <w:t>/</w:t>
                  </w:r>
                </w:p>
              </w:tc>
            </w:tr>
          </w:tbl>
          <w:p w14:paraId="7D84B5D1">
            <w:pPr>
              <w:pStyle w:val="20"/>
              <w:bidi w:val="0"/>
              <w:rPr>
                <w:rFonts w:hint="default"/>
                <w:color w:val="auto"/>
                <w:lang w:val="en-US" w:eastAsia="zh-CN"/>
              </w:rPr>
            </w:pPr>
          </w:p>
          <w:p w14:paraId="34B25F43">
            <w:pPr>
              <w:pStyle w:val="4"/>
              <w:bidi w:val="0"/>
              <w:rPr>
                <w:rFonts w:hint="eastAsia"/>
                <w:color w:val="auto"/>
                <w:lang w:eastAsia="zh-CN"/>
              </w:rPr>
            </w:pPr>
            <w:r>
              <w:rPr>
                <w:rFonts w:hint="eastAsia"/>
                <w:color w:val="auto"/>
                <w:lang w:val="en-US" w:eastAsia="zh-CN"/>
              </w:rPr>
              <w:t>运营期间固废、危废排放标准</w:t>
            </w:r>
          </w:p>
          <w:p w14:paraId="08E57346">
            <w:pPr>
              <w:pStyle w:val="5"/>
              <w:ind w:firstLine="480"/>
              <w:rPr>
                <w:color w:val="auto"/>
              </w:rPr>
            </w:pPr>
            <w:r>
              <w:rPr>
                <w:color w:val="auto"/>
              </w:rPr>
              <w:t>（</w:t>
            </w:r>
            <w:r>
              <w:rPr>
                <w:rFonts w:hint="eastAsia"/>
                <w:color w:val="auto"/>
              </w:rPr>
              <w:t>1</w:t>
            </w:r>
            <w:r>
              <w:rPr>
                <w:color w:val="auto"/>
              </w:rPr>
              <w:t>）危险废物的暂存执行《危险废物贮存污染控制标准》（GB18597-2023）的相关要求。</w:t>
            </w:r>
          </w:p>
          <w:p w14:paraId="0D374488">
            <w:pPr>
              <w:pStyle w:val="5"/>
              <w:ind w:firstLine="480"/>
              <w:rPr>
                <w:color w:val="auto"/>
              </w:rPr>
            </w:pPr>
            <w:r>
              <w:rPr>
                <w:color w:val="auto"/>
              </w:rPr>
              <w:t>（</w:t>
            </w:r>
            <w:r>
              <w:rPr>
                <w:rFonts w:hint="eastAsia"/>
                <w:color w:val="auto"/>
              </w:rPr>
              <w:t>2</w:t>
            </w:r>
            <w:r>
              <w:rPr>
                <w:color w:val="auto"/>
              </w:rPr>
              <w:t>）危险废物的收集、贮存、运输过程执行《危险废物收集贮存运输技术规范》（HJ2025-2012）相关要求；</w:t>
            </w:r>
          </w:p>
          <w:p w14:paraId="71F82585">
            <w:pPr>
              <w:pStyle w:val="5"/>
              <w:ind w:firstLine="480"/>
              <w:rPr>
                <w:color w:val="auto"/>
              </w:rPr>
            </w:pPr>
            <w:r>
              <w:rPr>
                <w:color w:val="auto"/>
              </w:rPr>
              <w:t>（</w:t>
            </w:r>
            <w:r>
              <w:rPr>
                <w:rFonts w:hint="eastAsia"/>
                <w:color w:val="auto"/>
              </w:rPr>
              <w:t>3</w:t>
            </w:r>
            <w:r>
              <w:rPr>
                <w:color w:val="auto"/>
              </w:rPr>
              <w:t>）固体废物环保标识执行《危险废物识别标志设置技术规范》（HJ1276-2022）、《</w:t>
            </w:r>
            <w:r>
              <w:rPr>
                <w:rFonts w:hint="eastAsia"/>
                <w:color w:val="auto"/>
              </w:rPr>
              <w:t>环境保护图形标志 固体废物贮存（处置）场</w:t>
            </w:r>
            <w:r>
              <w:rPr>
                <w:color w:val="auto"/>
              </w:rPr>
              <w:t>》（GB15562.2-1995）修改单。</w:t>
            </w:r>
          </w:p>
          <w:p w14:paraId="002B7A55">
            <w:pPr>
              <w:pStyle w:val="5"/>
              <w:ind w:firstLine="480"/>
              <w:rPr>
                <w:rFonts w:hint="default"/>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color w:val="auto"/>
              </w:rPr>
              <w:t>运营期一般工业固废执行《一般工业固体废物贮存和填埋污染控制标准》（GB 18599-2020），危险废物执行《危险废物贮存污染控制标准》（GB 18597-2023）和《危险废物收集贮存运输技术规范》（HJ 2025-2012）</w:t>
            </w:r>
            <w:r>
              <w:rPr>
                <w:rFonts w:hint="eastAsia"/>
                <w:color w:val="auto"/>
              </w:rPr>
              <w:t>，废气</w:t>
            </w:r>
            <w:r>
              <w:rPr>
                <w:rFonts w:hint="eastAsia"/>
                <w:color w:val="auto"/>
                <w:lang w:val="en-US" w:eastAsia="zh-CN"/>
              </w:rPr>
              <w:t>颗粒物</w:t>
            </w:r>
            <w:r>
              <w:rPr>
                <w:rFonts w:hint="eastAsia"/>
                <w:color w:val="auto"/>
              </w:rPr>
              <w:t>执行</w:t>
            </w:r>
            <w:r>
              <w:rPr>
                <w:rFonts w:hint="eastAsia"/>
                <w:color w:val="auto"/>
                <w:lang w:eastAsia="zh-CN"/>
              </w:rPr>
              <w:t>《水泥工业大气污染物排放标准》（GB4915-2013，含2025年修改单）。</w:t>
            </w:r>
          </w:p>
        </w:tc>
      </w:tr>
      <w:tr w14:paraId="5AB0F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92" w:type="dxa"/>
            <w:vAlign w:val="center"/>
          </w:tcPr>
          <w:p w14:paraId="3CCF1A17">
            <w:pPr>
              <w:pStyle w:val="5"/>
              <w:bidi w:val="0"/>
              <w:ind w:left="0" w:leftChars="0" w:firstLine="0" w:firstLineChars="0"/>
              <w:jc w:val="center"/>
              <w:rPr>
                <w:color w:val="auto"/>
              </w:rPr>
            </w:pPr>
            <w:r>
              <w:rPr>
                <w:rFonts w:hint="eastAsia"/>
                <w:color w:val="auto"/>
              </w:rPr>
              <w:t>总量控制指标</w:t>
            </w:r>
          </w:p>
        </w:tc>
        <w:tc>
          <w:tcPr>
            <w:tcW w:w="7598" w:type="dxa"/>
          </w:tcPr>
          <w:p w14:paraId="67C5201B">
            <w:pPr>
              <w:pStyle w:val="3"/>
              <w:bidi w:val="0"/>
              <w:rPr>
                <w:color w:val="auto"/>
              </w:rPr>
            </w:pPr>
            <w:r>
              <w:rPr>
                <w:rFonts w:hint="eastAsia"/>
                <w:color w:val="auto"/>
                <w:lang w:val="en-US" w:eastAsia="zh-CN"/>
              </w:rPr>
              <w:t>总量控制指标</w:t>
            </w:r>
          </w:p>
          <w:p w14:paraId="4A5F5F5C">
            <w:pPr>
              <w:pStyle w:val="5"/>
              <w:bidi w:val="0"/>
              <w:rPr>
                <w:color w:val="auto"/>
              </w:rPr>
            </w:pPr>
            <w:bookmarkStart w:id="9" w:name="_Hlk186485812"/>
            <w:r>
              <w:rPr>
                <w:rFonts w:hint="eastAsia"/>
                <w:color w:val="auto"/>
              </w:rPr>
              <w:t>确定本项目大气污染物总量控制因子为</w:t>
            </w:r>
            <w:r>
              <w:rPr>
                <w:color w:val="auto"/>
              </w:rPr>
              <w:t>颗粒物</w:t>
            </w:r>
            <w:r>
              <w:rPr>
                <w:rFonts w:hint="eastAsia"/>
                <w:color w:val="auto"/>
                <w:lang w:eastAsia="zh-CN"/>
              </w:rPr>
              <w:t>、</w:t>
            </w:r>
            <w:r>
              <w:rPr>
                <w:rFonts w:hint="eastAsia"/>
                <w:color w:val="auto"/>
                <w:lang w:val="en-US" w:eastAsia="zh-CN"/>
              </w:rPr>
              <w:t>非甲烷总烃</w:t>
            </w:r>
            <w:r>
              <w:rPr>
                <w:rFonts w:hint="eastAsia"/>
                <w:color w:val="auto"/>
              </w:rPr>
              <w:t>。水污染物总量控制因子为COD、</w:t>
            </w:r>
            <w:r>
              <w:rPr>
                <w:rFonts w:hint="eastAsia"/>
                <w:color w:val="auto"/>
                <w:lang w:val="en-US" w:eastAsia="zh-CN"/>
              </w:rPr>
              <w:t>氨氮</w:t>
            </w:r>
            <w:r>
              <w:rPr>
                <w:rFonts w:hint="eastAsia"/>
                <w:color w:val="auto"/>
              </w:rPr>
              <w:t>。企业在投运后废水排入园区污水管网，</w:t>
            </w:r>
            <w:r>
              <w:rPr>
                <w:color w:val="auto"/>
              </w:rPr>
              <w:t>总量由园区污水处理厂统计，本项目不再重复申报。</w:t>
            </w:r>
          </w:p>
          <w:p w14:paraId="18E24CA5">
            <w:pPr>
              <w:ind w:firstLine="480"/>
              <w:rPr>
                <w:rFonts w:hint="eastAsia" w:eastAsia="宋体"/>
                <w:color w:val="auto"/>
                <w:lang w:eastAsia="zh-CN"/>
              </w:rPr>
            </w:pPr>
            <w:r>
              <w:rPr>
                <w:rFonts w:hint="eastAsia"/>
                <w:color w:val="auto"/>
                <w:lang w:eastAsia="zh-CN"/>
              </w:rPr>
              <w:t>根据</w:t>
            </w:r>
            <w:r>
              <w:rPr>
                <w:rFonts w:hint="eastAsia"/>
                <w:color w:val="auto"/>
              </w:rPr>
              <w:t>《“十四五”节能减排综合工作方案》和《新疆生态环境保护“十四五”规划》，“十四五”期间将氮氧化物、挥发性有机物、化学需氧量、氨氮四项主要污染物纳入总量控制</w:t>
            </w:r>
            <w:r>
              <w:rPr>
                <w:color w:val="auto"/>
              </w:rPr>
              <w:t>环境总量控制指标的确定原则，结合拟建项目</w:t>
            </w:r>
            <w:r>
              <w:rPr>
                <w:rFonts w:hint="eastAsia"/>
                <w:color w:val="auto"/>
                <w:lang w:eastAsia="zh-CN"/>
              </w:rPr>
              <w:t>“</w:t>
            </w:r>
            <w:r>
              <w:rPr>
                <w:color w:val="auto"/>
              </w:rPr>
              <w:t>三废</w:t>
            </w:r>
            <w:r>
              <w:rPr>
                <w:rFonts w:hint="eastAsia"/>
                <w:color w:val="auto"/>
                <w:lang w:eastAsia="zh-CN"/>
              </w:rPr>
              <w:t>”</w:t>
            </w:r>
            <w:r>
              <w:rPr>
                <w:rFonts w:hint="eastAsia"/>
                <w:color w:val="auto"/>
              </w:rPr>
              <w:t>及污染物</w:t>
            </w:r>
            <w:r>
              <w:rPr>
                <w:color w:val="auto"/>
              </w:rPr>
              <w:t>排放情况，本环评申请的总量控制指标为</w:t>
            </w:r>
            <w:r>
              <w:rPr>
                <w:rFonts w:hint="eastAsia"/>
                <w:color w:val="auto"/>
                <w:lang w:eastAsia="zh-CN"/>
              </w:rPr>
              <w:t>：</w:t>
            </w:r>
            <w:r>
              <w:rPr>
                <w:rFonts w:hint="eastAsia"/>
                <w:color w:val="auto"/>
              </w:rPr>
              <w:t>非甲烷总烃：</w:t>
            </w:r>
            <w:r>
              <w:rPr>
                <w:color w:val="auto"/>
              </w:rPr>
              <w:t>0.</w:t>
            </w:r>
            <w:r>
              <w:rPr>
                <w:rFonts w:hint="eastAsia"/>
                <w:color w:val="auto"/>
                <w:lang w:val="en-US" w:eastAsia="zh-CN"/>
              </w:rPr>
              <w:t>145</w:t>
            </w:r>
            <w:r>
              <w:rPr>
                <w:color w:val="auto"/>
              </w:rPr>
              <w:t>t/a</w:t>
            </w:r>
            <w:r>
              <w:rPr>
                <w:rFonts w:hint="eastAsia"/>
                <w:color w:val="auto"/>
                <w:lang w:eastAsia="zh-CN"/>
              </w:rPr>
              <w:t>。</w:t>
            </w:r>
          </w:p>
          <w:p w14:paraId="05614620">
            <w:pPr>
              <w:ind w:firstLine="480"/>
              <w:rPr>
                <w:rFonts w:hint="eastAsia"/>
                <w:color w:val="auto"/>
                <w:lang w:val="en-US" w:eastAsia="zh-CN"/>
              </w:rPr>
            </w:pPr>
            <w:r>
              <w:rPr>
                <w:rFonts w:hint="eastAsia"/>
                <w:color w:val="auto"/>
              </w:rPr>
              <w:t>本项目等量削减指标</w:t>
            </w:r>
            <w:r>
              <w:rPr>
                <w:rFonts w:hint="eastAsia"/>
                <w:color w:val="auto"/>
                <w:lang w:eastAsia="zh-CN"/>
              </w:rPr>
              <w:t>由</w:t>
            </w:r>
            <w:r>
              <w:rPr>
                <w:rFonts w:hint="eastAsia"/>
                <w:color w:val="auto"/>
              </w:rPr>
              <w:t>库尔勒市或巴音郭楞蒙古自治州生态环境局统筹分配</w:t>
            </w:r>
            <w:bookmarkEnd w:id="9"/>
            <w:r>
              <w:rPr>
                <w:rFonts w:hint="eastAsia"/>
                <w:color w:val="auto"/>
                <w:lang w:eastAsia="zh-CN"/>
              </w:rPr>
              <w:t>。</w:t>
            </w:r>
          </w:p>
        </w:tc>
      </w:tr>
    </w:tbl>
    <w:p w14:paraId="63AFE61B">
      <w:pPr>
        <w:pStyle w:val="2"/>
        <w:rPr>
          <w:color w:val="auto"/>
        </w:rPr>
        <w:sectPr>
          <w:footerReference r:id="rId9" w:type="default"/>
          <w:pgSz w:w="11907" w:h="16840"/>
          <w:pgMar w:top="1701" w:right="1531" w:bottom="2127" w:left="1531" w:header="851" w:footer="851" w:gutter="0"/>
          <w:pgNumType w:fmt="decimal"/>
          <w:cols w:space="720" w:num="1"/>
          <w:docGrid w:linePitch="312" w:charSpace="0"/>
        </w:sectPr>
      </w:pPr>
    </w:p>
    <w:p w14:paraId="62A17215">
      <w:pPr>
        <w:pStyle w:val="2"/>
        <w:rPr>
          <w:color w:val="auto"/>
        </w:rPr>
      </w:pPr>
      <w:r>
        <w:rPr>
          <w:rFonts w:hint="eastAsia"/>
          <w:color w:val="auto"/>
        </w:rPr>
        <w:t>主要环境影响和保护措施</w:t>
      </w:r>
    </w:p>
    <w:tbl>
      <w:tblPr>
        <w:tblStyle w:val="15"/>
        <w:tblW w:w="90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7414"/>
      </w:tblGrid>
      <w:tr w14:paraId="03E3A9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516" w:type="dxa"/>
            <w:tcMar>
              <w:left w:w="28" w:type="dxa"/>
              <w:right w:w="28" w:type="dxa"/>
            </w:tcMar>
            <w:vAlign w:val="center"/>
          </w:tcPr>
          <w:p w14:paraId="6B1D4BFE">
            <w:pPr>
              <w:pStyle w:val="5"/>
              <w:bidi w:val="0"/>
              <w:ind w:left="0" w:leftChars="0" w:firstLine="0" w:firstLineChars="0"/>
              <w:jc w:val="center"/>
              <w:rPr>
                <w:color w:val="auto"/>
              </w:rPr>
            </w:pPr>
            <w:r>
              <w:rPr>
                <w:rFonts w:hint="eastAsia"/>
                <w:color w:val="auto"/>
              </w:rPr>
              <w:t>施工期环境保护措施</w:t>
            </w:r>
          </w:p>
        </w:tc>
        <w:tc>
          <w:tcPr>
            <w:tcW w:w="7414" w:type="dxa"/>
          </w:tcPr>
          <w:p w14:paraId="5DF934E0">
            <w:pPr>
              <w:pStyle w:val="3"/>
              <w:jc w:val="both"/>
              <w:rPr>
                <w:rFonts w:hint="default"/>
                <w:color w:val="auto"/>
              </w:rPr>
            </w:pPr>
            <w:r>
              <w:rPr>
                <w:color w:val="auto"/>
              </w:rPr>
              <w:t>施工期大气环境影响分析与污染防治措施</w:t>
            </w:r>
          </w:p>
          <w:p w14:paraId="3C6E5AE7">
            <w:pPr>
              <w:pStyle w:val="5"/>
              <w:ind w:firstLine="480"/>
              <w:rPr>
                <w:rFonts w:hint="default"/>
                <w:color w:val="auto"/>
              </w:rPr>
            </w:pPr>
            <w:r>
              <w:rPr>
                <w:color w:val="auto"/>
              </w:rPr>
              <w:t>本项目施工期的污染主要为主体工程和附属设施等建设过程中，建筑材料如水泥、石灰、沙子等装卸过程中会有部分抛洒，经施工机械、运输车辆</w:t>
            </w:r>
            <w:r>
              <w:rPr>
                <w:rFonts w:hint="eastAsia"/>
                <w:color w:val="auto"/>
                <w:lang w:eastAsia="zh-CN"/>
              </w:rPr>
              <w:t>压实</w:t>
            </w:r>
            <w:r>
              <w:rPr>
                <w:color w:val="auto"/>
              </w:rPr>
              <w:t>带形成部分细小颗粒进入大气中形成扬尘，污染环境空气。同时，道路施工及运送物料时产生的道路扬尘及汽车尾气也会污染周围环境。扬尘的数量与物料颗粒粒度、物料的含水量以及环境风速的大小有关，颗粒越细，含水量越小，风速越大，则进入空气(的粉尘越多。施工中所用的石灰、水泥等材料颗粒很细，因而在运输和使用的过程中就很容易引起扬尘。</w:t>
            </w:r>
          </w:p>
          <w:p w14:paraId="70A22E7A">
            <w:pPr>
              <w:pStyle w:val="5"/>
              <w:ind w:firstLine="480"/>
              <w:rPr>
                <w:rFonts w:hint="default"/>
                <w:color w:val="auto"/>
              </w:rPr>
            </w:pPr>
            <w:r>
              <w:rPr>
                <w:color w:val="auto"/>
              </w:rPr>
              <w:t>为了有效防止和减少施工期间废气和扬尘对周围环境空气的污染，施工单位必须制定严格、规范管理制度和措施，根据《建筑工程绿色环保施工管理规范》（DB65/T4060-2017）、《建筑工程绿色施工规范》（GB/T50905-2014）及《住房和城乡建设部办公厅关于进一步加强施工工地和道路扬尘管控工作的通知》（建办质〔2019〕23号）中的有关规定，施工单位应采取以下行之有效的大气环保对策措施，将项目施工期的废气和扬尘污染降低到最低程度，项目拟通过划定施工作业区、设置围墙、棚式贮存物料、场地洒水、硬化道路、车辆减速慢行</w:t>
            </w:r>
            <w:r>
              <w:rPr>
                <w:rFonts w:hint="eastAsia"/>
                <w:color w:val="auto"/>
                <w:lang w:eastAsia="zh-CN"/>
              </w:rPr>
              <w:t>等</w:t>
            </w:r>
            <w:r>
              <w:rPr>
                <w:color w:val="auto"/>
              </w:rPr>
              <w:t>具体措施如下</w:t>
            </w:r>
            <w:r>
              <w:rPr>
                <w:rFonts w:hint="eastAsia"/>
                <w:color w:val="auto"/>
                <w:lang w:eastAsia="zh-CN"/>
              </w:rPr>
              <w:t>：</w:t>
            </w:r>
          </w:p>
          <w:p w14:paraId="18DDE101">
            <w:pPr>
              <w:pStyle w:val="5"/>
              <w:ind w:firstLine="480"/>
              <w:rPr>
                <w:rFonts w:hint="default"/>
                <w:color w:val="auto"/>
              </w:rPr>
            </w:pPr>
            <w:r>
              <w:rPr>
                <w:color w:val="auto"/>
              </w:rPr>
              <w:t>（1）施工扬尘防治管理应符合</w:t>
            </w:r>
            <w:r>
              <w:rPr>
                <w:rFonts w:hint="eastAsia"/>
                <w:color w:val="auto"/>
                <w:lang w:eastAsia="zh-CN"/>
              </w:rPr>
              <w:t>（GB/T 50905-2014）</w:t>
            </w:r>
            <w:r>
              <w:rPr>
                <w:color w:val="auto"/>
              </w:rPr>
              <w:t>的规定。施工现场主要道路、材料堆放场地、露天加工场地应根据用途进行硬化，裸露的场地和集中堆放的土方应采取密目网进行覆盖，以及洒水、固化或绿化措施。</w:t>
            </w:r>
          </w:p>
          <w:p w14:paraId="130D9F62">
            <w:pPr>
              <w:pStyle w:val="5"/>
              <w:ind w:firstLine="480"/>
              <w:rPr>
                <w:rFonts w:hint="default"/>
                <w:color w:val="auto"/>
              </w:rPr>
            </w:pPr>
            <w:r>
              <w:rPr>
                <w:color w:val="auto"/>
              </w:rPr>
              <w:t>（2）运送土方、垃圾、设备及建筑材料等不得污损场外道路，施工现场大门口必须设置冲洗车辆设施，运输车辆必须采取防护措施，保证物料不得散落、飞扬和遗漏。</w:t>
            </w:r>
          </w:p>
          <w:p w14:paraId="0CA8390A">
            <w:pPr>
              <w:pStyle w:val="5"/>
              <w:ind w:firstLine="480"/>
              <w:rPr>
                <w:rFonts w:hint="default"/>
                <w:color w:val="auto"/>
              </w:rPr>
            </w:pPr>
            <w:r>
              <w:rPr>
                <w:color w:val="auto"/>
              </w:rPr>
              <w:t>（3）施工现场对粉状材料必须封闭存放，对易产生扬尘的堆放材料应采取封闭、半封闭和覆盖措施；可能引起扬尘的材料及建筑垃圾搬运时必须有防尘措施。</w:t>
            </w:r>
          </w:p>
          <w:p w14:paraId="2CA0DE38">
            <w:pPr>
              <w:pStyle w:val="5"/>
              <w:ind w:firstLine="480"/>
              <w:rPr>
                <w:rFonts w:hint="default"/>
                <w:color w:val="auto"/>
              </w:rPr>
            </w:pPr>
            <w:r>
              <w:rPr>
                <w:color w:val="auto"/>
              </w:rPr>
              <w:t>（4）土方作业阶段应符合GB/T50905-2014中第3.3.1的规定。采取洒水、覆盖等措施，达到作业区目测扬尘高度小于1.5m，不得扩散到场区外。</w:t>
            </w:r>
          </w:p>
          <w:p w14:paraId="3279DCEA">
            <w:pPr>
              <w:pStyle w:val="5"/>
              <w:ind w:firstLine="480"/>
              <w:rPr>
                <w:rFonts w:hint="default"/>
                <w:color w:val="auto"/>
              </w:rPr>
            </w:pPr>
            <w:r>
              <w:rPr>
                <w:color w:val="auto"/>
              </w:rPr>
              <w:t>（5）大风天气作业应符合HJ/T393-2007第5.2.3条规定。遇到四级以上大风天气，不应进行土方回填、转运以及其他可能产生扬尘污染的施工</w:t>
            </w:r>
            <w:r>
              <w:rPr>
                <w:rFonts w:hint="eastAsia"/>
                <w:color w:val="auto"/>
                <w:lang w:eastAsia="zh-CN"/>
              </w:rPr>
              <w:t>；</w:t>
            </w:r>
            <w:r>
              <w:rPr>
                <w:color w:val="auto"/>
              </w:rPr>
              <w:t>五级及以上大风天气，施工现场应停止工地室外作业及室内喷涂粉刷作业，并对作业面进行覆盖。</w:t>
            </w:r>
          </w:p>
          <w:p w14:paraId="081CDD4B">
            <w:pPr>
              <w:pStyle w:val="5"/>
              <w:ind w:firstLine="480"/>
              <w:rPr>
                <w:rFonts w:hint="default"/>
                <w:color w:val="auto"/>
              </w:rPr>
            </w:pPr>
            <w:r>
              <w:rPr>
                <w:color w:val="auto"/>
              </w:rPr>
              <w:t>（7）拆除工程施工前，应设置围挡；拆除工程时应采取有效的降尘措施，并应在一周时间内将废弃物清理完毕。</w:t>
            </w:r>
          </w:p>
          <w:p w14:paraId="56624961">
            <w:pPr>
              <w:pStyle w:val="5"/>
              <w:ind w:firstLine="480"/>
              <w:rPr>
                <w:rFonts w:hint="default"/>
                <w:color w:val="auto"/>
              </w:rPr>
            </w:pPr>
            <w:r>
              <w:rPr>
                <w:color w:val="auto"/>
              </w:rPr>
              <w:t>（8）浇筑混凝土前清理灰尘和垃圾时，应减少扬尘，不应使用吹风器等易产生扬尘的设备。</w:t>
            </w:r>
          </w:p>
          <w:p w14:paraId="13A604DA">
            <w:pPr>
              <w:pStyle w:val="5"/>
              <w:ind w:firstLine="480"/>
              <w:rPr>
                <w:rFonts w:hint="default"/>
                <w:color w:val="auto"/>
              </w:rPr>
            </w:pPr>
            <w:r>
              <w:rPr>
                <w:color w:val="auto"/>
              </w:rPr>
              <w:t>（9）施工现场严禁焚烧各类废弃物，施工车辆、机械设备的尾气排放应符合</w:t>
            </w:r>
            <w:r>
              <w:rPr>
                <w:rFonts w:hint="eastAsia"/>
                <w:color w:val="auto"/>
                <w:lang w:eastAsia="zh-CN"/>
              </w:rPr>
              <w:t>GB 18352.6-2016</w:t>
            </w:r>
            <w:r>
              <w:rPr>
                <w:color w:val="auto"/>
              </w:rPr>
              <w:t>和GB16297的规定。</w:t>
            </w:r>
          </w:p>
          <w:p w14:paraId="6314E746">
            <w:pPr>
              <w:pStyle w:val="4"/>
              <w:bidi w:val="0"/>
              <w:rPr>
                <w:rFonts w:hint="default"/>
                <w:color w:val="auto"/>
              </w:rPr>
            </w:pPr>
            <w:r>
              <w:rPr>
                <w:color w:val="auto"/>
              </w:rPr>
              <w:t>施工时机械废气</w:t>
            </w:r>
          </w:p>
          <w:p w14:paraId="33F95E98">
            <w:pPr>
              <w:pStyle w:val="5"/>
              <w:ind w:firstLine="480"/>
              <w:rPr>
                <w:rFonts w:hint="default"/>
                <w:color w:val="auto"/>
              </w:rPr>
            </w:pPr>
            <w:r>
              <w:rPr>
                <w:color w:val="auto"/>
              </w:rPr>
              <w:t>施工机械和运输车辆产生的汽车尾气，主要污染物为NOx、CO、HC等，由于本项目施工和运输量相对较小，且施工机械和运输车辆处在一个开放的环境尾气扩散较快，本次评价要求，施工过程中应确保施工机械用柴油机尾气达到《非道路移动机械用柴油机排气污染物排放限值及测量方法</w:t>
            </w:r>
            <w:r>
              <w:rPr>
                <w:rFonts w:hint="eastAsia"/>
                <w:color w:val="auto"/>
                <w:lang w:eastAsia="zh-CN"/>
              </w:rPr>
              <w:t>（</w:t>
            </w:r>
            <w:r>
              <w:rPr>
                <w:color w:val="auto"/>
              </w:rPr>
              <w:t>中国第三、四阶段</w:t>
            </w:r>
            <w:r>
              <w:rPr>
                <w:rFonts w:hint="eastAsia"/>
                <w:color w:val="auto"/>
                <w:lang w:eastAsia="zh-CN"/>
              </w:rPr>
              <w:t>）</w:t>
            </w:r>
            <w:r>
              <w:rPr>
                <w:color w:val="auto"/>
              </w:rPr>
              <w:t>》</w:t>
            </w:r>
            <w:r>
              <w:rPr>
                <w:rFonts w:hint="eastAsia"/>
                <w:color w:val="auto"/>
                <w:lang w:eastAsia="zh-CN"/>
              </w:rPr>
              <w:t>（GB 20891</w:t>
            </w:r>
            <w:r>
              <w:rPr>
                <w:color w:val="auto"/>
              </w:rPr>
              <w:t>-2014</w:t>
            </w:r>
            <w:r>
              <w:rPr>
                <w:rFonts w:hint="eastAsia"/>
                <w:color w:val="auto"/>
                <w:lang w:eastAsia="zh-CN"/>
              </w:rPr>
              <w:t>）</w:t>
            </w:r>
            <w:r>
              <w:rPr>
                <w:color w:val="auto"/>
              </w:rPr>
              <w:t>及2020年修改单、《</w:t>
            </w:r>
            <w:r>
              <w:rPr>
                <w:rFonts w:hint="eastAsia"/>
                <w:color w:val="auto"/>
                <w:lang w:eastAsia="zh-CN"/>
              </w:rPr>
              <w:t>非道路移动柴油机械排气烟度限值及测量方法</w:t>
            </w:r>
            <w:r>
              <w:rPr>
                <w:color w:val="auto"/>
              </w:rPr>
              <w:t>》</w:t>
            </w:r>
            <w:r>
              <w:rPr>
                <w:rFonts w:hint="eastAsia"/>
                <w:color w:val="auto"/>
                <w:lang w:eastAsia="zh-CN"/>
              </w:rPr>
              <w:t>（</w:t>
            </w:r>
            <w:r>
              <w:rPr>
                <w:color w:val="auto"/>
              </w:rPr>
              <w:t>GB36886-2018</w:t>
            </w:r>
            <w:r>
              <w:rPr>
                <w:rFonts w:hint="eastAsia"/>
                <w:color w:val="auto"/>
                <w:lang w:eastAsia="zh-CN"/>
              </w:rPr>
              <w:t>）</w:t>
            </w:r>
            <w:r>
              <w:rPr>
                <w:color w:val="auto"/>
              </w:rPr>
              <w:t>和《非道路移动机械污染防治技术政策》</w:t>
            </w:r>
            <w:r>
              <w:rPr>
                <w:rFonts w:hint="eastAsia"/>
                <w:color w:val="auto"/>
                <w:lang w:eastAsia="zh-CN"/>
              </w:rPr>
              <w:t>（</w:t>
            </w:r>
            <w:r>
              <w:rPr>
                <w:color w:val="auto"/>
              </w:rPr>
              <w:t>生态环境部2018年第24号公告</w:t>
            </w:r>
            <w:r>
              <w:rPr>
                <w:rFonts w:hint="eastAsia"/>
                <w:color w:val="auto"/>
                <w:lang w:eastAsia="zh-CN"/>
              </w:rPr>
              <w:t>）</w:t>
            </w:r>
            <w:r>
              <w:rPr>
                <w:color w:val="auto"/>
              </w:rPr>
              <w:t>中相关要求。以减轻对周边环境空气的影响。</w:t>
            </w:r>
          </w:p>
          <w:p w14:paraId="00AEB1DB">
            <w:pPr>
              <w:pStyle w:val="4"/>
              <w:bidi w:val="0"/>
              <w:rPr>
                <w:rFonts w:hint="default"/>
                <w:color w:val="auto"/>
              </w:rPr>
            </w:pPr>
            <w:r>
              <w:rPr>
                <w:color w:val="auto"/>
              </w:rPr>
              <w:t>道路运输过程中扬尘控制措施</w:t>
            </w:r>
          </w:p>
          <w:p w14:paraId="48E9E0B8">
            <w:pPr>
              <w:pStyle w:val="5"/>
              <w:ind w:firstLine="480"/>
              <w:rPr>
                <w:rFonts w:hint="default"/>
                <w:color w:val="auto"/>
              </w:rPr>
            </w:pPr>
            <w:r>
              <w:rPr>
                <w:color w:val="auto"/>
              </w:rPr>
              <w:t>①多尘物料应使用帆布覆盖，采用密闭的运输车或经过改造的可以封闭的运输车进行运输，防止运输过程中的扬</w:t>
            </w:r>
            <w:r>
              <w:rPr>
                <w:rFonts w:hint="eastAsia"/>
                <w:color w:val="auto"/>
                <w:lang w:eastAsia="zh-CN"/>
              </w:rPr>
              <w:t>尘</w:t>
            </w:r>
            <w:r>
              <w:rPr>
                <w:color w:val="auto"/>
              </w:rPr>
              <w:t>和洒落；</w:t>
            </w:r>
          </w:p>
          <w:p w14:paraId="4F5EDB98">
            <w:pPr>
              <w:pStyle w:val="5"/>
              <w:ind w:firstLine="480"/>
              <w:rPr>
                <w:rFonts w:hint="default"/>
                <w:color w:val="auto"/>
              </w:rPr>
            </w:pPr>
            <w:r>
              <w:rPr>
                <w:color w:val="auto"/>
              </w:rPr>
              <w:t>②运输车辆不得超载，被运物料不得含水太多，造成沿途泥浆滴漏，从而影响道路整洁，建筑固废必须及时清运并按照指定的运输线路行驶，送往指定的倾倒地点；</w:t>
            </w:r>
          </w:p>
          <w:p w14:paraId="051B38FA">
            <w:pPr>
              <w:pStyle w:val="5"/>
              <w:ind w:firstLine="480"/>
              <w:rPr>
                <w:rFonts w:hint="default"/>
                <w:color w:val="auto"/>
              </w:rPr>
            </w:pPr>
            <w:r>
              <w:rPr>
                <w:color w:val="auto"/>
              </w:rPr>
              <w:t>③驶离工地的车辆轮胎必须经过清洗，避免工地泥浆带入城镇道路环境；</w:t>
            </w:r>
          </w:p>
          <w:p w14:paraId="006591BC">
            <w:pPr>
              <w:pStyle w:val="5"/>
              <w:ind w:firstLine="480"/>
              <w:rPr>
                <w:rFonts w:hint="default"/>
                <w:color w:val="auto"/>
              </w:rPr>
            </w:pPr>
            <w:r>
              <w:rPr>
                <w:color w:val="auto"/>
              </w:rPr>
              <w:t>④妥善合理地安排工地建筑材料及其他物料的运输时间，控制车辆行驶速度；</w:t>
            </w:r>
          </w:p>
          <w:p w14:paraId="539494A4">
            <w:pPr>
              <w:pStyle w:val="5"/>
              <w:ind w:firstLine="480"/>
              <w:rPr>
                <w:rFonts w:hint="default"/>
                <w:color w:val="auto"/>
              </w:rPr>
            </w:pPr>
            <w:r>
              <w:rPr>
                <w:color w:val="auto"/>
              </w:rPr>
              <w:t>⑤施工现场道路要做到坚实路面，经常清扫路面，定时适当洒水，保持路面湿润。</w:t>
            </w:r>
          </w:p>
          <w:p w14:paraId="06172C07">
            <w:pPr>
              <w:pStyle w:val="3"/>
              <w:rPr>
                <w:rFonts w:hint="default"/>
                <w:color w:val="auto"/>
              </w:rPr>
            </w:pPr>
            <w:r>
              <w:rPr>
                <w:color w:val="auto"/>
              </w:rPr>
              <w:t>施工期水环境污染防治措施</w:t>
            </w:r>
          </w:p>
          <w:p w14:paraId="4200BF3E">
            <w:pPr>
              <w:pStyle w:val="4"/>
              <w:bidi w:val="0"/>
              <w:rPr>
                <w:rFonts w:hint="default"/>
                <w:color w:val="auto"/>
              </w:rPr>
            </w:pPr>
            <w:r>
              <w:rPr>
                <w:color w:val="auto"/>
              </w:rPr>
              <w:t>施工废水</w:t>
            </w:r>
          </w:p>
          <w:p w14:paraId="31B577EE">
            <w:pPr>
              <w:pStyle w:val="5"/>
              <w:ind w:firstLine="480"/>
              <w:rPr>
                <w:rFonts w:hint="default"/>
                <w:color w:val="auto"/>
              </w:rPr>
            </w:pPr>
            <w:r>
              <w:rPr>
                <w:color w:val="auto"/>
              </w:rPr>
              <w:t>工程的实施会带来一定量的施工生产废水。施工生产废水为砂石料加工系统污水，少量混凝土现场搅拌产生废水、混凝土拌和冲洗污水、混凝土养护废水、施工材料被雨水冲刷形成的污水以及施工机械跑、冒、滴、漏的油污随地表径流形成的污水。施工污水的特点是悬浮物含量高，含有一定的油污，如果随意排放，会危害土壤。因此施工现场应修建防渗沉淀池，将施工废水集中收集到临时沉淀池中，经沉淀后将上清液循环使用或用于施工场地洒水抑尘，实现施工废水零排放，既可减少新鲜水的用量，又可降低生产成本，同时杜绝对当地土壤和地下水体的影响。</w:t>
            </w:r>
          </w:p>
          <w:p w14:paraId="19C6A71A">
            <w:pPr>
              <w:pStyle w:val="5"/>
              <w:ind w:firstLine="480"/>
              <w:rPr>
                <w:rFonts w:hint="default"/>
                <w:color w:val="auto"/>
              </w:rPr>
            </w:pPr>
            <w:r>
              <w:rPr>
                <w:color w:val="auto"/>
              </w:rPr>
              <w:t>施工期水环境影响较小，且将随着施工期的结束而消失。</w:t>
            </w:r>
          </w:p>
          <w:p w14:paraId="7505486A">
            <w:pPr>
              <w:pStyle w:val="4"/>
              <w:bidi w:val="0"/>
              <w:rPr>
                <w:rFonts w:hint="default"/>
                <w:color w:val="auto"/>
              </w:rPr>
            </w:pPr>
            <w:r>
              <w:rPr>
                <w:color w:val="auto"/>
              </w:rPr>
              <w:t>施工人员生活污水</w:t>
            </w:r>
          </w:p>
          <w:p w14:paraId="6644DB79">
            <w:pPr>
              <w:pStyle w:val="5"/>
              <w:ind w:firstLine="480"/>
              <w:rPr>
                <w:rFonts w:hint="eastAsia" w:eastAsia="宋体"/>
                <w:color w:val="auto"/>
                <w:lang w:eastAsia="zh-CN"/>
              </w:rPr>
            </w:pPr>
            <w:r>
              <w:rPr>
                <w:rFonts w:hint="eastAsia"/>
                <w:color w:val="auto"/>
                <w:lang w:eastAsia="zh-CN"/>
              </w:rPr>
              <w:t>施工期间，施工人员生活污水以盥洗废水为主，产生量较少。该污水经施工现场临时移动式环保厕所收集，由当地环卫部门定期清运至园区污水处理厂处理，实现不外排周边地表及地下水体，从而避免对区域水环境质量造成不良影响。</w:t>
            </w:r>
          </w:p>
          <w:p w14:paraId="197C30BA">
            <w:pPr>
              <w:pStyle w:val="4"/>
              <w:bidi w:val="0"/>
              <w:rPr>
                <w:rFonts w:hint="default"/>
                <w:color w:val="auto"/>
              </w:rPr>
            </w:pPr>
            <w:r>
              <w:rPr>
                <w:rFonts w:hint="default"/>
                <w:color w:val="auto"/>
              </w:rPr>
              <w:t>施工期防沙治沙分析及措施</w:t>
            </w:r>
          </w:p>
          <w:p w14:paraId="76268E80">
            <w:pPr>
              <w:pStyle w:val="5"/>
              <w:ind w:firstLine="480"/>
              <w:rPr>
                <w:rFonts w:hint="eastAsia"/>
                <w:color w:val="auto"/>
                <w:lang w:eastAsia="zh-CN"/>
              </w:rPr>
            </w:pPr>
            <w:r>
              <w:rPr>
                <w:rFonts w:hint="eastAsia"/>
                <w:color w:val="auto"/>
                <w:lang w:eastAsia="zh-CN"/>
              </w:rPr>
              <w:t>施工期工程作业会扰动原地貌，破坏原有地表结皮和植被，使沙丘活化，增大沙害发生的风险。针对该影响，本次施工采取的防沙治沙措施如下：严格控制施工作业范围，仅在工程规划征占用地范围内开展施工作业，禁止随意碾压、破坏项目区外的原有植被和地表结构，减少沙源裸露面积；施工结束后及时对临时占地进行平整清理，同步采取植被恢复措施，固持表层沙土；施工期间对暂时不作业的裸露沙丘、临时堆土场采取土工布覆盖、编织袋装土压盖等防沙措施，避免大风天气造成沙土扬散流动；在项目区主风方向侧设置临时沙障，阻挡沙丘移动，减轻风沙对施工活动和周边区域的影响。通过上述措施，可有效控制施工期风沙危害，降低项目施工对区域防沙治沙格局的不利影响。</w:t>
            </w:r>
          </w:p>
          <w:p w14:paraId="3BB0EEC3">
            <w:pPr>
              <w:pStyle w:val="3"/>
              <w:rPr>
                <w:rFonts w:hint="default"/>
                <w:color w:val="auto"/>
              </w:rPr>
            </w:pPr>
            <w:r>
              <w:rPr>
                <w:color w:val="auto"/>
              </w:rPr>
              <w:t>施工期声环境污染防治措施</w:t>
            </w:r>
          </w:p>
          <w:p w14:paraId="0DC47B1F">
            <w:pPr>
              <w:pStyle w:val="5"/>
              <w:ind w:firstLine="480"/>
              <w:rPr>
                <w:rFonts w:hint="default"/>
                <w:color w:val="auto"/>
              </w:rPr>
            </w:pPr>
            <w:r>
              <w:rPr>
                <w:color w:val="auto"/>
              </w:rPr>
              <w:t>施工噪声主要可分为机械噪声、施工作业噪声和施工车辆噪声。</w:t>
            </w:r>
          </w:p>
          <w:p w14:paraId="45B4044A">
            <w:pPr>
              <w:pStyle w:val="5"/>
              <w:ind w:firstLine="480"/>
              <w:rPr>
                <w:rFonts w:hint="default"/>
                <w:color w:val="auto"/>
              </w:rPr>
            </w:pPr>
            <w:r>
              <w:rPr>
                <w:color w:val="auto"/>
              </w:rPr>
              <w:t>施工期噪声影响是暂时的、短期的行为，随着工程竣工，施工噪声对环境的不利影响将不再存在。为减小其噪声对周围环境的影响，建设单位和工程施工单位必须按照</w:t>
            </w:r>
            <w:r>
              <w:rPr>
                <w:rFonts w:hint="eastAsia"/>
                <w:color w:val="auto"/>
                <w:lang w:val="en-US" w:eastAsia="zh-CN"/>
              </w:rPr>
              <w:t>相关法律</w:t>
            </w:r>
            <w:r>
              <w:rPr>
                <w:color w:val="auto"/>
              </w:rPr>
              <w:t>和地方生态环境部门的规定，规范施工行为，要求建设单位在工程建设期采取以下噪声控制措施：</w:t>
            </w:r>
          </w:p>
          <w:p w14:paraId="26157548">
            <w:pPr>
              <w:pStyle w:val="5"/>
              <w:ind w:firstLine="480"/>
              <w:rPr>
                <w:rFonts w:hint="default"/>
                <w:color w:val="auto"/>
              </w:rPr>
            </w:pPr>
            <w:r>
              <w:rPr>
                <w:color w:val="auto"/>
              </w:rPr>
              <w:t>（1）对不同施工阶段，按照《</w:t>
            </w:r>
            <w:r>
              <w:rPr>
                <w:rFonts w:hint="eastAsia"/>
                <w:color w:val="auto"/>
                <w:lang w:eastAsia="zh-CN"/>
              </w:rPr>
              <w:t>建筑施工噪声排放标准</w:t>
            </w:r>
            <w:r>
              <w:rPr>
                <w:color w:val="auto"/>
              </w:rPr>
              <w:t>》（</w:t>
            </w:r>
            <w:r>
              <w:rPr>
                <w:rFonts w:hint="eastAsia"/>
                <w:color w:val="auto"/>
                <w:lang w:eastAsia="zh-CN"/>
              </w:rPr>
              <w:t>GB 12523-2025</w:t>
            </w:r>
            <w:r>
              <w:rPr>
                <w:color w:val="auto"/>
              </w:rPr>
              <w:t>）对施工场界进行噪声控制，通过严格的施工管理，尽可能的使施工场界噪声达到标准限值。</w:t>
            </w:r>
          </w:p>
          <w:p w14:paraId="2041224D">
            <w:pPr>
              <w:pStyle w:val="5"/>
              <w:ind w:firstLine="480"/>
              <w:rPr>
                <w:rFonts w:hint="default"/>
                <w:color w:val="auto"/>
              </w:rPr>
            </w:pPr>
            <w:r>
              <w:rPr>
                <w:color w:val="auto"/>
              </w:rPr>
              <w:t>（2）施工现场必须使用低噪音、低振动的机具，并采取隔音与隔振动措施</w:t>
            </w:r>
          </w:p>
          <w:p w14:paraId="7DCDA0F6">
            <w:pPr>
              <w:pStyle w:val="5"/>
              <w:ind w:firstLine="480"/>
              <w:rPr>
                <w:rFonts w:hint="default"/>
                <w:color w:val="auto"/>
              </w:rPr>
            </w:pPr>
            <w:r>
              <w:rPr>
                <w:color w:val="auto"/>
              </w:rPr>
              <w:t>（3）严格操作规程，加强施工机械管理，建筑物料、土石方清运车辆进出工地不得高速行驶、鸣笛等，降低人为噪声影响。</w:t>
            </w:r>
          </w:p>
          <w:p w14:paraId="54A4F806">
            <w:pPr>
              <w:pStyle w:val="5"/>
              <w:ind w:firstLine="480"/>
              <w:rPr>
                <w:rFonts w:hint="default"/>
                <w:color w:val="auto"/>
              </w:rPr>
            </w:pPr>
            <w:r>
              <w:rPr>
                <w:color w:val="auto"/>
              </w:rPr>
              <w:t>（4）严格控制施工时间，根据不同季节合理安排施工计划，禁止夜间进行产生环境噪声污染的建筑施工作业。</w:t>
            </w:r>
          </w:p>
          <w:p w14:paraId="57CBE55B">
            <w:pPr>
              <w:pStyle w:val="5"/>
              <w:ind w:firstLine="480"/>
              <w:rPr>
                <w:rFonts w:hint="default"/>
                <w:color w:val="auto"/>
              </w:rPr>
            </w:pPr>
            <w:r>
              <w:rPr>
                <w:color w:val="auto"/>
              </w:rPr>
              <w:t>（5）施工振动对环境的影响必须按照《城市区域环境振动标准》（GB10070-88）的规定进行控制。</w:t>
            </w:r>
          </w:p>
          <w:p w14:paraId="442AB278">
            <w:pPr>
              <w:pStyle w:val="5"/>
              <w:ind w:firstLine="480"/>
              <w:rPr>
                <w:rFonts w:hint="default"/>
                <w:color w:val="auto"/>
              </w:rPr>
            </w:pPr>
            <w:r>
              <w:rPr>
                <w:rFonts w:hint="default"/>
                <w:color w:val="auto"/>
              </w:rPr>
              <w:t>因此，通过以上防治措施，施工作业产生的噪声和车辆噪声对周围声环境影响较小</w:t>
            </w:r>
            <w:r>
              <w:rPr>
                <w:color w:val="auto"/>
              </w:rPr>
              <w:t>。</w:t>
            </w:r>
          </w:p>
          <w:p w14:paraId="350D7A57">
            <w:pPr>
              <w:pStyle w:val="3"/>
              <w:rPr>
                <w:rFonts w:hint="default"/>
                <w:color w:val="auto"/>
              </w:rPr>
            </w:pPr>
            <w:r>
              <w:rPr>
                <w:color w:val="auto"/>
              </w:rPr>
              <w:t>施工期固废影响分析及污染防治措施</w:t>
            </w:r>
          </w:p>
          <w:p w14:paraId="611B1FCA">
            <w:pPr>
              <w:pStyle w:val="5"/>
              <w:ind w:firstLine="480"/>
              <w:rPr>
                <w:rFonts w:hint="default"/>
                <w:color w:val="auto"/>
              </w:rPr>
            </w:pPr>
            <w:r>
              <w:rPr>
                <w:color w:val="auto"/>
              </w:rPr>
              <w:t>施工期产生的固体废物主要来源于：土地平整固体废物、挖掘土方、建筑施工等产生的建筑垃圾和建筑工人产生的生活垃圾。这些施工废物如不及时清理和妥善处置或在运输时产生遗撒现象，将导致土地被占用，对环境卫生、道路交通等产生不利影响。施工单位应按照国家和当地有关建筑垃圾和工程弃土处置管理的规定，认真执行《中华人民共和国生态环境法典》固体废物污染防治相关规定；针对施工期产生的建筑垃圾和生活垃圾可能造成的影响，本次环评要求建设单位采取以下措施：</w:t>
            </w:r>
          </w:p>
          <w:p w14:paraId="689F6D75">
            <w:pPr>
              <w:pStyle w:val="5"/>
              <w:ind w:firstLine="480"/>
              <w:rPr>
                <w:rFonts w:hint="default"/>
                <w:color w:val="auto"/>
              </w:rPr>
            </w:pPr>
            <w:r>
              <w:rPr>
                <w:color w:val="auto"/>
              </w:rPr>
              <w:t>（1）应制定建筑垃圾减量化计划，按照不同的建筑施工内容，核定建筑垃圾排放量，对建筑垃圾进行分类统计。</w:t>
            </w:r>
          </w:p>
          <w:p w14:paraId="473722FB">
            <w:pPr>
              <w:pStyle w:val="5"/>
              <w:ind w:firstLine="480"/>
              <w:rPr>
                <w:rFonts w:hint="default"/>
                <w:color w:val="auto"/>
              </w:rPr>
            </w:pPr>
            <w:r>
              <w:rPr>
                <w:color w:val="auto"/>
              </w:rPr>
              <w:t>（2）加强建筑垃圾的回收再利用，建筑垃圾的再利用和回收率应达到30%以上，建筑物拆除产生的废弃物的再利用和回收率应达到40%以上，对于碎石类、土石方类建筑垃圾，宜采用地基填埋、铺路等方式提高再利用率，再利用率应达到50%以上。</w:t>
            </w:r>
          </w:p>
          <w:p w14:paraId="2945CC3B">
            <w:pPr>
              <w:pStyle w:val="5"/>
              <w:ind w:firstLine="480"/>
              <w:rPr>
                <w:rFonts w:hint="default"/>
                <w:color w:val="auto"/>
              </w:rPr>
            </w:pPr>
            <w:r>
              <w:rPr>
                <w:color w:val="auto"/>
              </w:rPr>
              <w:t>（3）弃土拟在本工程建设中尽可能用作回填土，尽量做到土方的平衡，以减少废土的运输量，减少运输过程中粉尘的排放。渣土尽量在场内周转，就地用于绿化、道路等生态景观建设，必须外运的弃土以及建筑废料应运至专门的建筑垃圾堆放场。</w:t>
            </w:r>
          </w:p>
          <w:p w14:paraId="75B8AD20">
            <w:pPr>
              <w:pStyle w:val="5"/>
              <w:ind w:firstLine="480"/>
              <w:rPr>
                <w:rFonts w:hint="default"/>
                <w:color w:val="auto"/>
              </w:rPr>
            </w:pPr>
            <w:r>
              <w:rPr>
                <w:color w:val="auto"/>
              </w:rPr>
              <w:t>（4）建筑工程材料包装物回收率100%，有毒有害废物分类率达到100%，可再生利用的施工废弃物回收率应占可再生利用的施工废弃物总量的70%。</w:t>
            </w:r>
          </w:p>
          <w:p w14:paraId="48D69F95">
            <w:pPr>
              <w:pStyle w:val="5"/>
              <w:ind w:firstLine="480"/>
              <w:rPr>
                <w:rFonts w:hint="default"/>
                <w:color w:val="auto"/>
              </w:rPr>
            </w:pPr>
            <w:r>
              <w:rPr>
                <w:color w:val="auto"/>
              </w:rPr>
              <w:t>（5）有毒有害废弃物处理应按照</w:t>
            </w:r>
            <w:r>
              <w:rPr>
                <w:rFonts w:hint="eastAsia"/>
                <w:color w:val="auto"/>
                <w:lang w:eastAsia="zh-CN"/>
              </w:rPr>
              <w:t>GB 18597-2023</w:t>
            </w:r>
            <w:r>
              <w:rPr>
                <w:color w:val="auto"/>
              </w:rPr>
              <w:t>的规定，不能作为建筑垃圾外运，严禁污染土壤和地下水。</w:t>
            </w:r>
          </w:p>
          <w:p w14:paraId="6CB4F3D0">
            <w:pPr>
              <w:pStyle w:val="5"/>
              <w:ind w:firstLine="480"/>
              <w:rPr>
                <w:rFonts w:hint="default"/>
                <w:color w:val="auto"/>
              </w:rPr>
            </w:pPr>
            <w:r>
              <w:rPr>
                <w:color w:val="auto"/>
              </w:rPr>
              <w:t>（6）在工程竣工以后，施工单位应同时拆除各种临时施工设施，并负责将工地的剩余建筑垃圾、工程渣土处理干净，做到“工完、料尽、场地清”。建设单位应负责督促施工单位的固体废物处置清理工作。</w:t>
            </w:r>
          </w:p>
          <w:p w14:paraId="0BB3983A">
            <w:pPr>
              <w:pStyle w:val="5"/>
              <w:ind w:firstLine="480"/>
              <w:rPr>
                <w:color w:val="auto"/>
              </w:rPr>
            </w:pPr>
            <w:r>
              <w:rPr>
                <w:color w:val="auto"/>
              </w:rPr>
              <w:t>综合上述，建设单位在施工期间对其产生的施工废物，生活垃圾及时收集、清运，不会对当地环境产生污染影响。</w:t>
            </w:r>
          </w:p>
          <w:p w14:paraId="6019A9D3">
            <w:pPr>
              <w:pStyle w:val="3"/>
              <w:bidi w:val="0"/>
              <w:rPr>
                <w:color w:val="auto"/>
              </w:rPr>
            </w:pPr>
            <w:r>
              <w:rPr>
                <w:rFonts w:hint="eastAsia"/>
                <w:color w:val="auto"/>
              </w:rPr>
              <w:t>施工期生态环境影响和保护措施</w:t>
            </w:r>
          </w:p>
          <w:p w14:paraId="0A0D6514">
            <w:pPr>
              <w:pStyle w:val="5"/>
              <w:bidi w:val="0"/>
              <w:rPr>
                <w:rFonts w:hint="default"/>
                <w:color w:val="auto"/>
                <w:lang w:val="en-US" w:eastAsia="zh-CN"/>
              </w:rPr>
            </w:pPr>
            <w:r>
              <w:rPr>
                <w:rFonts w:hint="default"/>
                <w:color w:val="auto"/>
                <w:lang w:val="en-US" w:eastAsia="zh-CN"/>
              </w:rPr>
              <w:t>工程施工过程中开挖土方，可能对陆地现有地表结构造成破坏，改变土壤结构。同时可能导致水土流失，破坏当地的生态环境。</w:t>
            </w:r>
          </w:p>
          <w:p w14:paraId="44C9B28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项目建成后，通过厂区平整及绿化，可对原生态环境进行补偿，因此项目的建设对区域生态环境影响较小。</w:t>
            </w:r>
          </w:p>
          <w:p w14:paraId="592179BB">
            <w:pPr>
              <w:pStyle w:val="5"/>
              <w:bidi w:val="0"/>
              <w:rPr>
                <w:rFonts w:hint="default"/>
                <w:color w:val="auto"/>
              </w:rPr>
            </w:pPr>
          </w:p>
          <w:p w14:paraId="43BC9DB1">
            <w:pPr>
              <w:pStyle w:val="5"/>
              <w:bidi w:val="0"/>
              <w:rPr>
                <w:rFonts w:hint="default"/>
                <w:color w:val="auto"/>
              </w:rPr>
            </w:pPr>
          </w:p>
          <w:p w14:paraId="52E877C3">
            <w:pPr>
              <w:pStyle w:val="5"/>
              <w:bidi w:val="0"/>
              <w:rPr>
                <w:rFonts w:hint="default"/>
                <w:color w:val="auto"/>
              </w:rPr>
            </w:pPr>
          </w:p>
          <w:p w14:paraId="1A529CE9">
            <w:pPr>
              <w:pStyle w:val="5"/>
              <w:bidi w:val="0"/>
              <w:rPr>
                <w:rFonts w:hint="default"/>
                <w:color w:val="auto"/>
              </w:rPr>
            </w:pPr>
          </w:p>
          <w:p w14:paraId="78AF1D20">
            <w:pPr>
              <w:pStyle w:val="5"/>
              <w:bidi w:val="0"/>
              <w:rPr>
                <w:rFonts w:hint="default"/>
                <w:color w:val="auto"/>
              </w:rPr>
            </w:pPr>
          </w:p>
          <w:p w14:paraId="69A98FB4">
            <w:pPr>
              <w:pStyle w:val="5"/>
              <w:bidi w:val="0"/>
              <w:rPr>
                <w:rFonts w:hint="default"/>
                <w:color w:val="auto"/>
              </w:rPr>
            </w:pPr>
          </w:p>
          <w:p w14:paraId="3210BE56">
            <w:pPr>
              <w:pStyle w:val="5"/>
              <w:bidi w:val="0"/>
              <w:rPr>
                <w:rFonts w:hint="default"/>
                <w:color w:val="auto"/>
              </w:rPr>
            </w:pPr>
          </w:p>
          <w:p w14:paraId="4FA96214">
            <w:pPr>
              <w:pStyle w:val="5"/>
              <w:bidi w:val="0"/>
              <w:rPr>
                <w:rFonts w:hint="default"/>
                <w:color w:val="auto"/>
              </w:rPr>
            </w:pPr>
          </w:p>
          <w:p w14:paraId="6A104B08">
            <w:pPr>
              <w:pStyle w:val="5"/>
              <w:bidi w:val="0"/>
              <w:rPr>
                <w:rFonts w:hint="default"/>
                <w:color w:val="auto"/>
              </w:rPr>
            </w:pPr>
          </w:p>
          <w:p w14:paraId="40E59D97">
            <w:pPr>
              <w:pStyle w:val="5"/>
              <w:bidi w:val="0"/>
              <w:rPr>
                <w:rFonts w:hint="default"/>
                <w:color w:val="auto"/>
              </w:rPr>
            </w:pPr>
          </w:p>
          <w:p w14:paraId="294774C1">
            <w:pPr>
              <w:pStyle w:val="5"/>
              <w:bidi w:val="0"/>
              <w:rPr>
                <w:rFonts w:hint="default"/>
                <w:color w:val="auto"/>
              </w:rPr>
            </w:pPr>
          </w:p>
          <w:p w14:paraId="183FF0EA">
            <w:pPr>
              <w:pStyle w:val="5"/>
              <w:bidi w:val="0"/>
              <w:rPr>
                <w:rFonts w:hint="default"/>
                <w:color w:val="auto"/>
              </w:rPr>
            </w:pPr>
          </w:p>
          <w:p w14:paraId="47316CC2">
            <w:pPr>
              <w:pStyle w:val="5"/>
              <w:bidi w:val="0"/>
              <w:rPr>
                <w:rFonts w:hint="default"/>
                <w:color w:val="auto"/>
              </w:rPr>
            </w:pPr>
          </w:p>
          <w:p w14:paraId="0BBB7440">
            <w:pPr>
              <w:pStyle w:val="5"/>
              <w:bidi w:val="0"/>
              <w:rPr>
                <w:rFonts w:hint="default"/>
                <w:color w:val="auto"/>
              </w:rPr>
            </w:pPr>
          </w:p>
          <w:p w14:paraId="7E1B3046">
            <w:pPr>
              <w:pStyle w:val="5"/>
              <w:bidi w:val="0"/>
              <w:rPr>
                <w:rFonts w:hint="default"/>
                <w:color w:val="auto"/>
              </w:rPr>
            </w:pPr>
          </w:p>
          <w:p w14:paraId="6BBA1A74">
            <w:pPr>
              <w:pStyle w:val="5"/>
              <w:bidi w:val="0"/>
              <w:rPr>
                <w:rFonts w:hint="default"/>
                <w:color w:val="auto"/>
              </w:rPr>
            </w:pPr>
          </w:p>
        </w:tc>
      </w:tr>
    </w:tbl>
    <w:p w14:paraId="058F0BD0">
      <w:pPr>
        <w:pStyle w:val="5"/>
        <w:bidi w:val="0"/>
        <w:ind w:left="0" w:leftChars="0" w:firstLine="0" w:firstLineChars="0"/>
        <w:jc w:val="center"/>
        <w:rPr>
          <w:rFonts w:hint="eastAsia"/>
          <w:color w:val="auto"/>
        </w:rPr>
        <w:sectPr>
          <w:pgSz w:w="11907" w:h="16840"/>
          <w:pgMar w:top="1701" w:right="1531" w:bottom="2127" w:left="1531" w:header="851" w:footer="851" w:gutter="0"/>
          <w:pgNumType w:fmt="decimal"/>
          <w:cols w:space="720" w:num="1"/>
          <w:docGrid w:linePitch="312" w:charSpace="0"/>
        </w:sectPr>
      </w:pPr>
    </w:p>
    <w:tbl>
      <w:tblPr>
        <w:tblStyle w:val="16"/>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7463"/>
      </w:tblGrid>
      <w:tr w14:paraId="4009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818" w:hRule="atLeast"/>
          <w:jc w:val="center"/>
        </w:trPr>
        <w:tc>
          <w:tcPr>
            <w:tcW w:w="1557" w:type="dxa"/>
            <w:vAlign w:val="center"/>
          </w:tcPr>
          <w:p w14:paraId="29D61C62">
            <w:pPr>
              <w:pStyle w:val="5"/>
              <w:bidi w:val="0"/>
              <w:ind w:left="0" w:leftChars="0" w:firstLine="0" w:firstLineChars="0"/>
              <w:jc w:val="center"/>
              <w:rPr>
                <w:rFonts w:hint="default" w:eastAsia="宋体"/>
                <w:color w:val="auto"/>
                <w:vertAlign w:val="baseline"/>
                <w:lang w:val="en-US" w:eastAsia="zh-CN"/>
              </w:rPr>
            </w:pPr>
            <w:r>
              <w:rPr>
                <w:rFonts w:hint="eastAsia"/>
                <w:color w:val="auto"/>
              </w:rPr>
              <w:t>运营期环境影响和保护措施</w:t>
            </w:r>
          </w:p>
        </w:tc>
        <w:tc>
          <w:tcPr>
            <w:tcW w:w="7463" w:type="dxa"/>
            <w:vAlign w:val="top"/>
          </w:tcPr>
          <w:p w14:paraId="24FC4426">
            <w:pPr>
              <w:pStyle w:val="3"/>
              <w:jc w:val="both"/>
              <w:rPr>
                <w:rFonts w:hint="default"/>
                <w:color w:val="auto"/>
              </w:rPr>
            </w:pPr>
            <w:r>
              <w:rPr>
                <w:color w:val="auto"/>
              </w:rPr>
              <w:t>运营期大气环境影响分析及保护措施</w:t>
            </w:r>
          </w:p>
          <w:p w14:paraId="23243E92">
            <w:pPr>
              <w:pStyle w:val="4"/>
              <w:bidi w:val="0"/>
              <w:jc w:val="both"/>
              <w:rPr>
                <w:rFonts w:hint="default"/>
                <w:color w:val="auto"/>
              </w:rPr>
            </w:pPr>
            <w:r>
              <w:rPr>
                <w:color w:val="auto"/>
              </w:rPr>
              <w:t>废气污染源核算</w:t>
            </w:r>
          </w:p>
          <w:p w14:paraId="6BB1356D">
            <w:pPr>
              <w:pStyle w:val="5"/>
              <w:bidi w:val="0"/>
              <w:jc w:val="both"/>
              <w:rPr>
                <w:rFonts w:hint="eastAsia" w:eastAsia="宋体"/>
                <w:color w:val="auto"/>
                <w:lang w:eastAsia="zh-CN"/>
              </w:rPr>
            </w:pPr>
            <w:r>
              <w:rPr>
                <w:rFonts w:hint="eastAsia"/>
                <w:color w:val="auto"/>
                <w:lang w:val="en-US" w:eastAsia="zh-CN"/>
              </w:rPr>
              <w:t>项目中的水泥与粉煤灰采用气力输送方式，储存于密闭的储料仓内；巴斯夫乳液（水性醋酸乙烯酯-乙烯共聚物乳液）借助管道系统，存放于本项目区的自动化筒仓。生产过程中，水泥和粉煤灰直接通过密闭螺旋输送机提升至自动配料装置，物料经自动称量后，通过管道输送至干混搅拌机。干混后的水泥与粉煤灰（以下简称干粉），与巴斯夫乳液（水性醋酸乙烯酯-乙烯共聚物乳液）及水一同经管道泵入湿混搅拌机。整个生产流程均处于全密闭状态，故此过程不会产生外排废气。项目营运期产生的废气主要包括干粉入仓时产生的粉尘、复合制板与养护过程中产生的废气，以及修边切割和雕刻作业产生的粉尘。</w:t>
            </w:r>
          </w:p>
          <w:p w14:paraId="24063325">
            <w:pPr>
              <w:pStyle w:val="6"/>
              <w:bidi w:val="0"/>
              <w:rPr>
                <w:rFonts w:hint="eastAsia"/>
                <w:color w:val="auto"/>
                <w:lang w:eastAsia="zh-CN"/>
              </w:rPr>
            </w:pPr>
            <w:r>
              <w:rPr>
                <w:rFonts w:hint="eastAsia"/>
                <w:color w:val="auto"/>
                <w:lang w:val="en-US" w:eastAsia="zh-CN"/>
              </w:rPr>
              <w:t>干粉入仓粉尘</w:t>
            </w:r>
          </w:p>
          <w:p w14:paraId="5973B331">
            <w:pPr>
              <w:pStyle w:val="5"/>
              <w:bidi w:val="0"/>
              <w:jc w:val="both"/>
              <w:rPr>
                <w:rFonts w:hint="eastAsia"/>
                <w:color w:val="auto"/>
                <w:lang w:val="en-US" w:eastAsia="zh-CN"/>
              </w:rPr>
            </w:pPr>
            <w:r>
              <w:rPr>
                <w:rFonts w:hint="eastAsia"/>
                <w:color w:val="auto"/>
                <w:lang w:val="en-US" w:eastAsia="zh-CN"/>
              </w:rPr>
              <w:t>本项目分别为水泥和粉煤灰设置两个密闭的储料仓，干粉（水泥、粉煤灰）经车辆运入厂内后，利用气力输送将其输送至储料仓内过程中会产生粉尘。本项目干粉运输总量为12688.078t/a，每车运输量约为15t，每车物料打入料仓约需30min，由此折算出总进料时间为422.94h/a。干粉入仓粉尘经袋式除尘器（收集效率98%）TA001处理后经1根20m高排气筒DA001排放，设计风机风量为8000m</w:t>
            </w:r>
            <w:r>
              <w:rPr>
                <w:rFonts w:hint="eastAsia"/>
                <w:color w:val="auto"/>
                <w:vertAlign w:val="superscript"/>
                <w:lang w:val="en-US" w:eastAsia="zh-CN"/>
              </w:rPr>
              <w:t>3</w:t>
            </w:r>
            <w:r>
              <w:rPr>
                <w:rFonts w:hint="eastAsia"/>
                <w:color w:val="auto"/>
                <w:lang w:val="en-US" w:eastAsia="zh-CN"/>
              </w:rPr>
              <w:t xml:space="preserve"> /h。袋式除尘器处理效率按设计值99%计，须保证出口颗粒物浓度稳定达到GB 4915—2013表1水泥仓及其他通风生产设备20mg/m³限值。</w:t>
            </w:r>
          </w:p>
          <w:p w14:paraId="65560217">
            <w:pPr>
              <w:pStyle w:val="5"/>
              <w:jc w:val="both"/>
              <w:rPr>
                <w:rFonts w:hint="default" w:eastAsia="宋体"/>
                <w:color w:val="auto"/>
                <w:lang w:val="en-US" w:eastAsia="zh-CN"/>
              </w:rPr>
            </w:pPr>
            <w:r>
              <w:rPr>
                <w:rFonts w:hint="eastAsia"/>
                <w:color w:val="auto"/>
                <w:lang w:val="en-US" w:eastAsia="zh-CN"/>
              </w:rPr>
              <w:t>根据《排放源统计调查产排污核算方法和系数手册》（水泥制品制造行业系数手册）、《逸散性工业粉尘控制技术》，粉料气力输送入仓产尘系数取0.12 kg/t，粉尘排放量计算式如下：</w:t>
            </w:r>
          </w:p>
          <w:p w14:paraId="07B4FA26">
            <w:pPr>
              <w:pStyle w:val="5"/>
              <w:jc w:val="center"/>
              <w:rPr>
                <w:rFonts w:hint="eastAsia"/>
                <w:color w:val="auto"/>
                <w:lang w:eastAsia="zh-CN"/>
              </w:rPr>
            </w:pPr>
            <w:r>
              <w:rPr>
                <w:color w:val="auto"/>
              </w:rPr>
              <w:drawing>
                <wp:inline distT="0" distB="0" distL="114300" distR="114300">
                  <wp:extent cx="1285875" cy="342900"/>
                  <wp:effectExtent l="0" t="0" r="9525" b="0"/>
                  <wp:docPr id="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pic:cNvPicPr>
                            <a:picLocks noChangeAspect="1"/>
                          </pic:cNvPicPr>
                        </pic:nvPicPr>
                        <pic:blipFill>
                          <a:blip r:embed="rId14"/>
                          <a:stretch>
                            <a:fillRect/>
                          </a:stretch>
                        </pic:blipFill>
                        <pic:spPr>
                          <a:xfrm>
                            <a:off x="0" y="0"/>
                            <a:ext cx="1285875" cy="342900"/>
                          </a:xfrm>
                          <a:prstGeom prst="rect">
                            <a:avLst/>
                          </a:prstGeom>
                          <a:noFill/>
                          <a:ln>
                            <a:noFill/>
                          </a:ln>
                        </pic:spPr>
                      </pic:pic>
                    </a:graphicData>
                  </a:graphic>
                </wp:inline>
              </w:drawing>
            </w:r>
          </w:p>
          <w:p w14:paraId="3E234B7F">
            <w:pPr>
              <w:pStyle w:val="5"/>
              <w:jc w:val="both"/>
              <w:rPr>
                <w:rFonts w:hint="eastAsia"/>
                <w:color w:val="auto"/>
                <w:lang w:val="en-US" w:eastAsia="zh-CN"/>
              </w:rPr>
            </w:pPr>
            <w:r>
              <w:rPr>
                <w:rFonts w:hint="eastAsia"/>
                <w:color w:val="auto"/>
                <w:lang w:eastAsia="zh-CN"/>
              </w:rPr>
              <w:t>其</w:t>
            </w:r>
            <w:r>
              <w:rPr>
                <w:rFonts w:hint="eastAsia"/>
                <w:color w:val="auto"/>
                <w:lang w:val="en-US" w:eastAsia="zh-CN"/>
              </w:rPr>
              <w:t>中：</w:t>
            </w:r>
          </w:p>
          <w:p w14:paraId="0F21E518">
            <w:pPr>
              <w:pStyle w:val="5"/>
              <w:ind w:firstLine="1200" w:firstLineChars="500"/>
              <w:jc w:val="left"/>
              <w:rPr>
                <w:rFonts w:hint="eastAsia"/>
                <w:color w:val="auto"/>
                <w:lang w:val="en-US" w:eastAsia="zh-CN"/>
              </w:rPr>
            </w:pPr>
            <w:r>
              <w:rPr>
                <w:rFonts w:hint="eastAsia"/>
                <w:color w:val="auto"/>
                <w:lang w:val="en-US" w:eastAsia="zh-CN"/>
              </w:rPr>
              <w:t>G</w:t>
            </w:r>
            <w:r>
              <w:rPr>
                <w:rFonts w:hint="eastAsia"/>
                <w:color w:val="auto"/>
                <w:vertAlign w:val="subscript"/>
                <w:lang w:val="en-US" w:eastAsia="zh-CN"/>
              </w:rPr>
              <w:t>产i</w:t>
            </w:r>
            <w:r>
              <w:rPr>
                <w:rFonts w:hint="eastAsia"/>
                <w:color w:val="auto"/>
                <w:lang w:val="en-US" w:eastAsia="zh-CN"/>
              </w:rPr>
              <w:t>：工段i某污染物的平均产生量；</w:t>
            </w:r>
          </w:p>
          <w:p w14:paraId="3298C1AE">
            <w:pPr>
              <w:pStyle w:val="5"/>
              <w:ind w:firstLine="1200" w:firstLineChars="500"/>
              <w:jc w:val="left"/>
              <w:rPr>
                <w:rFonts w:hint="eastAsia"/>
                <w:color w:val="auto"/>
                <w:lang w:eastAsia="zh-CN"/>
              </w:rPr>
            </w:pPr>
            <w:r>
              <w:rPr>
                <w:rFonts w:hint="eastAsia"/>
                <w:color w:val="auto"/>
                <w:lang w:val="en-US" w:eastAsia="zh-CN"/>
              </w:rPr>
              <w:t>P</w:t>
            </w:r>
            <w:r>
              <w:rPr>
                <w:rFonts w:hint="eastAsia"/>
                <w:color w:val="auto"/>
                <w:vertAlign w:val="subscript"/>
                <w:lang w:val="en-US" w:eastAsia="zh-CN"/>
              </w:rPr>
              <w:t>产</w:t>
            </w:r>
            <w:r>
              <w:rPr>
                <w:rFonts w:hint="eastAsia"/>
                <w:color w:val="auto"/>
                <w:lang w:val="en-US" w:eastAsia="zh-CN"/>
              </w:rPr>
              <w:t>：</w:t>
            </w:r>
            <w:r>
              <w:rPr>
                <w:rFonts w:hint="eastAsia"/>
                <w:color w:val="auto"/>
                <w:lang w:eastAsia="zh-CN"/>
              </w:rPr>
              <w:t>工段某污染物对应的产污系数；</w:t>
            </w:r>
          </w:p>
          <w:p w14:paraId="0E3D5500">
            <w:pPr>
              <w:pStyle w:val="5"/>
              <w:ind w:firstLine="1200" w:firstLineChars="500"/>
              <w:jc w:val="left"/>
              <w:rPr>
                <w:rFonts w:hint="eastAsia"/>
                <w:color w:val="auto"/>
                <w:lang w:eastAsia="zh-CN"/>
              </w:rPr>
            </w:pPr>
            <w:r>
              <w:rPr>
                <w:rFonts w:hint="eastAsia"/>
                <w:color w:val="auto"/>
                <w:lang w:val="en-US" w:eastAsia="zh-CN"/>
              </w:rPr>
              <w:t>M</w:t>
            </w:r>
            <w:r>
              <w:rPr>
                <w:rFonts w:hint="eastAsia"/>
                <w:color w:val="auto"/>
                <w:vertAlign w:val="subscript"/>
                <w:lang w:val="en-US" w:eastAsia="zh-CN"/>
              </w:rPr>
              <w:t>i</w:t>
            </w:r>
            <w:r>
              <w:rPr>
                <w:rFonts w:hint="eastAsia"/>
                <w:color w:val="auto"/>
                <w:lang w:val="en-US" w:eastAsia="zh-CN"/>
              </w:rPr>
              <w:t>：</w:t>
            </w:r>
            <w:r>
              <w:rPr>
                <w:rFonts w:hint="eastAsia"/>
                <w:color w:val="auto"/>
                <w:lang w:eastAsia="zh-CN"/>
              </w:rPr>
              <w:t>工段i的产品总量。</w:t>
            </w:r>
          </w:p>
          <w:p w14:paraId="48946CB2">
            <w:pPr>
              <w:pStyle w:val="5"/>
              <w:jc w:val="center"/>
              <w:rPr>
                <w:rFonts w:hint="eastAsia"/>
                <w:color w:val="auto"/>
                <w:lang w:eastAsia="zh-CN"/>
              </w:rPr>
            </w:pPr>
            <w:r>
              <w:rPr>
                <w:color w:val="auto"/>
              </w:rPr>
              <w:drawing>
                <wp:inline distT="0" distB="0" distL="114300" distR="114300">
                  <wp:extent cx="3105150" cy="866775"/>
                  <wp:effectExtent l="0" t="0" r="0" b="9525"/>
                  <wp:docPr id="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
                          <pic:cNvPicPr>
                            <a:picLocks noChangeAspect="1"/>
                          </pic:cNvPicPr>
                        </pic:nvPicPr>
                        <pic:blipFill>
                          <a:blip r:embed="rId15"/>
                          <a:stretch>
                            <a:fillRect/>
                          </a:stretch>
                        </pic:blipFill>
                        <pic:spPr>
                          <a:xfrm>
                            <a:off x="0" y="0"/>
                            <a:ext cx="3105150" cy="866775"/>
                          </a:xfrm>
                          <a:prstGeom prst="rect">
                            <a:avLst/>
                          </a:prstGeom>
                          <a:noFill/>
                          <a:ln>
                            <a:noFill/>
                          </a:ln>
                        </pic:spPr>
                      </pic:pic>
                    </a:graphicData>
                  </a:graphic>
                </wp:inline>
              </w:drawing>
            </w:r>
          </w:p>
          <w:p w14:paraId="7C7CDBE9">
            <w:pPr>
              <w:pStyle w:val="5"/>
              <w:jc w:val="both"/>
              <w:rPr>
                <w:rFonts w:hint="eastAsia"/>
                <w:color w:val="auto"/>
                <w:lang w:val="en-US" w:eastAsia="zh-CN"/>
              </w:rPr>
            </w:pPr>
            <w:r>
              <w:rPr>
                <w:rFonts w:hint="eastAsia"/>
                <w:color w:val="auto"/>
                <w:lang w:val="en-US" w:eastAsia="zh-CN"/>
              </w:rPr>
              <w:t>其中：</w:t>
            </w:r>
          </w:p>
          <w:p w14:paraId="6FAD4A7B">
            <w:pPr>
              <w:pStyle w:val="5"/>
              <w:ind w:firstLine="1200" w:firstLineChars="500"/>
              <w:jc w:val="left"/>
              <w:rPr>
                <w:rFonts w:hint="eastAsia"/>
                <w:color w:val="auto"/>
                <w:lang w:eastAsia="zh-CN"/>
              </w:rPr>
            </w:pPr>
            <w:r>
              <w:rPr>
                <w:rFonts w:hint="eastAsia"/>
                <w:color w:val="auto"/>
                <w:lang w:val="en-US" w:eastAsia="zh-CN"/>
              </w:rPr>
              <w:t>R</w:t>
            </w:r>
            <w:r>
              <w:rPr>
                <w:rFonts w:hint="eastAsia"/>
                <w:color w:val="auto"/>
                <w:vertAlign w:val="subscript"/>
                <w:lang w:val="en-US" w:eastAsia="zh-CN"/>
              </w:rPr>
              <w:t>减i</w:t>
            </w:r>
            <w:r>
              <w:rPr>
                <w:rFonts w:hint="eastAsia"/>
                <w:color w:val="auto"/>
                <w:lang w:val="en-US" w:eastAsia="zh-CN"/>
              </w:rPr>
              <w:t>：工段i某污染物的去除量</w:t>
            </w:r>
            <w:r>
              <w:rPr>
                <w:rFonts w:hint="eastAsia"/>
                <w:color w:val="auto"/>
                <w:lang w:eastAsia="zh-CN"/>
              </w:rPr>
              <w:t>；</w:t>
            </w:r>
          </w:p>
          <w:p w14:paraId="4CE5134E">
            <w:pPr>
              <w:pStyle w:val="5"/>
              <w:ind w:firstLine="1200" w:firstLineChars="500"/>
              <w:jc w:val="left"/>
              <w:rPr>
                <w:rFonts w:hint="eastAsia"/>
                <w:color w:val="auto"/>
                <w:lang w:val="en-US" w:eastAsia="zh-CN"/>
              </w:rPr>
            </w:pPr>
            <w:r>
              <w:rPr>
                <w:rFonts w:hint="eastAsia"/>
                <w:color w:val="auto"/>
                <w:lang w:eastAsia="zh-CN"/>
              </w:rPr>
              <w:t>η</w:t>
            </w:r>
            <w:r>
              <w:rPr>
                <w:rFonts w:hint="eastAsia"/>
                <w:color w:val="auto"/>
                <w:vertAlign w:val="subscript"/>
                <w:lang w:val="en-US" w:eastAsia="zh-CN"/>
              </w:rPr>
              <w:t>T</w:t>
            </w:r>
            <w:r>
              <w:rPr>
                <w:rFonts w:hint="eastAsia"/>
                <w:color w:val="auto"/>
                <w:lang w:val="en-US" w:eastAsia="zh-CN"/>
              </w:rPr>
              <w:t>：工段i某污染物采用的末端治理技术的平均去除效率；</w:t>
            </w:r>
          </w:p>
          <w:p w14:paraId="01F443EC">
            <w:pPr>
              <w:pStyle w:val="5"/>
              <w:ind w:firstLine="1200" w:firstLineChars="500"/>
              <w:jc w:val="left"/>
              <w:rPr>
                <w:rFonts w:hint="default"/>
                <w:color w:val="auto"/>
                <w:lang w:val="en-US" w:eastAsia="zh-CN"/>
              </w:rPr>
            </w:pPr>
            <w:r>
              <w:rPr>
                <w:rFonts w:hint="eastAsia"/>
                <w:color w:val="auto"/>
                <w:vertAlign w:val="baseline"/>
                <w:lang w:val="en-US" w:eastAsia="zh-CN"/>
              </w:rPr>
              <w:t>k</w:t>
            </w:r>
            <w:r>
              <w:rPr>
                <w:rFonts w:hint="eastAsia"/>
                <w:color w:val="auto"/>
                <w:vertAlign w:val="subscript"/>
                <w:lang w:val="en-US" w:eastAsia="zh-CN"/>
              </w:rPr>
              <w:t>T</w:t>
            </w:r>
            <w:r>
              <w:rPr>
                <w:rFonts w:hint="eastAsia"/>
                <w:color w:val="auto"/>
                <w:lang w:val="en-US" w:eastAsia="zh-CN"/>
              </w:rPr>
              <w:t>：工段i某污染物采用的末端治理设施的实际运行率。</w:t>
            </w:r>
          </w:p>
          <w:p w14:paraId="778BF927">
            <w:pPr>
              <w:pStyle w:val="5"/>
              <w:bidi w:val="0"/>
              <w:jc w:val="both"/>
              <w:rPr>
                <w:rFonts w:hint="eastAsia"/>
                <w:color w:val="auto"/>
                <w:lang w:val="en-US" w:eastAsia="zh-CN"/>
              </w:rPr>
            </w:pPr>
            <w:r>
              <w:rPr>
                <w:rFonts w:hint="eastAsia"/>
                <w:color w:val="auto"/>
                <w:lang w:val="en-US" w:eastAsia="zh-CN"/>
              </w:rPr>
              <w:t>则：</w:t>
            </w:r>
          </w:p>
          <w:p w14:paraId="36CAA396">
            <w:pPr>
              <w:pStyle w:val="5"/>
              <w:bidi w:val="0"/>
              <w:jc w:val="both"/>
              <w:rPr>
                <w:rFonts w:hint="eastAsia"/>
                <w:color w:val="auto"/>
                <w:lang w:val="en-US" w:eastAsia="zh-CN"/>
              </w:rPr>
            </w:pPr>
            <w:r>
              <w:rPr>
                <w:rFonts w:hint="eastAsia"/>
                <w:color w:val="auto"/>
                <w:lang w:val="en-US" w:eastAsia="zh-CN"/>
              </w:rPr>
              <w:t>Q</w:t>
            </w:r>
            <w:r>
              <w:rPr>
                <w:rFonts w:hint="eastAsia"/>
                <w:color w:val="auto"/>
                <w:vertAlign w:val="subscript"/>
                <w:lang w:val="en-US" w:eastAsia="zh-CN"/>
              </w:rPr>
              <w:t>粉尘产生量</w:t>
            </w:r>
            <w:r>
              <w:rPr>
                <w:rFonts w:hint="eastAsia"/>
                <w:color w:val="auto"/>
                <w:lang w:val="en-US" w:eastAsia="zh-CN"/>
              </w:rPr>
              <w:t>=物料运输量×产尘系数=12688.078×0.12=1522.569kg/a=1.5226t/a</w:t>
            </w:r>
          </w:p>
          <w:p w14:paraId="0790FEFD">
            <w:pPr>
              <w:pStyle w:val="5"/>
              <w:bidi w:val="0"/>
              <w:jc w:val="both"/>
              <w:rPr>
                <w:rFonts w:hint="default"/>
                <w:color w:val="auto"/>
                <w:lang w:val="en-US" w:eastAsia="zh-CN"/>
              </w:rPr>
            </w:pPr>
            <w:r>
              <w:rPr>
                <w:rFonts w:hint="eastAsia"/>
                <w:color w:val="auto"/>
                <w:lang w:val="en-US" w:eastAsia="zh-CN"/>
              </w:rPr>
              <w:t>R</w:t>
            </w:r>
            <w:r>
              <w:rPr>
                <w:rFonts w:hint="eastAsia"/>
                <w:color w:val="auto"/>
                <w:vertAlign w:val="subscript"/>
                <w:lang w:val="en-US" w:eastAsia="zh-CN"/>
              </w:rPr>
              <w:t>粉尘产生速率</w:t>
            </w:r>
            <w:r>
              <w:rPr>
                <w:rFonts w:hint="eastAsia"/>
                <w:color w:val="auto"/>
                <w:lang w:val="en-US" w:eastAsia="zh-CN"/>
              </w:rPr>
              <w:t>=粉尘产生总量÷总进料时间=1.5226÷422.94=0.0036t/h=3.6kg/h</w:t>
            </w:r>
          </w:p>
          <w:p w14:paraId="28770545">
            <w:pPr>
              <w:pStyle w:val="5"/>
              <w:bidi w:val="0"/>
              <w:jc w:val="both"/>
              <w:rPr>
                <w:rFonts w:hint="eastAsia"/>
                <w:color w:val="auto"/>
                <w:lang w:val="en-US" w:eastAsia="zh-CN"/>
              </w:rPr>
            </w:pPr>
            <w:r>
              <w:rPr>
                <w:rFonts w:hint="eastAsia"/>
                <w:color w:val="auto"/>
                <w:lang w:val="en-US" w:eastAsia="zh-CN"/>
              </w:rPr>
              <w:t>①有组织气体产生量P</w:t>
            </w:r>
            <w:r>
              <w:rPr>
                <w:rFonts w:hint="eastAsia"/>
                <w:color w:val="auto"/>
                <w:vertAlign w:val="subscript"/>
                <w:lang w:val="en-US" w:eastAsia="zh-CN"/>
              </w:rPr>
              <w:t>org</w:t>
            </w:r>
            <w:r>
              <w:rPr>
                <w:rFonts w:hint="eastAsia"/>
                <w:color w:val="auto"/>
                <w:vertAlign w:val="baseline"/>
                <w:lang w:val="en-US" w:eastAsia="zh-CN"/>
              </w:rPr>
              <w:t>、</w:t>
            </w:r>
            <w:r>
              <w:rPr>
                <w:rFonts w:hint="eastAsia"/>
                <w:color w:val="auto"/>
                <w:lang w:val="en-US" w:eastAsia="zh-CN"/>
              </w:rPr>
              <w:t>产生速率R</w:t>
            </w:r>
            <w:r>
              <w:rPr>
                <w:rFonts w:hint="eastAsia"/>
                <w:color w:val="auto"/>
                <w:vertAlign w:val="subscript"/>
                <w:lang w:val="en-US" w:eastAsia="zh-CN"/>
              </w:rPr>
              <w:t>org</w:t>
            </w:r>
            <w:r>
              <w:rPr>
                <w:rFonts w:hint="eastAsia"/>
                <w:color w:val="auto"/>
                <w:vertAlign w:val="baseline"/>
                <w:lang w:val="en-US" w:eastAsia="zh-CN"/>
              </w:rPr>
              <w:t>、排放量E</w:t>
            </w:r>
            <w:r>
              <w:rPr>
                <w:rFonts w:hint="eastAsia"/>
                <w:color w:val="auto"/>
                <w:vertAlign w:val="subscript"/>
                <w:lang w:val="en-US" w:eastAsia="zh-CN"/>
              </w:rPr>
              <w:t>org</w:t>
            </w:r>
            <w:r>
              <w:rPr>
                <w:rFonts w:hint="eastAsia"/>
                <w:color w:val="auto"/>
                <w:vertAlign w:val="baseline"/>
                <w:lang w:val="en-US" w:eastAsia="zh-CN"/>
              </w:rPr>
              <w:t>及排放速率R</w:t>
            </w:r>
            <w:r>
              <w:rPr>
                <w:rFonts w:hint="eastAsia"/>
                <w:color w:val="auto"/>
                <w:vertAlign w:val="subscript"/>
                <w:lang w:val="en-US" w:eastAsia="zh-CN"/>
              </w:rPr>
              <w:t>e-org</w:t>
            </w:r>
            <w:r>
              <w:rPr>
                <w:rFonts w:hint="eastAsia"/>
                <w:color w:val="auto"/>
                <w:lang w:val="en-US" w:eastAsia="zh-CN"/>
              </w:rPr>
              <w:t>核算：</w:t>
            </w:r>
          </w:p>
          <w:p w14:paraId="31D2CCDC">
            <w:pPr>
              <w:pStyle w:val="5"/>
              <w:bidi w:val="0"/>
              <w:jc w:val="both"/>
              <w:rPr>
                <w:rFonts w:hint="eastAsia"/>
                <w:color w:val="auto"/>
                <w:lang w:val="en-US" w:eastAsia="zh-CN"/>
              </w:rPr>
            </w:pPr>
            <w:r>
              <w:rPr>
                <w:rFonts w:hint="eastAsia"/>
                <w:color w:val="auto"/>
                <w:lang w:val="en-US" w:eastAsia="zh-CN"/>
              </w:rPr>
              <w:t>P</w:t>
            </w:r>
            <w:r>
              <w:rPr>
                <w:rFonts w:hint="eastAsia"/>
                <w:color w:val="auto"/>
                <w:vertAlign w:val="subscript"/>
                <w:lang w:val="en-US" w:eastAsia="zh-CN"/>
              </w:rPr>
              <w:t>org</w:t>
            </w:r>
            <w:r>
              <w:rPr>
                <w:rFonts w:hint="eastAsia"/>
                <w:color w:val="auto"/>
                <w:lang w:val="en-US" w:eastAsia="zh-CN"/>
              </w:rPr>
              <w:t>=</w:t>
            </w:r>
            <w:r>
              <w:rPr>
                <w:color w:val="auto"/>
              </w:rPr>
              <w:t>粉尘产生量×收集效率</w:t>
            </w:r>
            <w:r>
              <w:rPr>
                <w:rFonts w:hint="eastAsia"/>
                <w:color w:val="auto"/>
                <w:lang w:val="en-US" w:eastAsia="zh-CN"/>
              </w:rPr>
              <w:t>=1.5226×0.98=1.4921t/a</w:t>
            </w:r>
          </w:p>
          <w:p w14:paraId="1E739176">
            <w:pPr>
              <w:pStyle w:val="5"/>
              <w:bidi w:val="0"/>
              <w:jc w:val="both"/>
              <w:rPr>
                <w:rFonts w:hint="default" w:ascii="Times New Roman" w:hAnsi="Times New Roman" w:eastAsia="宋体" w:cs="Times New Roman"/>
                <w:color w:val="auto"/>
                <w:sz w:val="24"/>
                <w:szCs w:val="24"/>
              </w:rPr>
            </w:pPr>
            <w:r>
              <w:rPr>
                <w:rFonts w:hint="eastAsia"/>
                <w:color w:val="auto"/>
                <w:lang w:val="en-US" w:eastAsia="zh-CN"/>
              </w:rPr>
              <w:t>R</w:t>
            </w:r>
            <w:r>
              <w:rPr>
                <w:rFonts w:hint="eastAsia"/>
                <w:color w:val="auto"/>
                <w:vertAlign w:val="subscript"/>
                <w:lang w:val="en-US" w:eastAsia="zh-CN"/>
              </w:rPr>
              <w:t>org</w:t>
            </w:r>
            <w:r>
              <w:rPr>
                <w:rFonts w:hint="eastAsia"/>
                <w:color w:val="auto"/>
                <w:lang w:val="en-US" w:eastAsia="zh-CN"/>
              </w:rPr>
              <w:t>=</w:t>
            </w:r>
            <w:r>
              <w:rPr>
                <w:color w:val="auto"/>
              </w:rPr>
              <w:t>有组织气体产生量</w:t>
            </w:r>
            <w:r>
              <w:rPr>
                <w:rFonts w:hint="eastAsia"/>
                <w:color w:val="auto"/>
              </w:rPr>
              <w:t>÷</w:t>
            </w:r>
            <w:r>
              <w:rPr>
                <w:color w:val="auto"/>
              </w:rPr>
              <w:t>总进料时间</w:t>
            </w:r>
            <w:r>
              <w:rPr>
                <w:rFonts w:hint="eastAsia"/>
                <w:color w:val="auto"/>
                <w:lang w:val="en-US" w:eastAsia="zh-CN"/>
              </w:rPr>
              <w:t>=1.4921÷4</w:t>
            </w:r>
            <w:r>
              <w:rPr>
                <w:rFonts w:hint="default" w:ascii="Times New Roman" w:hAnsi="Times New Roman" w:cs="Times New Roman"/>
                <w:color w:val="auto"/>
                <w:lang w:val="en-US" w:eastAsia="zh-CN"/>
              </w:rPr>
              <w:t>22.94</w:t>
            </w:r>
            <w:r>
              <w:rPr>
                <w:rFonts w:hint="default" w:ascii="Times New Roman" w:hAnsi="Times New Roman" w:eastAsia="宋体" w:cs="Times New Roman"/>
                <w:color w:val="auto"/>
                <w:sz w:val="24"/>
                <w:szCs w:val="24"/>
              </w:rPr>
              <w:t>=0.003528t/h=3.528kg/h</w:t>
            </w:r>
          </w:p>
          <w:p w14:paraId="1FAFD553">
            <w:pPr>
              <w:pStyle w:val="5"/>
              <w:bidi w:val="0"/>
              <w:jc w:val="both"/>
              <w:rPr>
                <w:rFonts w:hint="eastAsia"/>
                <w:color w:val="auto"/>
                <w:lang w:val="en-US" w:eastAsia="zh-CN"/>
              </w:rPr>
            </w:pPr>
            <w:r>
              <w:rPr>
                <w:rFonts w:hint="eastAsia"/>
                <w:color w:val="auto"/>
                <w:lang w:val="en-US" w:eastAsia="zh-CN"/>
              </w:rPr>
              <w:t>E</w:t>
            </w:r>
            <w:r>
              <w:rPr>
                <w:rFonts w:hint="eastAsia"/>
                <w:color w:val="auto"/>
                <w:vertAlign w:val="subscript"/>
                <w:lang w:val="en-US" w:eastAsia="zh-CN"/>
              </w:rPr>
              <w:t>org</w:t>
            </w:r>
            <w:r>
              <w:rPr>
                <w:rFonts w:hint="eastAsia"/>
                <w:color w:val="auto"/>
                <w:lang w:val="en-US" w:eastAsia="zh-CN"/>
              </w:rPr>
              <w:t>=</w:t>
            </w:r>
            <w:r>
              <w:rPr>
                <w:color w:val="auto"/>
              </w:rPr>
              <w:t>有组织气体产生量×</w:t>
            </w:r>
            <w:r>
              <w:rPr>
                <w:rFonts w:hint="eastAsia"/>
                <w:color w:val="auto"/>
                <w:lang w:eastAsia="zh-CN"/>
              </w:rPr>
              <w:t>（</w:t>
            </w:r>
            <w:r>
              <w:rPr>
                <w:color w:val="auto"/>
              </w:rPr>
              <w:t>1-除尘效率</w:t>
            </w:r>
            <w:r>
              <w:rPr>
                <w:rFonts w:hint="eastAsia"/>
                <w:color w:val="auto"/>
                <w:lang w:eastAsia="zh-CN"/>
              </w:rPr>
              <w:t>）</w:t>
            </w:r>
            <w:r>
              <w:rPr>
                <w:rFonts w:hint="eastAsia"/>
                <w:color w:val="auto"/>
                <w:lang w:val="en-US" w:eastAsia="zh-CN"/>
              </w:rPr>
              <w:t>=1.4921×0.01=0.0149t/a</w:t>
            </w:r>
          </w:p>
          <w:p w14:paraId="14D639BC">
            <w:pPr>
              <w:pStyle w:val="5"/>
              <w:bidi w:val="0"/>
              <w:jc w:val="both"/>
              <w:rPr>
                <w:rFonts w:hint="default"/>
                <w:color w:val="auto"/>
                <w:lang w:val="en-US" w:eastAsia="zh-CN"/>
              </w:rPr>
            </w:pPr>
            <w:r>
              <w:rPr>
                <w:rFonts w:hint="eastAsia"/>
                <w:color w:val="auto"/>
                <w:vertAlign w:val="baseline"/>
                <w:lang w:val="en-US" w:eastAsia="zh-CN"/>
              </w:rPr>
              <w:t>R</w:t>
            </w:r>
            <w:r>
              <w:rPr>
                <w:rFonts w:hint="eastAsia"/>
                <w:color w:val="auto"/>
                <w:vertAlign w:val="subscript"/>
                <w:lang w:val="en-US" w:eastAsia="zh-CN"/>
              </w:rPr>
              <w:t>e-org</w:t>
            </w:r>
            <w:r>
              <w:rPr>
                <w:rFonts w:hint="eastAsia"/>
                <w:color w:val="auto"/>
                <w:lang w:val="en-US" w:eastAsia="zh-CN"/>
              </w:rPr>
              <w:t>=有组织气体排放量÷总进料时间=0.0149÷422.94=0.0000352t/h=0.0352kg/h</w:t>
            </w:r>
          </w:p>
          <w:p w14:paraId="41E879CD">
            <w:pPr>
              <w:pStyle w:val="5"/>
              <w:bidi w:val="0"/>
              <w:jc w:val="both"/>
              <w:rPr>
                <w:rFonts w:hint="eastAsia"/>
                <w:color w:val="auto"/>
                <w:lang w:val="en-US" w:eastAsia="zh-CN"/>
              </w:rPr>
            </w:pPr>
            <w:r>
              <w:rPr>
                <w:rFonts w:hint="eastAsia" w:ascii="Times New Roman" w:hAnsi="Times New Roman" w:eastAsia="宋体" w:cs="Times New Roman"/>
                <w:color w:val="auto"/>
                <w:sz w:val="24"/>
                <w:szCs w:val="24"/>
                <w:lang w:val="en-US" w:eastAsia="zh-CN"/>
              </w:rPr>
              <w:t>②无</w:t>
            </w:r>
            <w:r>
              <w:rPr>
                <w:rFonts w:hint="eastAsia"/>
                <w:color w:val="auto"/>
                <w:lang w:val="en-US" w:eastAsia="zh-CN"/>
              </w:rPr>
              <w:t>组织气体产生量P</w:t>
            </w:r>
            <w:r>
              <w:rPr>
                <w:rFonts w:hint="eastAsia"/>
                <w:color w:val="auto"/>
                <w:vertAlign w:val="subscript"/>
                <w:lang w:val="en-US" w:eastAsia="zh-CN"/>
              </w:rPr>
              <w:t>unorg</w:t>
            </w:r>
            <w:r>
              <w:rPr>
                <w:rFonts w:hint="eastAsia"/>
                <w:color w:val="auto"/>
                <w:vertAlign w:val="baseline"/>
                <w:lang w:val="en-US" w:eastAsia="zh-CN"/>
              </w:rPr>
              <w:t>、</w:t>
            </w:r>
            <w:r>
              <w:rPr>
                <w:rFonts w:hint="eastAsia"/>
                <w:color w:val="auto"/>
                <w:lang w:val="en-US" w:eastAsia="zh-CN"/>
              </w:rPr>
              <w:t>产生速率R</w:t>
            </w:r>
            <w:r>
              <w:rPr>
                <w:rFonts w:hint="eastAsia"/>
                <w:color w:val="auto"/>
                <w:vertAlign w:val="subscript"/>
                <w:lang w:val="en-US" w:eastAsia="zh-CN"/>
              </w:rPr>
              <w:t>unorg</w:t>
            </w:r>
            <w:r>
              <w:rPr>
                <w:rFonts w:hint="eastAsia"/>
                <w:color w:val="auto"/>
                <w:vertAlign w:val="baseline"/>
                <w:lang w:val="en-US" w:eastAsia="zh-CN"/>
              </w:rPr>
              <w:t>、排放量E</w:t>
            </w:r>
            <w:r>
              <w:rPr>
                <w:rFonts w:hint="eastAsia"/>
                <w:color w:val="auto"/>
                <w:vertAlign w:val="subscript"/>
                <w:lang w:val="en-US" w:eastAsia="zh-CN"/>
              </w:rPr>
              <w:t>unorg</w:t>
            </w:r>
            <w:r>
              <w:rPr>
                <w:rFonts w:hint="eastAsia"/>
                <w:color w:val="auto"/>
                <w:vertAlign w:val="baseline"/>
                <w:lang w:val="en-US" w:eastAsia="zh-CN"/>
              </w:rPr>
              <w:t>及排放速率R</w:t>
            </w:r>
            <w:r>
              <w:rPr>
                <w:rFonts w:hint="eastAsia"/>
                <w:color w:val="auto"/>
                <w:vertAlign w:val="subscript"/>
                <w:lang w:val="en-US" w:eastAsia="zh-CN"/>
              </w:rPr>
              <w:t>e-unorg</w:t>
            </w:r>
            <w:r>
              <w:rPr>
                <w:rFonts w:hint="eastAsia"/>
                <w:color w:val="auto"/>
                <w:lang w:val="en-US" w:eastAsia="zh-CN"/>
              </w:rPr>
              <w:t>核算：</w:t>
            </w:r>
          </w:p>
          <w:p w14:paraId="24804F2C">
            <w:pPr>
              <w:pStyle w:val="5"/>
              <w:bidi w:val="0"/>
              <w:jc w:val="both"/>
              <w:rPr>
                <w:rFonts w:hint="eastAsia"/>
                <w:color w:val="auto"/>
                <w:lang w:val="en-US" w:eastAsia="zh-CN"/>
              </w:rPr>
            </w:pPr>
            <w:r>
              <w:rPr>
                <w:rFonts w:hint="eastAsia"/>
                <w:color w:val="auto"/>
                <w:lang w:val="en-US" w:eastAsia="zh-CN"/>
              </w:rPr>
              <w:t>P</w:t>
            </w:r>
            <w:r>
              <w:rPr>
                <w:rFonts w:hint="eastAsia"/>
                <w:color w:val="auto"/>
                <w:vertAlign w:val="subscript"/>
                <w:lang w:val="en-US" w:eastAsia="zh-CN"/>
              </w:rPr>
              <w:t>unorg</w:t>
            </w:r>
            <w:r>
              <w:rPr>
                <w:rFonts w:hint="eastAsia"/>
                <w:color w:val="auto"/>
                <w:lang w:val="en-US" w:eastAsia="zh-CN"/>
              </w:rPr>
              <w:t>=</w:t>
            </w:r>
            <w:r>
              <w:rPr>
                <w:color w:val="auto"/>
              </w:rPr>
              <w:t>粉尘产生量×</w:t>
            </w:r>
            <w:r>
              <w:rPr>
                <w:rFonts w:hint="eastAsia"/>
                <w:color w:val="auto"/>
                <w:lang w:eastAsia="zh-CN"/>
              </w:rPr>
              <w:t>（</w:t>
            </w:r>
            <w:r>
              <w:rPr>
                <w:color w:val="auto"/>
              </w:rPr>
              <w:t>1-收集效率</w:t>
            </w:r>
            <w:r>
              <w:rPr>
                <w:rFonts w:hint="eastAsia"/>
                <w:color w:val="auto"/>
                <w:lang w:eastAsia="zh-CN"/>
              </w:rPr>
              <w:t>）</w:t>
            </w:r>
            <w:r>
              <w:rPr>
                <w:rFonts w:hint="eastAsia"/>
                <w:color w:val="auto"/>
                <w:lang w:val="en-US" w:eastAsia="zh-CN"/>
              </w:rPr>
              <w:t>=1.5226×0.02=0.0305t/a</w:t>
            </w:r>
          </w:p>
          <w:p w14:paraId="61386282">
            <w:pPr>
              <w:pStyle w:val="5"/>
              <w:bidi w:val="0"/>
              <w:jc w:val="both"/>
              <w:rPr>
                <w:rFonts w:hint="eastAsia"/>
                <w:color w:val="auto"/>
                <w:lang w:val="en-US" w:eastAsia="zh-CN"/>
              </w:rPr>
            </w:pPr>
            <w:r>
              <w:rPr>
                <w:rFonts w:hint="eastAsia"/>
                <w:color w:val="auto"/>
                <w:lang w:val="en-US" w:eastAsia="zh-CN"/>
              </w:rPr>
              <w:t>R</w:t>
            </w:r>
            <w:r>
              <w:rPr>
                <w:rFonts w:hint="eastAsia"/>
                <w:color w:val="auto"/>
                <w:vertAlign w:val="subscript"/>
                <w:lang w:val="en-US" w:eastAsia="zh-CN"/>
              </w:rPr>
              <w:t>unorg</w:t>
            </w:r>
            <w:r>
              <w:rPr>
                <w:rFonts w:hint="eastAsia"/>
                <w:color w:val="auto"/>
                <w:lang w:val="en-US" w:eastAsia="zh-CN"/>
              </w:rPr>
              <w:t>=无组织气体排放量÷总进料时间=0.0305÷422.94=0.000072t/h=0.072kg/h</w:t>
            </w:r>
          </w:p>
          <w:p w14:paraId="3C8CDF94">
            <w:pPr>
              <w:pStyle w:val="5"/>
              <w:bidi w:val="0"/>
              <w:jc w:val="both"/>
              <w:rPr>
                <w:rFonts w:hint="eastAsia"/>
                <w:color w:val="auto"/>
                <w:lang w:val="en-US" w:eastAsia="zh-CN"/>
              </w:rPr>
            </w:pPr>
            <w:r>
              <w:rPr>
                <w:rFonts w:hint="eastAsia"/>
                <w:color w:val="auto"/>
                <w:vertAlign w:val="baseline"/>
                <w:lang w:val="en-US" w:eastAsia="zh-CN"/>
              </w:rPr>
              <w:t>E</w:t>
            </w:r>
            <w:r>
              <w:rPr>
                <w:rFonts w:hint="eastAsia"/>
                <w:color w:val="auto"/>
                <w:vertAlign w:val="subscript"/>
                <w:lang w:val="en-US" w:eastAsia="zh-CN"/>
              </w:rPr>
              <w:t>unorg</w:t>
            </w:r>
            <w:r>
              <w:rPr>
                <w:rFonts w:hint="eastAsia"/>
                <w:color w:val="auto"/>
                <w:lang w:val="en-US" w:eastAsia="zh-CN"/>
              </w:rPr>
              <w:t>=无组织气体产生量=0.0305t/a</w:t>
            </w:r>
          </w:p>
          <w:p w14:paraId="537AD90A">
            <w:pPr>
              <w:pStyle w:val="5"/>
              <w:bidi w:val="0"/>
              <w:jc w:val="both"/>
              <w:rPr>
                <w:rFonts w:hint="eastAsia"/>
                <w:color w:val="auto"/>
                <w:lang w:val="en-US" w:eastAsia="zh-CN"/>
              </w:rPr>
            </w:pPr>
            <w:r>
              <w:rPr>
                <w:rFonts w:hint="eastAsia"/>
                <w:color w:val="auto"/>
                <w:vertAlign w:val="baseline"/>
                <w:lang w:val="en-US" w:eastAsia="zh-CN"/>
              </w:rPr>
              <w:t>R</w:t>
            </w:r>
            <w:r>
              <w:rPr>
                <w:rFonts w:hint="eastAsia"/>
                <w:color w:val="auto"/>
                <w:vertAlign w:val="subscript"/>
                <w:lang w:val="en-US" w:eastAsia="zh-CN"/>
              </w:rPr>
              <w:t>e-unorg</w:t>
            </w:r>
            <w:r>
              <w:rPr>
                <w:rFonts w:hint="eastAsia"/>
                <w:color w:val="auto"/>
                <w:lang w:val="en-US" w:eastAsia="zh-CN"/>
              </w:rPr>
              <w:t>=无组织气体产生速率=0.000072t/h=0.072kg/h</w:t>
            </w:r>
          </w:p>
          <w:p w14:paraId="235350F4">
            <w:pPr>
              <w:pStyle w:val="5"/>
              <w:bidi w:val="0"/>
              <w:jc w:val="both"/>
              <w:rPr>
                <w:rFonts w:hint="eastAsia"/>
                <w:color w:val="auto"/>
                <w:lang w:val="en-US" w:eastAsia="zh-CN"/>
              </w:rPr>
            </w:pPr>
            <w:r>
              <w:rPr>
                <w:rFonts w:hint="eastAsia"/>
                <w:color w:val="auto"/>
                <w:lang w:val="en-US" w:eastAsia="zh-CN"/>
              </w:rPr>
              <w:t>③总进料工作时间计算</w:t>
            </w:r>
          </w:p>
          <w:p w14:paraId="13E52D27">
            <w:pPr>
              <w:jc w:val="both"/>
              <w:rPr>
                <w:rFonts w:hint="default" w:ascii="Times New Roman" w:hAnsi="Times New Roman" w:cs="Times New Roman"/>
                <w:color w:val="auto"/>
              </w:rPr>
            </w:pPr>
            <m:oMathPara>
              <m:oMath>
                <m:r>
                  <m:rPr>
                    <m:nor/>
                  </m:rPr>
                  <w:rPr>
                    <w:rFonts w:hint="default" w:ascii="Times New Roman" w:hAnsi="Times New Roman" w:cs="Times New Roman"/>
                    <w:i/>
                    <w:color w:val="auto"/>
                  </w:rPr>
                  <m:t>N</m:t>
                </m:r>
                <m:r>
                  <m:rPr>
                    <m:nor/>
                    <m:sty m:val="p"/>
                  </m:rPr>
                  <w:rPr>
                    <w:rFonts w:hint="default" w:ascii="Times New Roman" w:hAnsi="Times New Roman" w:cs="Times New Roman"/>
                    <w:b w:val="0"/>
                    <w:i w:val="0"/>
                    <w:color w:val="auto"/>
                  </w:rPr>
                  <m:t>=</m:t>
                </m:r>
                <m:f>
                  <m:fPr>
                    <m:ctrlPr>
                      <w:rPr>
                        <w:rFonts w:hint="default" w:ascii="Cambria Math" w:hAnsi="Cambria Math" w:cs="Times New Roman"/>
                        <w:color w:val="auto"/>
                      </w:rPr>
                    </m:ctrlPr>
                  </m:fPr>
                  <m:num>
                    <m:r>
                      <m:rPr>
                        <m:nor/>
                      </m:rPr>
                      <w:rPr>
                        <w:rFonts w:hint="default" w:ascii="Times New Roman" w:hAnsi="Times New Roman" w:cs="Times New Roman"/>
                        <w:i/>
                        <w:color w:val="auto"/>
                      </w:rPr>
                      <m:t>Q</m:t>
                    </m:r>
                    <m:ctrlPr>
                      <w:rPr>
                        <w:rFonts w:hint="default" w:ascii="Cambria Math" w:hAnsi="Cambria Math" w:cs="Times New Roman"/>
                        <w:color w:val="auto"/>
                      </w:rPr>
                    </m:ctrlPr>
                  </m:num>
                  <m:den>
                    <m:r>
                      <m:rPr>
                        <m:nor/>
                      </m:rPr>
                      <w:rPr>
                        <w:rFonts w:hint="default" w:ascii="Times New Roman" w:hAnsi="Times New Roman" w:cs="Times New Roman"/>
                        <w:i/>
                        <w:color w:val="auto"/>
                      </w:rPr>
                      <m:t>q</m:t>
                    </m:r>
                    <m:ctrlPr>
                      <w:rPr>
                        <w:rFonts w:hint="default" w:ascii="Cambria Math" w:hAnsi="Cambria Math" w:cs="Times New Roman"/>
                        <w:color w:val="auto"/>
                      </w:rPr>
                    </m:ctrlPr>
                  </m:den>
                </m:f>
              </m:oMath>
            </m:oMathPara>
          </w:p>
          <w:p w14:paraId="0A825450">
            <w:pPr>
              <w:jc w:val="both"/>
              <w:rPr>
                <w:rFonts w:hint="default" w:ascii="Times New Roman" w:hAnsi="Times New Roman" w:cs="Times New Roman"/>
                <w:color w:val="auto"/>
              </w:rPr>
            </w:pPr>
            <m:oMathPara>
              <m:oMath>
                <m:r>
                  <m:rPr>
                    <m:nor/>
                  </m:rPr>
                  <w:rPr>
                    <w:rFonts w:hint="default" w:ascii="Times New Roman" w:hAnsi="Times New Roman" w:cs="Times New Roman"/>
                    <w:i/>
                    <w:color w:val="auto"/>
                  </w:rPr>
                  <m:t>T</m:t>
                </m:r>
                <m:r>
                  <m:rPr>
                    <m:nor/>
                    <m:sty m:val="p"/>
                  </m:rPr>
                  <w:rPr>
                    <w:rFonts w:hint="default" w:ascii="Times New Roman" w:hAnsi="Times New Roman" w:cs="Times New Roman"/>
                    <w:b w:val="0"/>
                    <w:i w:val="0"/>
                    <w:color w:val="auto"/>
                  </w:rPr>
                  <m:t>=</m:t>
                </m:r>
                <m:r>
                  <m:rPr>
                    <m:nor/>
                  </m:rPr>
                  <w:rPr>
                    <w:rFonts w:hint="default" w:ascii="Times New Roman" w:hAnsi="Times New Roman" w:cs="Times New Roman"/>
                    <w:i/>
                    <w:color w:val="auto"/>
                  </w:rPr>
                  <m:t>N</m:t>
                </m:r>
                <m:r>
                  <m:rPr>
                    <m:nor/>
                    <m:sty m:val="p"/>
                  </m:rPr>
                  <w:rPr>
                    <w:rFonts w:hint="default" w:ascii="Times New Roman" w:hAnsi="Times New Roman" w:cs="Times New Roman"/>
                    <w:b w:val="0"/>
                    <w:i w:val="0"/>
                    <w:color w:val="auto"/>
                  </w:rPr>
                  <m:t>⋅</m:t>
                </m:r>
                <m:f>
                  <m:fPr>
                    <m:ctrlPr>
                      <w:rPr>
                        <w:rFonts w:hint="default" w:ascii="Cambria Math" w:hAnsi="Cambria Math" w:cs="Times New Roman"/>
                        <w:color w:val="auto"/>
                      </w:rPr>
                    </m:ctrlPr>
                  </m:fPr>
                  <m:num>
                    <m:sSub>
                      <m:sSubPr>
                        <m:ctrlPr>
                          <w:rPr>
                            <w:rFonts w:hint="default" w:ascii="Cambria Math" w:hAnsi="Cambria Math" w:cs="Times New Roman"/>
                            <w:color w:val="auto"/>
                          </w:rPr>
                        </m:ctrlPr>
                      </m:sSubPr>
                      <m:e>
                        <m:r>
                          <m:rPr>
                            <m:nor/>
                          </m:rPr>
                          <w:rPr>
                            <w:rFonts w:hint="default" w:ascii="Times New Roman" w:hAnsi="Times New Roman" w:cs="Times New Roman"/>
                            <w:i/>
                            <w:color w:val="auto"/>
                          </w:rPr>
                          <m:t>t</m:t>
                        </m:r>
                        <m:ctrlPr>
                          <w:rPr>
                            <w:rFonts w:hint="default" w:ascii="Cambria Math" w:hAnsi="Cambria Math" w:cs="Times New Roman"/>
                            <w:color w:val="auto"/>
                          </w:rPr>
                        </m:ctrlPr>
                      </m:e>
                      <m:sub>
                        <m:r>
                          <m:rPr>
                            <m:nor/>
                            <m:sty m:val="p"/>
                          </m:rPr>
                          <w:rPr>
                            <w:rFonts w:hint="default" w:ascii="Times New Roman" w:hAnsi="Times New Roman" w:cs="Times New Roman"/>
                            <w:b w:val="0"/>
                            <w:i w:val="0"/>
                            <w:color w:val="auto"/>
                          </w:rPr>
                          <m:t>0</m:t>
                        </m:r>
                        <m:ctrlPr>
                          <w:rPr>
                            <w:rFonts w:hint="default" w:ascii="Cambria Math" w:hAnsi="Cambria Math" w:cs="Times New Roman"/>
                            <w:color w:val="auto"/>
                          </w:rPr>
                        </m:ctrlPr>
                      </m:sub>
                    </m:sSub>
                    <m:ctrlPr>
                      <w:rPr>
                        <w:rFonts w:hint="default" w:ascii="Cambria Math" w:hAnsi="Cambria Math" w:cs="Times New Roman"/>
                        <w:color w:val="auto"/>
                      </w:rPr>
                    </m:ctrlPr>
                  </m:num>
                  <m:den>
                    <m:r>
                      <m:rPr>
                        <m:nor/>
                        <m:sty m:val="p"/>
                      </m:rPr>
                      <w:rPr>
                        <w:rFonts w:hint="default" w:ascii="Times New Roman" w:hAnsi="Times New Roman" w:cs="Times New Roman"/>
                        <w:b w:val="0"/>
                        <w:i w:val="0"/>
                        <w:color w:val="auto"/>
                      </w:rPr>
                      <m:t>60</m:t>
                    </m:r>
                    <m:ctrlPr>
                      <w:rPr>
                        <w:rFonts w:hint="default" w:ascii="Cambria Math" w:hAnsi="Cambria Math" w:cs="Times New Roman"/>
                        <w:color w:val="auto"/>
                      </w:rPr>
                    </m:ctrlPr>
                  </m:den>
                </m:f>
                <m:r>
                  <m:rPr>
                    <m:nor/>
                    <m:sty m:val="p"/>
                  </m:rPr>
                  <w:rPr>
                    <w:rFonts w:hint="default" w:ascii="Times New Roman" w:hAnsi="Times New Roman" w:cs="Times New Roman"/>
                    <w:b w:val="0"/>
                    <w:i w:val="0"/>
                    <w:color w:val="auto"/>
                  </w:rPr>
                  <m:t>=</m:t>
                </m:r>
                <m:f>
                  <m:fPr>
                    <m:ctrlPr>
                      <w:rPr>
                        <w:rFonts w:hint="default" w:ascii="Cambria Math" w:hAnsi="Cambria Math" w:cs="Times New Roman"/>
                        <w:color w:val="auto"/>
                      </w:rPr>
                    </m:ctrlPr>
                  </m:fPr>
                  <m:num>
                    <m:r>
                      <m:rPr>
                        <m:nor/>
                      </m:rPr>
                      <w:rPr>
                        <w:rFonts w:hint="default" w:ascii="Times New Roman" w:hAnsi="Times New Roman" w:cs="Times New Roman"/>
                        <w:i/>
                        <w:color w:val="auto"/>
                      </w:rPr>
                      <m:t>Q</m:t>
                    </m:r>
                    <m:sSub>
                      <m:sSubPr>
                        <m:ctrlPr>
                          <w:rPr>
                            <w:rFonts w:hint="default" w:ascii="Cambria Math" w:hAnsi="Cambria Math" w:cs="Times New Roman"/>
                            <w:color w:val="auto"/>
                          </w:rPr>
                        </m:ctrlPr>
                      </m:sSubPr>
                      <m:e>
                        <m:r>
                          <m:rPr>
                            <m:nor/>
                          </m:rPr>
                          <w:rPr>
                            <w:rFonts w:hint="default" w:ascii="Times New Roman" w:hAnsi="Times New Roman" w:cs="Times New Roman"/>
                            <w:i/>
                            <w:color w:val="auto"/>
                          </w:rPr>
                          <m:t>t</m:t>
                        </m:r>
                        <m:ctrlPr>
                          <w:rPr>
                            <w:rFonts w:hint="default" w:ascii="Cambria Math" w:hAnsi="Cambria Math" w:cs="Times New Roman"/>
                            <w:color w:val="auto"/>
                          </w:rPr>
                        </m:ctrlPr>
                      </m:e>
                      <m:sub>
                        <m:r>
                          <m:rPr>
                            <m:nor/>
                            <m:sty m:val="p"/>
                          </m:rPr>
                          <w:rPr>
                            <w:rFonts w:hint="default" w:ascii="Times New Roman" w:hAnsi="Times New Roman" w:cs="Times New Roman"/>
                            <w:b w:val="0"/>
                            <w:i w:val="0"/>
                            <w:color w:val="auto"/>
                          </w:rPr>
                          <m:t>0</m:t>
                        </m:r>
                        <m:ctrlPr>
                          <w:rPr>
                            <w:rFonts w:hint="default" w:ascii="Cambria Math" w:hAnsi="Cambria Math" w:cs="Times New Roman"/>
                            <w:color w:val="auto"/>
                          </w:rPr>
                        </m:ctrlPr>
                      </m:sub>
                    </m:sSub>
                    <m:ctrlPr>
                      <w:rPr>
                        <w:rFonts w:hint="default" w:ascii="Cambria Math" w:hAnsi="Cambria Math" w:cs="Times New Roman"/>
                        <w:color w:val="auto"/>
                      </w:rPr>
                    </m:ctrlPr>
                  </m:num>
                  <m:den>
                    <m:r>
                      <m:rPr>
                        <m:nor/>
                        <m:sty m:val="p"/>
                      </m:rPr>
                      <w:rPr>
                        <w:rFonts w:hint="default" w:ascii="Times New Roman" w:hAnsi="Times New Roman" w:cs="Times New Roman"/>
                        <w:b w:val="0"/>
                        <w:i w:val="0"/>
                        <w:color w:val="auto"/>
                      </w:rPr>
                      <m:t>60</m:t>
                    </m:r>
                    <m:r>
                      <m:rPr>
                        <m:nor/>
                      </m:rPr>
                      <w:rPr>
                        <w:rFonts w:hint="default" w:ascii="Times New Roman" w:hAnsi="Times New Roman" w:cs="Times New Roman"/>
                        <w:i/>
                        <w:color w:val="auto"/>
                      </w:rPr>
                      <m:t>q</m:t>
                    </m:r>
                    <m:ctrlPr>
                      <w:rPr>
                        <w:rFonts w:hint="default" w:ascii="Cambria Math" w:hAnsi="Cambria Math" w:cs="Times New Roman"/>
                        <w:color w:val="auto"/>
                      </w:rPr>
                    </m:ctrlPr>
                  </m:den>
                </m:f>
              </m:oMath>
            </m:oMathPara>
          </w:p>
          <w:p w14:paraId="0C1AFDF0">
            <w:pPr>
              <w:jc w:val="both"/>
              <w:rPr>
                <w:rFonts w:hint="default" w:ascii="Times New Roman" w:hAnsi="Times New Roman" w:cs="Times New Roman"/>
                <w:color w:val="auto"/>
              </w:rPr>
            </w:pPr>
            <w:r>
              <w:rPr>
                <w:rFonts w:hint="default" w:ascii="Times New Roman" w:hAnsi="Times New Roman" w:cs="Times New Roman"/>
                <w:color w:val="auto"/>
              </w:rPr>
              <w:t>代入数值计算：</w:t>
            </w:r>
          </w:p>
          <w:p w14:paraId="32D08FD6">
            <w:pPr>
              <w:jc w:val="both"/>
              <w:rPr>
                <w:rFonts w:hint="default" w:ascii="Times New Roman" w:hAnsi="Times New Roman" w:cs="Times New Roman"/>
                <w:color w:val="auto"/>
              </w:rPr>
            </w:pPr>
            <m:oMathPara>
              <m:oMath>
                <m:r>
                  <m:rPr>
                    <m:nor/>
                  </m:rPr>
                  <w:rPr>
                    <w:rFonts w:hint="default" w:ascii="Times New Roman" w:hAnsi="Times New Roman" w:cs="Times New Roman"/>
                    <w:i/>
                    <w:color w:val="auto"/>
                  </w:rPr>
                  <m:t>N</m:t>
                </m:r>
                <m:r>
                  <m:rPr>
                    <m:nor/>
                    <m:sty m:val="p"/>
                  </m:rPr>
                  <w:rPr>
                    <w:rFonts w:hint="default" w:ascii="Times New Roman" w:hAnsi="Times New Roman" w:cs="Times New Roman"/>
                    <w:b w:val="0"/>
                    <w:i w:val="0"/>
                    <w:color w:val="auto"/>
                  </w:rPr>
                  <m:t>=</m:t>
                </m:r>
                <m:f>
                  <m:fPr>
                    <m:ctrlPr>
                      <w:rPr>
                        <w:rFonts w:hint="default" w:ascii="Cambria Math" w:hAnsi="Cambria Math" w:cs="Times New Roman"/>
                        <w:color w:val="auto"/>
                      </w:rPr>
                    </m:ctrlPr>
                  </m:fPr>
                  <m:num>
                    <m:r>
                      <m:rPr>
                        <m:nor/>
                        <m:sty m:val="p"/>
                      </m:rPr>
                      <w:rPr>
                        <w:rFonts w:hint="default" w:ascii="Times New Roman" w:hAnsi="Times New Roman" w:cs="Times New Roman"/>
                        <w:b w:val="0"/>
                        <w:i w:val="0"/>
                        <w:color w:val="auto"/>
                      </w:rPr>
                      <m:t>12688.078</m:t>
                    </m:r>
                    <m:ctrlPr>
                      <w:rPr>
                        <w:rFonts w:hint="default" w:ascii="Cambria Math" w:hAnsi="Cambria Math" w:cs="Times New Roman"/>
                        <w:color w:val="auto"/>
                      </w:rPr>
                    </m:ctrlPr>
                  </m:num>
                  <m:den>
                    <m:r>
                      <m:rPr>
                        <m:nor/>
                        <m:sty m:val="p"/>
                      </m:rPr>
                      <w:rPr>
                        <w:rFonts w:hint="default" w:ascii="Times New Roman" w:hAnsi="Times New Roman" w:cs="Times New Roman"/>
                        <w:b w:val="0"/>
                        <w:i w:val="0"/>
                        <w:color w:val="auto"/>
                      </w:rPr>
                      <m:t>15</m:t>
                    </m:r>
                    <m:ctrlPr>
                      <w:rPr>
                        <w:rFonts w:hint="default" w:ascii="Cambria Math" w:hAnsi="Cambria Math" w:cs="Times New Roman"/>
                        <w:color w:val="auto"/>
                      </w:rPr>
                    </m:ctrlPr>
                  </m:den>
                </m:f>
                <m:r>
                  <m:rPr>
                    <m:nor/>
                    <m:sty m:val="p"/>
                  </m:rPr>
                  <w:rPr>
                    <w:rFonts w:hint="default" w:ascii="Times New Roman" w:hAnsi="Times New Roman" w:cs="Times New Roman"/>
                    <w:b w:val="0"/>
                    <w:i w:val="0"/>
                    <w:color w:val="auto"/>
                  </w:rPr>
                  <m:t>≈845.87 车</m:t>
                </m:r>
              </m:oMath>
            </m:oMathPara>
          </w:p>
          <w:p w14:paraId="5FDA26ED">
            <w:pPr>
              <w:jc w:val="both"/>
              <w:rPr>
                <w:rFonts w:hint="default" w:ascii="Times New Roman" w:hAnsi="Times New Roman" w:cs="Times New Roman"/>
                <w:color w:val="auto"/>
              </w:rPr>
            </w:pPr>
            <m:oMathPara>
              <m:oMath>
                <m:r>
                  <m:rPr>
                    <m:nor/>
                  </m:rPr>
                  <w:rPr>
                    <w:rFonts w:hint="default" w:ascii="Times New Roman" w:hAnsi="Times New Roman" w:cs="Times New Roman"/>
                    <w:i/>
                    <w:color w:val="auto"/>
                  </w:rPr>
                  <m:t>T</m:t>
                </m:r>
                <m:r>
                  <m:rPr>
                    <m:nor/>
                    <m:sty m:val="p"/>
                  </m:rPr>
                  <w:rPr>
                    <w:rFonts w:hint="default" w:ascii="Times New Roman" w:hAnsi="Times New Roman" w:cs="Times New Roman"/>
                    <w:b w:val="0"/>
                    <w:i w:val="0"/>
                    <w:color w:val="auto"/>
                  </w:rPr>
                  <m:t>=845.87×</m:t>
                </m:r>
                <m:f>
                  <m:fPr>
                    <m:ctrlPr>
                      <w:rPr>
                        <w:rFonts w:hint="default" w:ascii="Cambria Math" w:hAnsi="Cambria Math" w:cs="Times New Roman"/>
                        <w:color w:val="auto"/>
                      </w:rPr>
                    </m:ctrlPr>
                  </m:fPr>
                  <m:num>
                    <m:r>
                      <m:rPr>
                        <m:nor/>
                        <m:sty m:val="p"/>
                      </m:rPr>
                      <w:rPr>
                        <w:rFonts w:hint="default" w:ascii="Times New Roman" w:hAnsi="Times New Roman" w:cs="Times New Roman"/>
                        <w:b w:val="0"/>
                        <w:i w:val="0"/>
                        <w:color w:val="auto"/>
                      </w:rPr>
                      <m:t>30</m:t>
                    </m:r>
                    <m:ctrlPr>
                      <w:rPr>
                        <w:rFonts w:hint="default" w:ascii="Cambria Math" w:hAnsi="Cambria Math" w:cs="Times New Roman"/>
                        <w:color w:val="auto"/>
                      </w:rPr>
                    </m:ctrlPr>
                  </m:num>
                  <m:den>
                    <m:r>
                      <m:rPr>
                        <m:nor/>
                        <m:sty m:val="p"/>
                      </m:rPr>
                      <w:rPr>
                        <w:rFonts w:hint="default" w:ascii="Times New Roman" w:hAnsi="Times New Roman" w:cs="Times New Roman"/>
                        <w:b w:val="0"/>
                        <w:i w:val="0"/>
                        <w:color w:val="auto"/>
                      </w:rPr>
                      <m:t>60</m:t>
                    </m:r>
                    <m:ctrlPr>
                      <w:rPr>
                        <w:rFonts w:hint="default" w:ascii="Cambria Math" w:hAnsi="Cambria Math" w:cs="Times New Roman"/>
                        <w:color w:val="auto"/>
                      </w:rPr>
                    </m:ctrlPr>
                  </m:den>
                </m:f>
                <m:r>
                  <m:rPr>
                    <m:nor/>
                    <m:sty m:val="p"/>
                  </m:rPr>
                  <w:rPr>
                    <w:rFonts w:hint="default" w:ascii="Times New Roman" w:hAnsi="Times New Roman" w:cs="Times New Roman"/>
                    <w:b w:val="0"/>
                    <w:i w:val="0"/>
                    <w:color w:val="auto"/>
                  </w:rPr>
                  <m:t>≈422.94 h/a</m:t>
                </m:r>
              </m:oMath>
            </m:oMathPara>
          </w:p>
          <w:p w14:paraId="60D150FF">
            <w:pPr>
              <w:pStyle w:val="5"/>
              <w:jc w:val="left"/>
              <w:rPr>
                <w:rFonts w:hint="eastAsia"/>
                <w:color w:val="auto"/>
                <w:lang w:val="en-US" w:eastAsia="zh-CN"/>
              </w:rPr>
            </w:pPr>
            <w:r>
              <w:rPr>
                <w:rFonts w:hint="eastAsia"/>
                <w:color w:val="auto"/>
                <w:lang w:val="en-US" w:eastAsia="zh-CN"/>
              </w:rPr>
              <w:t>综上，干粉入仓排气排放情况见下表。</w:t>
            </w:r>
          </w:p>
          <w:p w14:paraId="2FA0F6AD">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26</w:t>
            </w:r>
            <w:r>
              <w:rPr>
                <w:color w:val="auto"/>
              </w:rPr>
              <w:fldChar w:fldCharType="end"/>
            </w:r>
            <w:r>
              <w:rPr>
                <w:rFonts w:hint="eastAsia"/>
                <w:color w:val="auto"/>
                <w:lang w:val="en-US" w:eastAsia="zh-CN"/>
              </w:rPr>
              <w:t xml:space="preserve">  干粉入仓排气排放情况表</w:t>
            </w:r>
          </w:p>
          <w:tbl>
            <w:tblPr>
              <w:tblStyle w:val="16"/>
              <w:tblW w:w="7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436"/>
              <w:gridCol w:w="663"/>
              <w:gridCol w:w="871"/>
              <w:gridCol w:w="742"/>
              <w:gridCol w:w="836"/>
              <w:gridCol w:w="1025"/>
              <w:gridCol w:w="651"/>
              <w:gridCol w:w="818"/>
              <w:gridCol w:w="1044"/>
            </w:tblGrid>
            <w:tr w14:paraId="5465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Merge w:val="restart"/>
                  <w:vAlign w:val="center"/>
                </w:tcPr>
                <w:p w14:paraId="6D4B361C">
                  <w:pPr>
                    <w:pStyle w:val="19"/>
                    <w:bidi w:val="0"/>
                    <w:rPr>
                      <w:rFonts w:hint="default"/>
                      <w:color w:val="auto"/>
                      <w:lang w:val="en-US" w:eastAsia="zh-CN"/>
                    </w:rPr>
                  </w:pPr>
                  <w:r>
                    <w:rPr>
                      <w:rFonts w:hint="eastAsia"/>
                      <w:color w:val="auto"/>
                      <w:lang w:val="en-US" w:eastAsia="zh-CN"/>
                    </w:rPr>
                    <w:t>工段</w:t>
                  </w:r>
                </w:p>
              </w:tc>
              <w:tc>
                <w:tcPr>
                  <w:tcW w:w="436" w:type="dxa"/>
                  <w:vMerge w:val="restart"/>
                  <w:vAlign w:val="center"/>
                </w:tcPr>
                <w:p w14:paraId="09511D2F">
                  <w:pPr>
                    <w:pStyle w:val="19"/>
                    <w:bidi w:val="0"/>
                    <w:rPr>
                      <w:rFonts w:hint="default"/>
                      <w:color w:val="auto"/>
                      <w:lang w:val="en-US" w:eastAsia="zh-CN"/>
                    </w:rPr>
                  </w:pPr>
                  <w:r>
                    <w:rPr>
                      <w:rFonts w:hint="eastAsia"/>
                      <w:color w:val="auto"/>
                      <w:lang w:val="en-US" w:eastAsia="zh-CN"/>
                    </w:rPr>
                    <w:t>污染物</w:t>
                  </w:r>
                </w:p>
              </w:tc>
              <w:tc>
                <w:tcPr>
                  <w:tcW w:w="663" w:type="dxa"/>
                  <w:vMerge w:val="restart"/>
                  <w:vAlign w:val="center"/>
                </w:tcPr>
                <w:p w14:paraId="67B144FD">
                  <w:pPr>
                    <w:pStyle w:val="19"/>
                    <w:bidi w:val="0"/>
                    <w:rPr>
                      <w:rFonts w:hint="eastAsia"/>
                      <w:color w:val="auto"/>
                      <w:lang w:val="en-US" w:eastAsia="zh-CN"/>
                    </w:rPr>
                  </w:pPr>
                  <w:r>
                    <w:rPr>
                      <w:rFonts w:hint="eastAsia"/>
                      <w:color w:val="auto"/>
                      <w:lang w:val="en-US" w:eastAsia="zh-CN"/>
                    </w:rPr>
                    <w:t>工作时间</w:t>
                  </w:r>
                </w:p>
                <w:p w14:paraId="0EC913B7">
                  <w:pPr>
                    <w:pStyle w:val="19"/>
                    <w:bidi w:val="0"/>
                    <w:jc w:val="both"/>
                    <w:rPr>
                      <w:rFonts w:hint="default"/>
                      <w:color w:val="auto"/>
                      <w:lang w:val="en-US" w:eastAsia="zh-CN"/>
                    </w:rPr>
                  </w:pPr>
                  <w:r>
                    <w:rPr>
                      <w:rFonts w:hint="eastAsia"/>
                      <w:color w:val="auto"/>
                      <w:lang w:val="en-US" w:eastAsia="zh-CN"/>
                    </w:rPr>
                    <w:t>（h）</w:t>
                  </w:r>
                </w:p>
              </w:tc>
              <w:tc>
                <w:tcPr>
                  <w:tcW w:w="1613" w:type="dxa"/>
                  <w:gridSpan w:val="2"/>
                  <w:vAlign w:val="center"/>
                </w:tcPr>
                <w:p w14:paraId="779F4CA3">
                  <w:pPr>
                    <w:pStyle w:val="19"/>
                    <w:bidi w:val="0"/>
                    <w:rPr>
                      <w:rFonts w:hint="default"/>
                      <w:color w:val="auto"/>
                      <w:lang w:val="en-US" w:eastAsia="zh-CN"/>
                    </w:rPr>
                  </w:pPr>
                  <w:r>
                    <w:rPr>
                      <w:rFonts w:hint="eastAsia"/>
                      <w:color w:val="auto"/>
                      <w:lang w:val="en-US" w:eastAsia="zh-CN"/>
                    </w:rPr>
                    <w:t>产生情况</w:t>
                  </w:r>
                </w:p>
              </w:tc>
              <w:tc>
                <w:tcPr>
                  <w:tcW w:w="836" w:type="dxa"/>
                  <w:vMerge w:val="restart"/>
                  <w:shd w:val="clear" w:color="auto" w:fill="auto"/>
                  <w:vAlign w:val="center"/>
                </w:tcPr>
                <w:p w14:paraId="61CDD85B">
                  <w:pPr>
                    <w:pStyle w:val="19"/>
                    <w:bidi w:val="0"/>
                    <w:rPr>
                      <w:rFonts w:hint="default"/>
                      <w:color w:val="auto"/>
                      <w:lang w:val="en-US" w:eastAsia="zh-CN"/>
                    </w:rPr>
                  </w:pPr>
                  <w:r>
                    <w:rPr>
                      <w:rFonts w:hint="eastAsia"/>
                      <w:color w:val="auto"/>
                    </w:rPr>
                    <w:t>排放方式</w:t>
                  </w:r>
                </w:p>
              </w:tc>
              <w:tc>
                <w:tcPr>
                  <w:tcW w:w="1025" w:type="dxa"/>
                  <w:vMerge w:val="restart"/>
                  <w:vAlign w:val="center"/>
                </w:tcPr>
                <w:p w14:paraId="70EA182D">
                  <w:pPr>
                    <w:pStyle w:val="19"/>
                    <w:bidi w:val="0"/>
                    <w:rPr>
                      <w:rFonts w:hint="default"/>
                      <w:color w:val="auto"/>
                      <w:lang w:val="en-US" w:eastAsia="zh-CN"/>
                    </w:rPr>
                  </w:pPr>
                  <w:r>
                    <w:rPr>
                      <w:rFonts w:hint="eastAsia"/>
                      <w:color w:val="auto"/>
                      <w:lang w:val="en-US" w:eastAsia="zh-CN"/>
                    </w:rPr>
                    <w:t>风机风量</w:t>
                  </w:r>
                </w:p>
              </w:tc>
              <w:tc>
                <w:tcPr>
                  <w:tcW w:w="651" w:type="dxa"/>
                  <w:vMerge w:val="restart"/>
                  <w:vAlign w:val="center"/>
                </w:tcPr>
                <w:p w14:paraId="21FD8B58">
                  <w:pPr>
                    <w:pStyle w:val="19"/>
                    <w:bidi w:val="0"/>
                    <w:rPr>
                      <w:rFonts w:hint="default"/>
                      <w:color w:val="auto"/>
                      <w:lang w:val="en-US" w:eastAsia="zh-CN"/>
                    </w:rPr>
                  </w:pPr>
                  <w:r>
                    <w:rPr>
                      <w:rFonts w:hint="eastAsia"/>
                      <w:color w:val="auto"/>
                      <w:lang w:val="en-US" w:eastAsia="zh-CN"/>
                    </w:rPr>
                    <w:t>除尘效率</w:t>
                  </w:r>
                </w:p>
              </w:tc>
              <w:tc>
                <w:tcPr>
                  <w:tcW w:w="1862" w:type="dxa"/>
                  <w:gridSpan w:val="2"/>
                  <w:vAlign w:val="center"/>
                </w:tcPr>
                <w:p w14:paraId="31662A84">
                  <w:pPr>
                    <w:pStyle w:val="19"/>
                    <w:bidi w:val="0"/>
                    <w:rPr>
                      <w:rFonts w:hint="default"/>
                      <w:color w:val="auto"/>
                      <w:lang w:val="en-US" w:eastAsia="zh-CN"/>
                    </w:rPr>
                  </w:pPr>
                  <w:r>
                    <w:rPr>
                      <w:rFonts w:hint="eastAsia"/>
                      <w:color w:val="auto"/>
                      <w:lang w:val="en-US" w:eastAsia="zh-CN"/>
                    </w:rPr>
                    <w:t>排放情况</w:t>
                  </w:r>
                </w:p>
              </w:tc>
            </w:tr>
            <w:tr w14:paraId="76B2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Merge w:val="continue"/>
                  <w:vAlign w:val="center"/>
                </w:tcPr>
                <w:p w14:paraId="798FA684">
                  <w:pPr>
                    <w:pStyle w:val="19"/>
                    <w:bidi w:val="0"/>
                    <w:rPr>
                      <w:rFonts w:hint="default"/>
                      <w:color w:val="auto"/>
                      <w:lang w:val="en-US" w:eastAsia="zh-CN"/>
                    </w:rPr>
                  </w:pPr>
                </w:p>
              </w:tc>
              <w:tc>
                <w:tcPr>
                  <w:tcW w:w="436" w:type="dxa"/>
                  <w:vMerge w:val="continue"/>
                  <w:shd w:val="clear" w:color="auto" w:fill="auto"/>
                  <w:vAlign w:val="center"/>
                </w:tcPr>
                <w:p w14:paraId="45B9037A">
                  <w:pPr>
                    <w:pStyle w:val="19"/>
                    <w:bidi w:val="0"/>
                    <w:rPr>
                      <w:rFonts w:hint="default"/>
                      <w:color w:val="auto"/>
                      <w:lang w:val="en-US" w:eastAsia="zh-CN"/>
                    </w:rPr>
                  </w:pPr>
                </w:p>
              </w:tc>
              <w:tc>
                <w:tcPr>
                  <w:tcW w:w="663" w:type="dxa"/>
                  <w:vMerge w:val="continue"/>
                  <w:shd w:val="clear" w:color="auto" w:fill="auto"/>
                  <w:vAlign w:val="center"/>
                </w:tcPr>
                <w:p w14:paraId="488DB9DE">
                  <w:pPr>
                    <w:pStyle w:val="19"/>
                    <w:bidi w:val="0"/>
                    <w:rPr>
                      <w:rFonts w:hint="eastAsia"/>
                      <w:color w:val="auto"/>
                    </w:rPr>
                  </w:pPr>
                </w:p>
              </w:tc>
              <w:tc>
                <w:tcPr>
                  <w:tcW w:w="871" w:type="dxa"/>
                  <w:shd w:val="clear" w:color="auto" w:fill="auto"/>
                  <w:vAlign w:val="center"/>
                </w:tcPr>
                <w:p w14:paraId="538E9874">
                  <w:pPr>
                    <w:pStyle w:val="19"/>
                    <w:bidi w:val="0"/>
                    <w:rPr>
                      <w:rFonts w:hint="default"/>
                      <w:color w:val="auto"/>
                      <w:lang w:val="en-US" w:eastAsia="zh-CN"/>
                    </w:rPr>
                  </w:pPr>
                  <w:r>
                    <w:rPr>
                      <w:rFonts w:hint="eastAsia"/>
                      <w:color w:val="auto"/>
                    </w:rPr>
                    <w:t>产生量（</w:t>
                  </w:r>
                  <w:r>
                    <w:rPr>
                      <w:rFonts w:hint="eastAsia"/>
                      <w:color w:val="auto"/>
                      <w:lang w:val="en-US" w:eastAsia="zh-CN"/>
                    </w:rPr>
                    <w:t>t</w:t>
                  </w:r>
                  <w:r>
                    <w:rPr>
                      <w:color w:val="auto"/>
                    </w:rPr>
                    <w:t>/a</w:t>
                  </w:r>
                  <w:r>
                    <w:rPr>
                      <w:rFonts w:hint="eastAsia"/>
                      <w:color w:val="auto"/>
                    </w:rPr>
                    <w:t>）</w:t>
                  </w:r>
                </w:p>
              </w:tc>
              <w:tc>
                <w:tcPr>
                  <w:tcW w:w="742" w:type="dxa"/>
                  <w:shd w:val="clear" w:color="auto" w:fill="auto"/>
                  <w:vAlign w:val="center"/>
                </w:tcPr>
                <w:p w14:paraId="307C6B15">
                  <w:pPr>
                    <w:pStyle w:val="19"/>
                    <w:bidi w:val="0"/>
                    <w:rPr>
                      <w:rFonts w:hint="eastAsia"/>
                      <w:color w:val="auto"/>
                      <w:lang w:val="en-US" w:eastAsia="zh-CN"/>
                    </w:rPr>
                  </w:pPr>
                  <w:r>
                    <w:rPr>
                      <w:rFonts w:hint="eastAsia"/>
                      <w:color w:val="auto"/>
                      <w:lang w:val="en-US" w:eastAsia="zh-CN"/>
                    </w:rPr>
                    <w:t>产生速率</w:t>
                  </w:r>
                </w:p>
                <w:p w14:paraId="30FB306B">
                  <w:pPr>
                    <w:pStyle w:val="19"/>
                    <w:bidi w:val="0"/>
                    <w:rPr>
                      <w:rFonts w:hint="default"/>
                      <w:color w:val="auto"/>
                      <w:lang w:val="en-US" w:eastAsia="zh-CN"/>
                    </w:rPr>
                  </w:pPr>
                  <w:r>
                    <w:rPr>
                      <w:rFonts w:hint="eastAsia"/>
                      <w:color w:val="auto"/>
                      <w:lang w:val="en-US" w:eastAsia="zh-CN"/>
                    </w:rPr>
                    <w:t>(kg/h)</w:t>
                  </w:r>
                </w:p>
              </w:tc>
              <w:tc>
                <w:tcPr>
                  <w:tcW w:w="836" w:type="dxa"/>
                  <w:vMerge w:val="continue"/>
                  <w:shd w:val="clear" w:color="auto" w:fill="auto"/>
                  <w:vAlign w:val="center"/>
                </w:tcPr>
                <w:p w14:paraId="52F1D907">
                  <w:pPr>
                    <w:pStyle w:val="19"/>
                    <w:bidi w:val="0"/>
                    <w:rPr>
                      <w:rFonts w:hint="default"/>
                      <w:color w:val="auto"/>
                      <w:lang w:val="en-US" w:eastAsia="zh-CN"/>
                    </w:rPr>
                  </w:pPr>
                </w:p>
              </w:tc>
              <w:tc>
                <w:tcPr>
                  <w:tcW w:w="1025" w:type="dxa"/>
                  <w:vMerge w:val="continue"/>
                  <w:vAlign w:val="center"/>
                </w:tcPr>
                <w:p w14:paraId="328587AB">
                  <w:pPr>
                    <w:pStyle w:val="19"/>
                    <w:bidi w:val="0"/>
                    <w:rPr>
                      <w:rFonts w:hint="default"/>
                      <w:color w:val="auto"/>
                      <w:lang w:val="en-US" w:eastAsia="zh-CN"/>
                    </w:rPr>
                  </w:pPr>
                </w:p>
              </w:tc>
              <w:tc>
                <w:tcPr>
                  <w:tcW w:w="651" w:type="dxa"/>
                  <w:vMerge w:val="continue"/>
                  <w:vAlign w:val="center"/>
                </w:tcPr>
                <w:p w14:paraId="7EC1315F">
                  <w:pPr>
                    <w:pStyle w:val="19"/>
                    <w:bidi w:val="0"/>
                    <w:rPr>
                      <w:rFonts w:hint="default"/>
                      <w:color w:val="auto"/>
                      <w:lang w:val="en-US" w:eastAsia="zh-CN"/>
                    </w:rPr>
                  </w:pPr>
                </w:p>
              </w:tc>
              <w:tc>
                <w:tcPr>
                  <w:tcW w:w="818" w:type="dxa"/>
                  <w:shd w:val="clear" w:color="auto" w:fill="auto"/>
                  <w:vAlign w:val="center"/>
                </w:tcPr>
                <w:p w14:paraId="0CABED26">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排放量（</w:t>
                  </w:r>
                  <w:r>
                    <w:rPr>
                      <w:rFonts w:hint="eastAsia"/>
                      <w:color w:val="auto"/>
                      <w:lang w:val="en-US" w:eastAsia="zh-CN"/>
                    </w:rPr>
                    <w:t>t</w:t>
                  </w:r>
                  <w:r>
                    <w:rPr>
                      <w:color w:val="auto"/>
                    </w:rPr>
                    <w:t>/a</w:t>
                  </w:r>
                  <w:r>
                    <w:rPr>
                      <w:rFonts w:hint="eastAsia"/>
                      <w:color w:val="auto"/>
                    </w:rPr>
                    <w:t>）</w:t>
                  </w:r>
                </w:p>
              </w:tc>
              <w:tc>
                <w:tcPr>
                  <w:tcW w:w="1044" w:type="dxa"/>
                  <w:shd w:val="clear" w:color="auto" w:fill="auto"/>
                  <w:vAlign w:val="center"/>
                </w:tcPr>
                <w:p w14:paraId="52AF1E36">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排放速率（</w:t>
                  </w:r>
                  <w:r>
                    <w:rPr>
                      <w:color w:val="auto"/>
                    </w:rPr>
                    <w:t>kg/h</w:t>
                  </w:r>
                  <w:r>
                    <w:rPr>
                      <w:rFonts w:hint="eastAsia"/>
                      <w:color w:val="auto"/>
                    </w:rPr>
                    <w:t>）</w:t>
                  </w:r>
                </w:p>
              </w:tc>
            </w:tr>
            <w:tr w14:paraId="0DE2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Merge w:val="restart"/>
                  <w:vAlign w:val="center"/>
                </w:tcPr>
                <w:p w14:paraId="1220230C">
                  <w:pPr>
                    <w:pStyle w:val="19"/>
                    <w:bidi w:val="0"/>
                    <w:rPr>
                      <w:rFonts w:hint="eastAsia"/>
                      <w:color w:val="auto"/>
                      <w:lang w:val="en-US" w:eastAsia="zh-CN"/>
                    </w:rPr>
                  </w:pPr>
                  <w:r>
                    <w:rPr>
                      <w:rFonts w:hint="eastAsia"/>
                      <w:color w:val="auto"/>
                      <w:lang w:val="en-US" w:eastAsia="zh-CN"/>
                    </w:rPr>
                    <w:t>干粉入仓</w:t>
                  </w:r>
                </w:p>
              </w:tc>
              <w:tc>
                <w:tcPr>
                  <w:tcW w:w="436" w:type="dxa"/>
                  <w:vMerge w:val="restart"/>
                  <w:shd w:val="clear" w:color="auto" w:fill="auto"/>
                  <w:vAlign w:val="center"/>
                </w:tcPr>
                <w:p w14:paraId="33EF5DBB">
                  <w:pPr>
                    <w:pStyle w:val="19"/>
                    <w:bidi w:val="0"/>
                    <w:rPr>
                      <w:rFonts w:hint="default"/>
                      <w:color w:val="auto"/>
                      <w:lang w:val="en-US" w:eastAsia="zh-CN"/>
                    </w:rPr>
                  </w:pPr>
                  <w:r>
                    <w:rPr>
                      <w:rFonts w:hint="eastAsia"/>
                      <w:color w:val="auto"/>
                      <w:lang w:val="en-US" w:eastAsia="zh-CN"/>
                    </w:rPr>
                    <w:t>颗粒物</w:t>
                  </w:r>
                </w:p>
              </w:tc>
              <w:tc>
                <w:tcPr>
                  <w:tcW w:w="663" w:type="dxa"/>
                  <w:vMerge w:val="restart"/>
                  <w:shd w:val="clear" w:color="auto" w:fill="auto"/>
                  <w:vAlign w:val="center"/>
                </w:tcPr>
                <w:p w14:paraId="646361D0">
                  <w:pPr>
                    <w:pStyle w:val="19"/>
                    <w:bidi w:val="0"/>
                    <w:rPr>
                      <w:rFonts w:hint="default"/>
                      <w:color w:val="auto"/>
                      <w:lang w:val="en-US" w:eastAsia="zh-CN"/>
                    </w:rPr>
                  </w:pPr>
                  <w:r>
                    <w:rPr>
                      <w:rFonts w:hint="eastAsia"/>
                      <w:color w:val="auto"/>
                      <w:lang w:val="en-US" w:eastAsia="zh-CN"/>
                    </w:rPr>
                    <w:t>422.94</w:t>
                  </w:r>
                </w:p>
              </w:tc>
              <w:tc>
                <w:tcPr>
                  <w:tcW w:w="871" w:type="dxa"/>
                  <w:shd w:val="clear" w:color="auto" w:fill="auto"/>
                  <w:vAlign w:val="center"/>
                </w:tcPr>
                <w:p w14:paraId="47D30924">
                  <w:pPr>
                    <w:pStyle w:val="19"/>
                    <w:bidi w:val="0"/>
                    <w:rPr>
                      <w:rFonts w:hint="default"/>
                      <w:color w:val="auto"/>
                      <w:lang w:val="en-US" w:eastAsia="zh-CN"/>
                    </w:rPr>
                  </w:pPr>
                  <w:r>
                    <w:rPr>
                      <w:rFonts w:hint="eastAsia"/>
                      <w:color w:val="auto"/>
                      <w:lang w:val="en-US" w:eastAsia="zh-CN"/>
                    </w:rPr>
                    <w:t>1.4921</w:t>
                  </w:r>
                </w:p>
              </w:tc>
              <w:tc>
                <w:tcPr>
                  <w:tcW w:w="742" w:type="dxa"/>
                  <w:shd w:val="clear" w:color="auto" w:fill="auto"/>
                  <w:vAlign w:val="center"/>
                </w:tcPr>
                <w:p w14:paraId="6E57B90C">
                  <w:pPr>
                    <w:pStyle w:val="19"/>
                    <w:bidi w:val="0"/>
                    <w:rPr>
                      <w:rFonts w:hint="default"/>
                      <w:color w:val="auto"/>
                      <w:lang w:val="en-US" w:eastAsia="zh-CN"/>
                    </w:rPr>
                  </w:pPr>
                  <w:r>
                    <w:rPr>
                      <w:rFonts w:hint="eastAsia"/>
                      <w:color w:val="auto"/>
                      <w:lang w:val="en-US" w:eastAsia="zh-CN"/>
                    </w:rPr>
                    <w:t>3.528</w:t>
                  </w:r>
                </w:p>
              </w:tc>
              <w:tc>
                <w:tcPr>
                  <w:tcW w:w="836" w:type="dxa"/>
                  <w:shd w:val="clear" w:color="auto" w:fill="auto"/>
                  <w:vAlign w:val="center"/>
                </w:tcPr>
                <w:p w14:paraId="6F09CC98">
                  <w:pPr>
                    <w:pStyle w:val="19"/>
                    <w:bidi w:val="0"/>
                    <w:rPr>
                      <w:rFonts w:hint="default"/>
                      <w:color w:val="auto"/>
                      <w:lang w:val="en-US" w:eastAsia="zh-CN"/>
                    </w:rPr>
                  </w:pPr>
                  <w:r>
                    <w:rPr>
                      <w:rFonts w:hint="eastAsia"/>
                      <w:color w:val="auto"/>
                      <w:lang w:val="en-US" w:eastAsia="zh-CN"/>
                    </w:rPr>
                    <w:t>袋式除尘器处理+20m高排气筒排放</w:t>
                  </w:r>
                </w:p>
              </w:tc>
              <w:tc>
                <w:tcPr>
                  <w:tcW w:w="1025" w:type="dxa"/>
                  <w:vAlign w:val="center"/>
                </w:tcPr>
                <w:p w14:paraId="6FB0B49C">
                  <w:pPr>
                    <w:pStyle w:val="19"/>
                    <w:bidi w:val="0"/>
                    <w:rPr>
                      <w:rFonts w:hint="default"/>
                      <w:color w:val="auto"/>
                      <w:lang w:val="en-US" w:eastAsia="zh-CN"/>
                    </w:rPr>
                  </w:pPr>
                  <w:r>
                    <w:rPr>
                      <w:rFonts w:hint="eastAsia"/>
                      <w:color w:val="auto"/>
                      <w:lang w:val="en-US" w:eastAsia="zh-CN"/>
                    </w:rPr>
                    <w:t>8000m</w:t>
                  </w:r>
                  <w:r>
                    <w:rPr>
                      <w:rFonts w:hint="eastAsia"/>
                      <w:color w:val="auto"/>
                      <w:vertAlign w:val="superscript"/>
                      <w:lang w:val="en-US" w:eastAsia="zh-CN"/>
                    </w:rPr>
                    <w:t>3</w:t>
                  </w:r>
                  <w:r>
                    <w:rPr>
                      <w:rFonts w:hint="eastAsia"/>
                      <w:color w:val="auto"/>
                      <w:lang w:val="en-US" w:eastAsia="zh-CN"/>
                    </w:rPr>
                    <w:t>/h</w:t>
                  </w:r>
                </w:p>
              </w:tc>
              <w:tc>
                <w:tcPr>
                  <w:tcW w:w="651" w:type="dxa"/>
                  <w:vAlign w:val="center"/>
                </w:tcPr>
                <w:p w14:paraId="1CA644B1">
                  <w:pPr>
                    <w:pStyle w:val="19"/>
                    <w:bidi w:val="0"/>
                    <w:rPr>
                      <w:rFonts w:hint="default"/>
                      <w:color w:val="auto"/>
                      <w:lang w:val="en-US" w:eastAsia="zh-CN"/>
                    </w:rPr>
                  </w:pPr>
                  <w:r>
                    <w:rPr>
                      <w:rFonts w:hint="eastAsia"/>
                      <w:color w:val="auto"/>
                      <w:lang w:val="en-US" w:eastAsia="zh-CN"/>
                    </w:rPr>
                    <w:t>99%</w:t>
                  </w:r>
                </w:p>
              </w:tc>
              <w:tc>
                <w:tcPr>
                  <w:tcW w:w="818" w:type="dxa"/>
                  <w:shd w:val="clear" w:color="auto" w:fill="auto"/>
                  <w:vAlign w:val="center"/>
                </w:tcPr>
                <w:p w14:paraId="283C68E1">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0.0149</w:t>
                  </w:r>
                </w:p>
              </w:tc>
              <w:tc>
                <w:tcPr>
                  <w:tcW w:w="1044" w:type="dxa"/>
                  <w:shd w:val="clear" w:color="auto" w:fill="auto"/>
                  <w:vAlign w:val="center"/>
                </w:tcPr>
                <w:p w14:paraId="09355810">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0.0352</w:t>
                  </w:r>
                </w:p>
              </w:tc>
            </w:tr>
            <w:tr w14:paraId="2A76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Merge w:val="continue"/>
                  <w:vAlign w:val="center"/>
                </w:tcPr>
                <w:p w14:paraId="0E30B77C">
                  <w:pPr>
                    <w:pStyle w:val="19"/>
                    <w:bidi w:val="0"/>
                    <w:rPr>
                      <w:rFonts w:hint="eastAsia"/>
                      <w:color w:val="auto"/>
                      <w:lang w:val="en-US" w:eastAsia="zh-CN"/>
                    </w:rPr>
                  </w:pPr>
                </w:p>
              </w:tc>
              <w:tc>
                <w:tcPr>
                  <w:tcW w:w="436" w:type="dxa"/>
                  <w:vMerge w:val="continue"/>
                  <w:shd w:val="clear" w:color="auto" w:fill="auto"/>
                  <w:vAlign w:val="center"/>
                </w:tcPr>
                <w:p w14:paraId="3759EC5F">
                  <w:pPr>
                    <w:pStyle w:val="19"/>
                    <w:bidi w:val="0"/>
                    <w:rPr>
                      <w:rFonts w:hint="eastAsia"/>
                      <w:color w:val="auto"/>
                      <w:lang w:val="en-US" w:eastAsia="zh-CN"/>
                    </w:rPr>
                  </w:pPr>
                </w:p>
              </w:tc>
              <w:tc>
                <w:tcPr>
                  <w:tcW w:w="663" w:type="dxa"/>
                  <w:vMerge w:val="continue"/>
                  <w:shd w:val="clear" w:color="auto" w:fill="auto"/>
                  <w:vAlign w:val="center"/>
                </w:tcPr>
                <w:p w14:paraId="5A997561">
                  <w:pPr>
                    <w:pStyle w:val="19"/>
                    <w:bidi w:val="0"/>
                    <w:rPr>
                      <w:rFonts w:hint="eastAsia"/>
                      <w:color w:val="auto"/>
                      <w:lang w:val="en-US" w:eastAsia="zh-CN"/>
                    </w:rPr>
                  </w:pPr>
                </w:p>
              </w:tc>
              <w:tc>
                <w:tcPr>
                  <w:tcW w:w="871" w:type="dxa"/>
                  <w:shd w:val="clear" w:color="auto" w:fill="auto"/>
                  <w:vAlign w:val="center"/>
                </w:tcPr>
                <w:p w14:paraId="193597D0">
                  <w:pPr>
                    <w:pStyle w:val="19"/>
                    <w:bidi w:val="0"/>
                    <w:rPr>
                      <w:rFonts w:hint="default"/>
                      <w:color w:val="auto"/>
                      <w:lang w:val="en-US" w:eastAsia="zh-CN"/>
                    </w:rPr>
                  </w:pPr>
                  <w:r>
                    <w:rPr>
                      <w:rFonts w:hint="eastAsia"/>
                      <w:color w:val="auto"/>
                      <w:lang w:val="en-US" w:eastAsia="zh-CN"/>
                    </w:rPr>
                    <w:t>0.0305</w:t>
                  </w:r>
                </w:p>
              </w:tc>
              <w:tc>
                <w:tcPr>
                  <w:tcW w:w="742" w:type="dxa"/>
                  <w:shd w:val="clear" w:color="auto" w:fill="auto"/>
                  <w:vAlign w:val="center"/>
                </w:tcPr>
                <w:p w14:paraId="0CE7D3ED">
                  <w:pPr>
                    <w:pStyle w:val="19"/>
                    <w:bidi w:val="0"/>
                    <w:rPr>
                      <w:rFonts w:hint="default"/>
                      <w:color w:val="auto"/>
                      <w:lang w:val="en-US" w:eastAsia="zh-CN"/>
                    </w:rPr>
                  </w:pPr>
                  <w:r>
                    <w:rPr>
                      <w:rFonts w:hint="eastAsia"/>
                      <w:color w:val="auto"/>
                      <w:lang w:val="en-US" w:eastAsia="zh-CN"/>
                    </w:rPr>
                    <w:t>0.072</w:t>
                  </w:r>
                </w:p>
              </w:tc>
              <w:tc>
                <w:tcPr>
                  <w:tcW w:w="836" w:type="dxa"/>
                  <w:shd w:val="clear" w:color="auto" w:fill="auto"/>
                  <w:vAlign w:val="center"/>
                </w:tcPr>
                <w:p w14:paraId="35DC24D4">
                  <w:pPr>
                    <w:pStyle w:val="19"/>
                    <w:bidi w:val="0"/>
                    <w:rPr>
                      <w:rFonts w:hint="default"/>
                      <w:color w:val="auto"/>
                      <w:lang w:val="en-US" w:eastAsia="zh-CN"/>
                    </w:rPr>
                  </w:pPr>
                  <w:r>
                    <w:rPr>
                      <w:rFonts w:hint="eastAsia"/>
                      <w:color w:val="auto"/>
                      <w:lang w:val="en-US" w:eastAsia="zh-CN"/>
                    </w:rPr>
                    <w:t>无组织排放</w:t>
                  </w:r>
                </w:p>
              </w:tc>
              <w:tc>
                <w:tcPr>
                  <w:tcW w:w="1025" w:type="dxa"/>
                  <w:vAlign w:val="center"/>
                </w:tcPr>
                <w:p w14:paraId="2A0A41A8">
                  <w:pPr>
                    <w:pStyle w:val="19"/>
                    <w:bidi w:val="0"/>
                    <w:rPr>
                      <w:rFonts w:hint="default"/>
                      <w:color w:val="auto"/>
                      <w:lang w:val="en-US" w:eastAsia="zh-CN"/>
                    </w:rPr>
                  </w:pPr>
                  <w:r>
                    <w:rPr>
                      <w:rFonts w:hint="eastAsia"/>
                      <w:color w:val="auto"/>
                      <w:lang w:val="en-US" w:eastAsia="zh-CN"/>
                    </w:rPr>
                    <w:t>/</w:t>
                  </w:r>
                </w:p>
              </w:tc>
              <w:tc>
                <w:tcPr>
                  <w:tcW w:w="651" w:type="dxa"/>
                  <w:vAlign w:val="center"/>
                </w:tcPr>
                <w:p w14:paraId="1F3BF25C">
                  <w:pPr>
                    <w:pStyle w:val="19"/>
                    <w:bidi w:val="0"/>
                    <w:rPr>
                      <w:rFonts w:hint="default"/>
                      <w:color w:val="auto"/>
                      <w:lang w:val="en-US" w:eastAsia="zh-CN"/>
                    </w:rPr>
                  </w:pPr>
                  <w:r>
                    <w:rPr>
                      <w:rFonts w:hint="eastAsia"/>
                      <w:color w:val="auto"/>
                      <w:lang w:val="en-US" w:eastAsia="zh-CN"/>
                    </w:rPr>
                    <w:t>/</w:t>
                  </w:r>
                </w:p>
              </w:tc>
              <w:tc>
                <w:tcPr>
                  <w:tcW w:w="818" w:type="dxa"/>
                  <w:shd w:val="clear" w:color="auto" w:fill="auto"/>
                  <w:vAlign w:val="center"/>
                </w:tcPr>
                <w:p w14:paraId="3C17F62D">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0.0305</w:t>
                  </w:r>
                </w:p>
              </w:tc>
              <w:tc>
                <w:tcPr>
                  <w:tcW w:w="1044" w:type="dxa"/>
                  <w:shd w:val="clear" w:color="auto" w:fill="auto"/>
                  <w:vAlign w:val="center"/>
                </w:tcPr>
                <w:p w14:paraId="15E38295">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0.072</w:t>
                  </w:r>
                </w:p>
              </w:tc>
            </w:tr>
          </w:tbl>
          <w:p w14:paraId="455A7790">
            <w:pPr>
              <w:pStyle w:val="20"/>
              <w:bidi w:val="0"/>
              <w:jc w:val="both"/>
              <w:rPr>
                <w:rFonts w:hint="default"/>
                <w:color w:val="auto"/>
                <w:lang w:val="en-US" w:eastAsia="zh-CN"/>
              </w:rPr>
            </w:pPr>
          </w:p>
          <w:p w14:paraId="46F57C23">
            <w:pPr>
              <w:pStyle w:val="5"/>
              <w:jc w:val="both"/>
              <w:rPr>
                <w:rFonts w:hint="default"/>
                <w:color w:val="auto"/>
                <w:lang w:val="en-US" w:eastAsia="zh-CN"/>
              </w:rPr>
            </w:pPr>
            <w:r>
              <w:rPr>
                <w:rFonts w:hint="eastAsia"/>
                <w:color w:val="auto"/>
                <w:lang w:val="en-US" w:eastAsia="zh-CN"/>
              </w:rPr>
              <w:t>由上表可知：</w:t>
            </w:r>
          </w:p>
          <w:p w14:paraId="378C06CC">
            <w:pPr>
              <w:pStyle w:val="5"/>
              <w:jc w:val="both"/>
              <w:rPr>
                <w:rFonts w:hint="eastAsia"/>
                <w:color w:val="auto"/>
                <w:vertAlign w:val="superscript"/>
                <w:lang w:val="en-US" w:eastAsia="zh-CN"/>
              </w:rPr>
            </w:pPr>
            <w:r>
              <w:rPr>
                <w:rFonts w:hint="eastAsia"/>
                <w:color w:val="auto"/>
                <w:lang w:val="en-US" w:eastAsia="zh-CN"/>
              </w:rPr>
              <w:t>入口粉尘浓度=有组织气体产生速率÷风机风量=3.528÷8000=0.000441kg/m³=441mg/m³</w:t>
            </w:r>
          </w:p>
          <w:p w14:paraId="2D669C86">
            <w:pPr>
              <w:pStyle w:val="5"/>
              <w:jc w:val="both"/>
              <w:rPr>
                <w:rFonts w:hint="default"/>
                <w:color w:val="auto"/>
                <w:vertAlign w:val="baseline"/>
                <w:lang w:val="en-US" w:eastAsia="zh-CN"/>
              </w:rPr>
            </w:pPr>
            <w:r>
              <w:rPr>
                <w:rFonts w:hint="eastAsia"/>
                <w:color w:val="auto"/>
                <w:vertAlign w:val="baseline"/>
                <w:lang w:val="en-US" w:eastAsia="zh-CN"/>
              </w:rPr>
              <w:t>除尘后排放浓度=441×0.01=4.41</w:t>
            </w:r>
            <w:r>
              <w:rPr>
                <w:rFonts w:hint="eastAsia"/>
                <w:color w:val="auto"/>
                <w:lang w:val="en-US" w:eastAsia="zh-CN"/>
              </w:rPr>
              <w:t>mg/m</w:t>
            </w:r>
            <w:r>
              <w:rPr>
                <w:rFonts w:hint="eastAsia"/>
                <w:color w:val="auto"/>
                <w:vertAlign w:val="superscript"/>
                <w:lang w:val="en-US" w:eastAsia="zh-CN"/>
              </w:rPr>
              <w:t>3</w:t>
            </w:r>
          </w:p>
          <w:p w14:paraId="5CF06DB2">
            <w:pPr>
              <w:pStyle w:val="5"/>
              <w:jc w:val="both"/>
              <w:rPr>
                <w:rFonts w:hint="default"/>
                <w:color w:val="auto"/>
                <w:vertAlign w:val="superscript"/>
                <w:lang w:val="en-US"/>
              </w:rPr>
            </w:pPr>
            <w:r>
              <w:rPr>
                <w:rFonts w:hint="eastAsia"/>
                <w:color w:val="auto"/>
                <w:lang w:val="en-US" w:eastAsia="zh-CN"/>
              </w:rPr>
              <w:t>根据</w:t>
            </w:r>
            <w:r>
              <w:rPr>
                <w:rFonts w:hint="eastAsia" w:ascii="宋体" w:hAnsi="宋体" w:cs="宋体"/>
                <w:color w:val="auto"/>
                <w:kern w:val="0"/>
                <w:sz w:val="24"/>
                <w:szCs w:val="24"/>
                <w:lang w:val="en-US" w:eastAsia="zh-CN" w:bidi="ar"/>
              </w:rPr>
              <w:t>《水泥工业大气污染物排放标准》（GB 4915-2013，含2025年修改单）</w:t>
            </w:r>
            <w:r>
              <w:rPr>
                <w:rFonts w:hint="eastAsia" w:ascii="宋体" w:hAnsi="宋体" w:eastAsia="宋体" w:cs="宋体"/>
                <w:color w:val="auto"/>
                <w:kern w:val="0"/>
                <w:sz w:val="24"/>
                <w:szCs w:val="24"/>
                <w:lang w:val="en-US" w:eastAsia="zh-CN" w:bidi="ar"/>
              </w:rPr>
              <w:t>表</w:t>
            </w:r>
            <w:r>
              <w:rPr>
                <w:rFonts w:hint="default" w:ascii="Times New Roman" w:hAnsi="Times New Roman" w:eastAsia="宋体" w:cs="Times New Roman"/>
                <w:color w:val="auto"/>
                <w:kern w:val="0"/>
                <w:sz w:val="24"/>
                <w:szCs w:val="24"/>
                <w:lang w:val="en-US" w:eastAsia="zh-CN" w:bidi="ar"/>
              </w:rPr>
              <w:t>1破碎机、磨机、包装机及其他通风生产设备</w:t>
            </w:r>
            <w:r>
              <w:rPr>
                <w:rFonts w:hint="eastAsia" w:ascii="宋体" w:hAnsi="宋体" w:eastAsia="宋体" w:cs="宋体"/>
                <w:color w:val="auto"/>
                <w:kern w:val="0"/>
                <w:sz w:val="24"/>
                <w:szCs w:val="24"/>
                <w:lang w:val="en-US" w:eastAsia="zh-CN" w:bidi="ar"/>
              </w:rPr>
              <w:t>颗粒物有组织最高允许排放浓度为</w:t>
            </w:r>
            <w:r>
              <w:rPr>
                <w:rFonts w:hint="default" w:ascii="Times New Roman" w:hAnsi="Times New Roman" w:cs="Times New Roman"/>
                <w:color w:val="auto"/>
                <w:kern w:val="0"/>
                <w:sz w:val="24"/>
                <w:szCs w:val="24"/>
                <w:lang w:val="en-US" w:eastAsia="zh-CN" w:bidi="ar"/>
              </w:rPr>
              <w:t>2</w:t>
            </w:r>
            <w:r>
              <w:rPr>
                <w:rFonts w:hint="default" w:ascii="Times New Roman" w:hAnsi="Times New Roman" w:eastAsia="宋体" w:cs="Times New Roman"/>
                <w:color w:val="auto"/>
                <w:kern w:val="0"/>
                <w:sz w:val="24"/>
                <w:szCs w:val="24"/>
                <w:lang w:val="en-US" w:eastAsia="zh-CN" w:bidi="ar"/>
              </w:rPr>
              <w:t>0mg/m</w:t>
            </w:r>
            <w:r>
              <w:rPr>
                <w:rFonts w:hint="eastAsia"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eastAsia="宋体" w:cs="Times New Roman"/>
                <w:color w:val="auto"/>
                <w:kern w:val="0"/>
                <w:sz w:val="24"/>
                <w:szCs w:val="24"/>
                <w:vertAlign w:val="baseline"/>
                <w:lang w:val="en-US" w:eastAsia="zh-CN" w:bidi="ar"/>
              </w:rPr>
              <w:t>，本项目的排放浓度</w:t>
            </w:r>
            <w:r>
              <w:rPr>
                <w:rFonts w:hint="eastAsia" w:cs="Times New Roman"/>
                <w:color w:val="auto"/>
                <w:kern w:val="0"/>
                <w:sz w:val="24"/>
                <w:szCs w:val="24"/>
                <w:vertAlign w:val="baseline"/>
                <w:lang w:val="en-US" w:eastAsia="zh-CN" w:bidi="ar"/>
              </w:rPr>
              <w:t>满足要求。</w:t>
            </w:r>
          </w:p>
          <w:p w14:paraId="0A83A0C1">
            <w:pPr>
              <w:pStyle w:val="6"/>
              <w:bidi w:val="0"/>
              <w:rPr>
                <w:rFonts w:hint="default"/>
                <w:color w:val="auto"/>
                <w:lang w:val="en-US" w:eastAsia="zh-CN"/>
              </w:rPr>
            </w:pPr>
            <w:r>
              <w:rPr>
                <w:rFonts w:hint="eastAsia"/>
                <w:color w:val="auto"/>
                <w:lang w:val="en-US" w:eastAsia="zh-CN"/>
              </w:rPr>
              <w:t>复合制板及养护废气</w:t>
            </w:r>
          </w:p>
          <w:p w14:paraId="4EA0D70C">
            <w:pPr>
              <w:pStyle w:val="5"/>
              <w:jc w:val="both"/>
              <w:rPr>
                <w:rFonts w:hint="eastAsia"/>
                <w:color w:val="auto"/>
                <w:lang w:val="en-US" w:eastAsia="zh-CN"/>
              </w:rPr>
            </w:pPr>
            <w:r>
              <w:rPr>
                <w:rFonts w:hint="default"/>
                <w:color w:val="auto"/>
                <w:lang w:val="en-US" w:eastAsia="zh-CN"/>
              </w:rPr>
              <w:t>项目背衬板的复合制板和养护工序（20~35℃）会产生废气，</w:t>
            </w:r>
            <w:r>
              <w:rPr>
                <w:rFonts w:hint="eastAsia"/>
                <w:color w:val="auto"/>
                <w:lang w:val="en-US" w:eastAsia="zh-CN"/>
              </w:rPr>
              <w:t>主要成分为非甲烷总烃。根据工程分析，复合制板过程中，巴斯夫乳液（水性醋酸乙烯酯-乙烯共聚物乳液）的使用量为1000t/a，其中的挥发性有机物会随温度升高逐渐释放；养护阶段在20~35℃的环境下，未完全反应的残留单体及少量助剂也会缓慢挥发。</w:t>
            </w:r>
          </w:p>
          <w:p w14:paraId="4A007FD5">
            <w:pPr>
              <w:pStyle w:val="5"/>
              <w:jc w:val="both"/>
              <w:rPr>
                <w:rFonts w:hint="eastAsia"/>
                <w:color w:val="auto"/>
                <w:lang w:val="en-US" w:eastAsia="zh-CN"/>
              </w:rPr>
            </w:pPr>
            <w:r>
              <w:rPr>
                <w:rFonts w:hint="eastAsia"/>
                <w:color w:val="auto"/>
                <w:lang w:val="en-US" w:eastAsia="zh-CN"/>
              </w:rPr>
              <w:t>为有效控制此类废气排放，项目拟在复合制板机上方设置集气罩（集气罩收集率95%），将产生的废气收集后，通过冷却除湿装置控制废气相对湿度至60%以下，以减少水蒸气对活性炭吸附性能的影响，确保活性炭装置长期稳定运行。预处理后废气进入二级活性炭吸附装置TA002进行处理，处理后的废气经20m高排气筒DA002排放。设计风机风量为20000m³/h，活性炭吸附效率按设计值90%计；换炭周期按二级共填2.85t、每3个月更换一次核算，年消耗新炭11.4t，对应工作吸附率取值为0.075。根据《水性瓷砖粘合剂产品安全数据表及相关研究》论文及《新疆乾昌业新型建材有限公司新型环保防水背衬板项目可行性研究报告》，残留VOCs含量&lt;0.1%（考虑残留单体醋酸乙烯酯单体&lt;0.1%）。</w:t>
            </w:r>
          </w:p>
          <w:p w14:paraId="5858830F">
            <w:pPr>
              <w:pStyle w:val="5"/>
              <w:jc w:val="both"/>
              <w:rPr>
                <w:rFonts w:hint="eastAsia"/>
                <w:color w:val="auto"/>
                <w:vertAlign w:val="baseline"/>
                <w:lang w:val="en-US" w:eastAsia="zh-CN"/>
              </w:rPr>
            </w:pPr>
            <w:r>
              <w:rPr>
                <w:rFonts w:hint="eastAsia"/>
                <w:color w:val="auto"/>
                <w:lang w:val="en-US" w:eastAsia="zh-CN"/>
              </w:rPr>
              <w:t>Q</w:t>
            </w:r>
            <w:r>
              <w:rPr>
                <w:rFonts w:hint="eastAsia"/>
                <w:color w:val="auto"/>
                <w:vertAlign w:val="subscript"/>
                <w:lang w:val="en-US" w:eastAsia="zh-CN"/>
              </w:rPr>
              <w:t>非甲烷总烃产生量</w:t>
            </w:r>
            <w:r>
              <w:rPr>
                <w:rFonts w:hint="eastAsia"/>
                <w:color w:val="auto"/>
                <w:vertAlign w:val="baseline"/>
                <w:lang w:val="en-US" w:eastAsia="zh-CN"/>
              </w:rPr>
              <w:t>=乳液使用量×VOCs含量×挥发率=1000×0.001×1=1t/a</w:t>
            </w:r>
          </w:p>
          <w:p w14:paraId="2A79F58D">
            <w:pPr>
              <w:pStyle w:val="5"/>
              <w:jc w:val="both"/>
              <w:rPr>
                <w:rFonts w:hint="eastAsia"/>
                <w:color w:val="auto"/>
                <w:vertAlign w:val="baseline"/>
                <w:lang w:val="en-US" w:eastAsia="zh-CN"/>
              </w:rPr>
            </w:pPr>
            <w:r>
              <w:rPr>
                <w:rFonts w:hint="eastAsia"/>
                <w:color w:val="auto"/>
                <w:vertAlign w:val="baseline"/>
                <w:lang w:val="en-US" w:eastAsia="zh-CN"/>
              </w:rPr>
              <w:t>R</w:t>
            </w:r>
            <w:r>
              <w:rPr>
                <w:rFonts w:hint="eastAsia"/>
                <w:color w:val="auto"/>
                <w:vertAlign w:val="subscript"/>
                <w:lang w:val="en-US" w:eastAsia="zh-CN"/>
              </w:rPr>
              <w:t>非甲烷总烃产生速率</w:t>
            </w:r>
            <w:r>
              <w:rPr>
                <w:rFonts w:hint="eastAsia"/>
                <w:color w:val="auto"/>
                <w:vertAlign w:val="baseline"/>
                <w:lang w:val="en-US" w:eastAsia="zh-CN"/>
              </w:rPr>
              <w:t>=非甲烷总烃产生量÷年操作时间=1÷2400=0.000417=0.417kg/h</w:t>
            </w:r>
          </w:p>
          <w:p w14:paraId="42ADCBEC">
            <w:pPr>
              <w:pStyle w:val="5"/>
              <w:bidi w:val="0"/>
              <w:jc w:val="both"/>
              <w:rPr>
                <w:rFonts w:hint="eastAsia"/>
                <w:color w:val="auto"/>
                <w:lang w:val="en-US" w:eastAsia="zh-CN"/>
              </w:rPr>
            </w:pPr>
            <w:r>
              <w:rPr>
                <w:rFonts w:hint="eastAsia"/>
                <w:color w:val="auto"/>
                <w:lang w:val="en-US" w:eastAsia="zh-CN"/>
              </w:rPr>
              <w:t>①有组织气体产生量P</w:t>
            </w:r>
            <w:r>
              <w:rPr>
                <w:rFonts w:hint="eastAsia"/>
                <w:color w:val="auto"/>
                <w:vertAlign w:val="subscript"/>
                <w:lang w:val="en-US" w:eastAsia="zh-CN"/>
              </w:rPr>
              <w:t>org</w:t>
            </w:r>
            <w:r>
              <w:rPr>
                <w:rFonts w:hint="eastAsia"/>
                <w:color w:val="auto"/>
                <w:vertAlign w:val="baseline"/>
                <w:lang w:val="en-US" w:eastAsia="zh-CN"/>
              </w:rPr>
              <w:t>、</w:t>
            </w:r>
            <w:r>
              <w:rPr>
                <w:rFonts w:hint="eastAsia"/>
                <w:color w:val="auto"/>
                <w:lang w:val="en-US" w:eastAsia="zh-CN"/>
              </w:rPr>
              <w:t>产生速率R</w:t>
            </w:r>
            <w:r>
              <w:rPr>
                <w:rFonts w:hint="eastAsia"/>
                <w:color w:val="auto"/>
                <w:vertAlign w:val="subscript"/>
                <w:lang w:val="en-US" w:eastAsia="zh-CN"/>
              </w:rPr>
              <w:t>org</w:t>
            </w:r>
            <w:r>
              <w:rPr>
                <w:rFonts w:hint="eastAsia"/>
                <w:color w:val="auto"/>
                <w:vertAlign w:val="baseline"/>
                <w:lang w:val="en-US" w:eastAsia="zh-CN"/>
              </w:rPr>
              <w:t>、排放量E</w:t>
            </w:r>
            <w:r>
              <w:rPr>
                <w:rFonts w:hint="eastAsia"/>
                <w:color w:val="auto"/>
                <w:vertAlign w:val="subscript"/>
                <w:lang w:val="en-US" w:eastAsia="zh-CN"/>
              </w:rPr>
              <w:t>org</w:t>
            </w:r>
            <w:r>
              <w:rPr>
                <w:rFonts w:hint="eastAsia"/>
                <w:color w:val="auto"/>
                <w:vertAlign w:val="baseline"/>
                <w:lang w:val="en-US" w:eastAsia="zh-CN"/>
              </w:rPr>
              <w:t>及排放速率R</w:t>
            </w:r>
            <w:r>
              <w:rPr>
                <w:rFonts w:hint="eastAsia"/>
                <w:color w:val="auto"/>
                <w:vertAlign w:val="subscript"/>
                <w:lang w:val="en-US" w:eastAsia="zh-CN"/>
              </w:rPr>
              <w:t>e-org</w:t>
            </w:r>
            <w:r>
              <w:rPr>
                <w:rFonts w:hint="eastAsia"/>
                <w:color w:val="auto"/>
                <w:lang w:val="en-US" w:eastAsia="zh-CN"/>
              </w:rPr>
              <w:t>核算：</w:t>
            </w:r>
          </w:p>
          <w:p w14:paraId="73DD6B45">
            <w:pPr>
              <w:pStyle w:val="5"/>
              <w:jc w:val="both"/>
              <w:rPr>
                <w:rFonts w:hint="eastAsia"/>
                <w:color w:val="auto"/>
                <w:vertAlign w:val="baseline"/>
                <w:lang w:val="en-US" w:eastAsia="zh-CN"/>
              </w:rPr>
            </w:pPr>
            <w:r>
              <w:rPr>
                <w:rFonts w:hint="eastAsia"/>
                <w:color w:val="auto"/>
                <w:vertAlign w:val="baseline"/>
                <w:lang w:val="en-US" w:eastAsia="zh-CN"/>
              </w:rPr>
              <w:t>Porg=NMHC产生量×收集效率=1×0.95=0.95t/a</w:t>
            </w:r>
          </w:p>
          <w:p w14:paraId="6724812B">
            <w:pPr>
              <w:pStyle w:val="5"/>
              <w:jc w:val="both"/>
              <w:rPr>
                <w:rFonts w:hint="eastAsia"/>
                <w:color w:val="auto"/>
                <w:vertAlign w:val="baseline"/>
                <w:lang w:val="en-US" w:eastAsia="zh-CN"/>
              </w:rPr>
            </w:pPr>
            <w:r>
              <w:rPr>
                <w:rFonts w:hint="eastAsia"/>
                <w:color w:val="auto"/>
                <w:vertAlign w:val="baseline"/>
                <w:lang w:val="en-US" w:eastAsia="zh-CN"/>
              </w:rPr>
              <w:t>Rorg=有组织气体产生量÷年操作时间=0.95/2400=0.000396t/h=0.396kg/h</w:t>
            </w:r>
          </w:p>
          <w:p w14:paraId="17F81216">
            <w:pPr>
              <w:pStyle w:val="5"/>
              <w:jc w:val="both"/>
              <w:rPr>
                <w:rFonts w:hint="eastAsia"/>
                <w:color w:val="auto"/>
                <w:vertAlign w:val="baseline"/>
                <w:lang w:val="en-US" w:eastAsia="zh-CN"/>
              </w:rPr>
            </w:pPr>
            <w:r>
              <w:rPr>
                <w:rFonts w:hint="eastAsia"/>
                <w:color w:val="auto"/>
                <w:vertAlign w:val="baseline"/>
                <w:lang w:val="en-US" w:eastAsia="zh-CN"/>
              </w:rPr>
              <w:t>Eorg=有组织气体产生量×（1-吸附效率）=0.95×（1-0.90）=0.095t/a</w:t>
            </w:r>
          </w:p>
          <w:p w14:paraId="4F812E72">
            <w:pPr>
              <w:pStyle w:val="5"/>
              <w:jc w:val="both"/>
              <w:rPr>
                <w:rFonts w:hint="eastAsia"/>
                <w:color w:val="auto"/>
                <w:vertAlign w:val="baseline"/>
                <w:lang w:val="en-US" w:eastAsia="zh-CN"/>
              </w:rPr>
            </w:pPr>
            <w:r>
              <w:rPr>
                <w:rFonts w:hint="eastAsia"/>
                <w:color w:val="auto"/>
                <w:vertAlign w:val="baseline"/>
                <w:lang w:val="en-US" w:eastAsia="zh-CN"/>
              </w:rPr>
              <w:t>Re-org=有组织气体排放量÷年操作时间=0.095÷2400=0.0000396t/h=0.0396kg/h</w:t>
            </w:r>
          </w:p>
          <w:p w14:paraId="1FB865B5">
            <w:pPr>
              <w:pStyle w:val="5"/>
              <w:bidi w:val="0"/>
              <w:jc w:val="both"/>
              <w:rPr>
                <w:rFonts w:hint="eastAsia"/>
                <w:color w:val="auto"/>
                <w:lang w:val="en-US" w:eastAsia="zh-CN"/>
              </w:rPr>
            </w:pPr>
            <w:r>
              <w:rPr>
                <w:rFonts w:hint="eastAsia" w:ascii="Times New Roman" w:hAnsi="Times New Roman" w:eastAsia="宋体" w:cs="Times New Roman"/>
                <w:color w:val="auto"/>
                <w:sz w:val="24"/>
                <w:szCs w:val="24"/>
                <w:lang w:val="en-US" w:eastAsia="zh-CN"/>
              </w:rPr>
              <w:t>②无</w:t>
            </w:r>
            <w:r>
              <w:rPr>
                <w:rFonts w:hint="eastAsia"/>
                <w:color w:val="auto"/>
                <w:lang w:val="en-US" w:eastAsia="zh-CN"/>
              </w:rPr>
              <w:t>组织气体产生量P</w:t>
            </w:r>
            <w:r>
              <w:rPr>
                <w:rFonts w:hint="eastAsia"/>
                <w:color w:val="auto"/>
                <w:vertAlign w:val="subscript"/>
                <w:lang w:val="en-US" w:eastAsia="zh-CN"/>
              </w:rPr>
              <w:t>unorg</w:t>
            </w:r>
            <w:r>
              <w:rPr>
                <w:rFonts w:hint="eastAsia"/>
                <w:color w:val="auto"/>
                <w:vertAlign w:val="baseline"/>
                <w:lang w:val="en-US" w:eastAsia="zh-CN"/>
              </w:rPr>
              <w:t>、</w:t>
            </w:r>
            <w:r>
              <w:rPr>
                <w:rFonts w:hint="eastAsia"/>
                <w:color w:val="auto"/>
                <w:lang w:val="en-US" w:eastAsia="zh-CN"/>
              </w:rPr>
              <w:t>产生速率R</w:t>
            </w:r>
            <w:r>
              <w:rPr>
                <w:rFonts w:hint="eastAsia"/>
                <w:color w:val="auto"/>
                <w:vertAlign w:val="subscript"/>
                <w:lang w:val="en-US" w:eastAsia="zh-CN"/>
              </w:rPr>
              <w:t>unorg</w:t>
            </w:r>
            <w:r>
              <w:rPr>
                <w:rFonts w:hint="eastAsia"/>
                <w:color w:val="auto"/>
                <w:vertAlign w:val="baseline"/>
                <w:lang w:val="en-US" w:eastAsia="zh-CN"/>
              </w:rPr>
              <w:t>、排放量E</w:t>
            </w:r>
            <w:r>
              <w:rPr>
                <w:rFonts w:hint="eastAsia"/>
                <w:color w:val="auto"/>
                <w:vertAlign w:val="subscript"/>
                <w:lang w:val="en-US" w:eastAsia="zh-CN"/>
              </w:rPr>
              <w:t>unorg</w:t>
            </w:r>
            <w:r>
              <w:rPr>
                <w:rFonts w:hint="eastAsia"/>
                <w:color w:val="auto"/>
                <w:vertAlign w:val="baseline"/>
                <w:lang w:val="en-US" w:eastAsia="zh-CN"/>
              </w:rPr>
              <w:t>及排放速率R</w:t>
            </w:r>
            <w:r>
              <w:rPr>
                <w:rFonts w:hint="eastAsia"/>
                <w:color w:val="auto"/>
                <w:vertAlign w:val="subscript"/>
                <w:lang w:val="en-US" w:eastAsia="zh-CN"/>
              </w:rPr>
              <w:t>e-unorg</w:t>
            </w:r>
            <w:r>
              <w:rPr>
                <w:rFonts w:hint="eastAsia"/>
                <w:color w:val="auto"/>
                <w:lang w:val="en-US" w:eastAsia="zh-CN"/>
              </w:rPr>
              <w:t>核算：</w:t>
            </w:r>
          </w:p>
          <w:p w14:paraId="1BDA1463">
            <w:pPr>
              <w:pStyle w:val="5"/>
              <w:jc w:val="both"/>
              <w:rPr>
                <w:rFonts w:hint="default"/>
                <w:color w:val="auto"/>
                <w:vertAlign w:val="baseline"/>
                <w:lang w:val="en-US" w:eastAsia="zh-CN"/>
              </w:rPr>
            </w:pPr>
            <w:r>
              <w:rPr>
                <w:rFonts w:hint="eastAsia"/>
                <w:color w:val="auto"/>
                <w:vertAlign w:val="baseline"/>
                <w:lang w:val="en-US" w:eastAsia="zh-CN"/>
              </w:rPr>
              <w:t>Punorg=非甲烷总烃产生量×（1-收集效率）=1×（1-0.95）=0.05t/a</w:t>
            </w:r>
          </w:p>
          <w:p w14:paraId="16A632E5">
            <w:pPr>
              <w:pStyle w:val="5"/>
              <w:jc w:val="both"/>
              <w:rPr>
                <w:rFonts w:hint="eastAsia"/>
                <w:color w:val="auto"/>
                <w:lang w:val="en-US" w:eastAsia="zh-CN"/>
              </w:rPr>
            </w:pPr>
            <w:r>
              <w:rPr>
                <w:rFonts w:hint="eastAsia"/>
                <w:color w:val="auto"/>
                <w:lang w:val="en-US" w:eastAsia="zh-CN"/>
              </w:rPr>
              <w:t>Runorg=无组织气体产生量÷年操作时间=0.05÷2400=0.0000208t/h=0.0208kg/h</w:t>
            </w:r>
          </w:p>
          <w:p w14:paraId="65D41A0E">
            <w:pPr>
              <w:pStyle w:val="5"/>
              <w:jc w:val="both"/>
              <w:rPr>
                <w:rFonts w:hint="eastAsia"/>
                <w:color w:val="auto"/>
                <w:lang w:val="en-US" w:eastAsia="zh-CN"/>
              </w:rPr>
            </w:pPr>
            <w:r>
              <w:rPr>
                <w:rFonts w:hint="eastAsia"/>
                <w:color w:val="auto"/>
                <w:lang w:val="en-US" w:eastAsia="zh-CN"/>
              </w:rPr>
              <w:t>Eunorg=无组织气体产生量=0.05t/a</w:t>
            </w:r>
          </w:p>
          <w:p w14:paraId="64B31787">
            <w:pPr>
              <w:pStyle w:val="5"/>
              <w:jc w:val="both"/>
              <w:rPr>
                <w:rFonts w:hint="default"/>
                <w:color w:val="auto"/>
                <w:lang w:val="en-US" w:eastAsia="zh-CN"/>
              </w:rPr>
            </w:pPr>
            <w:r>
              <w:rPr>
                <w:rFonts w:hint="eastAsia"/>
                <w:color w:val="auto"/>
                <w:lang w:val="en-US" w:eastAsia="zh-CN"/>
              </w:rPr>
              <w:t>Re-unorg=无组织气体产生速率=0.0000208t/h=0.0208kg/h</w:t>
            </w:r>
          </w:p>
          <w:p w14:paraId="7B64220C">
            <w:pPr>
              <w:pStyle w:val="5"/>
              <w:jc w:val="both"/>
              <w:rPr>
                <w:rFonts w:hint="eastAsia"/>
                <w:color w:val="auto"/>
                <w:lang w:val="en-US" w:eastAsia="zh-CN"/>
              </w:rPr>
            </w:pPr>
            <w:r>
              <w:rPr>
                <w:rFonts w:hint="eastAsia"/>
                <w:color w:val="auto"/>
                <w:lang w:val="en-US" w:eastAsia="zh-CN"/>
              </w:rPr>
              <w:t>综上，复合制板及养护废气排放情况见下表。</w:t>
            </w:r>
          </w:p>
          <w:p w14:paraId="78F3C52F">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27</w:t>
            </w:r>
            <w:r>
              <w:rPr>
                <w:color w:val="auto"/>
              </w:rPr>
              <w:fldChar w:fldCharType="end"/>
            </w:r>
            <w:r>
              <w:rPr>
                <w:rFonts w:hint="eastAsia"/>
                <w:color w:val="auto"/>
                <w:lang w:val="en-US" w:eastAsia="zh-CN"/>
              </w:rPr>
              <w:t xml:space="preserve">  复合制板及养护废气情况表</w:t>
            </w:r>
          </w:p>
          <w:tbl>
            <w:tblPr>
              <w:tblStyle w:val="16"/>
              <w:tblW w:w="7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575"/>
              <w:gridCol w:w="474"/>
              <w:gridCol w:w="842"/>
              <w:gridCol w:w="777"/>
              <w:gridCol w:w="1007"/>
              <w:gridCol w:w="855"/>
              <w:gridCol w:w="499"/>
              <w:gridCol w:w="829"/>
              <w:gridCol w:w="991"/>
            </w:tblGrid>
            <w:tr w14:paraId="5481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restart"/>
                  <w:vAlign w:val="center"/>
                </w:tcPr>
                <w:p w14:paraId="29C50A3A">
                  <w:pPr>
                    <w:pStyle w:val="19"/>
                    <w:bidi w:val="0"/>
                    <w:rPr>
                      <w:rFonts w:hint="default"/>
                      <w:color w:val="auto"/>
                      <w:lang w:val="en-US" w:eastAsia="zh-CN"/>
                    </w:rPr>
                  </w:pPr>
                  <w:r>
                    <w:rPr>
                      <w:rFonts w:hint="eastAsia"/>
                      <w:color w:val="auto"/>
                      <w:lang w:val="en-US" w:eastAsia="zh-CN"/>
                    </w:rPr>
                    <w:t>工段</w:t>
                  </w:r>
                </w:p>
              </w:tc>
              <w:tc>
                <w:tcPr>
                  <w:tcW w:w="575" w:type="dxa"/>
                  <w:vMerge w:val="restart"/>
                  <w:vAlign w:val="center"/>
                </w:tcPr>
                <w:p w14:paraId="10A87C2B">
                  <w:pPr>
                    <w:pStyle w:val="19"/>
                    <w:bidi w:val="0"/>
                    <w:rPr>
                      <w:rFonts w:hint="default"/>
                      <w:color w:val="auto"/>
                      <w:lang w:val="en-US" w:eastAsia="zh-CN"/>
                    </w:rPr>
                  </w:pPr>
                  <w:r>
                    <w:rPr>
                      <w:rFonts w:hint="eastAsia"/>
                      <w:color w:val="auto"/>
                      <w:lang w:val="en-US" w:eastAsia="zh-CN"/>
                    </w:rPr>
                    <w:t>污染物</w:t>
                  </w:r>
                </w:p>
              </w:tc>
              <w:tc>
                <w:tcPr>
                  <w:tcW w:w="474" w:type="dxa"/>
                  <w:vMerge w:val="restart"/>
                  <w:vAlign w:val="center"/>
                </w:tcPr>
                <w:p w14:paraId="20D93C2F">
                  <w:pPr>
                    <w:pStyle w:val="19"/>
                    <w:bidi w:val="0"/>
                    <w:rPr>
                      <w:rFonts w:hint="eastAsia"/>
                      <w:color w:val="auto"/>
                      <w:lang w:val="en-US" w:eastAsia="zh-CN"/>
                    </w:rPr>
                  </w:pPr>
                  <w:r>
                    <w:rPr>
                      <w:rFonts w:hint="eastAsia"/>
                      <w:color w:val="auto"/>
                      <w:lang w:val="en-US" w:eastAsia="zh-CN"/>
                    </w:rPr>
                    <w:t>工作时间</w:t>
                  </w:r>
                </w:p>
                <w:p w14:paraId="7B0914CC">
                  <w:pPr>
                    <w:pStyle w:val="19"/>
                    <w:bidi w:val="0"/>
                    <w:rPr>
                      <w:rFonts w:hint="default"/>
                      <w:color w:val="auto"/>
                      <w:lang w:val="en-US" w:eastAsia="zh-CN"/>
                    </w:rPr>
                  </w:pPr>
                  <w:r>
                    <w:rPr>
                      <w:rFonts w:hint="eastAsia"/>
                      <w:color w:val="auto"/>
                      <w:lang w:val="en-US" w:eastAsia="zh-CN"/>
                    </w:rPr>
                    <w:t>（h）</w:t>
                  </w:r>
                </w:p>
              </w:tc>
              <w:tc>
                <w:tcPr>
                  <w:tcW w:w="1619" w:type="dxa"/>
                  <w:gridSpan w:val="2"/>
                  <w:vAlign w:val="center"/>
                </w:tcPr>
                <w:p w14:paraId="327D61A1">
                  <w:pPr>
                    <w:pStyle w:val="19"/>
                    <w:bidi w:val="0"/>
                    <w:rPr>
                      <w:rFonts w:hint="default"/>
                      <w:color w:val="auto"/>
                      <w:lang w:val="en-US" w:eastAsia="zh-CN"/>
                    </w:rPr>
                  </w:pPr>
                  <w:r>
                    <w:rPr>
                      <w:rFonts w:hint="eastAsia"/>
                      <w:color w:val="auto"/>
                      <w:lang w:val="en-US" w:eastAsia="zh-CN"/>
                    </w:rPr>
                    <w:t>产生情况</w:t>
                  </w:r>
                </w:p>
              </w:tc>
              <w:tc>
                <w:tcPr>
                  <w:tcW w:w="1007" w:type="dxa"/>
                  <w:vMerge w:val="restart"/>
                  <w:shd w:val="clear" w:color="auto" w:fill="auto"/>
                  <w:vAlign w:val="center"/>
                </w:tcPr>
                <w:p w14:paraId="08DA65E8">
                  <w:pPr>
                    <w:pStyle w:val="19"/>
                    <w:bidi w:val="0"/>
                    <w:rPr>
                      <w:rFonts w:hint="default"/>
                      <w:color w:val="auto"/>
                      <w:lang w:val="en-US" w:eastAsia="zh-CN"/>
                    </w:rPr>
                  </w:pPr>
                  <w:r>
                    <w:rPr>
                      <w:rFonts w:hint="eastAsia"/>
                      <w:color w:val="auto"/>
                    </w:rPr>
                    <w:t>排放方式</w:t>
                  </w:r>
                </w:p>
              </w:tc>
              <w:tc>
                <w:tcPr>
                  <w:tcW w:w="855" w:type="dxa"/>
                  <w:vMerge w:val="restart"/>
                  <w:vAlign w:val="center"/>
                </w:tcPr>
                <w:p w14:paraId="0DC3F24E">
                  <w:pPr>
                    <w:pStyle w:val="19"/>
                    <w:bidi w:val="0"/>
                    <w:rPr>
                      <w:rFonts w:hint="default"/>
                      <w:color w:val="auto"/>
                      <w:lang w:val="en-US" w:eastAsia="zh-CN"/>
                    </w:rPr>
                  </w:pPr>
                  <w:r>
                    <w:rPr>
                      <w:rFonts w:hint="eastAsia"/>
                      <w:color w:val="auto"/>
                      <w:lang w:val="en-US" w:eastAsia="zh-CN"/>
                    </w:rPr>
                    <w:t>风机风量</w:t>
                  </w:r>
                </w:p>
              </w:tc>
              <w:tc>
                <w:tcPr>
                  <w:tcW w:w="499" w:type="dxa"/>
                  <w:vMerge w:val="restart"/>
                  <w:vAlign w:val="center"/>
                </w:tcPr>
                <w:p w14:paraId="5365B8A8">
                  <w:pPr>
                    <w:pStyle w:val="19"/>
                    <w:bidi w:val="0"/>
                    <w:rPr>
                      <w:rFonts w:hint="default"/>
                      <w:color w:val="auto"/>
                      <w:lang w:val="en-US" w:eastAsia="zh-CN"/>
                    </w:rPr>
                  </w:pPr>
                  <w:r>
                    <w:rPr>
                      <w:rFonts w:hint="eastAsia"/>
                      <w:color w:val="auto"/>
                      <w:lang w:val="en-US" w:eastAsia="zh-CN"/>
                    </w:rPr>
                    <w:t>活性炭吸附效率</w:t>
                  </w:r>
                </w:p>
              </w:tc>
              <w:tc>
                <w:tcPr>
                  <w:tcW w:w="1820" w:type="dxa"/>
                  <w:gridSpan w:val="2"/>
                  <w:vAlign w:val="center"/>
                </w:tcPr>
                <w:p w14:paraId="06E6B71F">
                  <w:pPr>
                    <w:pStyle w:val="19"/>
                    <w:bidi w:val="0"/>
                    <w:rPr>
                      <w:rFonts w:hint="default"/>
                      <w:color w:val="auto"/>
                      <w:lang w:val="en-US" w:eastAsia="zh-CN"/>
                    </w:rPr>
                  </w:pPr>
                  <w:r>
                    <w:rPr>
                      <w:rFonts w:hint="eastAsia"/>
                      <w:color w:val="auto"/>
                      <w:lang w:val="en-US" w:eastAsia="zh-CN"/>
                    </w:rPr>
                    <w:t>排放情况</w:t>
                  </w:r>
                </w:p>
              </w:tc>
            </w:tr>
            <w:tr w14:paraId="5C63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continue"/>
                  <w:vAlign w:val="center"/>
                </w:tcPr>
                <w:p w14:paraId="3C9E4189">
                  <w:pPr>
                    <w:pStyle w:val="19"/>
                    <w:bidi w:val="0"/>
                    <w:rPr>
                      <w:rFonts w:hint="default"/>
                      <w:color w:val="auto"/>
                      <w:lang w:val="en-US" w:eastAsia="zh-CN"/>
                    </w:rPr>
                  </w:pPr>
                </w:p>
              </w:tc>
              <w:tc>
                <w:tcPr>
                  <w:tcW w:w="575" w:type="dxa"/>
                  <w:vMerge w:val="continue"/>
                  <w:shd w:val="clear" w:color="auto" w:fill="auto"/>
                  <w:vAlign w:val="center"/>
                </w:tcPr>
                <w:p w14:paraId="0DB265FA">
                  <w:pPr>
                    <w:pStyle w:val="19"/>
                    <w:bidi w:val="0"/>
                    <w:rPr>
                      <w:rFonts w:hint="default"/>
                      <w:color w:val="auto"/>
                      <w:lang w:val="en-US" w:eastAsia="zh-CN"/>
                    </w:rPr>
                  </w:pPr>
                </w:p>
              </w:tc>
              <w:tc>
                <w:tcPr>
                  <w:tcW w:w="474" w:type="dxa"/>
                  <w:vMerge w:val="continue"/>
                  <w:shd w:val="clear" w:color="auto" w:fill="auto"/>
                  <w:vAlign w:val="center"/>
                </w:tcPr>
                <w:p w14:paraId="04D645CB">
                  <w:pPr>
                    <w:pStyle w:val="19"/>
                    <w:bidi w:val="0"/>
                    <w:rPr>
                      <w:rFonts w:hint="default"/>
                      <w:color w:val="auto"/>
                      <w:lang w:val="en-US" w:eastAsia="zh-CN"/>
                    </w:rPr>
                  </w:pPr>
                </w:p>
              </w:tc>
              <w:tc>
                <w:tcPr>
                  <w:tcW w:w="842" w:type="dxa"/>
                  <w:shd w:val="clear" w:color="auto" w:fill="auto"/>
                  <w:vAlign w:val="center"/>
                </w:tcPr>
                <w:p w14:paraId="297B7702">
                  <w:pPr>
                    <w:pStyle w:val="19"/>
                    <w:bidi w:val="0"/>
                    <w:rPr>
                      <w:rFonts w:hint="default"/>
                      <w:color w:val="auto"/>
                      <w:lang w:val="en-US" w:eastAsia="zh-CN"/>
                    </w:rPr>
                  </w:pPr>
                  <w:r>
                    <w:rPr>
                      <w:rFonts w:hint="eastAsia"/>
                      <w:color w:val="auto"/>
                    </w:rPr>
                    <w:t>产生量（</w:t>
                  </w:r>
                  <w:r>
                    <w:rPr>
                      <w:rFonts w:hint="eastAsia"/>
                      <w:color w:val="auto"/>
                      <w:lang w:val="en-US" w:eastAsia="zh-CN"/>
                    </w:rPr>
                    <w:t>t</w:t>
                  </w:r>
                  <w:r>
                    <w:rPr>
                      <w:color w:val="auto"/>
                    </w:rPr>
                    <w:t>/a</w:t>
                  </w:r>
                  <w:r>
                    <w:rPr>
                      <w:rFonts w:hint="eastAsia"/>
                      <w:color w:val="auto"/>
                    </w:rPr>
                    <w:t>）</w:t>
                  </w:r>
                </w:p>
              </w:tc>
              <w:tc>
                <w:tcPr>
                  <w:tcW w:w="777" w:type="dxa"/>
                  <w:shd w:val="clear" w:color="auto" w:fill="auto"/>
                  <w:vAlign w:val="center"/>
                </w:tcPr>
                <w:p w14:paraId="7B7624CE">
                  <w:pPr>
                    <w:pStyle w:val="19"/>
                    <w:bidi w:val="0"/>
                    <w:rPr>
                      <w:rFonts w:hint="eastAsia"/>
                      <w:color w:val="auto"/>
                      <w:lang w:val="en-US" w:eastAsia="zh-CN"/>
                    </w:rPr>
                  </w:pPr>
                  <w:r>
                    <w:rPr>
                      <w:rFonts w:hint="eastAsia"/>
                      <w:color w:val="auto"/>
                      <w:lang w:val="en-US" w:eastAsia="zh-CN"/>
                    </w:rPr>
                    <w:t>产生速率</w:t>
                  </w:r>
                </w:p>
                <w:p w14:paraId="380A5A68">
                  <w:pPr>
                    <w:pStyle w:val="19"/>
                    <w:bidi w:val="0"/>
                    <w:rPr>
                      <w:rFonts w:hint="default"/>
                      <w:color w:val="auto"/>
                      <w:lang w:val="en-US" w:eastAsia="zh-CN"/>
                    </w:rPr>
                  </w:pPr>
                  <w:r>
                    <w:rPr>
                      <w:rFonts w:hint="eastAsia"/>
                      <w:color w:val="auto"/>
                      <w:lang w:val="en-US" w:eastAsia="zh-CN"/>
                    </w:rPr>
                    <w:t>(kg/h)</w:t>
                  </w:r>
                </w:p>
              </w:tc>
              <w:tc>
                <w:tcPr>
                  <w:tcW w:w="1007" w:type="dxa"/>
                  <w:vMerge w:val="continue"/>
                  <w:shd w:val="clear" w:color="auto" w:fill="auto"/>
                  <w:vAlign w:val="center"/>
                </w:tcPr>
                <w:p w14:paraId="26F776FF">
                  <w:pPr>
                    <w:pStyle w:val="19"/>
                    <w:bidi w:val="0"/>
                    <w:rPr>
                      <w:rFonts w:hint="default"/>
                      <w:color w:val="auto"/>
                      <w:lang w:val="en-US" w:eastAsia="zh-CN"/>
                    </w:rPr>
                  </w:pPr>
                </w:p>
              </w:tc>
              <w:tc>
                <w:tcPr>
                  <w:tcW w:w="855" w:type="dxa"/>
                  <w:vMerge w:val="continue"/>
                  <w:vAlign w:val="center"/>
                </w:tcPr>
                <w:p w14:paraId="78E90C3B">
                  <w:pPr>
                    <w:pStyle w:val="19"/>
                    <w:bidi w:val="0"/>
                    <w:rPr>
                      <w:rFonts w:hint="default"/>
                      <w:color w:val="auto"/>
                      <w:lang w:val="en-US" w:eastAsia="zh-CN"/>
                    </w:rPr>
                  </w:pPr>
                </w:p>
              </w:tc>
              <w:tc>
                <w:tcPr>
                  <w:tcW w:w="499" w:type="dxa"/>
                  <w:vMerge w:val="continue"/>
                  <w:vAlign w:val="center"/>
                </w:tcPr>
                <w:p w14:paraId="71BC3A97">
                  <w:pPr>
                    <w:pStyle w:val="19"/>
                    <w:bidi w:val="0"/>
                    <w:rPr>
                      <w:rFonts w:hint="default"/>
                      <w:color w:val="auto"/>
                      <w:lang w:val="en-US" w:eastAsia="zh-CN"/>
                    </w:rPr>
                  </w:pPr>
                </w:p>
              </w:tc>
              <w:tc>
                <w:tcPr>
                  <w:tcW w:w="829" w:type="dxa"/>
                  <w:shd w:val="clear" w:color="auto" w:fill="auto"/>
                  <w:vAlign w:val="center"/>
                </w:tcPr>
                <w:p w14:paraId="4DF044F3">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排放量（</w:t>
                  </w:r>
                  <w:r>
                    <w:rPr>
                      <w:rFonts w:hint="eastAsia"/>
                      <w:color w:val="auto"/>
                      <w:lang w:val="en-US" w:eastAsia="zh-CN"/>
                    </w:rPr>
                    <w:t>t</w:t>
                  </w:r>
                  <w:r>
                    <w:rPr>
                      <w:color w:val="auto"/>
                    </w:rPr>
                    <w:t>/a</w:t>
                  </w:r>
                  <w:r>
                    <w:rPr>
                      <w:rFonts w:hint="eastAsia"/>
                      <w:color w:val="auto"/>
                    </w:rPr>
                    <w:t>）</w:t>
                  </w:r>
                </w:p>
              </w:tc>
              <w:tc>
                <w:tcPr>
                  <w:tcW w:w="991" w:type="dxa"/>
                  <w:shd w:val="clear" w:color="auto" w:fill="auto"/>
                  <w:vAlign w:val="center"/>
                </w:tcPr>
                <w:p w14:paraId="0A9BBFED">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排放速率（</w:t>
                  </w:r>
                  <w:r>
                    <w:rPr>
                      <w:color w:val="auto"/>
                    </w:rPr>
                    <w:t>kg/h</w:t>
                  </w:r>
                  <w:r>
                    <w:rPr>
                      <w:rFonts w:hint="eastAsia"/>
                      <w:color w:val="auto"/>
                    </w:rPr>
                    <w:t>）</w:t>
                  </w:r>
                </w:p>
              </w:tc>
            </w:tr>
            <w:tr w14:paraId="00FE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restart"/>
                  <w:vAlign w:val="center"/>
                </w:tcPr>
                <w:p w14:paraId="2D5A5669">
                  <w:pPr>
                    <w:pStyle w:val="19"/>
                    <w:bidi w:val="0"/>
                    <w:rPr>
                      <w:rFonts w:hint="default"/>
                      <w:color w:val="auto"/>
                      <w:lang w:val="en-US" w:eastAsia="zh-CN"/>
                    </w:rPr>
                  </w:pPr>
                  <w:r>
                    <w:rPr>
                      <w:rFonts w:hint="default"/>
                      <w:color w:val="auto"/>
                      <w:lang w:val="en-US" w:eastAsia="zh-CN"/>
                    </w:rPr>
                    <w:t>复合</w:t>
                  </w:r>
                  <w:r>
                    <w:rPr>
                      <w:rFonts w:hint="eastAsia"/>
                      <w:color w:val="auto"/>
                      <w:lang w:val="en-US" w:eastAsia="zh-CN"/>
                    </w:rPr>
                    <w:t>制板</w:t>
                  </w:r>
                  <w:r>
                    <w:rPr>
                      <w:rFonts w:hint="default"/>
                      <w:color w:val="auto"/>
                      <w:lang w:val="en-US" w:eastAsia="zh-CN"/>
                    </w:rPr>
                    <w:t>及养护废气</w:t>
                  </w:r>
                </w:p>
              </w:tc>
              <w:tc>
                <w:tcPr>
                  <w:tcW w:w="575" w:type="dxa"/>
                  <w:vMerge w:val="restart"/>
                  <w:shd w:val="clear" w:color="auto" w:fill="auto"/>
                  <w:vAlign w:val="center"/>
                </w:tcPr>
                <w:p w14:paraId="0DF094F7">
                  <w:pPr>
                    <w:pStyle w:val="19"/>
                    <w:bidi w:val="0"/>
                    <w:rPr>
                      <w:rFonts w:hint="default"/>
                      <w:color w:val="auto"/>
                      <w:lang w:val="en-US" w:eastAsia="zh-CN"/>
                    </w:rPr>
                  </w:pPr>
                  <w:r>
                    <w:rPr>
                      <w:rFonts w:hint="eastAsia"/>
                      <w:color w:val="auto"/>
                      <w:lang w:val="en-US" w:eastAsia="zh-CN"/>
                    </w:rPr>
                    <w:t>NMHC</w:t>
                  </w:r>
                </w:p>
              </w:tc>
              <w:tc>
                <w:tcPr>
                  <w:tcW w:w="474" w:type="dxa"/>
                  <w:vMerge w:val="restart"/>
                  <w:shd w:val="clear" w:color="auto" w:fill="auto"/>
                  <w:vAlign w:val="center"/>
                </w:tcPr>
                <w:p w14:paraId="2280E54F">
                  <w:pPr>
                    <w:pStyle w:val="19"/>
                    <w:bidi w:val="0"/>
                    <w:rPr>
                      <w:rFonts w:hint="default"/>
                      <w:color w:val="auto"/>
                      <w:lang w:val="en-US" w:eastAsia="zh-CN"/>
                    </w:rPr>
                  </w:pPr>
                  <w:r>
                    <w:rPr>
                      <w:rFonts w:hint="eastAsia"/>
                      <w:color w:val="auto"/>
                      <w:lang w:val="en-US" w:eastAsia="zh-CN"/>
                    </w:rPr>
                    <w:t>2400</w:t>
                  </w:r>
                </w:p>
              </w:tc>
              <w:tc>
                <w:tcPr>
                  <w:tcW w:w="842" w:type="dxa"/>
                  <w:shd w:val="clear" w:color="auto" w:fill="auto"/>
                  <w:vAlign w:val="center"/>
                </w:tcPr>
                <w:p w14:paraId="2B10C00B">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0.95</w:t>
                  </w:r>
                </w:p>
              </w:tc>
              <w:tc>
                <w:tcPr>
                  <w:tcW w:w="777" w:type="dxa"/>
                  <w:shd w:val="clear" w:color="auto" w:fill="auto"/>
                  <w:vAlign w:val="center"/>
                </w:tcPr>
                <w:p w14:paraId="2E5C053F">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0.396</w:t>
                  </w:r>
                </w:p>
              </w:tc>
              <w:tc>
                <w:tcPr>
                  <w:tcW w:w="1007" w:type="dxa"/>
                  <w:shd w:val="clear" w:color="auto" w:fill="auto"/>
                  <w:vAlign w:val="center"/>
                </w:tcPr>
                <w:p w14:paraId="40B984EA">
                  <w:pPr>
                    <w:pStyle w:val="19"/>
                    <w:rPr>
                      <w:rFonts w:hint="default" w:ascii="Times New Roman" w:hAnsi="Times New Roman" w:eastAsia="宋体" w:cs="Times New Roman"/>
                      <w:color w:val="auto"/>
                      <w:kern w:val="0"/>
                      <w:sz w:val="21"/>
                      <w:szCs w:val="21"/>
                      <w:lang w:val="en-US" w:eastAsia="zh-CN" w:bidi="ar-SA"/>
                    </w:rPr>
                  </w:pPr>
                  <w:r>
                    <w:rPr>
                      <w:rFonts w:hint="eastAsia"/>
                      <w:color w:val="auto"/>
                    </w:rPr>
                    <w:t>经</w:t>
                  </w:r>
                  <w:r>
                    <w:rPr>
                      <w:rFonts w:hint="eastAsia"/>
                      <w:color w:val="auto"/>
                      <w:lang w:val="en-US" w:eastAsia="zh-CN"/>
                    </w:rPr>
                    <w:t>集气罩+二级</w:t>
                  </w:r>
                  <w:r>
                    <w:rPr>
                      <w:rFonts w:hint="eastAsia"/>
                      <w:color w:val="auto"/>
                    </w:rPr>
                    <w:t>活性炭装置处理后经</w:t>
                  </w:r>
                  <w:r>
                    <w:rPr>
                      <w:rFonts w:hint="eastAsia"/>
                      <w:color w:val="auto"/>
                      <w:lang w:val="en-US" w:eastAsia="zh-CN"/>
                    </w:rPr>
                    <w:t>20</w:t>
                  </w:r>
                  <w:r>
                    <w:rPr>
                      <w:rFonts w:hint="eastAsia"/>
                      <w:color w:val="auto"/>
                    </w:rPr>
                    <w:t>m高排气筒</w:t>
                  </w:r>
                  <w:r>
                    <w:rPr>
                      <w:rFonts w:hint="eastAsia"/>
                      <w:color w:val="auto"/>
                      <w:lang w:val="en-US" w:eastAsia="zh-CN"/>
                    </w:rPr>
                    <w:t>有组织</w:t>
                  </w:r>
                  <w:r>
                    <w:rPr>
                      <w:rFonts w:hint="eastAsia"/>
                      <w:color w:val="auto"/>
                    </w:rPr>
                    <w:t>排放</w:t>
                  </w:r>
                </w:p>
              </w:tc>
              <w:tc>
                <w:tcPr>
                  <w:tcW w:w="855" w:type="dxa"/>
                  <w:vAlign w:val="center"/>
                </w:tcPr>
                <w:p w14:paraId="7F886A61">
                  <w:pPr>
                    <w:pStyle w:val="19"/>
                    <w:bidi w:val="0"/>
                    <w:rPr>
                      <w:rFonts w:hint="default"/>
                      <w:color w:val="auto"/>
                      <w:lang w:val="en-US" w:eastAsia="zh-CN"/>
                    </w:rPr>
                  </w:pPr>
                  <w:r>
                    <w:rPr>
                      <w:rFonts w:hint="eastAsia"/>
                      <w:color w:val="auto"/>
                      <w:lang w:val="en-US" w:eastAsia="zh-CN"/>
                    </w:rPr>
                    <w:t>20000m³/h</w:t>
                  </w:r>
                </w:p>
              </w:tc>
              <w:tc>
                <w:tcPr>
                  <w:tcW w:w="499" w:type="dxa"/>
                  <w:vAlign w:val="center"/>
                </w:tcPr>
                <w:p w14:paraId="35D5EA93">
                  <w:pPr>
                    <w:pStyle w:val="19"/>
                    <w:bidi w:val="0"/>
                    <w:rPr>
                      <w:rFonts w:hint="default"/>
                      <w:color w:val="auto"/>
                      <w:lang w:val="en-US" w:eastAsia="zh-CN"/>
                    </w:rPr>
                  </w:pPr>
                  <w:r>
                    <w:rPr>
                      <w:rFonts w:hint="eastAsia"/>
                      <w:color w:val="auto"/>
                      <w:lang w:val="en-US" w:eastAsia="zh-CN"/>
                    </w:rPr>
                    <w:t>90%</w:t>
                  </w:r>
                </w:p>
              </w:tc>
              <w:tc>
                <w:tcPr>
                  <w:tcW w:w="829" w:type="dxa"/>
                  <w:shd w:val="clear" w:color="auto" w:fill="auto"/>
                  <w:vAlign w:val="center"/>
                </w:tcPr>
                <w:p w14:paraId="143B8537">
                  <w:pPr>
                    <w:pStyle w:val="19"/>
                    <w:bidi w:val="0"/>
                    <w:rPr>
                      <w:rFonts w:hint="eastAsia"/>
                      <w:color w:val="auto"/>
                    </w:rPr>
                  </w:pPr>
                  <w:r>
                    <w:rPr>
                      <w:rFonts w:hint="eastAsia"/>
                      <w:color w:val="auto"/>
                      <w:lang w:val="en-US" w:eastAsia="zh-CN"/>
                    </w:rPr>
                    <w:t>0.095</w:t>
                  </w:r>
                </w:p>
              </w:tc>
              <w:tc>
                <w:tcPr>
                  <w:tcW w:w="991" w:type="dxa"/>
                  <w:shd w:val="clear" w:color="auto" w:fill="auto"/>
                  <w:vAlign w:val="center"/>
                </w:tcPr>
                <w:p w14:paraId="76652275">
                  <w:pPr>
                    <w:pStyle w:val="19"/>
                    <w:bidi w:val="0"/>
                    <w:rPr>
                      <w:rFonts w:hint="eastAsia"/>
                      <w:color w:val="auto"/>
                    </w:rPr>
                  </w:pPr>
                  <w:r>
                    <w:rPr>
                      <w:rFonts w:hint="eastAsia"/>
                      <w:color w:val="auto"/>
                      <w:lang w:val="en-US" w:eastAsia="zh-CN"/>
                    </w:rPr>
                    <w:t>0.0396</w:t>
                  </w:r>
                </w:p>
              </w:tc>
            </w:tr>
            <w:tr w14:paraId="5953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continue"/>
                  <w:vAlign w:val="center"/>
                </w:tcPr>
                <w:p w14:paraId="34D1890E">
                  <w:pPr>
                    <w:pStyle w:val="19"/>
                    <w:bidi w:val="0"/>
                    <w:rPr>
                      <w:rFonts w:hint="default"/>
                      <w:color w:val="auto"/>
                      <w:lang w:val="en-US" w:eastAsia="zh-CN"/>
                    </w:rPr>
                  </w:pPr>
                </w:p>
              </w:tc>
              <w:tc>
                <w:tcPr>
                  <w:tcW w:w="575" w:type="dxa"/>
                  <w:vMerge w:val="continue"/>
                  <w:shd w:val="clear" w:color="auto" w:fill="auto"/>
                  <w:vAlign w:val="center"/>
                </w:tcPr>
                <w:p w14:paraId="24897519">
                  <w:pPr>
                    <w:pStyle w:val="19"/>
                    <w:bidi w:val="0"/>
                    <w:rPr>
                      <w:rFonts w:hint="default"/>
                      <w:color w:val="auto"/>
                      <w:lang w:val="en-US" w:eastAsia="zh-CN"/>
                    </w:rPr>
                  </w:pPr>
                </w:p>
              </w:tc>
              <w:tc>
                <w:tcPr>
                  <w:tcW w:w="474" w:type="dxa"/>
                  <w:vMerge w:val="continue"/>
                  <w:shd w:val="clear" w:color="auto" w:fill="auto"/>
                  <w:vAlign w:val="center"/>
                </w:tcPr>
                <w:p w14:paraId="182178FE">
                  <w:pPr>
                    <w:pStyle w:val="19"/>
                    <w:bidi w:val="0"/>
                    <w:rPr>
                      <w:rFonts w:hint="default"/>
                      <w:color w:val="auto"/>
                      <w:lang w:val="en-US" w:eastAsia="zh-CN"/>
                    </w:rPr>
                  </w:pPr>
                </w:p>
              </w:tc>
              <w:tc>
                <w:tcPr>
                  <w:tcW w:w="842" w:type="dxa"/>
                  <w:shd w:val="clear" w:color="auto" w:fill="auto"/>
                  <w:vAlign w:val="center"/>
                </w:tcPr>
                <w:p w14:paraId="57A3EEF1">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0.05</w:t>
                  </w:r>
                </w:p>
              </w:tc>
              <w:tc>
                <w:tcPr>
                  <w:tcW w:w="777" w:type="dxa"/>
                  <w:shd w:val="clear" w:color="auto" w:fill="auto"/>
                  <w:vAlign w:val="center"/>
                </w:tcPr>
                <w:p w14:paraId="745E70C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0.0208</w:t>
                  </w:r>
                </w:p>
              </w:tc>
              <w:tc>
                <w:tcPr>
                  <w:tcW w:w="1007" w:type="dxa"/>
                  <w:shd w:val="clear" w:color="auto" w:fill="auto"/>
                  <w:vAlign w:val="center"/>
                </w:tcPr>
                <w:p w14:paraId="61191D38">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无组织排放</w:t>
                  </w:r>
                </w:p>
              </w:tc>
              <w:tc>
                <w:tcPr>
                  <w:tcW w:w="855" w:type="dxa"/>
                  <w:vAlign w:val="center"/>
                </w:tcPr>
                <w:p w14:paraId="49F8BB2F">
                  <w:pPr>
                    <w:pStyle w:val="19"/>
                    <w:bidi w:val="0"/>
                    <w:rPr>
                      <w:rFonts w:hint="default"/>
                      <w:color w:val="auto"/>
                      <w:lang w:val="en-US" w:eastAsia="zh-CN"/>
                    </w:rPr>
                  </w:pPr>
                  <w:r>
                    <w:rPr>
                      <w:rFonts w:hint="eastAsia"/>
                      <w:color w:val="auto"/>
                      <w:lang w:val="en-US" w:eastAsia="zh-CN"/>
                    </w:rPr>
                    <w:t>/</w:t>
                  </w:r>
                </w:p>
              </w:tc>
              <w:tc>
                <w:tcPr>
                  <w:tcW w:w="499" w:type="dxa"/>
                  <w:vAlign w:val="center"/>
                </w:tcPr>
                <w:p w14:paraId="29B6E4BE">
                  <w:pPr>
                    <w:pStyle w:val="19"/>
                    <w:bidi w:val="0"/>
                    <w:rPr>
                      <w:rFonts w:hint="default"/>
                      <w:color w:val="auto"/>
                      <w:lang w:val="en-US" w:eastAsia="zh-CN"/>
                    </w:rPr>
                  </w:pPr>
                  <w:r>
                    <w:rPr>
                      <w:rFonts w:hint="eastAsia"/>
                      <w:color w:val="auto"/>
                      <w:lang w:val="en-US" w:eastAsia="zh-CN"/>
                    </w:rPr>
                    <w:t>/</w:t>
                  </w:r>
                </w:p>
              </w:tc>
              <w:tc>
                <w:tcPr>
                  <w:tcW w:w="829" w:type="dxa"/>
                  <w:shd w:val="clear" w:color="auto" w:fill="auto"/>
                  <w:vAlign w:val="center"/>
                </w:tcPr>
                <w:p w14:paraId="07362011">
                  <w:pPr>
                    <w:pStyle w:val="19"/>
                    <w:bidi w:val="0"/>
                    <w:rPr>
                      <w:rFonts w:hint="eastAsia"/>
                      <w:color w:val="auto"/>
                    </w:rPr>
                  </w:pPr>
                  <w:r>
                    <w:rPr>
                      <w:rFonts w:hint="eastAsia"/>
                      <w:color w:val="auto"/>
                      <w:lang w:val="en-US" w:eastAsia="zh-CN"/>
                    </w:rPr>
                    <w:t>0.05</w:t>
                  </w:r>
                </w:p>
              </w:tc>
              <w:tc>
                <w:tcPr>
                  <w:tcW w:w="991" w:type="dxa"/>
                  <w:shd w:val="clear" w:color="auto" w:fill="auto"/>
                  <w:vAlign w:val="center"/>
                </w:tcPr>
                <w:p w14:paraId="09353087">
                  <w:pPr>
                    <w:pStyle w:val="19"/>
                    <w:bidi w:val="0"/>
                    <w:rPr>
                      <w:rFonts w:hint="eastAsia"/>
                      <w:color w:val="auto"/>
                    </w:rPr>
                  </w:pPr>
                  <w:r>
                    <w:rPr>
                      <w:rFonts w:hint="eastAsia"/>
                      <w:color w:val="auto"/>
                      <w:lang w:val="en-US" w:eastAsia="zh-CN"/>
                    </w:rPr>
                    <w:t>0.0208</w:t>
                  </w:r>
                </w:p>
              </w:tc>
            </w:tr>
          </w:tbl>
          <w:p w14:paraId="1D6136ED">
            <w:pPr>
              <w:pStyle w:val="20"/>
              <w:bidi w:val="0"/>
              <w:jc w:val="both"/>
              <w:rPr>
                <w:rFonts w:hint="default"/>
                <w:color w:val="auto"/>
                <w:lang w:val="en-US" w:eastAsia="zh-CN"/>
              </w:rPr>
            </w:pPr>
          </w:p>
          <w:p w14:paraId="1C83170C">
            <w:pPr>
              <w:pStyle w:val="5"/>
              <w:jc w:val="both"/>
              <w:rPr>
                <w:rFonts w:hint="eastAsia"/>
                <w:color w:val="auto"/>
                <w:lang w:val="en-US" w:eastAsia="zh-CN"/>
              </w:rPr>
            </w:pPr>
            <w:r>
              <w:rPr>
                <w:rFonts w:hint="eastAsia"/>
                <w:color w:val="auto"/>
                <w:lang w:val="en-US" w:eastAsia="zh-CN"/>
              </w:rPr>
              <w:t>由上表可知：</w:t>
            </w:r>
          </w:p>
          <w:p w14:paraId="048CF023">
            <w:pPr>
              <w:pStyle w:val="5"/>
              <w:jc w:val="both"/>
              <w:rPr>
                <w:rFonts w:hint="eastAsia"/>
                <w:color w:val="auto"/>
                <w:lang w:val="en-US" w:eastAsia="zh-CN"/>
              </w:rPr>
            </w:pPr>
            <w:r>
              <w:rPr>
                <w:rFonts w:hint="eastAsia"/>
                <w:color w:val="auto"/>
                <w:lang w:val="en-US" w:eastAsia="zh-CN"/>
              </w:rPr>
              <w:t>入口非甲烷总烃浓度=有组织气体产生速率÷风机风量=0.396÷20000=0.0000198kg/m³=19.8mg/m³</w:t>
            </w:r>
          </w:p>
          <w:p w14:paraId="4638942F">
            <w:pPr>
              <w:pStyle w:val="5"/>
              <w:jc w:val="both"/>
              <w:rPr>
                <w:rFonts w:hint="eastAsia"/>
                <w:color w:val="auto"/>
                <w:lang w:val="en-US" w:eastAsia="zh-CN"/>
              </w:rPr>
            </w:pPr>
            <w:r>
              <w:rPr>
                <w:rFonts w:hint="eastAsia"/>
                <w:color w:val="auto"/>
                <w:lang w:val="en-US" w:eastAsia="zh-CN"/>
              </w:rPr>
              <w:t>经活性炭吸附处理后排放浓度=19.8×(1-0.90)=1.98mg/m³。</w:t>
            </w:r>
          </w:p>
          <w:p w14:paraId="08D941EE">
            <w:pPr>
              <w:pStyle w:val="5"/>
              <w:jc w:val="both"/>
              <w:rPr>
                <w:rFonts w:hint="eastAsia"/>
                <w:color w:val="auto"/>
                <w:lang w:val="en-US" w:eastAsia="zh-CN"/>
              </w:rPr>
            </w:pPr>
            <w:r>
              <w:rPr>
                <w:rFonts w:hint="eastAsia"/>
                <w:color w:val="auto"/>
                <w:lang w:val="en-US" w:eastAsia="zh-CN"/>
              </w:rPr>
              <w:t>根据《大气污染物综合排放标准》（GB16297-1996）表2新污染源二级标准，非甲烷总烃最高允许排放浓度为120mg/m³、20m排气筒最高允许排放速率为17kg/h，本项目排放浓度满足标准限值。</w:t>
            </w:r>
          </w:p>
          <w:p w14:paraId="5B1823C3">
            <w:pPr>
              <w:pStyle w:val="6"/>
              <w:bidi w:val="0"/>
              <w:rPr>
                <w:rFonts w:hint="eastAsia"/>
                <w:color w:val="auto"/>
                <w:lang w:val="en-US" w:eastAsia="zh-CN"/>
              </w:rPr>
            </w:pPr>
            <w:r>
              <w:rPr>
                <w:rFonts w:hint="eastAsia"/>
                <w:color w:val="auto"/>
                <w:lang w:val="en-US" w:eastAsia="zh-CN"/>
              </w:rPr>
              <w:t xml:space="preserve">修边切割和雕刻作业粉尘 </w:t>
            </w:r>
          </w:p>
          <w:p w14:paraId="05EC43EB">
            <w:pPr>
              <w:pStyle w:val="5"/>
              <w:jc w:val="both"/>
              <w:rPr>
                <w:rFonts w:hint="eastAsia"/>
                <w:color w:val="auto"/>
                <w:lang w:val="en-US" w:eastAsia="zh-CN"/>
              </w:rPr>
            </w:pPr>
            <w:r>
              <w:rPr>
                <w:rFonts w:hint="eastAsia"/>
                <w:color w:val="auto"/>
                <w:lang w:val="en-US" w:eastAsia="zh-CN"/>
              </w:rPr>
              <w:t>项目背衬板修边切割及雕刻过程中会产生粉尘，项目产品为外购XPS板与聚合物砂浆复合而成的背衬板，XPS板厚度为10～50mm，XPS板内外两面砂浆厚度为2～3mm，产尘量较小。本项目修边切割、雕刻粉尘均参照《逸散性工业粉尘控制技术》（中国环境科学出版社）中切割工序粉尘的产生系数为0.25kg/t-物料。</w:t>
            </w:r>
          </w:p>
          <w:p w14:paraId="0B10048A">
            <w:pPr>
              <w:pStyle w:val="5"/>
              <w:jc w:val="both"/>
              <w:rPr>
                <w:rFonts w:hint="eastAsia"/>
                <w:color w:val="auto"/>
                <w:lang w:val="en-US" w:eastAsia="zh-CN"/>
              </w:rPr>
            </w:pPr>
            <w:r>
              <w:rPr>
                <w:rFonts w:hint="eastAsia"/>
                <w:color w:val="auto"/>
                <w:lang w:val="en-US" w:eastAsia="zh-CN"/>
              </w:rPr>
              <w:t>根据《新疆乾昌业新型建材有限公司新型环保防水背衬板项目可行性研究报告》，项目需要对80%的产品进行修边切割，对20%的产品进行雕刻。按物料平衡表成品产量14420t/a拆分，修边切割物料量为11536t/a（14420×80%），雕刻的物料量为2884t/a（14420×20%）。</w:t>
            </w:r>
          </w:p>
          <w:p w14:paraId="6FB5132D">
            <w:pPr>
              <w:pStyle w:val="5"/>
              <w:jc w:val="both"/>
              <w:rPr>
                <w:rFonts w:hint="eastAsia"/>
                <w:color w:val="auto"/>
                <w:lang w:val="en-US" w:eastAsia="zh-CN"/>
              </w:rPr>
            </w:pPr>
            <w:r>
              <w:rPr>
                <w:rFonts w:hint="eastAsia"/>
                <w:color w:val="auto"/>
                <w:lang w:val="en-US" w:eastAsia="zh-CN"/>
              </w:rPr>
              <w:t>修边切割粉尘产生量=修边切割物料量×产尘系数=11536×0.25=2884kg/a=2.884t/a</w:t>
            </w:r>
          </w:p>
          <w:p w14:paraId="1BBE3E2C">
            <w:pPr>
              <w:pStyle w:val="5"/>
              <w:jc w:val="both"/>
              <w:rPr>
                <w:rFonts w:hint="eastAsia"/>
                <w:color w:val="auto"/>
                <w:lang w:val="en-US" w:eastAsia="zh-CN"/>
              </w:rPr>
            </w:pPr>
            <w:r>
              <w:rPr>
                <w:rFonts w:hint="eastAsia"/>
                <w:color w:val="auto"/>
                <w:lang w:val="en-US" w:eastAsia="zh-CN"/>
              </w:rPr>
              <w:t>雕刻粉尘产生量=雕刻物料量×产尘系数=2884×0.25=721kg/a=0.721t/a</w:t>
            </w:r>
          </w:p>
          <w:p w14:paraId="5B58E510">
            <w:pPr>
              <w:pStyle w:val="5"/>
              <w:jc w:val="both"/>
              <w:rPr>
                <w:rFonts w:hint="eastAsia"/>
                <w:color w:val="auto"/>
                <w:lang w:val="en-US" w:eastAsia="zh-CN"/>
              </w:rPr>
            </w:pPr>
            <w:r>
              <w:rPr>
                <w:rFonts w:hint="eastAsia"/>
                <w:color w:val="auto"/>
                <w:lang w:val="en-US" w:eastAsia="zh-CN"/>
              </w:rPr>
              <w:t>修边切割和雕刻作业粉尘总产生量=2.884+0.721=3.605t/a。</w:t>
            </w:r>
          </w:p>
          <w:p w14:paraId="2D91990F">
            <w:pPr>
              <w:pStyle w:val="5"/>
              <w:jc w:val="both"/>
              <w:rPr>
                <w:rFonts w:hint="eastAsia"/>
                <w:color w:val="auto"/>
                <w:lang w:val="en-US" w:eastAsia="zh-CN"/>
              </w:rPr>
            </w:pPr>
            <w:r>
              <w:rPr>
                <w:rFonts w:hint="eastAsia"/>
                <w:color w:val="auto"/>
                <w:lang w:val="en-US" w:eastAsia="zh-CN"/>
              </w:rPr>
              <w:t>项目拟在修边切割及雕刻设备旁分别设置侧吸式集气罩（修边切割集气效率90%，雕刻集气效率85%），将收集的粉尘引入袋式除尘器TA003进行处理，处理后的废气经1根20m高排气筒DA003排放，设计风机风量为8000m³/h，除尘器处理效率99%。</w:t>
            </w:r>
          </w:p>
          <w:p w14:paraId="79D8C010">
            <w:pPr>
              <w:pStyle w:val="5"/>
              <w:jc w:val="both"/>
              <w:rPr>
                <w:rFonts w:hint="default"/>
                <w:color w:val="auto"/>
                <w:lang w:val="en-US" w:eastAsia="zh-CN"/>
              </w:rPr>
            </w:pPr>
            <w:r>
              <w:rPr>
                <w:rFonts w:hint="default"/>
                <w:color w:val="auto"/>
                <w:lang w:val="en-US" w:eastAsia="zh-CN"/>
              </w:rPr>
              <w:t>总粉尘产生量及产生速率计算</w:t>
            </w:r>
            <w:r>
              <w:rPr>
                <w:rFonts w:hint="eastAsia"/>
                <w:color w:val="auto"/>
                <w:lang w:val="en-US" w:eastAsia="zh-CN"/>
              </w:rPr>
              <w:t>：</w:t>
            </w:r>
          </w:p>
          <w:p w14:paraId="7669BE2A">
            <w:pPr>
              <w:pStyle w:val="5"/>
              <w:jc w:val="both"/>
              <w:rPr>
                <w:rFonts w:hint="eastAsia"/>
                <w:color w:val="auto"/>
                <w:lang w:val="en-US" w:eastAsia="zh-CN"/>
              </w:rPr>
            </w:pPr>
            <w:r>
              <w:rPr>
                <w:rFonts w:hint="eastAsia"/>
                <w:color w:val="auto"/>
                <w:lang w:val="en-US" w:eastAsia="zh-CN"/>
              </w:rPr>
              <w:t>修边切割的</w:t>
            </w:r>
            <w:r>
              <w:rPr>
                <w:rFonts w:hint="default"/>
                <w:color w:val="auto"/>
                <w:lang w:val="en-US" w:eastAsia="zh-CN"/>
              </w:rPr>
              <w:t>粉尘产生量</w:t>
            </w:r>
            <w:r>
              <w:rPr>
                <w:rFonts w:hint="eastAsia"/>
                <w:color w:val="auto"/>
                <w:lang w:val="en-US" w:eastAsia="zh-CN"/>
              </w:rPr>
              <w:t>Q</w:t>
            </w:r>
            <w:r>
              <w:rPr>
                <w:rFonts w:hint="eastAsia"/>
                <w:color w:val="auto"/>
                <w:vertAlign w:val="subscript"/>
                <w:lang w:val="en-US" w:eastAsia="zh-CN"/>
              </w:rPr>
              <w:t>1</w:t>
            </w:r>
            <w:r>
              <w:rPr>
                <w:rFonts w:hint="eastAsia"/>
                <w:color w:val="auto"/>
                <w:lang w:val="en-US" w:eastAsia="zh-CN"/>
              </w:rPr>
              <w:t>=物料加工量×产尘系数=11536×0.25=2884kg/a=2.884t/a</w:t>
            </w:r>
          </w:p>
          <w:p w14:paraId="70910EF4">
            <w:pPr>
              <w:pStyle w:val="5"/>
              <w:jc w:val="both"/>
              <w:rPr>
                <w:rFonts w:hint="eastAsia"/>
                <w:color w:val="auto"/>
                <w:lang w:val="en-US" w:eastAsia="zh-CN"/>
              </w:rPr>
            </w:pPr>
            <w:r>
              <w:rPr>
                <w:rFonts w:hint="eastAsia"/>
                <w:color w:val="auto"/>
                <w:lang w:val="en-US" w:eastAsia="zh-CN"/>
              </w:rPr>
              <w:t>修边切割的粉尘产生速率R</w:t>
            </w:r>
            <w:r>
              <w:rPr>
                <w:rFonts w:hint="eastAsia"/>
                <w:color w:val="auto"/>
                <w:vertAlign w:val="subscript"/>
                <w:lang w:val="en-US" w:eastAsia="zh-CN"/>
              </w:rPr>
              <w:t>1</w:t>
            </w:r>
            <w:r>
              <w:rPr>
                <w:rFonts w:hint="eastAsia"/>
                <w:color w:val="auto"/>
                <w:lang w:val="en-US" w:eastAsia="zh-CN"/>
              </w:rPr>
              <w:t>=粉尘产生量÷工作时长=2.884÷2400=0.001202t/h=1.202kg/h</w:t>
            </w:r>
          </w:p>
          <w:p w14:paraId="78E3025B">
            <w:pPr>
              <w:pStyle w:val="5"/>
              <w:jc w:val="both"/>
              <w:rPr>
                <w:rFonts w:hint="eastAsia"/>
                <w:color w:val="auto"/>
                <w:lang w:val="en-US" w:eastAsia="zh-CN"/>
              </w:rPr>
            </w:pPr>
            <w:r>
              <w:rPr>
                <w:rFonts w:hint="eastAsia"/>
                <w:color w:val="auto"/>
                <w:lang w:val="en-US" w:eastAsia="zh-CN"/>
              </w:rPr>
              <w:t>雕刻粉尘产生量Q</w:t>
            </w:r>
            <w:r>
              <w:rPr>
                <w:rFonts w:hint="eastAsia"/>
                <w:color w:val="auto"/>
                <w:vertAlign w:val="subscript"/>
                <w:lang w:val="en-US" w:eastAsia="zh-CN"/>
              </w:rPr>
              <w:t>2</w:t>
            </w:r>
            <w:r>
              <w:rPr>
                <w:rFonts w:hint="eastAsia"/>
                <w:color w:val="auto"/>
                <w:lang w:val="en-US" w:eastAsia="zh-CN"/>
              </w:rPr>
              <w:t>=物料加工量×产尘系数=2884×0.25=721kg/a=0.721t/a</w:t>
            </w:r>
          </w:p>
          <w:p w14:paraId="65D761A4">
            <w:pPr>
              <w:pStyle w:val="5"/>
              <w:jc w:val="both"/>
              <w:rPr>
                <w:rFonts w:hint="eastAsia"/>
                <w:color w:val="auto"/>
                <w:lang w:val="en-US" w:eastAsia="zh-CN"/>
              </w:rPr>
            </w:pPr>
            <w:r>
              <w:rPr>
                <w:rFonts w:hint="eastAsia"/>
                <w:color w:val="auto"/>
                <w:lang w:val="en-US" w:eastAsia="zh-CN"/>
              </w:rPr>
              <w:t>雕刻粉尘产生速率R</w:t>
            </w:r>
            <w:r>
              <w:rPr>
                <w:rFonts w:hint="eastAsia"/>
                <w:color w:val="auto"/>
                <w:vertAlign w:val="subscript"/>
                <w:lang w:val="en-US" w:eastAsia="zh-CN"/>
              </w:rPr>
              <w:t>2</w:t>
            </w:r>
            <w:r>
              <w:rPr>
                <w:rFonts w:hint="eastAsia"/>
                <w:color w:val="auto"/>
                <w:lang w:val="en-US" w:eastAsia="zh-CN"/>
              </w:rPr>
              <w:t>=粉尘产生量÷工作时长=0.721÷2400=0.0003004t/h=0.3004kg/h</w:t>
            </w:r>
          </w:p>
          <w:p w14:paraId="2B9116FC">
            <w:pPr>
              <w:pStyle w:val="5"/>
              <w:jc w:val="both"/>
              <w:rPr>
                <w:rFonts w:hint="eastAsia"/>
                <w:color w:val="auto"/>
                <w:lang w:val="en-US" w:eastAsia="zh-CN"/>
              </w:rPr>
            </w:pPr>
            <w:r>
              <w:rPr>
                <w:rFonts w:hint="eastAsia"/>
                <w:color w:val="auto"/>
                <w:lang w:val="en-US" w:eastAsia="zh-CN"/>
              </w:rPr>
              <w:t>粉尘总产生量=2.884+0.721=3.605t/a</w:t>
            </w:r>
          </w:p>
          <w:p w14:paraId="2D7FD267">
            <w:pPr>
              <w:pStyle w:val="5"/>
              <w:jc w:val="both"/>
              <w:rPr>
                <w:rFonts w:hint="default"/>
                <w:color w:val="auto"/>
                <w:lang w:val="en-US" w:eastAsia="zh-CN"/>
              </w:rPr>
            </w:pPr>
            <w:r>
              <w:rPr>
                <w:rFonts w:hint="eastAsia"/>
                <w:color w:val="auto"/>
                <w:lang w:val="en-US" w:eastAsia="zh-CN"/>
              </w:rPr>
              <w:t>有组织部分合并计算（共用一套处理系统）：</w:t>
            </w:r>
          </w:p>
          <w:p w14:paraId="12FA0706">
            <w:pPr>
              <w:pStyle w:val="5"/>
              <w:jc w:val="both"/>
              <w:rPr>
                <w:rFonts w:hint="eastAsia"/>
                <w:color w:val="auto"/>
                <w:lang w:val="en-US" w:eastAsia="zh-CN"/>
              </w:rPr>
            </w:pPr>
            <w:r>
              <w:rPr>
                <w:rFonts w:hint="eastAsia"/>
                <w:color w:val="auto"/>
                <w:lang w:val="en-US" w:eastAsia="zh-CN"/>
              </w:rPr>
              <w:t>修边切割有组织粉尘产生量Porg1=粉尘产生量×收集效率=2.884×0.90=2.5956t/a</w:t>
            </w:r>
          </w:p>
          <w:p w14:paraId="45763F53">
            <w:pPr>
              <w:pStyle w:val="5"/>
              <w:jc w:val="both"/>
              <w:rPr>
                <w:rFonts w:hint="eastAsia"/>
                <w:color w:val="auto"/>
                <w:lang w:val="en-US" w:eastAsia="zh-CN"/>
              </w:rPr>
            </w:pPr>
            <w:r>
              <w:rPr>
                <w:rFonts w:hint="eastAsia"/>
                <w:color w:val="auto"/>
                <w:lang w:val="en-US" w:eastAsia="zh-CN"/>
              </w:rPr>
              <w:t>雕刻有组织粉尘产生量Porg2=粉尘产生量×收集效率=0.721×0.85=0.61285t/a</w:t>
            </w:r>
          </w:p>
          <w:p w14:paraId="467F87F4">
            <w:pPr>
              <w:pStyle w:val="5"/>
              <w:jc w:val="both"/>
              <w:rPr>
                <w:rFonts w:hint="eastAsia"/>
                <w:color w:val="auto"/>
                <w:lang w:val="en-US" w:eastAsia="zh-CN"/>
              </w:rPr>
            </w:pPr>
            <w:r>
              <w:rPr>
                <w:rFonts w:hint="eastAsia"/>
                <w:color w:val="auto"/>
                <w:lang w:val="en-US" w:eastAsia="zh-CN"/>
              </w:rPr>
              <w:t>总有组织产生量=2.5956+0.61285=3.2085t/a</w:t>
            </w:r>
          </w:p>
          <w:p w14:paraId="1ED61865">
            <w:pPr>
              <w:pStyle w:val="5"/>
              <w:jc w:val="both"/>
              <w:rPr>
                <w:rFonts w:hint="eastAsia"/>
                <w:color w:val="auto"/>
                <w:lang w:val="en-US" w:eastAsia="zh-CN"/>
              </w:rPr>
            </w:pPr>
            <w:r>
              <w:rPr>
                <w:rFonts w:hint="eastAsia"/>
                <w:color w:val="auto"/>
                <w:lang w:val="en-US" w:eastAsia="zh-CN"/>
              </w:rPr>
              <w:t>总有组织产生速率=（3.2085×1000）÷2400=1.337kg/h</w:t>
            </w:r>
          </w:p>
          <w:p w14:paraId="74EC9CDB">
            <w:pPr>
              <w:pStyle w:val="5"/>
              <w:jc w:val="both"/>
              <w:rPr>
                <w:rFonts w:hint="eastAsia"/>
                <w:color w:val="auto"/>
                <w:lang w:val="en-US" w:eastAsia="zh-CN"/>
              </w:rPr>
            </w:pPr>
            <w:r>
              <w:rPr>
                <w:rFonts w:hint="eastAsia"/>
                <w:color w:val="auto"/>
                <w:lang w:val="en-US" w:eastAsia="zh-CN"/>
              </w:rPr>
              <w:t>总有组织排放量=3.2085×（1-0.99）=0.0321t/a</w:t>
            </w:r>
          </w:p>
          <w:p w14:paraId="7F43F48B">
            <w:pPr>
              <w:pStyle w:val="5"/>
              <w:jc w:val="both"/>
              <w:rPr>
                <w:rFonts w:hint="default"/>
                <w:color w:val="auto"/>
                <w:lang w:val="en-US" w:eastAsia="zh-CN"/>
              </w:rPr>
            </w:pPr>
            <w:r>
              <w:rPr>
                <w:rFonts w:hint="eastAsia"/>
                <w:color w:val="auto"/>
                <w:lang w:val="en-US" w:eastAsia="zh-CN"/>
              </w:rPr>
              <w:t>总有组织排放速率=（0.0321×1000）÷2400=0.0134kg/h</w:t>
            </w:r>
          </w:p>
          <w:p w14:paraId="2E8DDD85">
            <w:pPr>
              <w:pStyle w:val="5"/>
              <w:jc w:val="both"/>
              <w:rPr>
                <w:rFonts w:hint="eastAsia"/>
                <w:color w:val="auto"/>
                <w:lang w:val="en-US" w:eastAsia="zh-CN"/>
              </w:rPr>
            </w:pPr>
            <w:r>
              <w:rPr>
                <w:rFonts w:hint="default"/>
                <w:color w:val="auto"/>
                <w:lang w:val="en-US" w:eastAsia="zh-CN"/>
              </w:rPr>
              <w:t>无组织部分计算（分开后汇总）</w:t>
            </w:r>
            <w:r>
              <w:rPr>
                <w:rFonts w:hint="eastAsia"/>
                <w:color w:val="auto"/>
                <w:lang w:val="en-US" w:eastAsia="zh-CN"/>
              </w:rPr>
              <w:t>：</w:t>
            </w:r>
          </w:p>
          <w:p w14:paraId="666122AF">
            <w:pPr>
              <w:pStyle w:val="5"/>
              <w:jc w:val="both"/>
              <w:rPr>
                <w:rFonts w:hint="eastAsia"/>
                <w:color w:val="auto"/>
                <w:lang w:val="en-US" w:eastAsia="zh-CN"/>
              </w:rPr>
            </w:pPr>
            <w:r>
              <w:rPr>
                <w:rFonts w:hint="default"/>
                <w:color w:val="auto"/>
                <w:lang w:val="en-US" w:eastAsia="zh-CN"/>
              </w:rPr>
              <w:t>修边切割无组织产生量</w:t>
            </w:r>
            <w:r>
              <w:rPr>
                <w:rFonts w:hint="eastAsia"/>
                <w:color w:val="auto"/>
                <w:lang w:val="en-US" w:eastAsia="zh-CN"/>
              </w:rPr>
              <w:t>P</w:t>
            </w:r>
            <w:r>
              <w:rPr>
                <w:rFonts w:hint="eastAsia"/>
                <w:color w:val="auto"/>
                <w:vertAlign w:val="subscript"/>
                <w:lang w:val="en-US" w:eastAsia="zh-CN"/>
              </w:rPr>
              <w:t>unorg1</w:t>
            </w:r>
            <w:r>
              <w:rPr>
                <w:rFonts w:hint="eastAsia"/>
                <w:color w:val="auto"/>
                <w:vertAlign w:val="baseline"/>
                <w:lang w:val="en-US" w:eastAsia="zh-CN"/>
              </w:rPr>
              <w:t>=</w:t>
            </w:r>
            <w:r>
              <w:rPr>
                <w:rFonts w:hint="eastAsia"/>
                <w:color w:val="auto"/>
                <w:lang w:val="en-US" w:eastAsia="zh-CN"/>
              </w:rPr>
              <w:t>粉尘产生量×（1-收集效率）=2.884×0.10=0.2884t/a</w:t>
            </w:r>
          </w:p>
          <w:p w14:paraId="0E71A711">
            <w:pPr>
              <w:pStyle w:val="5"/>
              <w:jc w:val="both"/>
              <w:rPr>
                <w:rFonts w:hint="eastAsia"/>
                <w:color w:val="auto"/>
                <w:lang w:val="en-US" w:eastAsia="zh-CN"/>
              </w:rPr>
            </w:pPr>
            <w:r>
              <w:rPr>
                <w:rFonts w:hint="eastAsia"/>
                <w:color w:val="auto"/>
                <w:lang w:val="en-US" w:eastAsia="zh-CN"/>
              </w:rPr>
              <w:t>雕刻无组织产生量</w:t>
            </w:r>
            <w:r>
              <w:rPr>
                <w:rFonts w:hint="eastAsia"/>
                <w:color w:val="auto"/>
                <w:vertAlign w:val="subscript"/>
                <w:lang w:val="en-US" w:eastAsia="zh-CN"/>
              </w:rPr>
              <w:t>Punorg2</w:t>
            </w:r>
            <w:r>
              <w:rPr>
                <w:rFonts w:hint="eastAsia"/>
                <w:color w:val="auto"/>
                <w:lang w:val="en-US" w:eastAsia="zh-CN"/>
              </w:rPr>
              <w:t>=粉尘产生量×（1-收集效率）=0.721×0.15=0.10815t/a</w:t>
            </w:r>
          </w:p>
          <w:p w14:paraId="143B79C5">
            <w:pPr>
              <w:pStyle w:val="5"/>
              <w:jc w:val="both"/>
              <w:rPr>
                <w:rFonts w:hint="eastAsia"/>
                <w:color w:val="auto"/>
                <w:lang w:val="en-US" w:eastAsia="zh-CN"/>
              </w:rPr>
            </w:pPr>
            <w:r>
              <w:rPr>
                <w:rFonts w:hint="eastAsia"/>
                <w:color w:val="auto"/>
                <w:lang w:val="en-US" w:eastAsia="zh-CN"/>
              </w:rPr>
              <w:t>总无组织产生量=0.2884+0.10815=0.3966t/a</w:t>
            </w:r>
          </w:p>
          <w:p w14:paraId="59D0D068">
            <w:pPr>
              <w:pStyle w:val="5"/>
              <w:jc w:val="both"/>
              <w:rPr>
                <w:rFonts w:hint="default"/>
                <w:color w:val="auto"/>
                <w:lang w:val="en-US" w:eastAsia="zh-CN"/>
              </w:rPr>
            </w:pPr>
            <w:r>
              <w:rPr>
                <w:rFonts w:hint="eastAsia"/>
                <w:color w:val="auto"/>
                <w:lang w:val="en-US" w:eastAsia="zh-CN"/>
              </w:rPr>
              <w:t>总无组织产生速率=（0.3966×1000）÷2400=0.1653kg/h</w:t>
            </w:r>
          </w:p>
          <w:p w14:paraId="54EE27BD">
            <w:pPr>
              <w:pStyle w:val="5"/>
              <w:jc w:val="both"/>
              <w:rPr>
                <w:rFonts w:hint="eastAsia"/>
                <w:color w:val="auto"/>
                <w:vertAlign w:val="superscript"/>
                <w:lang w:val="en-US" w:eastAsia="zh-CN"/>
              </w:rPr>
            </w:pPr>
            <w:r>
              <w:rPr>
                <w:rFonts w:hint="eastAsia"/>
                <w:color w:val="auto"/>
                <w:lang w:val="en-US" w:eastAsia="zh-CN"/>
              </w:rPr>
              <w:t>C入口=（1.337÷8000）×10</w:t>
            </w:r>
            <w:r>
              <w:rPr>
                <w:rFonts w:hint="eastAsia"/>
                <w:color w:val="auto"/>
                <w:vertAlign w:val="superscript"/>
                <w:lang w:val="en-US" w:eastAsia="zh-CN"/>
              </w:rPr>
              <w:t>6</w:t>
            </w:r>
            <w:r>
              <w:rPr>
                <w:rFonts w:hint="eastAsia"/>
                <w:color w:val="auto"/>
                <w:lang w:val="en-US" w:eastAsia="zh-CN"/>
              </w:rPr>
              <w:t>=167.13mg/m</w:t>
            </w:r>
            <w:r>
              <w:rPr>
                <w:rFonts w:hint="eastAsia"/>
                <w:color w:val="auto"/>
                <w:vertAlign w:val="superscript"/>
                <w:lang w:val="en-US" w:eastAsia="zh-CN"/>
              </w:rPr>
              <w:t>3</w:t>
            </w:r>
          </w:p>
          <w:p w14:paraId="745CA795">
            <w:pPr>
              <w:pStyle w:val="5"/>
              <w:jc w:val="both"/>
              <w:rPr>
                <w:rFonts w:hint="eastAsia"/>
                <w:color w:val="auto"/>
                <w:vertAlign w:val="superscript"/>
                <w:lang w:val="en-US" w:eastAsia="zh-CN"/>
              </w:rPr>
            </w:pPr>
            <w:r>
              <w:rPr>
                <w:rFonts w:hint="eastAsia"/>
                <w:color w:val="auto"/>
                <w:vertAlign w:val="baseline"/>
                <w:lang w:val="en-US" w:eastAsia="zh-CN"/>
              </w:rPr>
              <w:t>C排放=167.13×（1-0.99）=1.67</w:t>
            </w:r>
            <w:r>
              <w:rPr>
                <w:rFonts w:hint="eastAsia"/>
                <w:color w:val="auto"/>
                <w:lang w:val="en-US" w:eastAsia="zh-CN"/>
              </w:rPr>
              <w:t>mg/m</w:t>
            </w:r>
            <w:r>
              <w:rPr>
                <w:rFonts w:hint="eastAsia"/>
                <w:color w:val="auto"/>
                <w:vertAlign w:val="superscript"/>
                <w:lang w:val="en-US" w:eastAsia="zh-CN"/>
              </w:rPr>
              <w:t>3</w:t>
            </w:r>
          </w:p>
          <w:p w14:paraId="1C0F0516">
            <w:pPr>
              <w:pStyle w:val="5"/>
              <w:jc w:val="both"/>
              <w:rPr>
                <w:rFonts w:hint="eastAsia"/>
                <w:color w:val="auto"/>
                <w:lang w:val="en-US" w:eastAsia="zh-CN"/>
              </w:rPr>
            </w:pPr>
            <w:r>
              <w:rPr>
                <w:rFonts w:hint="eastAsia"/>
                <w:color w:val="auto"/>
                <w:lang w:val="en-US" w:eastAsia="zh-CN"/>
              </w:rPr>
              <w:t>综上，修边切割和雕刻粉尘废气排放情况如下表</w:t>
            </w:r>
          </w:p>
          <w:p w14:paraId="70E7F20B">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28</w:t>
            </w:r>
            <w:r>
              <w:rPr>
                <w:color w:val="auto"/>
              </w:rPr>
              <w:fldChar w:fldCharType="end"/>
            </w:r>
            <w:r>
              <w:rPr>
                <w:rFonts w:hint="eastAsia"/>
                <w:color w:val="auto"/>
                <w:lang w:val="en-US" w:eastAsia="zh-CN"/>
              </w:rPr>
              <w:t xml:space="preserve">  修边切割和雕刻粉尘废气情况表</w:t>
            </w:r>
          </w:p>
          <w:tbl>
            <w:tblPr>
              <w:tblStyle w:val="16"/>
              <w:tblW w:w="7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941"/>
              <w:gridCol w:w="848"/>
              <w:gridCol w:w="1459"/>
              <w:gridCol w:w="777"/>
              <w:gridCol w:w="791"/>
              <w:gridCol w:w="830"/>
              <w:gridCol w:w="941"/>
            </w:tblGrid>
            <w:tr w14:paraId="12B3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939" w:type="dxa"/>
                  <w:vAlign w:val="center"/>
                </w:tcPr>
                <w:p w14:paraId="22AC2A35">
                  <w:pPr>
                    <w:pStyle w:val="19"/>
                    <w:bidi w:val="0"/>
                    <w:jc w:val="center"/>
                    <w:rPr>
                      <w:rFonts w:hint="default"/>
                      <w:color w:val="auto"/>
                      <w:lang w:val="en-US" w:eastAsia="zh-CN"/>
                    </w:rPr>
                  </w:pPr>
                  <w:r>
                    <w:rPr>
                      <w:rFonts w:hint="eastAsia"/>
                      <w:color w:val="auto"/>
                      <w:lang w:val="en-US" w:eastAsia="zh-CN"/>
                    </w:rPr>
                    <w:t>排放类型</w:t>
                  </w:r>
                </w:p>
              </w:tc>
              <w:tc>
                <w:tcPr>
                  <w:tcW w:w="941" w:type="dxa"/>
                  <w:vAlign w:val="center"/>
                </w:tcPr>
                <w:p w14:paraId="710BA94F">
                  <w:pPr>
                    <w:pStyle w:val="19"/>
                    <w:bidi w:val="0"/>
                    <w:jc w:val="center"/>
                    <w:rPr>
                      <w:rFonts w:hint="default"/>
                      <w:color w:val="auto"/>
                      <w:lang w:val="en-US" w:eastAsia="zh-CN"/>
                    </w:rPr>
                  </w:pPr>
                  <w:r>
                    <w:rPr>
                      <w:rFonts w:hint="eastAsia"/>
                      <w:color w:val="auto"/>
                      <w:lang w:val="en-US" w:eastAsia="zh-CN"/>
                    </w:rPr>
                    <w:t>产生量（t/a）</w:t>
                  </w:r>
                </w:p>
              </w:tc>
              <w:tc>
                <w:tcPr>
                  <w:tcW w:w="848" w:type="dxa"/>
                  <w:vAlign w:val="center"/>
                </w:tcPr>
                <w:p w14:paraId="4FAFD209">
                  <w:pPr>
                    <w:pStyle w:val="19"/>
                    <w:bidi w:val="0"/>
                    <w:jc w:val="center"/>
                    <w:rPr>
                      <w:rFonts w:hint="eastAsia"/>
                      <w:color w:val="auto"/>
                      <w:lang w:val="en-US" w:eastAsia="zh-CN"/>
                    </w:rPr>
                  </w:pPr>
                  <w:r>
                    <w:rPr>
                      <w:rFonts w:hint="eastAsia"/>
                      <w:color w:val="auto"/>
                      <w:lang w:val="en-US" w:eastAsia="zh-CN"/>
                    </w:rPr>
                    <w:t>产生速率</w:t>
                  </w:r>
                </w:p>
                <w:p w14:paraId="02CF0FD4">
                  <w:pPr>
                    <w:pStyle w:val="19"/>
                    <w:bidi w:val="0"/>
                    <w:jc w:val="center"/>
                    <w:rPr>
                      <w:rFonts w:hint="eastAsia"/>
                      <w:color w:val="auto"/>
                      <w:lang w:val="en-US" w:eastAsia="zh-CN"/>
                    </w:rPr>
                  </w:pPr>
                  <w:r>
                    <w:rPr>
                      <w:rFonts w:hint="eastAsia"/>
                      <w:color w:val="auto"/>
                      <w:lang w:val="en-US" w:eastAsia="zh-CN"/>
                    </w:rPr>
                    <w:t>(kg/h)</w:t>
                  </w:r>
                </w:p>
              </w:tc>
              <w:tc>
                <w:tcPr>
                  <w:tcW w:w="1459" w:type="dxa"/>
                  <w:vAlign w:val="center"/>
                </w:tcPr>
                <w:p w14:paraId="2BE415B3">
                  <w:pPr>
                    <w:pStyle w:val="19"/>
                    <w:bidi w:val="0"/>
                    <w:jc w:val="center"/>
                    <w:rPr>
                      <w:rFonts w:hint="default"/>
                      <w:color w:val="auto"/>
                      <w:lang w:val="en-US" w:eastAsia="zh-CN"/>
                    </w:rPr>
                  </w:pPr>
                  <w:r>
                    <w:rPr>
                      <w:rFonts w:hint="eastAsia"/>
                      <w:color w:val="auto"/>
                      <w:lang w:val="en-US" w:eastAsia="zh-CN"/>
                    </w:rPr>
                    <w:t>排放方式</w:t>
                  </w:r>
                </w:p>
              </w:tc>
              <w:tc>
                <w:tcPr>
                  <w:tcW w:w="777" w:type="dxa"/>
                  <w:vAlign w:val="center"/>
                </w:tcPr>
                <w:p w14:paraId="681C2055">
                  <w:pPr>
                    <w:pStyle w:val="19"/>
                    <w:bidi w:val="0"/>
                    <w:jc w:val="center"/>
                    <w:rPr>
                      <w:rFonts w:hint="default"/>
                      <w:color w:val="auto"/>
                      <w:lang w:val="en-US" w:eastAsia="zh-CN"/>
                    </w:rPr>
                  </w:pPr>
                  <w:r>
                    <w:rPr>
                      <w:rFonts w:hint="eastAsia"/>
                      <w:color w:val="auto"/>
                      <w:lang w:val="en-US" w:eastAsia="zh-CN"/>
                    </w:rPr>
                    <w:t>风机风量</w:t>
                  </w:r>
                </w:p>
              </w:tc>
              <w:tc>
                <w:tcPr>
                  <w:tcW w:w="791" w:type="dxa"/>
                  <w:vAlign w:val="center"/>
                </w:tcPr>
                <w:p w14:paraId="15D318CD">
                  <w:pPr>
                    <w:pStyle w:val="19"/>
                    <w:bidi w:val="0"/>
                    <w:jc w:val="center"/>
                    <w:rPr>
                      <w:rFonts w:hint="default"/>
                      <w:color w:val="auto"/>
                      <w:lang w:val="en-US" w:eastAsia="zh-CN"/>
                    </w:rPr>
                  </w:pPr>
                  <w:r>
                    <w:rPr>
                      <w:rFonts w:hint="eastAsia"/>
                      <w:color w:val="auto"/>
                      <w:lang w:val="en-US" w:eastAsia="zh-CN"/>
                    </w:rPr>
                    <w:t>除尘效率</w:t>
                  </w:r>
                </w:p>
              </w:tc>
              <w:tc>
                <w:tcPr>
                  <w:tcW w:w="830" w:type="dxa"/>
                  <w:vAlign w:val="center"/>
                </w:tcPr>
                <w:p w14:paraId="2A7BD8AF">
                  <w:pPr>
                    <w:pStyle w:val="19"/>
                    <w:bidi w:val="0"/>
                    <w:jc w:val="center"/>
                    <w:rPr>
                      <w:rFonts w:hint="default"/>
                      <w:color w:val="auto"/>
                      <w:lang w:val="en-US" w:eastAsia="zh-CN"/>
                    </w:rPr>
                  </w:pPr>
                  <w:r>
                    <w:rPr>
                      <w:rFonts w:hint="eastAsia"/>
                      <w:color w:val="auto"/>
                    </w:rPr>
                    <w:t>排放量（</w:t>
                  </w:r>
                  <w:r>
                    <w:rPr>
                      <w:rFonts w:hint="eastAsia"/>
                      <w:color w:val="auto"/>
                      <w:lang w:val="en-US" w:eastAsia="zh-CN"/>
                    </w:rPr>
                    <w:t>t</w:t>
                  </w:r>
                  <w:r>
                    <w:rPr>
                      <w:color w:val="auto"/>
                    </w:rPr>
                    <w:t>/a</w:t>
                  </w:r>
                  <w:r>
                    <w:rPr>
                      <w:rFonts w:hint="eastAsia"/>
                      <w:color w:val="auto"/>
                    </w:rPr>
                    <w:t>）</w:t>
                  </w:r>
                </w:p>
              </w:tc>
              <w:tc>
                <w:tcPr>
                  <w:tcW w:w="941" w:type="dxa"/>
                  <w:vAlign w:val="center"/>
                </w:tcPr>
                <w:p w14:paraId="65A8E1F4">
                  <w:pPr>
                    <w:pStyle w:val="19"/>
                    <w:bidi w:val="0"/>
                    <w:jc w:val="center"/>
                    <w:rPr>
                      <w:rFonts w:hint="default"/>
                      <w:color w:val="auto"/>
                      <w:lang w:val="en-US" w:eastAsia="zh-CN"/>
                    </w:rPr>
                  </w:pPr>
                  <w:r>
                    <w:rPr>
                      <w:rFonts w:hint="eastAsia"/>
                      <w:color w:val="auto"/>
                    </w:rPr>
                    <w:t>排放速率（</w:t>
                  </w:r>
                  <w:r>
                    <w:rPr>
                      <w:color w:val="auto"/>
                    </w:rPr>
                    <w:t>kg/h</w:t>
                  </w:r>
                  <w:r>
                    <w:rPr>
                      <w:rFonts w:hint="eastAsia"/>
                      <w:color w:val="auto"/>
                    </w:rPr>
                    <w:t>）</w:t>
                  </w:r>
                </w:p>
              </w:tc>
            </w:tr>
            <w:tr w14:paraId="387B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1E7A299">
                  <w:pPr>
                    <w:pStyle w:val="19"/>
                    <w:bidi w:val="0"/>
                    <w:jc w:val="center"/>
                    <w:rPr>
                      <w:rFonts w:hint="default"/>
                      <w:color w:val="auto"/>
                      <w:lang w:val="en-US" w:eastAsia="zh-CN"/>
                    </w:rPr>
                  </w:pPr>
                  <w:r>
                    <w:rPr>
                      <w:rFonts w:hint="eastAsia"/>
                      <w:color w:val="auto"/>
                      <w:lang w:val="en-US" w:eastAsia="zh-CN"/>
                    </w:rPr>
                    <w:t>有组织排放（合并）</w:t>
                  </w:r>
                </w:p>
              </w:tc>
              <w:tc>
                <w:tcPr>
                  <w:tcW w:w="941" w:type="dxa"/>
                  <w:vAlign w:val="center"/>
                </w:tcPr>
                <w:p w14:paraId="64204D9D">
                  <w:pPr>
                    <w:pStyle w:val="21"/>
                    <w:widowControl w:val="0"/>
                    <w:bidi w:val="0"/>
                    <w:jc w:val="center"/>
                    <w:rPr>
                      <w:rFonts w:hint="eastAsia"/>
                      <w:color w:val="auto"/>
                      <w:lang w:val="en-US" w:eastAsia="zh-CN"/>
                    </w:rPr>
                  </w:pPr>
                  <w:r>
                    <w:rPr>
                      <w:color w:val="auto"/>
                    </w:rPr>
                    <w:t>3.2085</w:t>
                  </w:r>
                </w:p>
              </w:tc>
              <w:tc>
                <w:tcPr>
                  <w:tcW w:w="848" w:type="dxa"/>
                  <w:vAlign w:val="center"/>
                </w:tcPr>
                <w:p w14:paraId="612C128E">
                  <w:pPr>
                    <w:pStyle w:val="21"/>
                    <w:widowControl w:val="0"/>
                    <w:bidi w:val="0"/>
                    <w:jc w:val="center"/>
                    <w:rPr>
                      <w:rFonts w:hint="eastAsia"/>
                      <w:color w:val="auto"/>
                      <w:lang w:val="en-US" w:eastAsia="zh-CN"/>
                    </w:rPr>
                  </w:pPr>
                  <w:r>
                    <w:rPr>
                      <w:color w:val="auto"/>
                    </w:rPr>
                    <w:t>1.337</w:t>
                  </w:r>
                </w:p>
              </w:tc>
              <w:tc>
                <w:tcPr>
                  <w:tcW w:w="1459" w:type="dxa"/>
                  <w:vAlign w:val="center"/>
                </w:tcPr>
                <w:p w14:paraId="594E4136">
                  <w:pPr>
                    <w:pStyle w:val="19"/>
                    <w:bidi w:val="0"/>
                    <w:jc w:val="center"/>
                    <w:rPr>
                      <w:rFonts w:hint="eastAsia"/>
                      <w:color w:val="auto"/>
                      <w:lang w:val="en-US" w:eastAsia="zh-CN"/>
                    </w:rPr>
                  </w:pPr>
                  <w:r>
                    <w:rPr>
                      <w:color w:val="auto"/>
                    </w:rPr>
                    <w:t>经集气罩+袋式除尘器处理后经20m高排气筒排放</w:t>
                  </w:r>
                </w:p>
              </w:tc>
              <w:tc>
                <w:tcPr>
                  <w:tcW w:w="777" w:type="dxa"/>
                  <w:vAlign w:val="center"/>
                </w:tcPr>
                <w:p w14:paraId="05BE64C7">
                  <w:pPr>
                    <w:pStyle w:val="19"/>
                    <w:bidi w:val="0"/>
                    <w:jc w:val="center"/>
                    <w:rPr>
                      <w:rFonts w:hint="eastAsia"/>
                      <w:color w:val="auto"/>
                      <w:lang w:val="en-US" w:eastAsia="zh-CN"/>
                    </w:rPr>
                  </w:pPr>
                  <w:r>
                    <w:rPr>
                      <w:color w:val="auto"/>
                    </w:rPr>
                    <w:t>8000 m³/h</w:t>
                  </w:r>
                </w:p>
              </w:tc>
              <w:tc>
                <w:tcPr>
                  <w:tcW w:w="791" w:type="dxa"/>
                  <w:vAlign w:val="center"/>
                </w:tcPr>
                <w:p w14:paraId="0A59E377">
                  <w:pPr>
                    <w:pStyle w:val="19"/>
                    <w:bidi w:val="0"/>
                    <w:jc w:val="center"/>
                    <w:rPr>
                      <w:rFonts w:hint="eastAsia"/>
                      <w:color w:val="auto"/>
                      <w:lang w:val="en-US" w:eastAsia="zh-CN"/>
                    </w:rPr>
                  </w:pPr>
                  <w:r>
                    <w:rPr>
                      <w:color w:val="auto"/>
                    </w:rPr>
                    <w:t>99%</w:t>
                  </w:r>
                </w:p>
              </w:tc>
              <w:tc>
                <w:tcPr>
                  <w:tcW w:w="830" w:type="dxa"/>
                  <w:vAlign w:val="center"/>
                </w:tcPr>
                <w:p w14:paraId="078C6B9D">
                  <w:pPr>
                    <w:pStyle w:val="19"/>
                    <w:bidi w:val="0"/>
                    <w:jc w:val="center"/>
                    <w:rPr>
                      <w:rFonts w:hint="eastAsia"/>
                      <w:color w:val="auto"/>
                      <w:lang w:val="en-US" w:eastAsia="zh-CN"/>
                    </w:rPr>
                  </w:pPr>
                  <w:r>
                    <w:rPr>
                      <w:color w:val="auto"/>
                    </w:rPr>
                    <w:t>0.0321</w:t>
                  </w:r>
                </w:p>
              </w:tc>
              <w:tc>
                <w:tcPr>
                  <w:tcW w:w="941" w:type="dxa"/>
                  <w:vAlign w:val="center"/>
                </w:tcPr>
                <w:p w14:paraId="5325AD94">
                  <w:pPr>
                    <w:pStyle w:val="19"/>
                    <w:bidi w:val="0"/>
                    <w:jc w:val="center"/>
                    <w:rPr>
                      <w:rFonts w:hint="eastAsia"/>
                      <w:color w:val="auto"/>
                      <w:lang w:val="en-US" w:eastAsia="zh-CN"/>
                    </w:rPr>
                  </w:pPr>
                  <w:r>
                    <w:rPr>
                      <w:color w:val="auto"/>
                    </w:rPr>
                    <w:t>0.0134</w:t>
                  </w:r>
                </w:p>
              </w:tc>
            </w:tr>
            <w:tr w14:paraId="0AEC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48A4F64">
                  <w:pPr>
                    <w:pStyle w:val="19"/>
                    <w:bidi w:val="0"/>
                    <w:jc w:val="center"/>
                    <w:rPr>
                      <w:rFonts w:hint="default"/>
                      <w:color w:val="auto"/>
                      <w:lang w:val="en-US" w:eastAsia="zh-CN"/>
                    </w:rPr>
                  </w:pPr>
                  <w:r>
                    <w:rPr>
                      <w:rFonts w:hint="eastAsia"/>
                      <w:color w:val="auto"/>
                      <w:lang w:val="en-US" w:eastAsia="zh-CN"/>
                    </w:rPr>
                    <w:t>无组织排放（合并）</w:t>
                  </w:r>
                </w:p>
              </w:tc>
              <w:tc>
                <w:tcPr>
                  <w:tcW w:w="941" w:type="dxa"/>
                  <w:vAlign w:val="center"/>
                </w:tcPr>
                <w:p w14:paraId="284E5BCB">
                  <w:pPr>
                    <w:pStyle w:val="21"/>
                    <w:widowControl w:val="0"/>
                    <w:bidi w:val="0"/>
                    <w:jc w:val="center"/>
                    <w:rPr>
                      <w:rFonts w:hint="eastAsia"/>
                      <w:color w:val="auto"/>
                      <w:lang w:val="en-US" w:eastAsia="zh-CN"/>
                    </w:rPr>
                  </w:pPr>
                  <w:r>
                    <w:rPr>
                      <w:color w:val="auto"/>
                    </w:rPr>
                    <w:t>0.3966</w:t>
                  </w:r>
                </w:p>
              </w:tc>
              <w:tc>
                <w:tcPr>
                  <w:tcW w:w="848" w:type="dxa"/>
                  <w:vAlign w:val="center"/>
                </w:tcPr>
                <w:p w14:paraId="6B65CFF2">
                  <w:pPr>
                    <w:pStyle w:val="21"/>
                    <w:widowControl w:val="0"/>
                    <w:bidi w:val="0"/>
                    <w:jc w:val="center"/>
                    <w:rPr>
                      <w:rFonts w:hint="eastAsia"/>
                      <w:color w:val="auto"/>
                      <w:lang w:val="en-US" w:eastAsia="zh-CN"/>
                    </w:rPr>
                  </w:pPr>
                  <w:r>
                    <w:rPr>
                      <w:color w:val="auto"/>
                    </w:rPr>
                    <w:t>0.1653</w:t>
                  </w:r>
                </w:p>
              </w:tc>
              <w:tc>
                <w:tcPr>
                  <w:tcW w:w="1459" w:type="dxa"/>
                  <w:vAlign w:val="center"/>
                </w:tcPr>
                <w:p w14:paraId="0B86A5B4">
                  <w:pPr>
                    <w:pStyle w:val="19"/>
                    <w:bidi w:val="0"/>
                    <w:jc w:val="center"/>
                    <w:rPr>
                      <w:rFonts w:hint="eastAsia"/>
                      <w:color w:val="auto"/>
                      <w:lang w:val="en-US" w:eastAsia="zh-CN"/>
                    </w:rPr>
                  </w:pPr>
                  <w:r>
                    <w:rPr>
                      <w:color w:val="auto"/>
                    </w:rPr>
                    <w:t>无组织排放</w:t>
                  </w:r>
                </w:p>
              </w:tc>
              <w:tc>
                <w:tcPr>
                  <w:tcW w:w="777" w:type="dxa"/>
                  <w:vAlign w:val="center"/>
                </w:tcPr>
                <w:p w14:paraId="7540CD1E">
                  <w:pPr>
                    <w:pStyle w:val="19"/>
                    <w:bidi w:val="0"/>
                    <w:jc w:val="center"/>
                    <w:rPr>
                      <w:rFonts w:hint="eastAsia"/>
                      <w:color w:val="auto"/>
                      <w:lang w:val="en-US" w:eastAsia="zh-CN"/>
                    </w:rPr>
                  </w:pPr>
                  <w:r>
                    <w:rPr>
                      <w:color w:val="auto"/>
                    </w:rPr>
                    <w:t>/</w:t>
                  </w:r>
                </w:p>
              </w:tc>
              <w:tc>
                <w:tcPr>
                  <w:tcW w:w="791" w:type="dxa"/>
                  <w:vAlign w:val="center"/>
                </w:tcPr>
                <w:p w14:paraId="5B517736">
                  <w:pPr>
                    <w:pStyle w:val="19"/>
                    <w:bidi w:val="0"/>
                    <w:jc w:val="center"/>
                    <w:rPr>
                      <w:rFonts w:hint="eastAsia"/>
                      <w:color w:val="auto"/>
                      <w:lang w:val="en-US" w:eastAsia="zh-CN"/>
                    </w:rPr>
                  </w:pPr>
                  <w:r>
                    <w:rPr>
                      <w:color w:val="auto"/>
                    </w:rPr>
                    <w:t>/</w:t>
                  </w:r>
                </w:p>
              </w:tc>
              <w:tc>
                <w:tcPr>
                  <w:tcW w:w="830" w:type="dxa"/>
                  <w:vAlign w:val="center"/>
                </w:tcPr>
                <w:p w14:paraId="767A6DCF">
                  <w:pPr>
                    <w:pStyle w:val="19"/>
                    <w:bidi w:val="0"/>
                    <w:jc w:val="center"/>
                    <w:rPr>
                      <w:rFonts w:hint="eastAsia"/>
                      <w:color w:val="auto"/>
                      <w:lang w:val="en-US" w:eastAsia="zh-CN"/>
                    </w:rPr>
                  </w:pPr>
                  <w:r>
                    <w:rPr>
                      <w:color w:val="auto"/>
                    </w:rPr>
                    <w:t>0.3966</w:t>
                  </w:r>
                </w:p>
              </w:tc>
              <w:tc>
                <w:tcPr>
                  <w:tcW w:w="941" w:type="dxa"/>
                  <w:vAlign w:val="center"/>
                </w:tcPr>
                <w:p w14:paraId="4DEE083B">
                  <w:pPr>
                    <w:pStyle w:val="19"/>
                    <w:bidi w:val="0"/>
                    <w:jc w:val="center"/>
                    <w:rPr>
                      <w:rFonts w:hint="eastAsia"/>
                      <w:color w:val="auto"/>
                      <w:lang w:val="en-US" w:eastAsia="zh-CN"/>
                    </w:rPr>
                  </w:pPr>
                  <w:r>
                    <w:rPr>
                      <w:color w:val="auto"/>
                    </w:rPr>
                    <w:t>0.1653</w:t>
                  </w:r>
                </w:p>
              </w:tc>
            </w:tr>
          </w:tbl>
          <w:p w14:paraId="0E547A8E">
            <w:pPr>
              <w:pStyle w:val="20"/>
              <w:bidi w:val="0"/>
              <w:jc w:val="both"/>
              <w:rPr>
                <w:rFonts w:hint="default"/>
                <w:color w:val="auto"/>
                <w:lang w:val="en-US" w:eastAsia="zh-CN"/>
              </w:rPr>
            </w:pPr>
          </w:p>
          <w:p w14:paraId="3AB3715F">
            <w:pPr>
              <w:pStyle w:val="5"/>
              <w:bidi w:val="0"/>
              <w:jc w:val="both"/>
              <w:rPr>
                <w:rFonts w:hint="eastAsia"/>
                <w:color w:val="auto"/>
                <w:lang w:eastAsia="zh-CN"/>
              </w:rPr>
            </w:pPr>
            <w:r>
              <w:rPr>
                <w:rFonts w:hint="eastAsia"/>
                <w:color w:val="auto"/>
                <w:lang w:val="en-US" w:eastAsia="zh-CN"/>
              </w:rPr>
              <w:t>根据</w:t>
            </w:r>
            <w:r>
              <w:rPr>
                <w:rFonts w:hint="eastAsia" w:ascii="宋体" w:hAnsi="宋体" w:cs="宋体"/>
                <w:color w:val="auto"/>
                <w:kern w:val="0"/>
                <w:sz w:val="24"/>
                <w:szCs w:val="24"/>
                <w:lang w:val="en-US" w:eastAsia="zh-CN" w:bidi="ar"/>
              </w:rPr>
              <w:t>《水泥工业大气污染物排放标准》（GB 4915-2013，含2025年修改单）</w:t>
            </w:r>
            <w:r>
              <w:rPr>
                <w:rFonts w:hint="eastAsia" w:ascii="宋体" w:hAnsi="宋体" w:eastAsia="宋体" w:cs="宋体"/>
                <w:color w:val="auto"/>
                <w:kern w:val="0"/>
                <w:sz w:val="24"/>
                <w:szCs w:val="24"/>
                <w:lang w:val="en-US" w:eastAsia="zh-CN" w:bidi="ar"/>
              </w:rPr>
              <w:t>表</w:t>
            </w:r>
            <w:r>
              <w:rPr>
                <w:rFonts w:hint="default" w:ascii="Times New Roman" w:hAnsi="Times New Roman" w:eastAsia="宋体" w:cs="Times New Roman"/>
                <w:color w:val="auto"/>
                <w:kern w:val="0"/>
                <w:sz w:val="24"/>
                <w:szCs w:val="24"/>
                <w:lang w:val="en-US" w:eastAsia="zh-CN" w:bidi="ar"/>
              </w:rPr>
              <w:t>1破碎机、磨机、包装机及其他通风生产设备</w:t>
            </w:r>
            <w:r>
              <w:rPr>
                <w:rFonts w:hint="eastAsia" w:ascii="宋体" w:hAnsi="宋体" w:eastAsia="宋体" w:cs="宋体"/>
                <w:color w:val="auto"/>
                <w:kern w:val="0"/>
                <w:sz w:val="24"/>
                <w:szCs w:val="24"/>
                <w:lang w:val="en-US" w:eastAsia="zh-CN" w:bidi="ar"/>
              </w:rPr>
              <w:t>颗粒物有组织最高允许排放浓度为</w:t>
            </w:r>
            <w:r>
              <w:rPr>
                <w:rFonts w:hint="default" w:ascii="Times New Roman" w:hAnsi="Times New Roman" w:cs="Times New Roman"/>
                <w:color w:val="auto"/>
                <w:kern w:val="0"/>
                <w:sz w:val="24"/>
                <w:szCs w:val="24"/>
                <w:lang w:val="en-US" w:eastAsia="zh-CN" w:bidi="ar"/>
              </w:rPr>
              <w:t>2</w:t>
            </w:r>
            <w:r>
              <w:rPr>
                <w:rFonts w:hint="default" w:ascii="Times New Roman" w:hAnsi="Times New Roman" w:eastAsia="宋体" w:cs="Times New Roman"/>
                <w:color w:val="auto"/>
                <w:kern w:val="0"/>
                <w:sz w:val="24"/>
                <w:szCs w:val="24"/>
                <w:lang w:val="en-US" w:eastAsia="zh-CN" w:bidi="ar"/>
              </w:rPr>
              <w:t>0mg/m</w:t>
            </w:r>
            <w:r>
              <w:rPr>
                <w:rFonts w:hint="eastAsia" w:ascii="Times New Roman" w:hAnsi="Times New Roman" w:eastAsia="宋体" w:cs="Times New Roman"/>
                <w:color w:val="auto"/>
                <w:kern w:val="0"/>
                <w:sz w:val="24"/>
                <w:szCs w:val="24"/>
                <w:vertAlign w:val="superscript"/>
                <w:lang w:val="en-US" w:eastAsia="zh-CN" w:bidi="ar"/>
              </w:rPr>
              <w:t>3</w:t>
            </w:r>
            <w:r>
              <w:rPr>
                <w:rFonts w:hint="eastAsia"/>
                <w:color w:val="auto"/>
                <w:lang w:val="en-US" w:eastAsia="zh-CN"/>
              </w:rPr>
              <w:t>，本项目修边切割和雕刻作业粉尘经处理后的排放浓度满足标准要求。同样符合上述标准限值。</w:t>
            </w:r>
          </w:p>
        </w:tc>
      </w:tr>
    </w:tbl>
    <w:p w14:paraId="1C66730E">
      <w:pPr>
        <w:pStyle w:val="5"/>
        <w:bidi w:val="0"/>
        <w:ind w:left="0" w:leftChars="0" w:firstLine="0" w:firstLineChars="0"/>
        <w:jc w:val="both"/>
        <w:rPr>
          <w:rFonts w:hint="eastAsia"/>
          <w:color w:val="auto"/>
        </w:rPr>
        <w:sectPr>
          <w:pgSz w:w="11907" w:h="16840"/>
          <w:pgMar w:top="1701" w:right="1531" w:bottom="2127" w:left="1531" w:header="851" w:footer="851" w:gutter="0"/>
          <w:pgNumType w:fmt="decimal"/>
          <w:cols w:space="720" w:num="1"/>
          <w:docGrid w:linePitch="312" w:charSpace="0"/>
        </w:sectPr>
      </w:pPr>
    </w:p>
    <w:p w14:paraId="2F9C9952">
      <w:pPr>
        <w:pStyle w:val="12"/>
        <w:outlineLvl w:val="9"/>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29</w:t>
      </w:r>
      <w:r>
        <w:rPr>
          <w:color w:val="auto"/>
        </w:rPr>
        <w:fldChar w:fldCharType="end"/>
      </w:r>
      <w:r>
        <w:rPr>
          <w:rFonts w:hint="eastAsia"/>
          <w:color w:val="auto"/>
          <w:lang w:val="en-US" w:eastAsia="zh-CN"/>
        </w:rPr>
        <w:t xml:space="preserve">  本项目有组织排放情况表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858"/>
        <w:gridCol w:w="1102"/>
        <w:gridCol w:w="1059"/>
        <w:gridCol w:w="1773"/>
        <w:gridCol w:w="1327"/>
        <w:gridCol w:w="788"/>
        <w:gridCol w:w="1289"/>
        <w:gridCol w:w="1549"/>
        <w:gridCol w:w="2776"/>
      </w:tblGrid>
      <w:tr w14:paraId="5712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7" w:type="dxa"/>
            <w:vMerge w:val="restart"/>
            <w:vAlign w:val="center"/>
          </w:tcPr>
          <w:p w14:paraId="1F8B709F">
            <w:pPr>
              <w:pStyle w:val="19"/>
              <w:bidi w:val="0"/>
              <w:rPr>
                <w:rFonts w:hint="default"/>
                <w:color w:val="auto"/>
                <w:lang w:val="en-US" w:eastAsia="zh-CN"/>
              </w:rPr>
            </w:pPr>
            <w:r>
              <w:rPr>
                <w:rFonts w:hint="eastAsia"/>
                <w:color w:val="auto"/>
                <w:lang w:val="en-US" w:eastAsia="zh-CN"/>
              </w:rPr>
              <w:t>工段</w:t>
            </w:r>
          </w:p>
        </w:tc>
        <w:tc>
          <w:tcPr>
            <w:tcW w:w="858" w:type="dxa"/>
            <w:vMerge w:val="restart"/>
            <w:vAlign w:val="center"/>
          </w:tcPr>
          <w:p w14:paraId="1A0D18CC">
            <w:pPr>
              <w:pStyle w:val="19"/>
              <w:bidi w:val="0"/>
              <w:rPr>
                <w:rFonts w:hint="default"/>
                <w:color w:val="auto"/>
                <w:lang w:val="en-US" w:eastAsia="zh-CN"/>
              </w:rPr>
            </w:pPr>
            <w:r>
              <w:rPr>
                <w:rFonts w:hint="eastAsia"/>
                <w:color w:val="auto"/>
                <w:lang w:val="en-US" w:eastAsia="zh-CN"/>
              </w:rPr>
              <w:t>污染物</w:t>
            </w:r>
          </w:p>
        </w:tc>
        <w:tc>
          <w:tcPr>
            <w:tcW w:w="2161" w:type="dxa"/>
            <w:gridSpan w:val="2"/>
            <w:vAlign w:val="center"/>
          </w:tcPr>
          <w:p w14:paraId="1D941C25">
            <w:pPr>
              <w:pStyle w:val="19"/>
              <w:bidi w:val="0"/>
              <w:rPr>
                <w:rFonts w:hint="default"/>
                <w:color w:val="auto"/>
                <w:lang w:val="en-US" w:eastAsia="zh-CN"/>
              </w:rPr>
            </w:pPr>
            <w:r>
              <w:rPr>
                <w:rFonts w:hint="eastAsia"/>
                <w:color w:val="auto"/>
                <w:lang w:val="en-US" w:eastAsia="zh-CN"/>
              </w:rPr>
              <w:t>产生情况</w:t>
            </w:r>
          </w:p>
        </w:tc>
        <w:tc>
          <w:tcPr>
            <w:tcW w:w="1773" w:type="dxa"/>
            <w:vMerge w:val="restart"/>
            <w:shd w:val="clear" w:color="auto" w:fill="auto"/>
            <w:vAlign w:val="center"/>
          </w:tcPr>
          <w:p w14:paraId="2C70D08B">
            <w:pPr>
              <w:pStyle w:val="19"/>
              <w:bidi w:val="0"/>
              <w:rPr>
                <w:rFonts w:hint="default"/>
                <w:color w:val="auto"/>
                <w:lang w:val="en-US" w:eastAsia="zh-CN"/>
              </w:rPr>
            </w:pPr>
            <w:r>
              <w:rPr>
                <w:rFonts w:hint="eastAsia"/>
                <w:color w:val="auto"/>
              </w:rPr>
              <w:t>排放方式</w:t>
            </w:r>
          </w:p>
        </w:tc>
        <w:tc>
          <w:tcPr>
            <w:tcW w:w="1327" w:type="dxa"/>
            <w:vMerge w:val="restart"/>
            <w:vAlign w:val="center"/>
          </w:tcPr>
          <w:p w14:paraId="4411811A">
            <w:pPr>
              <w:pStyle w:val="19"/>
              <w:bidi w:val="0"/>
              <w:rPr>
                <w:rFonts w:hint="default"/>
                <w:color w:val="auto"/>
                <w:lang w:val="en-US" w:eastAsia="zh-CN"/>
              </w:rPr>
            </w:pPr>
            <w:r>
              <w:rPr>
                <w:rFonts w:hint="eastAsia"/>
                <w:color w:val="auto"/>
                <w:lang w:val="en-US" w:eastAsia="zh-CN"/>
              </w:rPr>
              <w:t>风机风量</w:t>
            </w:r>
          </w:p>
        </w:tc>
        <w:tc>
          <w:tcPr>
            <w:tcW w:w="788" w:type="dxa"/>
            <w:vMerge w:val="restart"/>
            <w:vAlign w:val="center"/>
          </w:tcPr>
          <w:p w14:paraId="1F3316B6">
            <w:pPr>
              <w:pStyle w:val="19"/>
              <w:bidi w:val="0"/>
              <w:rPr>
                <w:rFonts w:hint="default"/>
                <w:color w:val="auto"/>
                <w:lang w:val="en-US" w:eastAsia="zh-CN"/>
              </w:rPr>
            </w:pPr>
            <w:r>
              <w:rPr>
                <w:rFonts w:hint="eastAsia"/>
                <w:color w:val="auto"/>
                <w:lang w:val="en-US" w:eastAsia="zh-CN"/>
              </w:rPr>
              <w:t>除尘效率</w:t>
            </w:r>
          </w:p>
        </w:tc>
        <w:tc>
          <w:tcPr>
            <w:tcW w:w="2838" w:type="dxa"/>
            <w:gridSpan w:val="2"/>
            <w:vAlign w:val="center"/>
          </w:tcPr>
          <w:p w14:paraId="04DC8293">
            <w:pPr>
              <w:pStyle w:val="19"/>
              <w:bidi w:val="0"/>
              <w:rPr>
                <w:rFonts w:hint="default"/>
                <w:color w:val="auto"/>
                <w:lang w:val="en-US" w:eastAsia="zh-CN"/>
              </w:rPr>
            </w:pPr>
            <w:r>
              <w:rPr>
                <w:rFonts w:hint="eastAsia"/>
                <w:color w:val="auto"/>
                <w:lang w:val="en-US" w:eastAsia="zh-CN"/>
              </w:rPr>
              <w:t>排放情况</w:t>
            </w:r>
          </w:p>
        </w:tc>
        <w:tc>
          <w:tcPr>
            <w:tcW w:w="2776" w:type="dxa"/>
            <w:vMerge w:val="restart"/>
            <w:vAlign w:val="center"/>
          </w:tcPr>
          <w:p w14:paraId="3B406304">
            <w:pPr>
              <w:pStyle w:val="19"/>
              <w:bidi w:val="0"/>
              <w:rPr>
                <w:rFonts w:hint="default"/>
                <w:color w:val="auto"/>
                <w:lang w:val="en-US" w:eastAsia="zh-CN"/>
              </w:rPr>
            </w:pPr>
            <w:r>
              <w:rPr>
                <w:rFonts w:hint="eastAsia"/>
                <w:color w:val="auto"/>
                <w:lang w:val="en-US" w:eastAsia="zh-CN"/>
              </w:rPr>
              <w:t>执行标准</w:t>
            </w:r>
          </w:p>
        </w:tc>
      </w:tr>
      <w:tr w14:paraId="2B18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7" w:type="dxa"/>
            <w:vMerge w:val="continue"/>
            <w:vAlign w:val="center"/>
          </w:tcPr>
          <w:p w14:paraId="5FB31B74">
            <w:pPr>
              <w:pStyle w:val="19"/>
              <w:bidi w:val="0"/>
              <w:rPr>
                <w:rFonts w:hint="default"/>
                <w:color w:val="auto"/>
                <w:lang w:val="en-US" w:eastAsia="zh-CN"/>
              </w:rPr>
            </w:pPr>
          </w:p>
        </w:tc>
        <w:tc>
          <w:tcPr>
            <w:tcW w:w="858" w:type="dxa"/>
            <w:vMerge w:val="continue"/>
            <w:shd w:val="clear" w:color="auto" w:fill="auto"/>
            <w:vAlign w:val="center"/>
          </w:tcPr>
          <w:p w14:paraId="3FDC8C5D">
            <w:pPr>
              <w:pStyle w:val="19"/>
              <w:bidi w:val="0"/>
              <w:rPr>
                <w:rFonts w:hint="default"/>
                <w:color w:val="auto"/>
                <w:lang w:val="en-US" w:eastAsia="zh-CN"/>
              </w:rPr>
            </w:pPr>
          </w:p>
        </w:tc>
        <w:tc>
          <w:tcPr>
            <w:tcW w:w="1102" w:type="dxa"/>
            <w:shd w:val="clear" w:color="auto" w:fill="auto"/>
            <w:vAlign w:val="center"/>
          </w:tcPr>
          <w:p w14:paraId="1A99B397">
            <w:pPr>
              <w:pStyle w:val="19"/>
              <w:bidi w:val="0"/>
              <w:rPr>
                <w:rFonts w:hint="default"/>
                <w:color w:val="auto"/>
                <w:lang w:val="en-US" w:eastAsia="zh-CN"/>
              </w:rPr>
            </w:pPr>
            <w:r>
              <w:rPr>
                <w:rFonts w:hint="eastAsia"/>
                <w:color w:val="auto"/>
              </w:rPr>
              <w:t>产生量（</w:t>
            </w:r>
            <w:r>
              <w:rPr>
                <w:rFonts w:hint="eastAsia"/>
                <w:color w:val="auto"/>
                <w:lang w:val="en-US" w:eastAsia="zh-CN"/>
              </w:rPr>
              <w:t>t</w:t>
            </w:r>
            <w:r>
              <w:rPr>
                <w:color w:val="auto"/>
              </w:rPr>
              <w:t>/a</w:t>
            </w:r>
            <w:r>
              <w:rPr>
                <w:rFonts w:hint="eastAsia"/>
                <w:color w:val="auto"/>
              </w:rPr>
              <w:t>）</w:t>
            </w:r>
          </w:p>
        </w:tc>
        <w:tc>
          <w:tcPr>
            <w:tcW w:w="1059" w:type="dxa"/>
            <w:shd w:val="clear" w:color="auto" w:fill="auto"/>
            <w:vAlign w:val="center"/>
          </w:tcPr>
          <w:p w14:paraId="23D65DAE">
            <w:pPr>
              <w:pStyle w:val="19"/>
              <w:bidi w:val="0"/>
              <w:rPr>
                <w:rFonts w:hint="eastAsia"/>
                <w:color w:val="auto"/>
                <w:lang w:val="en-US" w:eastAsia="zh-CN"/>
              </w:rPr>
            </w:pPr>
            <w:r>
              <w:rPr>
                <w:rFonts w:hint="eastAsia"/>
                <w:color w:val="auto"/>
                <w:lang w:val="en-US" w:eastAsia="zh-CN"/>
              </w:rPr>
              <w:t>产生速率</w:t>
            </w:r>
          </w:p>
          <w:p w14:paraId="0BE5B00E">
            <w:pPr>
              <w:pStyle w:val="19"/>
              <w:bidi w:val="0"/>
              <w:rPr>
                <w:rFonts w:hint="default"/>
                <w:color w:val="auto"/>
                <w:lang w:val="en-US" w:eastAsia="zh-CN"/>
              </w:rPr>
            </w:pPr>
            <w:r>
              <w:rPr>
                <w:rFonts w:hint="eastAsia"/>
                <w:color w:val="auto"/>
                <w:lang w:val="en-US" w:eastAsia="zh-CN"/>
              </w:rPr>
              <w:t>(kg/h)</w:t>
            </w:r>
          </w:p>
        </w:tc>
        <w:tc>
          <w:tcPr>
            <w:tcW w:w="1773" w:type="dxa"/>
            <w:vMerge w:val="continue"/>
            <w:shd w:val="clear" w:color="auto" w:fill="auto"/>
            <w:vAlign w:val="center"/>
          </w:tcPr>
          <w:p w14:paraId="44B4E38D">
            <w:pPr>
              <w:pStyle w:val="19"/>
              <w:bidi w:val="0"/>
              <w:rPr>
                <w:rFonts w:hint="default"/>
                <w:color w:val="auto"/>
                <w:lang w:val="en-US" w:eastAsia="zh-CN"/>
              </w:rPr>
            </w:pPr>
          </w:p>
        </w:tc>
        <w:tc>
          <w:tcPr>
            <w:tcW w:w="1327" w:type="dxa"/>
            <w:vMerge w:val="continue"/>
            <w:vAlign w:val="center"/>
          </w:tcPr>
          <w:p w14:paraId="5229ED32">
            <w:pPr>
              <w:pStyle w:val="19"/>
              <w:bidi w:val="0"/>
              <w:rPr>
                <w:rFonts w:hint="default"/>
                <w:color w:val="auto"/>
                <w:lang w:val="en-US" w:eastAsia="zh-CN"/>
              </w:rPr>
            </w:pPr>
          </w:p>
        </w:tc>
        <w:tc>
          <w:tcPr>
            <w:tcW w:w="788" w:type="dxa"/>
            <w:vMerge w:val="continue"/>
            <w:vAlign w:val="center"/>
          </w:tcPr>
          <w:p w14:paraId="53DE2AF9">
            <w:pPr>
              <w:pStyle w:val="19"/>
              <w:bidi w:val="0"/>
              <w:rPr>
                <w:rFonts w:hint="default"/>
                <w:color w:val="auto"/>
                <w:lang w:val="en-US" w:eastAsia="zh-CN"/>
              </w:rPr>
            </w:pPr>
          </w:p>
        </w:tc>
        <w:tc>
          <w:tcPr>
            <w:tcW w:w="1289" w:type="dxa"/>
            <w:shd w:val="clear" w:color="auto" w:fill="auto"/>
            <w:vAlign w:val="center"/>
          </w:tcPr>
          <w:p w14:paraId="3F59C3AD">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排放量（</w:t>
            </w:r>
            <w:r>
              <w:rPr>
                <w:rFonts w:hint="eastAsia"/>
                <w:color w:val="auto"/>
                <w:lang w:val="en-US" w:eastAsia="zh-CN"/>
              </w:rPr>
              <w:t>t</w:t>
            </w:r>
            <w:r>
              <w:rPr>
                <w:color w:val="auto"/>
              </w:rPr>
              <w:t>/a</w:t>
            </w:r>
            <w:r>
              <w:rPr>
                <w:rFonts w:hint="eastAsia"/>
                <w:color w:val="auto"/>
              </w:rPr>
              <w:t>）</w:t>
            </w:r>
          </w:p>
        </w:tc>
        <w:tc>
          <w:tcPr>
            <w:tcW w:w="1549" w:type="dxa"/>
            <w:shd w:val="clear" w:color="auto" w:fill="auto"/>
            <w:vAlign w:val="center"/>
          </w:tcPr>
          <w:p w14:paraId="0C831C99">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排放速率（</w:t>
            </w:r>
            <w:r>
              <w:rPr>
                <w:color w:val="auto"/>
              </w:rPr>
              <w:t>kg/h</w:t>
            </w:r>
            <w:r>
              <w:rPr>
                <w:rFonts w:hint="eastAsia"/>
                <w:color w:val="auto"/>
              </w:rPr>
              <w:t>）</w:t>
            </w:r>
          </w:p>
        </w:tc>
        <w:tc>
          <w:tcPr>
            <w:tcW w:w="2776" w:type="dxa"/>
            <w:vMerge w:val="continue"/>
            <w:shd w:val="clear" w:color="auto" w:fill="auto"/>
            <w:vAlign w:val="center"/>
          </w:tcPr>
          <w:p w14:paraId="2B7B9681">
            <w:pPr>
              <w:pStyle w:val="19"/>
              <w:bidi w:val="0"/>
              <w:rPr>
                <w:rFonts w:hint="eastAsia"/>
                <w:color w:val="auto"/>
              </w:rPr>
            </w:pPr>
          </w:p>
        </w:tc>
      </w:tr>
      <w:tr w14:paraId="457D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7" w:type="dxa"/>
            <w:vAlign w:val="center"/>
          </w:tcPr>
          <w:p w14:paraId="267522E5">
            <w:pPr>
              <w:pStyle w:val="19"/>
              <w:bidi w:val="0"/>
              <w:rPr>
                <w:rFonts w:hint="default"/>
                <w:color w:val="auto"/>
                <w:lang w:val="en-US" w:eastAsia="zh-CN"/>
              </w:rPr>
            </w:pPr>
            <w:r>
              <w:rPr>
                <w:rFonts w:hint="eastAsia"/>
                <w:color w:val="auto"/>
                <w:lang w:val="en-US" w:eastAsia="zh-CN"/>
              </w:rPr>
              <w:t>干粉入仓</w:t>
            </w:r>
          </w:p>
        </w:tc>
        <w:tc>
          <w:tcPr>
            <w:tcW w:w="858" w:type="dxa"/>
            <w:shd w:val="clear" w:color="auto" w:fill="auto"/>
            <w:vAlign w:val="center"/>
          </w:tcPr>
          <w:p w14:paraId="11265979">
            <w:pPr>
              <w:pStyle w:val="19"/>
              <w:bidi w:val="0"/>
              <w:rPr>
                <w:rFonts w:hint="default"/>
                <w:color w:val="auto"/>
                <w:lang w:val="en-US" w:eastAsia="zh-CN"/>
              </w:rPr>
            </w:pPr>
            <w:r>
              <w:rPr>
                <w:rFonts w:hint="eastAsia"/>
                <w:color w:val="auto"/>
                <w:lang w:val="en-US" w:eastAsia="zh-CN"/>
              </w:rPr>
              <w:t>颗粒物</w:t>
            </w:r>
          </w:p>
        </w:tc>
        <w:tc>
          <w:tcPr>
            <w:tcW w:w="1102" w:type="dxa"/>
            <w:shd w:val="clear" w:color="auto" w:fill="auto"/>
            <w:vAlign w:val="center"/>
          </w:tcPr>
          <w:p w14:paraId="6C358A37">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1.4921</w:t>
            </w:r>
          </w:p>
        </w:tc>
        <w:tc>
          <w:tcPr>
            <w:tcW w:w="1059" w:type="dxa"/>
            <w:shd w:val="clear" w:color="auto" w:fill="auto"/>
            <w:vAlign w:val="center"/>
          </w:tcPr>
          <w:p w14:paraId="3E30371A">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3.528</w:t>
            </w:r>
          </w:p>
        </w:tc>
        <w:tc>
          <w:tcPr>
            <w:tcW w:w="1773" w:type="dxa"/>
            <w:shd w:val="clear" w:color="auto" w:fill="auto"/>
            <w:vAlign w:val="center"/>
          </w:tcPr>
          <w:p w14:paraId="4AB7F938">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袋式除尘器处理+20m高排气筒排放</w:t>
            </w:r>
          </w:p>
        </w:tc>
        <w:tc>
          <w:tcPr>
            <w:tcW w:w="1327" w:type="dxa"/>
            <w:shd w:val="clear" w:color="auto" w:fill="auto"/>
            <w:vAlign w:val="center"/>
          </w:tcPr>
          <w:p w14:paraId="3631F03E">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8000m</w:t>
            </w:r>
            <w:r>
              <w:rPr>
                <w:rFonts w:hint="eastAsia"/>
                <w:color w:val="auto"/>
                <w:vertAlign w:val="superscript"/>
                <w:lang w:val="en-US" w:eastAsia="zh-CN"/>
              </w:rPr>
              <w:t>3</w:t>
            </w:r>
            <w:r>
              <w:rPr>
                <w:rFonts w:hint="eastAsia"/>
                <w:color w:val="auto"/>
                <w:lang w:val="en-US" w:eastAsia="zh-CN"/>
              </w:rPr>
              <w:t>/h</w:t>
            </w:r>
          </w:p>
        </w:tc>
        <w:tc>
          <w:tcPr>
            <w:tcW w:w="788" w:type="dxa"/>
            <w:shd w:val="clear" w:color="auto" w:fill="auto"/>
            <w:vAlign w:val="center"/>
          </w:tcPr>
          <w:p w14:paraId="04869731">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99%</w:t>
            </w:r>
          </w:p>
        </w:tc>
        <w:tc>
          <w:tcPr>
            <w:tcW w:w="1289" w:type="dxa"/>
            <w:shd w:val="clear" w:color="auto" w:fill="auto"/>
            <w:vAlign w:val="center"/>
          </w:tcPr>
          <w:p w14:paraId="1CA35B99">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0.0149</w:t>
            </w:r>
          </w:p>
        </w:tc>
        <w:tc>
          <w:tcPr>
            <w:tcW w:w="1549" w:type="dxa"/>
            <w:shd w:val="clear" w:color="auto" w:fill="auto"/>
            <w:vAlign w:val="center"/>
          </w:tcPr>
          <w:p w14:paraId="17F5BF98">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0.0352</w:t>
            </w:r>
          </w:p>
        </w:tc>
        <w:tc>
          <w:tcPr>
            <w:tcW w:w="2776" w:type="dxa"/>
            <w:shd w:val="clear" w:color="auto" w:fill="auto"/>
            <w:vAlign w:val="center"/>
          </w:tcPr>
          <w:p w14:paraId="6637D784">
            <w:pPr>
              <w:pStyle w:val="19"/>
              <w:bidi w:val="0"/>
              <w:rPr>
                <w:rFonts w:hint="eastAsia"/>
                <w:color w:val="auto"/>
                <w:lang w:val="en-US" w:eastAsia="zh-CN"/>
              </w:rPr>
            </w:pPr>
            <w:r>
              <w:rPr>
                <w:rFonts w:hint="eastAsia"/>
                <w:color w:val="auto"/>
                <w:lang w:val="en-US" w:eastAsia="zh-CN"/>
              </w:rPr>
              <w:t>《水泥工业大气污染物排放标准》（GB 4915-2013，含2025年修改单）表1水泥仓及其他通风生产设备颗粒物有组织最高允许排放浓度</w:t>
            </w:r>
          </w:p>
        </w:tc>
      </w:tr>
      <w:tr w14:paraId="7FA9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7" w:type="dxa"/>
            <w:shd w:val="clear" w:color="auto" w:fill="auto"/>
            <w:vAlign w:val="center"/>
          </w:tcPr>
          <w:p w14:paraId="292382C3">
            <w:pPr>
              <w:pStyle w:val="19"/>
              <w:bidi w:val="0"/>
              <w:rPr>
                <w:rFonts w:hint="default" w:ascii="Times New Roman" w:hAnsi="Times New Roman" w:eastAsia="宋体" w:cs="Times New Roman"/>
                <w:color w:val="auto"/>
                <w:kern w:val="0"/>
                <w:sz w:val="21"/>
                <w:szCs w:val="21"/>
                <w:lang w:val="en-US" w:eastAsia="zh-CN" w:bidi="ar-SA"/>
              </w:rPr>
            </w:pPr>
            <w:r>
              <w:rPr>
                <w:rFonts w:hint="default"/>
                <w:color w:val="auto"/>
                <w:lang w:val="en-US" w:eastAsia="zh-CN"/>
              </w:rPr>
              <w:t>复合</w:t>
            </w:r>
            <w:r>
              <w:rPr>
                <w:rFonts w:hint="eastAsia"/>
                <w:color w:val="auto"/>
                <w:lang w:val="en-US" w:eastAsia="zh-CN"/>
              </w:rPr>
              <w:t>制板</w:t>
            </w:r>
            <w:r>
              <w:rPr>
                <w:rFonts w:hint="default"/>
                <w:color w:val="auto"/>
                <w:lang w:val="en-US" w:eastAsia="zh-CN"/>
              </w:rPr>
              <w:t>及养护废气</w:t>
            </w:r>
          </w:p>
        </w:tc>
        <w:tc>
          <w:tcPr>
            <w:tcW w:w="858" w:type="dxa"/>
            <w:shd w:val="clear" w:color="auto" w:fill="auto"/>
            <w:vAlign w:val="center"/>
          </w:tcPr>
          <w:p w14:paraId="4F19EBF2">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NMHC</w:t>
            </w:r>
          </w:p>
        </w:tc>
        <w:tc>
          <w:tcPr>
            <w:tcW w:w="1102" w:type="dxa"/>
            <w:shd w:val="clear" w:color="auto" w:fill="auto"/>
            <w:vAlign w:val="center"/>
          </w:tcPr>
          <w:p w14:paraId="3376693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0.95</w:t>
            </w:r>
          </w:p>
        </w:tc>
        <w:tc>
          <w:tcPr>
            <w:tcW w:w="1059" w:type="dxa"/>
            <w:shd w:val="clear" w:color="auto" w:fill="auto"/>
            <w:vAlign w:val="center"/>
          </w:tcPr>
          <w:p w14:paraId="2AAE3D3F">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0.396</w:t>
            </w:r>
          </w:p>
        </w:tc>
        <w:tc>
          <w:tcPr>
            <w:tcW w:w="1773" w:type="dxa"/>
            <w:shd w:val="clear" w:color="auto" w:fill="auto"/>
            <w:vAlign w:val="center"/>
          </w:tcPr>
          <w:p w14:paraId="69A56998">
            <w:pPr>
              <w:pStyle w:val="19"/>
              <w:rPr>
                <w:rFonts w:hint="default" w:ascii="Times New Roman" w:hAnsi="Times New Roman" w:eastAsia="宋体" w:cs="Times New Roman"/>
                <w:color w:val="auto"/>
                <w:kern w:val="0"/>
                <w:sz w:val="21"/>
                <w:szCs w:val="21"/>
                <w:lang w:val="en-US" w:eastAsia="zh-CN" w:bidi="ar-SA"/>
              </w:rPr>
            </w:pPr>
            <w:r>
              <w:rPr>
                <w:rFonts w:hint="eastAsia"/>
                <w:color w:val="auto"/>
              </w:rPr>
              <w:t>经</w:t>
            </w:r>
            <w:r>
              <w:rPr>
                <w:rFonts w:hint="eastAsia"/>
                <w:color w:val="auto"/>
                <w:lang w:val="en-US" w:eastAsia="zh-CN"/>
              </w:rPr>
              <w:t>集气罩+二级</w:t>
            </w:r>
            <w:r>
              <w:rPr>
                <w:rFonts w:hint="eastAsia"/>
                <w:color w:val="auto"/>
              </w:rPr>
              <w:t>活性炭装置处理后经</w:t>
            </w:r>
            <w:r>
              <w:rPr>
                <w:rFonts w:hint="eastAsia"/>
                <w:color w:val="auto"/>
                <w:lang w:val="en-US" w:eastAsia="zh-CN"/>
              </w:rPr>
              <w:t>20</w:t>
            </w:r>
            <w:r>
              <w:rPr>
                <w:rFonts w:hint="eastAsia"/>
                <w:color w:val="auto"/>
              </w:rPr>
              <w:t>m高排气筒</w:t>
            </w:r>
            <w:r>
              <w:rPr>
                <w:rFonts w:hint="eastAsia"/>
                <w:color w:val="auto"/>
                <w:lang w:val="en-US" w:eastAsia="zh-CN"/>
              </w:rPr>
              <w:t>有组织</w:t>
            </w:r>
            <w:r>
              <w:rPr>
                <w:rFonts w:hint="eastAsia"/>
                <w:color w:val="auto"/>
              </w:rPr>
              <w:t>排放</w:t>
            </w:r>
          </w:p>
        </w:tc>
        <w:tc>
          <w:tcPr>
            <w:tcW w:w="1327" w:type="dxa"/>
            <w:shd w:val="clear" w:color="auto" w:fill="auto"/>
            <w:vAlign w:val="center"/>
          </w:tcPr>
          <w:p w14:paraId="184B6E7E">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20000m³/h</w:t>
            </w:r>
          </w:p>
        </w:tc>
        <w:tc>
          <w:tcPr>
            <w:tcW w:w="788" w:type="dxa"/>
            <w:shd w:val="clear" w:color="auto" w:fill="auto"/>
            <w:vAlign w:val="center"/>
          </w:tcPr>
          <w:p w14:paraId="2A2ADC71">
            <w:pPr>
              <w:pStyle w:val="19"/>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90%（活性炭吸附）</w:t>
            </w:r>
          </w:p>
        </w:tc>
        <w:tc>
          <w:tcPr>
            <w:tcW w:w="1289" w:type="dxa"/>
            <w:shd w:val="clear" w:color="auto" w:fill="auto"/>
            <w:vAlign w:val="center"/>
          </w:tcPr>
          <w:p w14:paraId="43C85B2C">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0.095</w:t>
            </w:r>
          </w:p>
        </w:tc>
        <w:tc>
          <w:tcPr>
            <w:tcW w:w="1549" w:type="dxa"/>
            <w:shd w:val="clear" w:color="auto" w:fill="auto"/>
            <w:vAlign w:val="center"/>
          </w:tcPr>
          <w:p w14:paraId="7E8CD62F">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0.0396</w:t>
            </w:r>
          </w:p>
        </w:tc>
        <w:tc>
          <w:tcPr>
            <w:tcW w:w="2776" w:type="dxa"/>
            <w:shd w:val="clear" w:color="auto" w:fill="auto"/>
            <w:vAlign w:val="center"/>
          </w:tcPr>
          <w:p w14:paraId="27A6B4A6">
            <w:pPr>
              <w:pStyle w:val="19"/>
              <w:bidi w:val="0"/>
              <w:rPr>
                <w:rFonts w:hint="eastAsia"/>
                <w:color w:val="auto"/>
              </w:rPr>
            </w:pPr>
            <w:r>
              <w:rPr>
                <w:rFonts w:hint="eastAsia"/>
                <w:color w:val="auto"/>
                <w:lang w:val="en-US" w:eastAsia="zh-CN"/>
              </w:rPr>
              <w:t>《大气污染物综合排放标准》（GB16297-1996）表2二级标准</w:t>
            </w:r>
          </w:p>
        </w:tc>
      </w:tr>
      <w:tr w14:paraId="57B3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7" w:type="dxa"/>
            <w:vAlign w:val="center"/>
          </w:tcPr>
          <w:p w14:paraId="4F1DE82B">
            <w:pPr>
              <w:pStyle w:val="19"/>
              <w:bidi w:val="0"/>
              <w:rPr>
                <w:rFonts w:hint="default"/>
                <w:color w:val="auto"/>
                <w:lang w:val="en-US" w:eastAsia="zh-CN"/>
              </w:rPr>
            </w:pPr>
            <w:r>
              <w:rPr>
                <w:rFonts w:hint="eastAsia"/>
                <w:color w:val="auto"/>
                <w:lang w:val="en-US" w:eastAsia="zh-CN"/>
              </w:rPr>
              <w:t>修边切割雕刻</w:t>
            </w:r>
          </w:p>
        </w:tc>
        <w:tc>
          <w:tcPr>
            <w:tcW w:w="858" w:type="dxa"/>
            <w:shd w:val="clear" w:color="auto" w:fill="auto"/>
            <w:vAlign w:val="center"/>
          </w:tcPr>
          <w:p w14:paraId="4BEA3DD0">
            <w:pPr>
              <w:pStyle w:val="19"/>
              <w:bidi w:val="0"/>
              <w:rPr>
                <w:rFonts w:hint="default"/>
                <w:color w:val="auto"/>
                <w:lang w:val="en-US" w:eastAsia="zh-CN"/>
              </w:rPr>
            </w:pPr>
            <w:r>
              <w:rPr>
                <w:rFonts w:hint="eastAsia"/>
                <w:color w:val="auto"/>
                <w:lang w:val="en-US" w:eastAsia="zh-CN"/>
              </w:rPr>
              <w:t>颗粒物</w:t>
            </w:r>
          </w:p>
        </w:tc>
        <w:tc>
          <w:tcPr>
            <w:tcW w:w="1102" w:type="dxa"/>
            <w:shd w:val="clear" w:color="auto" w:fill="auto"/>
            <w:vAlign w:val="center"/>
          </w:tcPr>
          <w:p w14:paraId="21CC9A10">
            <w:pPr>
              <w:pStyle w:val="21"/>
              <w:widowControl w:val="0"/>
              <w:bidi w:val="0"/>
              <w:jc w:val="center"/>
              <w:rPr>
                <w:rFonts w:hint="default"/>
                <w:color w:val="auto"/>
                <w:lang w:val="en-US" w:eastAsia="zh-CN"/>
              </w:rPr>
            </w:pPr>
            <w:r>
              <w:rPr>
                <w:color w:val="auto"/>
              </w:rPr>
              <w:t>3.2085</w:t>
            </w:r>
          </w:p>
        </w:tc>
        <w:tc>
          <w:tcPr>
            <w:tcW w:w="1059" w:type="dxa"/>
            <w:shd w:val="clear" w:color="auto" w:fill="auto"/>
            <w:vAlign w:val="center"/>
          </w:tcPr>
          <w:p w14:paraId="0BC98637">
            <w:pPr>
              <w:pStyle w:val="21"/>
              <w:widowControl w:val="0"/>
              <w:bidi w:val="0"/>
              <w:jc w:val="center"/>
              <w:rPr>
                <w:rFonts w:hint="default"/>
                <w:color w:val="auto"/>
                <w:lang w:val="en-US" w:eastAsia="zh-CN"/>
              </w:rPr>
            </w:pPr>
            <w:r>
              <w:rPr>
                <w:color w:val="auto"/>
              </w:rPr>
              <w:t>1.337</w:t>
            </w:r>
          </w:p>
        </w:tc>
        <w:tc>
          <w:tcPr>
            <w:tcW w:w="1773" w:type="dxa"/>
            <w:shd w:val="clear" w:color="auto" w:fill="auto"/>
            <w:vAlign w:val="center"/>
          </w:tcPr>
          <w:p w14:paraId="235B391E">
            <w:pPr>
              <w:pStyle w:val="19"/>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经集气罩+袋式除尘器处理后经20m高排气筒有组织排放</w:t>
            </w:r>
          </w:p>
        </w:tc>
        <w:tc>
          <w:tcPr>
            <w:tcW w:w="1327" w:type="dxa"/>
            <w:shd w:val="clear" w:color="auto" w:fill="auto"/>
            <w:vAlign w:val="center"/>
          </w:tcPr>
          <w:p w14:paraId="16418A6E">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8000m³/h</w:t>
            </w:r>
          </w:p>
        </w:tc>
        <w:tc>
          <w:tcPr>
            <w:tcW w:w="788" w:type="dxa"/>
            <w:shd w:val="clear" w:color="auto" w:fill="auto"/>
            <w:vAlign w:val="center"/>
          </w:tcPr>
          <w:p w14:paraId="6B52D150">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99%</w:t>
            </w:r>
          </w:p>
        </w:tc>
        <w:tc>
          <w:tcPr>
            <w:tcW w:w="1289" w:type="dxa"/>
            <w:shd w:val="clear" w:color="auto" w:fill="auto"/>
            <w:vAlign w:val="center"/>
          </w:tcPr>
          <w:p w14:paraId="621337B2">
            <w:pPr>
              <w:pStyle w:val="19"/>
              <w:bidi w:val="0"/>
              <w:jc w:val="center"/>
              <w:rPr>
                <w:rFonts w:hint="eastAsia"/>
                <w:color w:val="auto"/>
                <w:lang w:val="en-US" w:eastAsia="zh-CN"/>
              </w:rPr>
            </w:pPr>
            <w:r>
              <w:rPr>
                <w:color w:val="auto"/>
              </w:rPr>
              <w:t>0.0321</w:t>
            </w:r>
          </w:p>
        </w:tc>
        <w:tc>
          <w:tcPr>
            <w:tcW w:w="1549" w:type="dxa"/>
            <w:shd w:val="clear" w:color="auto" w:fill="auto"/>
            <w:vAlign w:val="center"/>
          </w:tcPr>
          <w:p w14:paraId="10A33C05">
            <w:pPr>
              <w:pStyle w:val="19"/>
              <w:bidi w:val="0"/>
              <w:jc w:val="center"/>
              <w:rPr>
                <w:rFonts w:hint="eastAsia"/>
                <w:color w:val="auto"/>
                <w:lang w:val="en-US" w:eastAsia="zh-CN"/>
              </w:rPr>
            </w:pPr>
            <w:r>
              <w:rPr>
                <w:color w:val="auto"/>
              </w:rPr>
              <w:t>0.0134</w:t>
            </w:r>
          </w:p>
        </w:tc>
        <w:tc>
          <w:tcPr>
            <w:tcW w:w="2776" w:type="dxa"/>
            <w:shd w:val="clear" w:color="auto" w:fill="auto"/>
            <w:vAlign w:val="center"/>
          </w:tcPr>
          <w:p w14:paraId="4DB21E78">
            <w:pPr>
              <w:pStyle w:val="19"/>
              <w:bidi w:val="0"/>
              <w:rPr>
                <w:rFonts w:hint="eastAsia"/>
                <w:color w:val="auto"/>
              </w:rPr>
            </w:pPr>
            <w:r>
              <w:rPr>
                <w:rFonts w:hint="eastAsia"/>
                <w:color w:val="auto"/>
                <w:lang w:val="en-US" w:eastAsia="zh-CN"/>
              </w:rPr>
              <w:t>《水泥工业大气污染物排放标准》（GB 4915-2013，含2025年修改单）表1水泥仓及其他通风生产设备颗粒物有组织最高允许排放浓度</w:t>
            </w:r>
          </w:p>
        </w:tc>
      </w:tr>
      <w:tr w14:paraId="5087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65" w:type="dxa"/>
            <w:gridSpan w:val="2"/>
            <w:vAlign w:val="center"/>
          </w:tcPr>
          <w:p w14:paraId="64DAE8CF">
            <w:pPr>
              <w:pStyle w:val="19"/>
              <w:bidi w:val="0"/>
              <w:rPr>
                <w:rFonts w:hint="default"/>
                <w:color w:val="auto"/>
                <w:lang w:val="en-US" w:eastAsia="zh-CN"/>
              </w:rPr>
            </w:pPr>
            <w:r>
              <w:rPr>
                <w:rFonts w:hint="eastAsia"/>
                <w:color w:val="auto"/>
                <w:lang w:val="en-US" w:eastAsia="zh-CN"/>
              </w:rPr>
              <w:t>合计</w:t>
            </w:r>
          </w:p>
        </w:tc>
        <w:tc>
          <w:tcPr>
            <w:tcW w:w="1102" w:type="dxa"/>
            <w:shd w:val="clear" w:color="auto" w:fill="auto"/>
            <w:vAlign w:val="center"/>
          </w:tcPr>
          <w:p w14:paraId="5D7545E9">
            <w:pPr>
              <w:pStyle w:val="19"/>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sum(C3:C5) \* MERGEFORMAT </w:instrText>
            </w:r>
            <w:r>
              <w:rPr>
                <w:rFonts w:hint="eastAsia"/>
                <w:color w:val="auto"/>
                <w:lang w:val="en-US" w:eastAsia="zh-CN"/>
              </w:rPr>
              <w:fldChar w:fldCharType="separate"/>
            </w:r>
            <w:r>
              <w:rPr>
                <w:rFonts w:hint="eastAsia"/>
                <w:color w:val="auto"/>
                <w:lang w:val="en-US" w:eastAsia="zh-CN"/>
              </w:rPr>
              <w:t>5.6506</w:t>
            </w:r>
            <w:r>
              <w:rPr>
                <w:rFonts w:hint="eastAsia"/>
                <w:color w:val="auto"/>
                <w:lang w:val="en-US" w:eastAsia="zh-CN"/>
              </w:rPr>
              <w:fldChar w:fldCharType="end"/>
            </w:r>
          </w:p>
        </w:tc>
        <w:tc>
          <w:tcPr>
            <w:tcW w:w="1059" w:type="dxa"/>
            <w:shd w:val="clear" w:color="auto" w:fill="auto"/>
            <w:vAlign w:val="center"/>
          </w:tcPr>
          <w:p w14:paraId="64A56C9D">
            <w:pPr>
              <w:pStyle w:val="19"/>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sum(D3:D5) \* MERGEFORMAT </w:instrText>
            </w:r>
            <w:r>
              <w:rPr>
                <w:rFonts w:hint="eastAsia"/>
                <w:color w:val="auto"/>
                <w:lang w:val="en-US" w:eastAsia="zh-CN"/>
              </w:rPr>
              <w:fldChar w:fldCharType="separate"/>
            </w:r>
            <w:r>
              <w:rPr>
                <w:rFonts w:hint="eastAsia"/>
                <w:color w:val="auto"/>
                <w:lang w:val="en-US" w:eastAsia="zh-CN"/>
              </w:rPr>
              <w:t>5.261</w:t>
            </w:r>
            <w:r>
              <w:rPr>
                <w:rFonts w:hint="eastAsia"/>
                <w:color w:val="auto"/>
                <w:lang w:val="en-US" w:eastAsia="zh-CN"/>
              </w:rPr>
              <w:fldChar w:fldCharType="end"/>
            </w:r>
          </w:p>
        </w:tc>
        <w:tc>
          <w:tcPr>
            <w:tcW w:w="1773" w:type="dxa"/>
            <w:shd w:val="clear" w:color="auto" w:fill="auto"/>
            <w:vAlign w:val="center"/>
          </w:tcPr>
          <w:p w14:paraId="08E072C5">
            <w:pPr>
              <w:pStyle w:val="19"/>
              <w:rPr>
                <w:rFonts w:hint="eastAsia"/>
                <w:color w:val="auto"/>
                <w:lang w:val="en-US" w:eastAsia="zh-CN"/>
              </w:rPr>
            </w:pPr>
          </w:p>
        </w:tc>
        <w:tc>
          <w:tcPr>
            <w:tcW w:w="1327" w:type="dxa"/>
            <w:shd w:val="clear" w:color="auto" w:fill="auto"/>
            <w:vAlign w:val="center"/>
          </w:tcPr>
          <w:p w14:paraId="23408435">
            <w:pPr>
              <w:pStyle w:val="19"/>
              <w:bidi w:val="0"/>
              <w:rPr>
                <w:rFonts w:hint="eastAsia"/>
                <w:color w:val="auto"/>
                <w:lang w:val="en-US" w:eastAsia="zh-CN"/>
              </w:rPr>
            </w:pPr>
          </w:p>
        </w:tc>
        <w:tc>
          <w:tcPr>
            <w:tcW w:w="788" w:type="dxa"/>
            <w:shd w:val="clear" w:color="auto" w:fill="auto"/>
            <w:vAlign w:val="center"/>
          </w:tcPr>
          <w:p w14:paraId="1B4C7BBD">
            <w:pPr>
              <w:pStyle w:val="19"/>
              <w:bidi w:val="0"/>
              <w:rPr>
                <w:rFonts w:hint="eastAsia"/>
                <w:color w:val="auto"/>
                <w:lang w:val="en-US" w:eastAsia="zh-CN"/>
              </w:rPr>
            </w:pPr>
          </w:p>
        </w:tc>
        <w:tc>
          <w:tcPr>
            <w:tcW w:w="1289" w:type="dxa"/>
            <w:shd w:val="clear" w:color="auto" w:fill="auto"/>
            <w:vAlign w:val="center"/>
          </w:tcPr>
          <w:p w14:paraId="26418DA0">
            <w:pPr>
              <w:pStyle w:val="19"/>
              <w:bidi w:val="0"/>
              <w:rPr>
                <w:rFonts w:hint="eastAsia"/>
                <w:color w:val="auto"/>
                <w:lang w:val="en-US" w:eastAsia="zh-CN"/>
              </w:rPr>
            </w:pPr>
            <w:r>
              <w:rPr>
                <w:rFonts w:hint="eastAsia"/>
                <w:color w:val="auto"/>
                <w:lang w:val="en-US" w:eastAsia="zh-CN"/>
              </w:rPr>
              <w:fldChar w:fldCharType="begin"/>
            </w:r>
            <w:r>
              <w:rPr>
                <w:rFonts w:hint="eastAsia"/>
                <w:color w:val="auto"/>
                <w:lang w:val="en-US" w:eastAsia="zh-CN"/>
              </w:rPr>
              <w:instrText xml:space="preserve"> = sum(H3:H5) \* MERGEFORMAT </w:instrText>
            </w:r>
            <w:r>
              <w:rPr>
                <w:rFonts w:hint="eastAsia"/>
                <w:color w:val="auto"/>
                <w:lang w:val="en-US" w:eastAsia="zh-CN"/>
              </w:rPr>
              <w:fldChar w:fldCharType="separate"/>
            </w:r>
            <w:r>
              <w:rPr>
                <w:rFonts w:hint="eastAsia"/>
                <w:color w:val="auto"/>
                <w:lang w:val="en-US" w:eastAsia="zh-CN"/>
              </w:rPr>
              <w:t>0.1420</w:t>
            </w:r>
            <w:r>
              <w:rPr>
                <w:rFonts w:hint="eastAsia"/>
                <w:color w:val="auto"/>
                <w:lang w:val="en-US" w:eastAsia="zh-CN"/>
              </w:rPr>
              <w:fldChar w:fldCharType="end"/>
            </w:r>
          </w:p>
        </w:tc>
        <w:tc>
          <w:tcPr>
            <w:tcW w:w="1549" w:type="dxa"/>
            <w:shd w:val="clear" w:color="auto" w:fill="auto"/>
            <w:vAlign w:val="center"/>
          </w:tcPr>
          <w:p w14:paraId="61ACC6C1">
            <w:pPr>
              <w:pStyle w:val="19"/>
              <w:bidi w:val="0"/>
              <w:rPr>
                <w:rFonts w:hint="eastAsia"/>
                <w:color w:val="auto"/>
                <w:lang w:val="en-US" w:eastAsia="zh-CN"/>
              </w:rPr>
            </w:pPr>
            <w:r>
              <w:rPr>
                <w:rFonts w:hint="eastAsia"/>
                <w:color w:val="auto"/>
              </w:rPr>
              <w:fldChar w:fldCharType="begin"/>
            </w:r>
            <w:r>
              <w:rPr>
                <w:rFonts w:hint="eastAsia"/>
                <w:color w:val="auto"/>
              </w:rPr>
              <w:instrText xml:space="preserve"> = sum(I3:I5) \* MERGEFORMAT </w:instrText>
            </w:r>
            <w:r>
              <w:rPr>
                <w:rFonts w:hint="eastAsia"/>
                <w:color w:val="auto"/>
              </w:rPr>
              <w:fldChar w:fldCharType="separate"/>
            </w:r>
            <w:r>
              <w:rPr>
                <w:rFonts w:hint="eastAsia"/>
                <w:color w:val="auto"/>
              </w:rPr>
              <w:t>0.0882</w:t>
            </w:r>
            <w:r>
              <w:rPr>
                <w:rFonts w:hint="eastAsia"/>
                <w:color w:val="auto"/>
              </w:rPr>
              <w:fldChar w:fldCharType="end"/>
            </w:r>
          </w:p>
        </w:tc>
        <w:tc>
          <w:tcPr>
            <w:tcW w:w="2776" w:type="dxa"/>
            <w:shd w:val="clear" w:color="auto" w:fill="auto"/>
            <w:vAlign w:val="center"/>
          </w:tcPr>
          <w:p w14:paraId="3E89A256">
            <w:pPr>
              <w:pStyle w:val="19"/>
              <w:bidi w:val="0"/>
              <w:rPr>
                <w:rFonts w:hint="eastAsia"/>
                <w:color w:val="auto"/>
              </w:rPr>
            </w:pPr>
          </w:p>
        </w:tc>
      </w:tr>
    </w:tbl>
    <w:p w14:paraId="1E1C7B05">
      <w:pPr>
        <w:pStyle w:val="5"/>
        <w:bidi w:val="0"/>
        <w:ind w:left="0" w:leftChars="0" w:firstLine="0" w:firstLineChars="0"/>
        <w:jc w:val="center"/>
        <w:rPr>
          <w:rFonts w:hint="eastAsia"/>
          <w:color w:val="auto"/>
        </w:rPr>
      </w:pPr>
    </w:p>
    <w:p w14:paraId="4DDAB99E">
      <w:pPr>
        <w:pStyle w:val="5"/>
        <w:bidi w:val="0"/>
        <w:ind w:left="0" w:leftChars="0" w:firstLine="0" w:firstLineChars="0"/>
        <w:jc w:val="center"/>
        <w:rPr>
          <w:rFonts w:hint="eastAsia"/>
          <w:color w:val="auto"/>
        </w:rPr>
        <w:sectPr>
          <w:pgSz w:w="16840" w:h="11907" w:orient="landscape"/>
          <w:pgMar w:top="1531" w:right="1701" w:bottom="1531" w:left="2127" w:header="851" w:footer="851" w:gutter="0"/>
          <w:pgNumType w:fmt="decimal"/>
          <w:cols w:space="720" w:num="1"/>
          <w:docGrid w:linePitch="312" w:charSpace="0"/>
        </w:sectPr>
      </w:pPr>
    </w:p>
    <w:p w14:paraId="6A67AD5D">
      <w:pPr>
        <w:pStyle w:val="12"/>
        <w:outlineLvl w:val="9"/>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30</w:t>
      </w:r>
      <w:r>
        <w:rPr>
          <w:color w:val="auto"/>
        </w:rPr>
        <w:fldChar w:fldCharType="end"/>
      </w:r>
      <w:r>
        <w:rPr>
          <w:rFonts w:hint="eastAsia"/>
          <w:color w:val="auto"/>
          <w:lang w:val="en-US" w:eastAsia="zh-CN"/>
        </w:rPr>
        <w:t xml:space="preserve">  本项目无组织排放情况表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948"/>
        <w:gridCol w:w="1385"/>
        <w:gridCol w:w="1261"/>
        <w:gridCol w:w="2110"/>
        <w:gridCol w:w="1534"/>
        <w:gridCol w:w="1844"/>
        <w:gridCol w:w="3304"/>
      </w:tblGrid>
      <w:tr w14:paraId="7A60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2" w:type="dxa"/>
            <w:vMerge w:val="restart"/>
            <w:vAlign w:val="center"/>
          </w:tcPr>
          <w:p w14:paraId="7FB4C76F">
            <w:pPr>
              <w:pStyle w:val="19"/>
              <w:bidi w:val="0"/>
              <w:rPr>
                <w:rFonts w:hint="default"/>
                <w:color w:val="auto"/>
                <w:lang w:val="en-US" w:eastAsia="zh-CN"/>
              </w:rPr>
            </w:pPr>
            <w:r>
              <w:rPr>
                <w:rFonts w:hint="eastAsia"/>
                <w:color w:val="auto"/>
                <w:lang w:val="en-US" w:eastAsia="zh-CN"/>
              </w:rPr>
              <w:t>工段</w:t>
            </w:r>
          </w:p>
        </w:tc>
        <w:tc>
          <w:tcPr>
            <w:tcW w:w="948" w:type="dxa"/>
            <w:vMerge w:val="restart"/>
            <w:vAlign w:val="center"/>
          </w:tcPr>
          <w:p w14:paraId="27AB6D7D">
            <w:pPr>
              <w:pStyle w:val="19"/>
              <w:bidi w:val="0"/>
              <w:rPr>
                <w:rFonts w:hint="default"/>
                <w:color w:val="auto"/>
                <w:lang w:val="en-US" w:eastAsia="zh-CN"/>
              </w:rPr>
            </w:pPr>
            <w:r>
              <w:rPr>
                <w:rFonts w:hint="eastAsia"/>
                <w:color w:val="auto"/>
                <w:lang w:val="en-US" w:eastAsia="zh-CN"/>
              </w:rPr>
              <w:t>污染物</w:t>
            </w:r>
          </w:p>
        </w:tc>
        <w:tc>
          <w:tcPr>
            <w:tcW w:w="2646" w:type="dxa"/>
            <w:gridSpan w:val="2"/>
            <w:vAlign w:val="center"/>
          </w:tcPr>
          <w:p w14:paraId="407A434A">
            <w:pPr>
              <w:pStyle w:val="19"/>
              <w:bidi w:val="0"/>
              <w:rPr>
                <w:rFonts w:hint="default"/>
                <w:color w:val="auto"/>
                <w:lang w:val="en-US" w:eastAsia="zh-CN"/>
              </w:rPr>
            </w:pPr>
            <w:r>
              <w:rPr>
                <w:rFonts w:hint="eastAsia"/>
                <w:color w:val="auto"/>
                <w:lang w:val="en-US" w:eastAsia="zh-CN"/>
              </w:rPr>
              <w:t>产生情况</w:t>
            </w:r>
          </w:p>
        </w:tc>
        <w:tc>
          <w:tcPr>
            <w:tcW w:w="2110" w:type="dxa"/>
            <w:vMerge w:val="restart"/>
            <w:shd w:val="clear" w:color="auto" w:fill="auto"/>
            <w:vAlign w:val="center"/>
          </w:tcPr>
          <w:p w14:paraId="680B680B">
            <w:pPr>
              <w:pStyle w:val="19"/>
              <w:bidi w:val="0"/>
              <w:rPr>
                <w:rFonts w:hint="default"/>
                <w:color w:val="auto"/>
                <w:lang w:val="en-US" w:eastAsia="zh-CN"/>
              </w:rPr>
            </w:pPr>
            <w:r>
              <w:rPr>
                <w:rFonts w:hint="eastAsia"/>
                <w:color w:val="auto"/>
              </w:rPr>
              <w:t>排放方式</w:t>
            </w:r>
          </w:p>
        </w:tc>
        <w:tc>
          <w:tcPr>
            <w:tcW w:w="3378" w:type="dxa"/>
            <w:gridSpan w:val="2"/>
            <w:vAlign w:val="center"/>
          </w:tcPr>
          <w:p w14:paraId="586749A4">
            <w:pPr>
              <w:pStyle w:val="19"/>
              <w:bidi w:val="0"/>
              <w:rPr>
                <w:rFonts w:hint="default"/>
                <w:color w:val="auto"/>
                <w:lang w:val="en-US" w:eastAsia="zh-CN"/>
              </w:rPr>
            </w:pPr>
            <w:r>
              <w:rPr>
                <w:rFonts w:hint="eastAsia"/>
                <w:color w:val="auto"/>
                <w:lang w:val="en-US" w:eastAsia="zh-CN"/>
              </w:rPr>
              <w:t>排放情况</w:t>
            </w:r>
          </w:p>
        </w:tc>
        <w:tc>
          <w:tcPr>
            <w:tcW w:w="3304" w:type="dxa"/>
            <w:vMerge w:val="restart"/>
            <w:vAlign w:val="center"/>
          </w:tcPr>
          <w:p w14:paraId="73E24972">
            <w:pPr>
              <w:pStyle w:val="19"/>
              <w:bidi w:val="0"/>
              <w:rPr>
                <w:rFonts w:hint="default"/>
                <w:color w:val="auto"/>
                <w:lang w:val="en-US" w:eastAsia="zh-CN"/>
              </w:rPr>
            </w:pPr>
            <w:r>
              <w:rPr>
                <w:rFonts w:hint="eastAsia"/>
                <w:color w:val="auto"/>
                <w:lang w:val="en-US" w:eastAsia="zh-CN"/>
              </w:rPr>
              <w:t>执行标准</w:t>
            </w:r>
          </w:p>
        </w:tc>
      </w:tr>
      <w:tr w14:paraId="6148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2" w:type="dxa"/>
            <w:vMerge w:val="continue"/>
            <w:vAlign w:val="center"/>
          </w:tcPr>
          <w:p w14:paraId="6BD9A0F1">
            <w:pPr>
              <w:pStyle w:val="19"/>
              <w:bidi w:val="0"/>
              <w:rPr>
                <w:rFonts w:hint="default"/>
                <w:color w:val="auto"/>
                <w:lang w:val="en-US" w:eastAsia="zh-CN"/>
              </w:rPr>
            </w:pPr>
          </w:p>
        </w:tc>
        <w:tc>
          <w:tcPr>
            <w:tcW w:w="948" w:type="dxa"/>
            <w:vMerge w:val="continue"/>
            <w:shd w:val="clear" w:color="auto" w:fill="auto"/>
            <w:vAlign w:val="center"/>
          </w:tcPr>
          <w:p w14:paraId="3BF753DE">
            <w:pPr>
              <w:pStyle w:val="19"/>
              <w:bidi w:val="0"/>
              <w:rPr>
                <w:rFonts w:hint="default"/>
                <w:color w:val="auto"/>
                <w:lang w:val="en-US" w:eastAsia="zh-CN"/>
              </w:rPr>
            </w:pPr>
          </w:p>
        </w:tc>
        <w:tc>
          <w:tcPr>
            <w:tcW w:w="1385" w:type="dxa"/>
            <w:shd w:val="clear" w:color="auto" w:fill="auto"/>
            <w:vAlign w:val="center"/>
          </w:tcPr>
          <w:p w14:paraId="5F783D36">
            <w:pPr>
              <w:pStyle w:val="19"/>
              <w:bidi w:val="0"/>
              <w:rPr>
                <w:rFonts w:hint="default"/>
                <w:color w:val="auto"/>
                <w:lang w:val="en-US" w:eastAsia="zh-CN"/>
              </w:rPr>
            </w:pPr>
            <w:r>
              <w:rPr>
                <w:rFonts w:hint="eastAsia"/>
                <w:color w:val="auto"/>
              </w:rPr>
              <w:t>产生量（</w:t>
            </w:r>
            <w:r>
              <w:rPr>
                <w:rFonts w:hint="eastAsia"/>
                <w:color w:val="auto"/>
                <w:lang w:val="en-US" w:eastAsia="zh-CN"/>
              </w:rPr>
              <w:t>t</w:t>
            </w:r>
            <w:r>
              <w:rPr>
                <w:color w:val="auto"/>
              </w:rPr>
              <w:t>/a</w:t>
            </w:r>
            <w:r>
              <w:rPr>
                <w:rFonts w:hint="eastAsia"/>
                <w:color w:val="auto"/>
              </w:rPr>
              <w:t>）</w:t>
            </w:r>
          </w:p>
        </w:tc>
        <w:tc>
          <w:tcPr>
            <w:tcW w:w="1261" w:type="dxa"/>
            <w:shd w:val="clear" w:color="auto" w:fill="auto"/>
            <w:vAlign w:val="center"/>
          </w:tcPr>
          <w:p w14:paraId="5F599913">
            <w:pPr>
              <w:pStyle w:val="19"/>
              <w:bidi w:val="0"/>
              <w:rPr>
                <w:rFonts w:hint="eastAsia"/>
                <w:color w:val="auto"/>
                <w:lang w:val="en-US" w:eastAsia="zh-CN"/>
              </w:rPr>
            </w:pPr>
            <w:r>
              <w:rPr>
                <w:rFonts w:hint="eastAsia"/>
                <w:color w:val="auto"/>
                <w:lang w:val="en-US" w:eastAsia="zh-CN"/>
              </w:rPr>
              <w:t>产生速率</w:t>
            </w:r>
          </w:p>
          <w:p w14:paraId="0154F038">
            <w:pPr>
              <w:pStyle w:val="19"/>
              <w:bidi w:val="0"/>
              <w:rPr>
                <w:rFonts w:hint="default"/>
                <w:color w:val="auto"/>
                <w:lang w:val="en-US" w:eastAsia="zh-CN"/>
              </w:rPr>
            </w:pPr>
            <w:r>
              <w:rPr>
                <w:rFonts w:hint="eastAsia"/>
                <w:color w:val="auto"/>
                <w:lang w:val="en-US" w:eastAsia="zh-CN"/>
              </w:rPr>
              <w:t>(kg/h)</w:t>
            </w:r>
          </w:p>
        </w:tc>
        <w:tc>
          <w:tcPr>
            <w:tcW w:w="2110" w:type="dxa"/>
            <w:vMerge w:val="continue"/>
            <w:shd w:val="clear" w:color="auto" w:fill="auto"/>
            <w:vAlign w:val="center"/>
          </w:tcPr>
          <w:p w14:paraId="4ADBF3C5">
            <w:pPr>
              <w:pStyle w:val="19"/>
              <w:bidi w:val="0"/>
              <w:rPr>
                <w:rFonts w:hint="default"/>
                <w:color w:val="auto"/>
                <w:lang w:val="en-US" w:eastAsia="zh-CN"/>
              </w:rPr>
            </w:pPr>
          </w:p>
        </w:tc>
        <w:tc>
          <w:tcPr>
            <w:tcW w:w="1534" w:type="dxa"/>
            <w:shd w:val="clear" w:color="auto" w:fill="auto"/>
            <w:vAlign w:val="center"/>
          </w:tcPr>
          <w:p w14:paraId="4A0FC399">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排放量（</w:t>
            </w:r>
            <w:r>
              <w:rPr>
                <w:rFonts w:hint="eastAsia"/>
                <w:color w:val="auto"/>
                <w:lang w:val="en-US" w:eastAsia="zh-CN"/>
              </w:rPr>
              <w:t>t</w:t>
            </w:r>
            <w:r>
              <w:rPr>
                <w:color w:val="auto"/>
              </w:rPr>
              <w:t>/a</w:t>
            </w:r>
            <w:r>
              <w:rPr>
                <w:rFonts w:hint="eastAsia"/>
                <w:color w:val="auto"/>
              </w:rPr>
              <w:t>）</w:t>
            </w:r>
          </w:p>
        </w:tc>
        <w:tc>
          <w:tcPr>
            <w:tcW w:w="1844" w:type="dxa"/>
            <w:shd w:val="clear" w:color="auto" w:fill="auto"/>
            <w:vAlign w:val="center"/>
          </w:tcPr>
          <w:p w14:paraId="6DFD7FBD">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rPr>
              <w:t>排放速率（</w:t>
            </w:r>
            <w:r>
              <w:rPr>
                <w:color w:val="auto"/>
              </w:rPr>
              <w:t>kg/h</w:t>
            </w:r>
            <w:r>
              <w:rPr>
                <w:rFonts w:hint="eastAsia"/>
                <w:color w:val="auto"/>
              </w:rPr>
              <w:t>）</w:t>
            </w:r>
          </w:p>
        </w:tc>
        <w:tc>
          <w:tcPr>
            <w:tcW w:w="3304" w:type="dxa"/>
            <w:vMerge w:val="continue"/>
            <w:shd w:val="clear" w:color="auto" w:fill="auto"/>
            <w:vAlign w:val="center"/>
          </w:tcPr>
          <w:p w14:paraId="5375CE0B">
            <w:pPr>
              <w:pStyle w:val="19"/>
              <w:bidi w:val="0"/>
              <w:rPr>
                <w:rFonts w:hint="eastAsia"/>
                <w:color w:val="auto"/>
              </w:rPr>
            </w:pPr>
          </w:p>
        </w:tc>
      </w:tr>
      <w:tr w14:paraId="77C9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42" w:type="dxa"/>
            <w:vAlign w:val="center"/>
          </w:tcPr>
          <w:p w14:paraId="406E4967">
            <w:pPr>
              <w:pStyle w:val="19"/>
              <w:bidi w:val="0"/>
              <w:rPr>
                <w:rFonts w:hint="default"/>
                <w:color w:val="auto"/>
                <w:lang w:val="en-US" w:eastAsia="zh-CN"/>
              </w:rPr>
            </w:pPr>
            <w:r>
              <w:rPr>
                <w:rFonts w:hint="eastAsia"/>
                <w:color w:val="auto"/>
                <w:lang w:val="en-US" w:eastAsia="zh-CN"/>
              </w:rPr>
              <w:t>干粉入仓</w:t>
            </w:r>
          </w:p>
        </w:tc>
        <w:tc>
          <w:tcPr>
            <w:tcW w:w="948" w:type="dxa"/>
            <w:shd w:val="clear" w:color="auto" w:fill="auto"/>
            <w:vAlign w:val="center"/>
          </w:tcPr>
          <w:p w14:paraId="38109BAC">
            <w:pPr>
              <w:pStyle w:val="19"/>
              <w:bidi w:val="0"/>
              <w:rPr>
                <w:rFonts w:hint="default"/>
                <w:color w:val="auto"/>
                <w:lang w:val="en-US" w:eastAsia="zh-CN"/>
              </w:rPr>
            </w:pPr>
            <w:r>
              <w:rPr>
                <w:rFonts w:hint="eastAsia"/>
                <w:color w:val="auto"/>
                <w:lang w:val="en-US" w:eastAsia="zh-CN"/>
              </w:rPr>
              <w:t>颗粒物</w:t>
            </w:r>
          </w:p>
        </w:tc>
        <w:tc>
          <w:tcPr>
            <w:tcW w:w="1385" w:type="dxa"/>
            <w:shd w:val="clear" w:color="auto" w:fill="auto"/>
            <w:vAlign w:val="center"/>
          </w:tcPr>
          <w:p w14:paraId="5801E3C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0.0305</w:t>
            </w:r>
          </w:p>
        </w:tc>
        <w:tc>
          <w:tcPr>
            <w:tcW w:w="1261" w:type="dxa"/>
            <w:shd w:val="clear" w:color="auto" w:fill="auto"/>
            <w:vAlign w:val="center"/>
          </w:tcPr>
          <w:p w14:paraId="6A2017F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0.072</w:t>
            </w:r>
          </w:p>
        </w:tc>
        <w:tc>
          <w:tcPr>
            <w:tcW w:w="2110" w:type="dxa"/>
            <w:shd w:val="clear" w:color="auto" w:fill="auto"/>
            <w:vAlign w:val="center"/>
          </w:tcPr>
          <w:p w14:paraId="79ABC425">
            <w:pPr>
              <w:pStyle w:val="19"/>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无组织排放</w:t>
            </w:r>
          </w:p>
        </w:tc>
        <w:tc>
          <w:tcPr>
            <w:tcW w:w="1534" w:type="dxa"/>
            <w:shd w:val="clear" w:color="auto" w:fill="auto"/>
            <w:vAlign w:val="center"/>
          </w:tcPr>
          <w:p w14:paraId="126D4658">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0.0305</w:t>
            </w:r>
          </w:p>
        </w:tc>
        <w:tc>
          <w:tcPr>
            <w:tcW w:w="1844" w:type="dxa"/>
            <w:shd w:val="clear" w:color="auto" w:fill="auto"/>
            <w:vAlign w:val="center"/>
          </w:tcPr>
          <w:p w14:paraId="14980680">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0.072</w:t>
            </w:r>
          </w:p>
        </w:tc>
        <w:tc>
          <w:tcPr>
            <w:tcW w:w="3304" w:type="dxa"/>
            <w:shd w:val="clear" w:color="auto" w:fill="auto"/>
            <w:vAlign w:val="center"/>
          </w:tcPr>
          <w:p w14:paraId="4DD934C9">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《水泥工业大气污染物排放标准》（GB 4915-2013，含2025年修改单）无组织限值</w:t>
            </w:r>
          </w:p>
        </w:tc>
      </w:tr>
      <w:tr w14:paraId="2F68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42" w:type="dxa"/>
            <w:shd w:val="clear" w:color="auto" w:fill="auto"/>
            <w:vAlign w:val="center"/>
          </w:tcPr>
          <w:p w14:paraId="5AA546E7">
            <w:pPr>
              <w:pStyle w:val="19"/>
              <w:bidi w:val="0"/>
              <w:rPr>
                <w:rFonts w:hint="eastAsia" w:ascii="Times New Roman" w:hAnsi="Times New Roman" w:eastAsia="宋体" w:cs="Times New Roman"/>
                <w:color w:val="auto"/>
                <w:kern w:val="0"/>
                <w:sz w:val="21"/>
                <w:szCs w:val="21"/>
                <w:lang w:val="en-US" w:eastAsia="zh-CN" w:bidi="ar-SA"/>
              </w:rPr>
            </w:pPr>
            <w:r>
              <w:rPr>
                <w:rFonts w:hint="default"/>
                <w:color w:val="auto"/>
                <w:lang w:val="en-US" w:eastAsia="zh-CN"/>
              </w:rPr>
              <w:t>复合</w:t>
            </w:r>
            <w:r>
              <w:rPr>
                <w:rFonts w:hint="eastAsia"/>
                <w:color w:val="auto"/>
                <w:lang w:val="en-US" w:eastAsia="zh-CN"/>
              </w:rPr>
              <w:t>制板</w:t>
            </w:r>
            <w:r>
              <w:rPr>
                <w:rFonts w:hint="default"/>
                <w:color w:val="auto"/>
                <w:lang w:val="en-US" w:eastAsia="zh-CN"/>
              </w:rPr>
              <w:t>及养护废气</w:t>
            </w:r>
          </w:p>
        </w:tc>
        <w:tc>
          <w:tcPr>
            <w:tcW w:w="948" w:type="dxa"/>
            <w:shd w:val="clear" w:color="auto" w:fill="auto"/>
            <w:vAlign w:val="center"/>
          </w:tcPr>
          <w:p w14:paraId="47AE1007">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NMHC</w:t>
            </w:r>
          </w:p>
        </w:tc>
        <w:tc>
          <w:tcPr>
            <w:tcW w:w="1385" w:type="dxa"/>
            <w:shd w:val="clear" w:color="auto" w:fill="auto"/>
            <w:vAlign w:val="center"/>
          </w:tcPr>
          <w:p w14:paraId="18885A6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0.05</w:t>
            </w:r>
          </w:p>
        </w:tc>
        <w:tc>
          <w:tcPr>
            <w:tcW w:w="1261" w:type="dxa"/>
            <w:shd w:val="clear" w:color="auto" w:fill="auto"/>
            <w:vAlign w:val="center"/>
          </w:tcPr>
          <w:p w14:paraId="0A36D32B">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0.0208</w:t>
            </w:r>
          </w:p>
        </w:tc>
        <w:tc>
          <w:tcPr>
            <w:tcW w:w="2110" w:type="dxa"/>
            <w:shd w:val="clear" w:color="auto" w:fill="auto"/>
            <w:vAlign w:val="center"/>
          </w:tcPr>
          <w:p w14:paraId="7FF9FB66">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无组织排放</w:t>
            </w:r>
          </w:p>
        </w:tc>
        <w:tc>
          <w:tcPr>
            <w:tcW w:w="1534" w:type="dxa"/>
            <w:shd w:val="clear" w:color="auto" w:fill="auto"/>
            <w:vAlign w:val="center"/>
          </w:tcPr>
          <w:p w14:paraId="30EEEB10">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0.05</w:t>
            </w:r>
          </w:p>
        </w:tc>
        <w:tc>
          <w:tcPr>
            <w:tcW w:w="1844" w:type="dxa"/>
            <w:shd w:val="clear" w:color="auto" w:fill="auto"/>
            <w:vAlign w:val="center"/>
          </w:tcPr>
          <w:p w14:paraId="6D6A519B">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0.0208</w:t>
            </w:r>
          </w:p>
        </w:tc>
        <w:tc>
          <w:tcPr>
            <w:tcW w:w="3304" w:type="dxa"/>
            <w:shd w:val="clear" w:color="auto" w:fill="auto"/>
            <w:vAlign w:val="center"/>
          </w:tcPr>
          <w:p w14:paraId="61760E39">
            <w:pPr>
              <w:pStyle w:val="19"/>
              <w:bidi w:val="0"/>
              <w:rPr>
                <w:rFonts w:hint="eastAsia"/>
                <w:color w:val="auto"/>
                <w:lang w:val="en-US" w:eastAsia="zh-CN"/>
              </w:rPr>
            </w:pPr>
            <w:r>
              <w:rPr>
                <w:rFonts w:hint="eastAsia"/>
                <w:color w:val="auto"/>
                <w:lang w:val="en-US" w:eastAsia="zh-CN"/>
              </w:rPr>
              <w:t>《挥发性有机物无组织排放控制标准》（GB 37822-2019）</w:t>
            </w:r>
          </w:p>
        </w:tc>
      </w:tr>
      <w:tr w14:paraId="710D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42" w:type="dxa"/>
            <w:shd w:val="clear" w:color="auto" w:fill="auto"/>
            <w:vAlign w:val="center"/>
          </w:tcPr>
          <w:p w14:paraId="49815BB9">
            <w:pPr>
              <w:pStyle w:val="19"/>
              <w:bidi w:val="0"/>
              <w:rPr>
                <w:rFonts w:hint="eastAsia"/>
                <w:color w:val="auto"/>
                <w:lang w:val="en-US" w:eastAsia="zh-CN"/>
              </w:rPr>
            </w:pPr>
            <w:r>
              <w:rPr>
                <w:rFonts w:hint="eastAsia"/>
                <w:color w:val="auto"/>
                <w:lang w:val="en-US" w:eastAsia="zh-CN"/>
              </w:rPr>
              <w:t>修边切割</w:t>
            </w:r>
          </w:p>
          <w:p w14:paraId="2E997FC2">
            <w:pPr>
              <w:pStyle w:val="19"/>
              <w:bidi w:val="0"/>
              <w:rPr>
                <w:rFonts w:hint="default"/>
                <w:color w:val="auto"/>
                <w:lang w:val="en-US" w:eastAsia="zh-CN"/>
              </w:rPr>
            </w:pPr>
            <w:r>
              <w:rPr>
                <w:rFonts w:hint="eastAsia"/>
                <w:color w:val="auto"/>
                <w:lang w:val="en-US" w:eastAsia="zh-CN"/>
              </w:rPr>
              <w:t>雕刻</w:t>
            </w:r>
          </w:p>
        </w:tc>
        <w:tc>
          <w:tcPr>
            <w:tcW w:w="948" w:type="dxa"/>
            <w:shd w:val="clear" w:color="auto" w:fill="auto"/>
            <w:vAlign w:val="center"/>
          </w:tcPr>
          <w:p w14:paraId="52E7D28D">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颗粒物</w:t>
            </w:r>
          </w:p>
        </w:tc>
        <w:tc>
          <w:tcPr>
            <w:tcW w:w="1385" w:type="dxa"/>
            <w:shd w:val="clear" w:color="auto" w:fill="auto"/>
            <w:vAlign w:val="center"/>
          </w:tcPr>
          <w:p w14:paraId="76CB94B5">
            <w:pPr>
              <w:pStyle w:val="19"/>
              <w:bidi w:val="0"/>
              <w:jc w:val="center"/>
              <w:rPr>
                <w:rFonts w:hint="eastAsia"/>
                <w:color w:val="auto"/>
                <w:lang w:val="en-US" w:eastAsia="zh-CN"/>
              </w:rPr>
            </w:pPr>
            <w:r>
              <w:rPr>
                <w:color w:val="auto"/>
              </w:rPr>
              <w:t>0.3966</w:t>
            </w:r>
          </w:p>
        </w:tc>
        <w:tc>
          <w:tcPr>
            <w:tcW w:w="1261" w:type="dxa"/>
            <w:shd w:val="clear" w:color="auto" w:fill="auto"/>
            <w:vAlign w:val="center"/>
          </w:tcPr>
          <w:p w14:paraId="7989AD3B">
            <w:pPr>
              <w:pStyle w:val="19"/>
              <w:bidi w:val="0"/>
              <w:jc w:val="center"/>
              <w:rPr>
                <w:rFonts w:hint="eastAsia"/>
                <w:color w:val="auto"/>
                <w:lang w:val="en-US" w:eastAsia="zh-CN"/>
              </w:rPr>
            </w:pPr>
            <w:r>
              <w:rPr>
                <w:color w:val="auto"/>
              </w:rPr>
              <w:t>0.1653</w:t>
            </w:r>
          </w:p>
        </w:tc>
        <w:tc>
          <w:tcPr>
            <w:tcW w:w="2110" w:type="dxa"/>
            <w:shd w:val="clear" w:color="auto" w:fill="auto"/>
            <w:vAlign w:val="center"/>
          </w:tcPr>
          <w:p w14:paraId="2CFC1B14">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无组织排放</w:t>
            </w:r>
          </w:p>
        </w:tc>
        <w:tc>
          <w:tcPr>
            <w:tcW w:w="1534" w:type="dxa"/>
            <w:shd w:val="clear" w:color="auto" w:fill="auto"/>
            <w:vAlign w:val="center"/>
          </w:tcPr>
          <w:p w14:paraId="53FFF260">
            <w:pPr>
              <w:pStyle w:val="19"/>
              <w:bidi w:val="0"/>
              <w:jc w:val="center"/>
              <w:rPr>
                <w:rFonts w:hint="eastAsia"/>
                <w:color w:val="auto"/>
                <w:lang w:val="en-US" w:eastAsia="zh-CN"/>
              </w:rPr>
            </w:pPr>
            <w:r>
              <w:rPr>
                <w:color w:val="auto"/>
              </w:rPr>
              <w:t>0.3966</w:t>
            </w:r>
          </w:p>
        </w:tc>
        <w:tc>
          <w:tcPr>
            <w:tcW w:w="1844" w:type="dxa"/>
            <w:shd w:val="clear" w:color="auto" w:fill="auto"/>
            <w:vAlign w:val="center"/>
          </w:tcPr>
          <w:p w14:paraId="467930D2">
            <w:pPr>
              <w:pStyle w:val="19"/>
              <w:bidi w:val="0"/>
              <w:jc w:val="center"/>
              <w:rPr>
                <w:rFonts w:hint="eastAsia"/>
                <w:color w:val="auto"/>
                <w:lang w:val="en-US" w:eastAsia="zh-CN"/>
              </w:rPr>
            </w:pPr>
            <w:r>
              <w:rPr>
                <w:color w:val="auto"/>
              </w:rPr>
              <w:t>0.1653</w:t>
            </w:r>
          </w:p>
        </w:tc>
        <w:tc>
          <w:tcPr>
            <w:tcW w:w="3304" w:type="dxa"/>
            <w:shd w:val="clear" w:color="auto" w:fill="auto"/>
            <w:vAlign w:val="center"/>
          </w:tcPr>
          <w:p w14:paraId="57807C05">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《水泥工业大气污染物排放标准》（GB 4915-2013，含2025年修改单）无组织限值</w:t>
            </w:r>
          </w:p>
        </w:tc>
      </w:tr>
      <w:tr w14:paraId="46FE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790" w:type="dxa"/>
            <w:gridSpan w:val="2"/>
            <w:shd w:val="clear" w:color="auto" w:fill="auto"/>
            <w:vAlign w:val="center"/>
          </w:tcPr>
          <w:p w14:paraId="7F1BE3CB">
            <w:pPr>
              <w:pStyle w:val="19"/>
              <w:bidi w:val="0"/>
              <w:rPr>
                <w:rFonts w:hint="default"/>
                <w:color w:val="auto"/>
                <w:lang w:val="en-US" w:eastAsia="zh-CN"/>
              </w:rPr>
            </w:pPr>
            <w:r>
              <w:rPr>
                <w:rFonts w:hint="eastAsia"/>
                <w:color w:val="auto"/>
                <w:lang w:val="en-US" w:eastAsia="zh-CN"/>
              </w:rPr>
              <w:t>合计</w:t>
            </w:r>
          </w:p>
        </w:tc>
        <w:tc>
          <w:tcPr>
            <w:tcW w:w="1385" w:type="dxa"/>
            <w:shd w:val="clear" w:color="auto" w:fill="auto"/>
            <w:vAlign w:val="center"/>
          </w:tcPr>
          <w:p w14:paraId="68410E87">
            <w:pPr>
              <w:pStyle w:val="19"/>
              <w:bidi w:val="0"/>
              <w:rPr>
                <w:rFonts w:hint="eastAsia"/>
                <w:color w:val="auto"/>
                <w:lang w:val="en-US" w:eastAsia="zh-CN"/>
              </w:rPr>
            </w:pPr>
            <w:r>
              <w:rPr>
                <w:rFonts w:hint="eastAsia" w:ascii="Times New Roman" w:hAnsi="Times New Roman" w:eastAsia="宋体" w:cs="Times New Roman"/>
                <w:color w:val="auto"/>
                <w:kern w:val="0"/>
                <w:sz w:val="21"/>
                <w:szCs w:val="21"/>
                <w:lang w:val="en-US" w:eastAsia="zh-CN" w:bidi="ar-SA"/>
              </w:rPr>
              <w:fldChar w:fldCharType="begin"/>
            </w:r>
            <w:r>
              <w:rPr>
                <w:rFonts w:hint="eastAsia" w:ascii="Times New Roman" w:hAnsi="Times New Roman" w:eastAsia="宋体" w:cs="Times New Roman"/>
                <w:color w:val="auto"/>
                <w:kern w:val="0"/>
                <w:sz w:val="21"/>
                <w:szCs w:val="21"/>
                <w:lang w:val="en-US" w:eastAsia="zh-CN" w:bidi="ar-SA"/>
              </w:rPr>
              <w:instrText xml:space="preserve"> = sum(C3:C5) \* MERGEFORMAT </w:instrText>
            </w:r>
            <w:r>
              <w:rPr>
                <w:rFonts w:hint="eastAsia" w:ascii="Times New Roman" w:hAnsi="Times New Roman" w:eastAsia="宋体" w:cs="Times New Roman"/>
                <w:color w:val="auto"/>
                <w:kern w:val="0"/>
                <w:sz w:val="21"/>
                <w:szCs w:val="21"/>
                <w:lang w:val="en-US" w:eastAsia="zh-CN" w:bidi="ar-SA"/>
              </w:rPr>
              <w:fldChar w:fldCharType="separate"/>
            </w:r>
            <w:r>
              <w:rPr>
                <w:rFonts w:hint="eastAsia" w:ascii="Times New Roman" w:hAnsi="Times New Roman" w:eastAsia="宋体" w:cs="Times New Roman"/>
                <w:color w:val="auto"/>
                <w:kern w:val="0"/>
                <w:sz w:val="21"/>
                <w:szCs w:val="21"/>
                <w:lang w:val="en-US" w:eastAsia="zh-CN" w:bidi="ar-SA"/>
              </w:rPr>
              <w:t>0.4771</w:t>
            </w:r>
            <w:r>
              <w:rPr>
                <w:rFonts w:hint="eastAsia" w:ascii="Times New Roman" w:hAnsi="Times New Roman" w:eastAsia="宋体" w:cs="Times New Roman"/>
                <w:color w:val="auto"/>
                <w:kern w:val="0"/>
                <w:sz w:val="21"/>
                <w:szCs w:val="21"/>
                <w:lang w:val="en-US" w:eastAsia="zh-CN" w:bidi="ar-SA"/>
              </w:rPr>
              <w:fldChar w:fldCharType="end"/>
            </w:r>
          </w:p>
        </w:tc>
        <w:tc>
          <w:tcPr>
            <w:tcW w:w="1261" w:type="dxa"/>
            <w:shd w:val="clear" w:color="auto" w:fill="auto"/>
            <w:vAlign w:val="center"/>
          </w:tcPr>
          <w:p w14:paraId="49A215CD">
            <w:pPr>
              <w:pStyle w:val="19"/>
              <w:bidi w:val="0"/>
              <w:jc w:val="center"/>
              <w:rPr>
                <w:rFonts w:hint="eastAsia" w:ascii="Times New Roman" w:hAnsi="Times New Roman" w:eastAsia="宋体" w:cs="Times New Roman"/>
                <w:color w:val="auto"/>
                <w:kern w:val="0"/>
                <w:sz w:val="21"/>
                <w:szCs w:val="21"/>
                <w:lang w:val="en-US" w:eastAsia="zh-CN" w:bidi="ar-SA"/>
              </w:rPr>
            </w:pPr>
            <w:r>
              <w:rPr>
                <w:color w:val="auto"/>
              </w:rPr>
              <w:fldChar w:fldCharType="begin"/>
            </w:r>
            <w:r>
              <w:rPr>
                <w:color w:val="auto"/>
              </w:rPr>
              <w:instrText xml:space="preserve"> = sum(D3:D5) \* MERGEFORMAT </w:instrText>
            </w:r>
            <w:r>
              <w:rPr>
                <w:color w:val="auto"/>
              </w:rPr>
              <w:fldChar w:fldCharType="separate"/>
            </w:r>
            <w:r>
              <w:rPr>
                <w:color w:val="auto"/>
              </w:rPr>
              <w:t>0.2581</w:t>
            </w:r>
            <w:r>
              <w:rPr>
                <w:color w:val="auto"/>
              </w:rPr>
              <w:fldChar w:fldCharType="end"/>
            </w:r>
          </w:p>
        </w:tc>
        <w:tc>
          <w:tcPr>
            <w:tcW w:w="2110" w:type="dxa"/>
            <w:shd w:val="clear" w:color="auto" w:fill="auto"/>
            <w:vAlign w:val="center"/>
          </w:tcPr>
          <w:p w14:paraId="4D45CB07">
            <w:pPr>
              <w:pStyle w:val="19"/>
              <w:bidi w:val="0"/>
              <w:jc w:val="center"/>
              <w:rPr>
                <w:rFonts w:hint="default" w:ascii="Times New Roman" w:hAnsi="Times New Roman" w:eastAsia="宋体" w:cs="Times New Roman"/>
                <w:color w:val="auto"/>
                <w:kern w:val="0"/>
                <w:sz w:val="21"/>
                <w:szCs w:val="21"/>
                <w:lang w:val="en-US" w:eastAsia="zh-CN" w:bidi="ar-SA"/>
              </w:rPr>
            </w:pPr>
          </w:p>
        </w:tc>
        <w:tc>
          <w:tcPr>
            <w:tcW w:w="1534" w:type="dxa"/>
            <w:shd w:val="clear" w:color="auto" w:fill="auto"/>
            <w:vAlign w:val="center"/>
          </w:tcPr>
          <w:p w14:paraId="08E960E9">
            <w:pPr>
              <w:pStyle w:val="19"/>
              <w:bidi w:val="0"/>
              <w:jc w:val="center"/>
              <w:rPr>
                <w:rFonts w:hint="eastAsia" w:ascii="Times New Roman" w:hAnsi="Times New Roman" w:eastAsia="宋体" w:cs="Times New Roman"/>
                <w:color w:val="auto"/>
                <w:kern w:val="0"/>
                <w:sz w:val="21"/>
                <w:szCs w:val="21"/>
                <w:lang w:val="en-US" w:eastAsia="zh-CN" w:bidi="ar-SA"/>
              </w:rPr>
            </w:pPr>
            <w:r>
              <w:rPr>
                <w:color w:val="auto"/>
              </w:rPr>
              <w:fldChar w:fldCharType="begin"/>
            </w:r>
            <w:r>
              <w:rPr>
                <w:color w:val="auto"/>
              </w:rPr>
              <w:instrText xml:space="preserve"> = sum(F3:F5) \* MERGEFORMAT </w:instrText>
            </w:r>
            <w:r>
              <w:rPr>
                <w:color w:val="auto"/>
              </w:rPr>
              <w:fldChar w:fldCharType="separate"/>
            </w:r>
            <w:r>
              <w:rPr>
                <w:color w:val="auto"/>
              </w:rPr>
              <w:t>0.4771</w:t>
            </w:r>
            <w:r>
              <w:rPr>
                <w:color w:val="auto"/>
              </w:rPr>
              <w:fldChar w:fldCharType="end"/>
            </w:r>
          </w:p>
        </w:tc>
        <w:tc>
          <w:tcPr>
            <w:tcW w:w="1844" w:type="dxa"/>
            <w:shd w:val="clear" w:color="auto" w:fill="auto"/>
            <w:vAlign w:val="center"/>
          </w:tcPr>
          <w:p w14:paraId="4DCA5290">
            <w:pPr>
              <w:pStyle w:val="19"/>
              <w:bidi w:val="0"/>
              <w:jc w:val="center"/>
              <w:rPr>
                <w:rFonts w:hint="eastAsia" w:ascii="Times New Roman" w:hAnsi="Times New Roman" w:eastAsia="宋体" w:cs="Times New Roman"/>
                <w:color w:val="auto"/>
                <w:kern w:val="0"/>
                <w:sz w:val="21"/>
                <w:szCs w:val="21"/>
                <w:lang w:val="en-US" w:eastAsia="zh-CN" w:bidi="ar-SA"/>
              </w:rPr>
            </w:pPr>
            <w:r>
              <w:rPr>
                <w:color w:val="auto"/>
              </w:rPr>
              <w:fldChar w:fldCharType="begin"/>
            </w:r>
            <w:r>
              <w:rPr>
                <w:color w:val="auto"/>
              </w:rPr>
              <w:instrText xml:space="preserve"> = sum(G3:G5) \* MERGEFORMAT </w:instrText>
            </w:r>
            <w:r>
              <w:rPr>
                <w:color w:val="auto"/>
              </w:rPr>
              <w:fldChar w:fldCharType="separate"/>
            </w:r>
            <w:r>
              <w:rPr>
                <w:color w:val="auto"/>
              </w:rPr>
              <w:t>0.2581</w:t>
            </w:r>
            <w:r>
              <w:rPr>
                <w:color w:val="auto"/>
              </w:rPr>
              <w:fldChar w:fldCharType="end"/>
            </w:r>
          </w:p>
        </w:tc>
        <w:tc>
          <w:tcPr>
            <w:tcW w:w="3304" w:type="dxa"/>
            <w:shd w:val="clear" w:color="auto" w:fill="auto"/>
            <w:vAlign w:val="center"/>
          </w:tcPr>
          <w:p w14:paraId="7ED49B97">
            <w:pPr>
              <w:pStyle w:val="19"/>
              <w:bidi w:val="0"/>
              <w:rPr>
                <w:rFonts w:hint="eastAsia"/>
                <w:color w:val="auto"/>
                <w:lang w:val="en-US" w:eastAsia="zh-CN"/>
              </w:rPr>
            </w:pPr>
          </w:p>
        </w:tc>
      </w:tr>
    </w:tbl>
    <w:p w14:paraId="0FBDD586">
      <w:pPr>
        <w:pStyle w:val="5"/>
        <w:bidi w:val="0"/>
        <w:ind w:left="0" w:leftChars="0" w:firstLine="0" w:firstLineChars="0"/>
        <w:jc w:val="center"/>
        <w:rPr>
          <w:rFonts w:hint="eastAsia"/>
          <w:color w:val="auto"/>
        </w:rPr>
      </w:pPr>
    </w:p>
    <w:p w14:paraId="728CFB8F">
      <w:pPr>
        <w:pStyle w:val="5"/>
        <w:bidi w:val="0"/>
        <w:ind w:left="0" w:leftChars="0" w:firstLine="0" w:firstLineChars="0"/>
        <w:jc w:val="center"/>
        <w:rPr>
          <w:rFonts w:hint="eastAsia"/>
          <w:color w:val="auto"/>
        </w:rPr>
      </w:pPr>
    </w:p>
    <w:p w14:paraId="22819B79">
      <w:pPr>
        <w:pStyle w:val="5"/>
        <w:bidi w:val="0"/>
        <w:ind w:left="0" w:leftChars="0" w:firstLine="0" w:firstLineChars="0"/>
        <w:jc w:val="center"/>
        <w:rPr>
          <w:rFonts w:hint="eastAsia"/>
          <w:color w:val="auto"/>
        </w:rPr>
        <w:sectPr>
          <w:pgSz w:w="16840" w:h="11907" w:orient="landscape"/>
          <w:pgMar w:top="1531" w:right="1701" w:bottom="1531" w:left="2127" w:header="851" w:footer="851" w:gutter="0"/>
          <w:pgNumType w:fmt="decimal"/>
          <w:cols w:space="720" w:num="1"/>
          <w:docGrid w:linePitch="312" w:charSpace="0"/>
        </w:sectPr>
      </w:pPr>
    </w:p>
    <w:tbl>
      <w:tblPr>
        <w:tblStyle w:val="15"/>
        <w:tblW w:w="90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7506"/>
      </w:tblGrid>
      <w:tr w14:paraId="5E41A6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18" w:hRule="atLeast"/>
          <w:jc w:val="center"/>
        </w:trPr>
        <w:tc>
          <w:tcPr>
            <w:tcW w:w="1514" w:type="dxa"/>
            <w:tcMar>
              <w:left w:w="28" w:type="dxa"/>
              <w:right w:w="28" w:type="dxa"/>
            </w:tcMar>
            <w:vAlign w:val="center"/>
          </w:tcPr>
          <w:p w14:paraId="2B8A2B74">
            <w:pPr>
              <w:pStyle w:val="5"/>
              <w:bidi w:val="0"/>
              <w:ind w:left="0" w:leftChars="0" w:firstLine="0" w:firstLineChars="0"/>
              <w:jc w:val="center"/>
              <w:rPr>
                <w:color w:val="auto"/>
              </w:rPr>
            </w:pPr>
            <w:r>
              <w:rPr>
                <w:rFonts w:hint="eastAsia"/>
                <w:color w:val="auto"/>
              </w:rPr>
              <w:t>运营期环境影响和保护措施</w:t>
            </w:r>
          </w:p>
        </w:tc>
        <w:tc>
          <w:tcPr>
            <w:tcW w:w="7506" w:type="dxa"/>
          </w:tcPr>
          <w:p w14:paraId="1A42FA01">
            <w:pPr>
              <w:pStyle w:val="4"/>
              <w:bidi w:val="0"/>
              <w:rPr>
                <w:rFonts w:hint="eastAsia"/>
                <w:color w:val="auto"/>
                <w:lang w:val="en-US" w:eastAsia="zh-CN"/>
              </w:rPr>
            </w:pPr>
            <w:r>
              <w:rPr>
                <w:rFonts w:hint="eastAsia"/>
                <w:color w:val="auto"/>
                <w:lang w:val="en-US" w:eastAsia="zh-CN"/>
              </w:rPr>
              <w:t>废气治理可行性分析</w:t>
            </w:r>
          </w:p>
          <w:p w14:paraId="1888473E">
            <w:pPr>
              <w:pStyle w:val="5"/>
              <w:rPr>
                <w:rFonts w:hint="default"/>
                <w:color w:val="auto"/>
                <w:lang w:val="en-US" w:eastAsia="zh-CN"/>
              </w:rPr>
            </w:pPr>
            <w:r>
              <w:rPr>
                <w:rFonts w:hint="eastAsia"/>
                <w:color w:val="auto"/>
                <w:lang w:val="en-US" w:eastAsia="zh-CN"/>
              </w:rPr>
              <w:t>颗粒物方面：</w:t>
            </w:r>
          </w:p>
          <w:p w14:paraId="302FC7A3">
            <w:pPr>
              <w:pStyle w:val="5"/>
              <w:rPr>
                <w:rFonts w:hint="eastAsia"/>
                <w:color w:val="auto"/>
                <w:lang w:val="en-US" w:eastAsia="zh-CN"/>
              </w:rPr>
            </w:pPr>
            <w:r>
              <w:rPr>
                <w:rFonts w:hint="eastAsia"/>
                <w:color w:val="auto"/>
                <w:lang w:val="en-US" w:eastAsia="zh-CN"/>
              </w:rPr>
              <w:t>本项目在颗粒物治理方面，针对不同工段产生的粉尘采取了针对性的收集和处理措施，技术成熟可靠，治理效果显著。干粉入仓工序，通过袋式除尘器处理，除尘效率高达99%，处理后的颗粒物排放浓度和排放速率均能满足《水泥工业大气污染物排放标准》（GB 4915 - 2013）的要求；修边切割和雕刻作业产生的粉尘，采用侧吸式集气罩收集，配合袋式除尘器处理，集气效率分别为90%和85%，除尘效率99%，经处理后粉尘排放浓度能满足《水泥工业大气污染物排放标准》（GB 4915 - 2013）要求。这些措施均为目前工业粉尘治理中广泛应用的成熟技术，具有较高的可行性和稳定性，能够有效控制颗粒物的排放。</w:t>
            </w:r>
          </w:p>
          <w:p w14:paraId="24C27AD3">
            <w:pPr>
              <w:pStyle w:val="5"/>
              <w:rPr>
                <w:rFonts w:hint="default"/>
                <w:color w:val="auto"/>
                <w:lang w:val="en-US" w:eastAsia="zh-CN"/>
              </w:rPr>
            </w:pPr>
            <w:r>
              <w:rPr>
                <w:rFonts w:hint="eastAsia"/>
                <w:color w:val="auto"/>
                <w:lang w:val="en-US" w:eastAsia="zh-CN"/>
              </w:rPr>
              <w:t>非甲烷总烃方面：</w:t>
            </w:r>
          </w:p>
          <w:p w14:paraId="20EED974">
            <w:pPr>
              <w:pStyle w:val="5"/>
              <w:rPr>
                <w:rFonts w:hint="eastAsia"/>
                <w:color w:val="auto"/>
                <w:lang w:val="en-US" w:eastAsia="zh-CN"/>
              </w:rPr>
            </w:pPr>
            <w:r>
              <w:rPr>
                <w:rFonts w:hint="eastAsia"/>
                <w:color w:val="auto"/>
                <w:lang w:val="en-US" w:eastAsia="zh-CN"/>
              </w:rPr>
              <w:t>对于非甲烷总烃（NMHC）的治理，项目采用集气罩收集复合制板及养护废气，经二级活性炭装置吸附处理，吸附效率达90%，处理后废气经20m高排气筒排放，排放浓度满足《大气污染物综合排放标准》（GB16297 - 1996）表2二级标准。活性炭吸附法是处理挥发性有机物的常用有效方法，操作简单，成本相对较低，对非甲烷总烃具有较好的吸附效果。因此本项目对非甲烷总烃的治理措施也是可行的。</w:t>
            </w:r>
          </w:p>
          <w:p w14:paraId="3A6823CE">
            <w:pPr>
              <w:pStyle w:val="5"/>
              <w:rPr>
                <w:rFonts w:hint="eastAsia"/>
                <w:color w:val="auto"/>
                <w:lang w:val="en-US" w:eastAsia="zh-CN"/>
              </w:rPr>
            </w:pPr>
            <w:r>
              <w:rPr>
                <w:rFonts w:hint="eastAsia"/>
                <w:color w:val="auto"/>
                <w:lang w:val="en-US" w:eastAsia="zh-CN"/>
              </w:rPr>
              <w:t>综合来看，本项目针对各类废气采取的治理措施技术成熟、效率可靠，能够确保各项污染物达标排放，废气治理具有可行性。</w:t>
            </w:r>
          </w:p>
          <w:p w14:paraId="1DEFC9AA">
            <w:pPr>
              <w:pStyle w:val="4"/>
              <w:bidi w:val="0"/>
              <w:rPr>
                <w:rFonts w:hint="eastAsia"/>
                <w:color w:val="auto"/>
                <w:lang w:val="en-US" w:eastAsia="zh-CN"/>
              </w:rPr>
            </w:pPr>
            <w:r>
              <w:rPr>
                <w:rFonts w:hint="eastAsia"/>
                <w:color w:val="auto"/>
                <w:lang w:val="en-US" w:eastAsia="zh-CN"/>
              </w:rPr>
              <w:t>废气非正常工况排放源强分析</w:t>
            </w:r>
          </w:p>
          <w:p w14:paraId="1C5E3EB9">
            <w:pPr>
              <w:pStyle w:val="5"/>
              <w:rPr>
                <w:rFonts w:hint="eastAsia"/>
                <w:color w:val="auto"/>
                <w:lang w:val="en-US" w:eastAsia="zh-CN"/>
              </w:rPr>
            </w:pPr>
            <w:r>
              <w:rPr>
                <w:rFonts w:hint="eastAsia"/>
                <w:color w:val="auto"/>
                <w:lang w:val="en-US" w:eastAsia="zh-CN"/>
              </w:rPr>
              <w:t>依据《环境影响评价技术导则 大气环境》（HJ 2.2-2018）、《大气污染物综合排放标准》（GB 16297-1996）及相关环评实践，对本项目废气非正常工况（事故工况）进行分析。非正常工况排放量不计入总量控制指标，但需分析其短时高浓度排放的环境影响及风险，并提出预防和应急措施。</w:t>
            </w:r>
          </w:p>
          <w:p w14:paraId="2E3FC519">
            <w:pPr>
              <w:pStyle w:val="5"/>
              <w:rPr>
                <w:rFonts w:hint="eastAsia"/>
                <w:color w:val="auto"/>
                <w:lang w:val="en-US" w:eastAsia="zh-CN"/>
              </w:rPr>
            </w:pPr>
            <w:r>
              <w:rPr>
                <w:rFonts w:hint="eastAsia"/>
                <w:color w:val="auto"/>
                <w:lang w:val="en-US" w:eastAsia="zh-CN"/>
              </w:rPr>
              <w:t>本项目主要废气来源为三个工段，分别为干粉入仓、复合制板及养护、修边切割和雕刻。三个工段均采用“收集+末端治理”模式。可能发生的非正常工况主要包括末端治理设施失效、收集系统故障、动力系统故障及生产异常等。</w:t>
            </w:r>
          </w:p>
          <w:p w14:paraId="7DFD4BC8">
            <w:pPr>
              <w:pStyle w:val="6"/>
              <w:bidi w:val="0"/>
              <w:rPr>
                <w:rFonts w:hint="eastAsia"/>
                <w:color w:val="auto"/>
                <w:lang w:val="en-US" w:eastAsia="zh-CN"/>
              </w:rPr>
            </w:pPr>
            <w:r>
              <w:rPr>
                <w:rFonts w:hint="eastAsia"/>
                <w:color w:val="auto"/>
                <w:lang w:val="en-US" w:eastAsia="zh-CN"/>
              </w:rPr>
              <w:t>干粉入仓工段非正常工况排放源强分析</w:t>
            </w:r>
          </w:p>
          <w:p w14:paraId="4ABCB13D">
            <w:pPr>
              <w:pStyle w:val="5"/>
              <w:rPr>
                <w:rFonts w:hint="eastAsia"/>
                <w:color w:val="auto"/>
                <w:lang w:val="en-US" w:eastAsia="zh-CN"/>
              </w:rPr>
            </w:pPr>
            <w:r>
              <w:rPr>
                <w:rFonts w:hint="eastAsia"/>
                <w:color w:val="auto"/>
                <w:lang w:val="en-US" w:eastAsia="zh-CN"/>
              </w:rPr>
              <w:t>当袋式除尘器发生故障，除尘效率下降至0时，该工况下的废气直接通过排气筒排放，源强计算结果如下：</w:t>
            </w:r>
          </w:p>
          <w:p w14:paraId="4AA7A9A9">
            <w:pPr>
              <w:pStyle w:val="5"/>
              <w:rPr>
                <w:rFonts w:hint="eastAsia"/>
                <w:color w:val="auto"/>
                <w:lang w:val="en-US" w:eastAsia="zh-CN"/>
              </w:rPr>
            </w:pPr>
            <w:r>
              <w:rPr>
                <w:rFonts w:hint="eastAsia"/>
                <w:color w:val="auto"/>
                <w:lang w:val="en-US" w:eastAsia="zh-CN"/>
              </w:rPr>
              <w:t>产生速率=（1.5226×1000）÷422.94=3.6kg/h</w:t>
            </w:r>
          </w:p>
          <w:p w14:paraId="6B7142DB">
            <w:pPr>
              <w:pStyle w:val="5"/>
              <w:rPr>
                <w:rFonts w:hint="eastAsia"/>
                <w:color w:val="auto"/>
                <w:lang w:val="en-US" w:eastAsia="zh-CN"/>
              </w:rPr>
            </w:pPr>
            <w:r>
              <w:rPr>
                <w:rFonts w:hint="default"/>
                <w:color w:val="auto"/>
                <w:lang w:val="en-US" w:eastAsia="zh-CN"/>
              </w:rPr>
              <w:t>当袋式除尘器失效且风机、排气筒仍运行时，粉尘将未经处理经排气筒有组织排放，排放速率为3.6kg/h，排放浓度为(3.6÷8000)×10⁶=450mg/m³，远超出《水泥工业大气污染物排放标准》（GB 4915-2013，含2025年修改单）规定的水泥仓及其他通风生产设备20mg/m³限值，会对区域大气环境质量造成短时不利影响。收集逸散形成的无组织排放仍约0.072kg/h。</w:t>
            </w:r>
          </w:p>
          <w:p w14:paraId="1C8D2E6D">
            <w:pPr>
              <w:pStyle w:val="6"/>
              <w:bidi w:val="0"/>
              <w:rPr>
                <w:rFonts w:hint="eastAsia"/>
                <w:color w:val="auto"/>
                <w:lang w:val="en-US" w:eastAsia="zh-CN"/>
              </w:rPr>
            </w:pPr>
            <w:r>
              <w:rPr>
                <w:rFonts w:hint="eastAsia"/>
                <w:color w:val="auto"/>
                <w:lang w:val="en-US" w:eastAsia="zh-CN"/>
              </w:rPr>
              <w:t>复合制板及养护工段非正常工况排放源强分析</w:t>
            </w:r>
          </w:p>
          <w:p w14:paraId="19A0C0FA">
            <w:pPr>
              <w:pStyle w:val="5"/>
              <w:rPr>
                <w:rFonts w:hint="eastAsia"/>
                <w:color w:val="auto"/>
                <w:lang w:val="en-US" w:eastAsia="zh-CN"/>
              </w:rPr>
            </w:pPr>
            <w:r>
              <w:rPr>
                <w:rFonts w:hint="eastAsia"/>
                <w:color w:val="auto"/>
                <w:lang w:val="en-US" w:eastAsia="zh-CN"/>
              </w:rPr>
              <w:t>当二级活性炭吸附装置吸附效率下降至0时，有机废气未经处理直接通过排气筒排放，源强计算结果如下：</w:t>
            </w:r>
          </w:p>
          <w:p w14:paraId="0E116826">
            <w:pPr>
              <w:pStyle w:val="5"/>
              <w:rPr>
                <w:rFonts w:hint="default"/>
                <w:color w:val="auto"/>
                <w:lang w:val="en-US" w:eastAsia="zh-CN"/>
              </w:rPr>
            </w:pPr>
            <w:r>
              <w:rPr>
                <w:rFonts w:hint="eastAsia"/>
                <w:color w:val="auto"/>
                <w:lang w:val="en-US" w:eastAsia="zh-CN"/>
              </w:rPr>
              <w:t>产生速率=（1×1000）÷2400=0.417kg/h</w:t>
            </w:r>
          </w:p>
          <w:p w14:paraId="22C3941A">
            <w:pPr>
              <w:pStyle w:val="5"/>
              <w:bidi w:val="0"/>
              <w:rPr>
                <w:rFonts w:hint="eastAsia"/>
                <w:color w:val="auto"/>
                <w:lang w:val="en-US" w:eastAsia="zh-CN"/>
              </w:rPr>
            </w:pPr>
            <w:r>
              <w:rPr>
                <w:rFonts w:hint="eastAsia"/>
                <w:color w:val="auto"/>
                <w:lang w:val="en-US" w:eastAsia="zh-CN"/>
              </w:rPr>
              <w:t>当二级活性炭吸附装置失效且风机、排气筒仍运行时，NMHC将未经处理经排气筒有组织排放，排放速率为0.417kg/h，排放浓度为(0.417÷20000)×10⁶=20.85mg/m³。该浓度及速率仍低于《大气污染物综合排放标准》（GB16297-1996）表2新污染源二级标准（120mg/m³、20m排气筒17kg/h），不构成排放标准超标，但治理效率降至零，应按非正常工况立即停产检修，防止无组织逸散增加。</w:t>
            </w:r>
          </w:p>
          <w:p w14:paraId="370D315A">
            <w:pPr>
              <w:pStyle w:val="6"/>
              <w:bidi w:val="0"/>
              <w:rPr>
                <w:rFonts w:hint="eastAsia"/>
                <w:color w:val="auto"/>
                <w:lang w:val="en-US" w:eastAsia="zh-CN"/>
              </w:rPr>
            </w:pPr>
            <w:r>
              <w:rPr>
                <w:rFonts w:hint="eastAsia"/>
                <w:color w:val="auto"/>
                <w:lang w:val="en-US" w:eastAsia="zh-CN"/>
              </w:rPr>
              <w:t>修边切割及雕刻工段非正常工况排放源强分析</w:t>
            </w:r>
          </w:p>
          <w:p w14:paraId="6F689A6D">
            <w:pPr>
              <w:pStyle w:val="5"/>
              <w:bidi w:val="0"/>
              <w:rPr>
                <w:rFonts w:hint="eastAsia"/>
                <w:color w:val="auto"/>
                <w:lang w:val="en-US" w:eastAsia="zh-CN"/>
              </w:rPr>
            </w:pPr>
            <w:r>
              <w:rPr>
                <w:rFonts w:hint="eastAsia"/>
                <w:color w:val="auto"/>
                <w:lang w:val="en-US" w:eastAsia="zh-CN"/>
              </w:rPr>
              <w:t>当袋式除尘器发生故障，除尘效率下降至0时，粉尘未经处理直接通过排气筒排放，源强计算结果如下：</w:t>
            </w:r>
          </w:p>
          <w:p w14:paraId="13396F32">
            <w:pPr>
              <w:pStyle w:val="5"/>
              <w:bidi w:val="0"/>
              <w:rPr>
                <w:rFonts w:hint="eastAsia"/>
                <w:color w:val="auto"/>
                <w:lang w:val="en-US" w:eastAsia="zh-CN"/>
              </w:rPr>
            </w:pPr>
            <w:r>
              <w:rPr>
                <w:rFonts w:hint="eastAsia"/>
                <w:color w:val="auto"/>
                <w:lang w:val="en-US" w:eastAsia="zh-CN"/>
              </w:rPr>
              <w:t>修边切割废气产生量：11536×0.25=2884kg/a=2.884t/a</w:t>
            </w:r>
          </w:p>
          <w:p w14:paraId="5B3A039F">
            <w:pPr>
              <w:pStyle w:val="5"/>
              <w:bidi w:val="0"/>
              <w:rPr>
                <w:rFonts w:hint="eastAsia"/>
                <w:color w:val="auto"/>
                <w:lang w:val="en-US" w:eastAsia="zh-CN"/>
              </w:rPr>
            </w:pPr>
            <w:r>
              <w:rPr>
                <w:rFonts w:hint="eastAsia"/>
                <w:color w:val="auto"/>
                <w:lang w:val="en-US" w:eastAsia="zh-CN"/>
              </w:rPr>
              <w:t>修边切割废气产生速率（2.884×1000）÷2400=1.202kg/h</w:t>
            </w:r>
          </w:p>
          <w:p w14:paraId="40580ED7">
            <w:pPr>
              <w:pStyle w:val="5"/>
              <w:bidi w:val="0"/>
              <w:rPr>
                <w:rFonts w:hint="eastAsia"/>
                <w:color w:val="auto"/>
                <w:lang w:val="en-US" w:eastAsia="zh-CN"/>
              </w:rPr>
            </w:pPr>
            <w:r>
              <w:rPr>
                <w:rFonts w:hint="eastAsia"/>
                <w:color w:val="auto"/>
                <w:lang w:val="en-US" w:eastAsia="zh-CN"/>
              </w:rPr>
              <w:t>雕刻废气产生量：2884×0.25=721kg/a=0.721t/a</w:t>
            </w:r>
          </w:p>
          <w:p w14:paraId="790883EE">
            <w:pPr>
              <w:pStyle w:val="5"/>
              <w:bidi w:val="0"/>
              <w:rPr>
                <w:rFonts w:hint="eastAsia"/>
                <w:color w:val="auto"/>
                <w:lang w:val="en-US" w:eastAsia="zh-CN"/>
              </w:rPr>
            </w:pPr>
            <w:r>
              <w:rPr>
                <w:rFonts w:hint="eastAsia"/>
                <w:color w:val="auto"/>
                <w:lang w:val="en-US" w:eastAsia="zh-CN"/>
              </w:rPr>
              <w:t>雕刻废气产生速率（0.721×1000）÷2400=0.3004kg/h</w:t>
            </w:r>
          </w:p>
          <w:p w14:paraId="1C8CD992">
            <w:pPr>
              <w:pStyle w:val="5"/>
              <w:bidi w:val="0"/>
              <w:rPr>
                <w:rFonts w:hint="default"/>
                <w:color w:val="auto"/>
                <w:lang w:val="en-US" w:eastAsia="zh-CN"/>
              </w:rPr>
            </w:pPr>
            <w:r>
              <w:rPr>
                <w:rFonts w:hint="eastAsia"/>
                <w:color w:val="auto"/>
                <w:lang w:val="en-US" w:eastAsia="zh-CN"/>
              </w:rPr>
              <w:t>总产生速率=1.202+0.3004=1.5024kg/h</w:t>
            </w:r>
          </w:p>
          <w:p w14:paraId="00A951D4">
            <w:pPr>
              <w:pStyle w:val="5"/>
              <w:bidi w:val="0"/>
              <w:rPr>
                <w:rFonts w:hint="eastAsia"/>
                <w:color w:val="auto"/>
                <w:lang w:val="en-US" w:eastAsia="zh-CN"/>
              </w:rPr>
            </w:pPr>
            <w:r>
              <w:rPr>
                <w:rFonts w:hint="default"/>
                <w:color w:val="auto"/>
                <w:lang w:val="en-US" w:eastAsia="zh-CN"/>
              </w:rPr>
              <w:t>当袋式除尘器失效且风机、排气筒仍运行时，粉尘将未经处理经排气筒有组织排放，排放速率为1.5024kg/h，排放浓度为(1.5024÷8000)×10⁶=187.80mg/m³，超出《水泥工业大气污染物排放标准》（GB 4915-2013，含2025年修改单）规定的水泥仓及其他通风生产设备20mg/m³限值，会对区域大气环境造成短时不利影响。收集逸散形成的无组织排放仍约0.1653kg/h。</w:t>
            </w:r>
          </w:p>
          <w:p w14:paraId="3031E93A">
            <w:pPr>
              <w:pStyle w:val="5"/>
              <w:bidi w:val="0"/>
              <w:rPr>
                <w:rFonts w:hint="eastAsia"/>
                <w:color w:val="auto"/>
                <w:lang w:val="en-US" w:eastAsia="zh-CN"/>
              </w:rPr>
            </w:pPr>
            <w:r>
              <w:rPr>
                <w:rFonts w:hint="eastAsia"/>
                <w:color w:val="auto"/>
                <w:lang w:val="en-US" w:eastAsia="zh-CN"/>
              </w:rPr>
              <w:t>为防控非正常工况排放，企业应定期对废气处理设施进行巡检和维护，及时更换老化部件、排查故障隐患，建立非正常工况应急预案，一旦出现治理设施失效情况，立即停止对应工段生产，待故障排除、设施恢复正常后再重启生产，降低非正常排放对环境的不利影响。</w:t>
            </w:r>
          </w:p>
          <w:p w14:paraId="12694292">
            <w:pPr>
              <w:pStyle w:val="4"/>
              <w:bidi w:val="0"/>
              <w:rPr>
                <w:rFonts w:hint="eastAsia"/>
                <w:color w:val="auto"/>
                <w:lang w:val="en-US" w:eastAsia="zh-CN"/>
              </w:rPr>
            </w:pPr>
            <w:r>
              <w:rPr>
                <w:rFonts w:hint="eastAsia"/>
                <w:color w:val="auto"/>
                <w:lang w:val="en-US" w:eastAsia="zh-CN"/>
              </w:rPr>
              <w:t>废气排放口基本情况</w:t>
            </w:r>
          </w:p>
          <w:p w14:paraId="161B5C99">
            <w:pPr>
              <w:pStyle w:val="5"/>
              <w:rPr>
                <w:rFonts w:hint="eastAsia"/>
                <w:color w:val="auto"/>
                <w:lang w:val="en-US" w:eastAsia="zh-CN"/>
              </w:rPr>
            </w:pPr>
            <w:r>
              <w:rPr>
                <w:rFonts w:hint="eastAsia"/>
                <w:color w:val="auto"/>
                <w:lang w:val="en-US" w:eastAsia="zh-CN"/>
              </w:rPr>
              <w:t>本项目废气排放口基本情况见下表。</w:t>
            </w:r>
          </w:p>
          <w:p w14:paraId="31C6A2A3">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31</w:t>
            </w:r>
            <w:r>
              <w:rPr>
                <w:color w:val="auto"/>
              </w:rPr>
              <w:fldChar w:fldCharType="end"/>
            </w:r>
            <w:r>
              <w:rPr>
                <w:rFonts w:hint="eastAsia"/>
                <w:color w:val="auto"/>
                <w:lang w:val="en-US" w:eastAsia="zh-CN"/>
              </w:rPr>
              <w:t xml:space="preserve">  废气排放口基本情况一览表</w:t>
            </w:r>
          </w:p>
          <w:tbl>
            <w:tblPr>
              <w:tblStyle w:val="16"/>
              <w:tblW w:w="7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741"/>
              <w:gridCol w:w="712"/>
              <w:gridCol w:w="892"/>
              <w:gridCol w:w="764"/>
              <w:gridCol w:w="815"/>
              <w:gridCol w:w="660"/>
              <w:gridCol w:w="1785"/>
              <w:gridCol w:w="655"/>
            </w:tblGrid>
            <w:tr w14:paraId="5EFC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547" w:type="dxa"/>
                  <w:vMerge w:val="restart"/>
                  <w:vAlign w:val="center"/>
                </w:tcPr>
                <w:p w14:paraId="6AD31987">
                  <w:pPr>
                    <w:pStyle w:val="19"/>
                    <w:bidi w:val="0"/>
                    <w:jc w:val="center"/>
                    <w:rPr>
                      <w:rFonts w:hint="default"/>
                      <w:color w:val="auto"/>
                      <w:lang w:val="en-US" w:eastAsia="zh-CN"/>
                    </w:rPr>
                  </w:pPr>
                  <w:r>
                    <w:rPr>
                      <w:rFonts w:hint="eastAsia"/>
                      <w:color w:val="auto"/>
                      <w:lang w:val="en-US" w:eastAsia="zh-CN"/>
                    </w:rPr>
                    <w:t>序号</w:t>
                  </w:r>
                </w:p>
              </w:tc>
              <w:tc>
                <w:tcPr>
                  <w:tcW w:w="741" w:type="dxa"/>
                  <w:vMerge w:val="restart"/>
                  <w:vAlign w:val="center"/>
                </w:tcPr>
                <w:p w14:paraId="63A031D3">
                  <w:pPr>
                    <w:pStyle w:val="19"/>
                    <w:bidi w:val="0"/>
                    <w:jc w:val="center"/>
                    <w:rPr>
                      <w:rFonts w:hint="default"/>
                      <w:color w:val="auto"/>
                      <w:lang w:val="en-US" w:eastAsia="zh-CN"/>
                    </w:rPr>
                  </w:pPr>
                  <w:r>
                    <w:rPr>
                      <w:rFonts w:hint="eastAsia"/>
                      <w:color w:val="auto"/>
                      <w:lang w:val="en-US" w:eastAsia="zh-CN"/>
                    </w:rPr>
                    <w:t>排放口编号</w:t>
                  </w:r>
                </w:p>
              </w:tc>
              <w:tc>
                <w:tcPr>
                  <w:tcW w:w="712" w:type="dxa"/>
                  <w:vMerge w:val="restart"/>
                  <w:vAlign w:val="center"/>
                </w:tcPr>
                <w:p w14:paraId="034FB724">
                  <w:pPr>
                    <w:pStyle w:val="19"/>
                    <w:bidi w:val="0"/>
                    <w:jc w:val="center"/>
                    <w:rPr>
                      <w:rFonts w:hint="default"/>
                      <w:color w:val="auto"/>
                      <w:lang w:val="en-US" w:eastAsia="zh-CN"/>
                    </w:rPr>
                  </w:pPr>
                  <w:r>
                    <w:rPr>
                      <w:rFonts w:hint="eastAsia"/>
                      <w:color w:val="auto"/>
                      <w:lang w:val="en-US" w:eastAsia="zh-CN"/>
                    </w:rPr>
                    <w:t>排气筒类型</w:t>
                  </w:r>
                </w:p>
              </w:tc>
              <w:tc>
                <w:tcPr>
                  <w:tcW w:w="892" w:type="dxa"/>
                  <w:vMerge w:val="restart"/>
                  <w:vAlign w:val="center"/>
                </w:tcPr>
                <w:p w14:paraId="6C7623AA">
                  <w:pPr>
                    <w:pStyle w:val="19"/>
                    <w:bidi w:val="0"/>
                    <w:jc w:val="center"/>
                    <w:rPr>
                      <w:rFonts w:hint="default"/>
                      <w:color w:val="auto"/>
                      <w:lang w:val="en-US" w:eastAsia="zh-CN"/>
                    </w:rPr>
                  </w:pPr>
                  <w:r>
                    <w:rPr>
                      <w:rFonts w:hint="eastAsia"/>
                      <w:color w:val="auto"/>
                      <w:lang w:val="en-US" w:eastAsia="zh-CN"/>
                    </w:rPr>
                    <w:t>排放口名称</w:t>
                  </w:r>
                </w:p>
              </w:tc>
              <w:tc>
                <w:tcPr>
                  <w:tcW w:w="764" w:type="dxa"/>
                  <w:vMerge w:val="restart"/>
                  <w:vAlign w:val="center"/>
                </w:tcPr>
                <w:p w14:paraId="0DDFAB25">
                  <w:pPr>
                    <w:pStyle w:val="19"/>
                    <w:bidi w:val="0"/>
                    <w:jc w:val="center"/>
                    <w:rPr>
                      <w:rFonts w:hint="default"/>
                      <w:color w:val="auto"/>
                      <w:lang w:val="en-US" w:eastAsia="zh-CN"/>
                    </w:rPr>
                  </w:pPr>
                  <w:r>
                    <w:rPr>
                      <w:rFonts w:hint="eastAsia"/>
                      <w:color w:val="auto"/>
                      <w:lang w:val="en-US" w:eastAsia="zh-CN"/>
                    </w:rPr>
                    <w:t>污染物</w:t>
                  </w:r>
                </w:p>
              </w:tc>
              <w:tc>
                <w:tcPr>
                  <w:tcW w:w="3915" w:type="dxa"/>
                  <w:gridSpan w:val="4"/>
                  <w:vAlign w:val="center"/>
                </w:tcPr>
                <w:p w14:paraId="000F578C">
                  <w:pPr>
                    <w:pStyle w:val="19"/>
                    <w:bidi w:val="0"/>
                    <w:jc w:val="center"/>
                    <w:rPr>
                      <w:rFonts w:hint="eastAsia"/>
                      <w:color w:val="auto"/>
                      <w:lang w:val="en-US" w:eastAsia="zh-CN"/>
                    </w:rPr>
                  </w:pPr>
                  <w:r>
                    <w:rPr>
                      <w:rFonts w:hint="eastAsia"/>
                      <w:color w:val="auto"/>
                      <w:lang w:val="en-US" w:eastAsia="zh-CN"/>
                    </w:rPr>
                    <w:t>排放口基本情况</w:t>
                  </w:r>
                </w:p>
              </w:tc>
            </w:tr>
            <w:tr w14:paraId="42D4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547" w:type="dxa"/>
                  <w:vMerge w:val="continue"/>
                  <w:vAlign w:val="center"/>
                </w:tcPr>
                <w:p w14:paraId="551C6603">
                  <w:pPr>
                    <w:pStyle w:val="19"/>
                    <w:bidi w:val="0"/>
                    <w:jc w:val="center"/>
                    <w:rPr>
                      <w:rFonts w:hint="eastAsia"/>
                      <w:color w:val="auto"/>
                      <w:lang w:val="en-US" w:eastAsia="zh-CN"/>
                    </w:rPr>
                  </w:pPr>
                </w:p>
              </w:tc>
              <w:tc>
                <w:tcPr>
                  <w:tcW w:w="741" w:type="dxa"/>
                  <w:vMerge w:val="continue"/>
                  <w:vAlign w:val="center"/>
                </w:tcPr>
                <w:p w14:paraId="4A87164F">
                  <w:pPr>
                    <w:pStyle w:val="19"/>
                    <w:bidi w:val="0"/>
                    <w:jc w:val="center"/>
                    <w:rPr>
                      <w:rFonts w:hint="eastAsia"/>
                      <w:color w:val="auto"/>
                      <w:lang w:val="en-US" w:eastAsia="zh-CN"/>
                    </w:rPr>
                  </w:pPr>
                </w:p>
              </w:tc>
              <w:tc>
                <w:tcPr>
                  <w:tcW w:w="712" w:type="dxa"/>
                  <w:vMerge w:val="continue"/>
                  <w:vAlign w:val="center"/>
                </w:tcPr>
                <w:p w14:paraId="61ABE103">
                  <w:pPr>
                    <w:pStyle w:val="19"/>
                    <w:bidi w:val="0"/>
                    <w:jc w:val="center"/>
                    <w:rPr>
                      <w:rFonts w:hint="eastAsia"/>
                      <w:color w:val="auto"/>
                      <w:lang w:val="en-US" w:eastAsia="zh-CN"/>
                    </w:rPr>
                  </w:pPr>
                </w:p>
              </w:tc>
              <w:tc>
                <w:tcPr>
                  <w:tcW w:w="892" w:type="dxa"/>
                  <w:vMerge w:val="continue"/>
                  <w:vAlign w:val="center"/>
                </w:tcPr>
                <w:p w14:paraId="56021730">
                  <w:pPr>
                    <w:pStyle w:val="19"/>
                    <w:bidi w:val="0"/>
                    <w:jc w:val="center"/>
                    <w:rPr>
                      <w:rFonts w:hint="eastAsia"/>
                      <w:color w:val="auto"/>
                      <w:lang w:val="en-US" w:eastAsia="zh-CN"/>
                    </w:rPr>
                  </w:pPr>
                </w:p>
              </w:tc>
              <w:tc>
                <w:tcPr>
                  <w:tcW w:w="764" w:type="dxa"/>
                  <w:vMerge w:val="continue"/>
                  <w:vAlign w:val="center"/>
                </w:tcPr>
                <w:p w14:paraId="6970870D">
                  <w:pPr>
                    <w:pStyle w:val="19"/>
                    <w:bidi w:val="0"/>
                    <w:jc w:val="center"/>
                    <w:rPr>
                      <w:rFonts w:hint="eastAsia"/>
                      <w:color w:val="auto"/>
                      <w:lang w:val="en-US" w:eastAsia="zh-CN"/>
                    </w:rPr>
                  </w:pPr>
                </w:p>
              </w:tc>
              <w:tc>
                <w:tcPr>
                  <w:tcW w:w="815" w:type="dxa"/>
                  <w:vAlign w:val="center"/>
                </w:tcPr>
                <w:p w14:paraId="34AA980B">
                  <w:pPr>
                    <w:pStyle w:val="19"/>
                    <w:bidi w:val="0"/>
                    <w:jc w:val="center"/>
                    <w:rPr>
                      <w:rFonts w:hint="eastAsia"/>
                      <w:color w:val="auto"/>
                      <w:lang w:val="en-US" w:eastAsia="zh-CN"/>
                    </w:rPr>
                  </w:pPr>
                  <w:r>
                    <w:rPr>
                      <w:rFonts w:hint="eastAsia"/>
                      <w:color w:val="auto"/>
                      <w:lang w:val="en-US" w:eastAsia="zh-CN"/>
                    </w:rPr>
                    <w:t>排气筒高度</w:t>
                  </w:r>
                </w:p>
                <w:p w14:paraId="290439A7">
                  <w:pPr>
                    <w:pStyle w:val="19"/>
                    <w:bidi w:val="0"/>
                    <w:jc w:val="center"/>
                    <w:rPr>
                      <w:rFonts w:hint="default"/>
                      <w:color w:val="auto"/>
                      <w:lang w:val="en-US" w:eastAsia="zh-CN"/>
                    </w:rPr>
                  </w:pPr>
                  <w:r>
                    <w:rPr>
                      <w:rFonts w:hint="eastAsia"/>
                      <w:color w:val="auto"/>
                      <w:lang w:val="en-US" w:eastAsia="zh-CN"/>
                    </w:rPr>
                    <w:t>m</w:t>
                  </w:r>
                </w:p>
              </w:tc>
              <w:tc>
                <w:tcPr>
                  <w:tcW w:w="660" w:type="dxa"/>
                  <w:vAlign w:val="center"/>
                </w:tcPr>
                <w:p w14:paraId="1B2A5B4F">
                  <w:pPr>
                    <w:pStyle w:val="19"/>
                    <w:bidi w:val="0"/>
                    <w:jc w:val="center"/>
                    <w:rPr>
                      <w:rFonts w:hint="default"/>
                      <w:color w:val="auto"/>
                      <w:lang w:val="en-US" w:eastAsia="zh-CN"/>
                    </w:rPr>
                  </w:pPr>
                  <w:r>
                    <w:rPr>
                      <w:rFonts w:hint="eastAsia"/>
                      <w:color w:val="auto"/>
                      <w:lang w:val="en-US" w:eastAsia="zh-CN"/>
                    </w:rPr>
                    <w:t>排气筒内径mm</w:t>
                  </w:r>
                </w:p>
              </w:tc>
              <w:tc>
                <w:tcPr>
                  <w:tcW w:w="1785" w:type="dxa"/>
                  <w:vAlign w:val="center"/>
                </w:tcPr>
                <w:p w14:paraId="6B406423">
                  <w:pPr>
                    <w:pStyle w:val="19"/>
                    <w:bidi w:val="0"/>
                    <w:jc w:val="center"/>
                    <w:rPr>
                      <w:rFonts w:hint="default"/>
                      <w:color w:val="auto"/>
                      <w:lang w:val="en-US" w:eastAsia="zh-CN"/>
                    </w:rPr>
                  </w:pPr>
                  <w:r>
                    <w:rPr>
                      <w:rFonts w:hint="eastAsia"/>
                      <w:color w:val="auto"/>
                      <w:lang w:val="en-US" w:eastAsia="zh-CN"/>
                    </w:rPr>
                    <w:t>坐标</w:t>
                  </w:r>
                </w:p>
              </w:tc>
              <w:tc>
                <w:tcPr>
                  <w:tcW w:w="655" w:type="dxa"/>
                  <w:vAlign w:val="center"/>
                </w:tcPr>
                <w:p w14:paraId="0B5E7796">
                  <w:pPr>
                    <w:pStyle w:val="19"/>
                    <w:bidi w:val="0"/>
                    <w:jc w:val="center"/>
                    <w:rPr>
                      <w:rFonts w:hint="default"/>
                      <w:color w:val="auto"/>
                      <w:lang w:val="en-US" w:eastAsia="zh-CN"/>
                    </w:rPr>
                  </w:pPr>
                  <w:r>
                    <w:rPr>
                      <w:rFonts w:hint="eastAsia"/>
                      <w:color w:val="auto"/>
                      <w:lang w:val="en-US" w:eastAsia="zh-CN"/>
                    </w:rPr>
                    <w:t>排气筒温度℃</w:t>
                  </w:r>
                </w:p>
              </w:tc>
            </w:tr>
            <w:tr w14:paraId="6B0F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Align w:val="center"/>
                </w:tcPr>
                <w:p w14:paraId="136D085D">
                  <w:pPr>
                    <w:pStyle w:val="19"/>
                    <w:bidi w:val="0"/>
                    <w:jc w:val="center"/>
                    <w:rPr>
                      <w:rFonts w:hint="default"/>
                      <w:color w:val="auto"/>
                      <w:lang w:val="en-US" w:eastAsia="zh-CN"/>
                    </w:rPr>
                  </w:pPr>
                  <w:r>
                    <w:rPr>
                      <w:rFonts w:hint="eastAsia"/>
                      <w:color w:val="auto"/>
                      <w:lang w:val="en-US" w:eastAsia="zh-CN"/>
                    </w:rPr>
                    <w:t>1</w:t>
                  </w:r>
                </w:p>
              </w:tc>
              <w:tc>
                <w:tcPr>
                  <w:tcW w:w="741" w:type="dxa"/>
                  <w:vAlign w:val="center"/>
                </w:tcPr>
                <w:p w14:paraId="33C974EF">
                  <w:pPr>
                    <w:pStyle w:val="19"/>
                    <w:bidi w:val="0"/>
                    <w:jc w:val="center"/>
                    <w:rPr>
                      <w:rFonts w:hint="default"/>
                      <w:color w:val="auto"/>
                      <w:lang w:val="en-US" w:eastAsia="zh-CN"/>
                    </w:rPr>
                  </w:pPr>
                  <w:r>
                    <w:rPr>
                      <w:rFonts w:hint="eastAsia"/>
                      <w:color w:val="auto"/>
                      <w:lang w:val="en-US" w:eastAsia="zh-CN"/>
                    </w:rPr>
                    <w:t>DA001</w:t>
                  </w:r>
                </w:p>
              </w:tc>
              <w:tc>
                <w:tcPr>
                  <w:tcW w:w="712" w:type="dxa"/>
                  <w:vAlign w:val="center"/>
                </w:tcPr>
                <w:p w14:paraId="0E10650A">
                  <w:pPr>
                    <w:pStyle w:val="19"/>
                    <w:bidi w:val="0"/>
                    <w:jc w:val="center"/>
                    <w:rPr>
                      <w:rFonts w:hint="default"/>
                      <w:color w:val="auto"/>
                      <w:lang w:val="en-US" w:eastAsia="zh-CN"/>
                    </w:rPr>
                  </w:pPr>
                  <w:r>
                    <w:rPr>
                      <w:rFonts w:hint="eastAsia"/>
                      <w:color w:val="auto"/>
                      <w:lang w:val="en-US" w:eastAsia="zh-CN"/>
                    </w:rPr>
                    <w:t>一般排放口</w:t>
                  </w:r>
                </w:p>
              </w:tc>
              <w:tc>
                <w:tcPr>
                  <w:tcW w:w="892" w:type="dxa"/>
                  <w:vAlign w:val="center"/>
                </w:tcPr>
                <w:p w14:paraId="7D873859">
                  <w:pPr>
                    <w:pStyle w:val="19"/>
                    <w:bidi w:val="0"/>
                    <w:rPr>
                      <w:rFonts w:hint="default"/>
                      <w:color w:val="auto"/>
                      <w:lang w:val="en-US" w:eastAsia="zh-CN"/>
                    </w:rPr>
                  </w:pPr>
                  <w:r>
                    <w:rPr>
                      <w:rFonts w:hint="eastAsia"/>
                      <w:color w:val="auto"/>
                      <w:lang w:val="en-US" w:eastAsia="zh-CN"/>
                    </w:rPr>
                    <w:t>干粉入仓粉尘排气筒</w:t>
                  </w:r>
                </w:p>
              </w:tc>
              <w:tc>
                <w:tcPr>
                  <w:tcW w:w="764" w:type="dxa"/>
                  <w:vAlign w:val="center"/>
                </w:tcPr>
                <w:p w14:paraId="37D6A39F">
                  <w:pPr>
                    <w:pStyle w:val="19"/>
                    <w:bidi w:val="0"/>
                    <w:rPr>
                      <w:rFonts w:hint="default"/>
                      <w:color w:val="auto"/>
                      <w:lang w:val="en-US" w:eastAsia="zh-CN"/>
                    </w:rPr>
                  </w:pPr>
                  <w:r>
                    <w:rPr>
                      <w:rFonts w:hint="eastAsia"/>
                      <w:color w:val="auto"/>
                      <w:lang w:val="en-US" w:eastAsia="zh-CN"/>
                    </w:rPr>
                    <w:t>颗粒物</w:t>
                  </w:r>
                </w:p>
              </w:tc>
              <w:tc>
                <w:tcPr>
                  <w:tcW w:w="815" w:type="dxa"/>
                  <w:vAlign w:val="center"/>
                </w:tcPr>
                <w:p w14:paraId="11E7F76F">
                  <w:pPr>
                    <w:pStyle w:val="19"/>
                    <w:bidi w:val="0"/>
                    <w:rPr>
                      <w:rFonts w:hint="default"/>
                      <w:color w:val="auto"/>
                      <w:lang w:val="en-US" w:eastAsia="zh-CN"/>
                    </w:rPr>
                  </w:pPr>
                  <w:r>
                    <w:rPr>
                      <w:rFonts w:hint="eastAsia"/>
                      <w:color w:val="auto"/>
                      <w:lang w:val="en-US" w:eastAsia="zh-CN"/>
                    </w:rPr>
                    <w:t>20</w:t>
                  </w:r>
                </w:p>
              </w:tc>
              <w:tc>
                <w:tcPr>
                  <w:tcW w:w="660" w:type="dxa"/>
                  <w:vAlign w:val="center"/>
                </w:tcPr>
                <w:p w14:paraId="619D38BC">
                  <w:pPr>
                    <w:pStyle w:val="19"/>
                    <w:bidi w:val="0"/>
                    <w:jc w:val="center"/>
                    <w:rPr>
                      <w:rFonts w:hint="default"/>
                      <w:color w:val="auto"/>
                      <w:lang w:val="en-US" w:eastAsia="zh-CN"/>
                    </w:rPr>
                  </w:pPr>
                  <w:r>
                    <w:rPr>
                      <w:rFonts w:hint="eastAsia"/>
                      <w:color w:val="auto"/>
                      <w:lang w:val="en-US" w:eastAsia="zh-CN"/>
                    </w:rPr>
                    <w:t>500</w:t>
                  </w:r>
                </w:p>
              </w:tc>
              <w:tc>
                <w:tcPr>
                  <w:tcW w:w="1785" w:type="dxa"/>
                  <w:vAlign w:val="center"/>
                </w:tcPr>
                <w:p w14:paraId="6AE6C98D">
                  <w:pPr>
                    <w:pStyle w:val="19"/>
                    <w:bidi w:val="0"/>
                    <w:jc w:val="center"/>
                    <w:rPr>
                      <w:rFonts w:hint="eastAsia"/>
                      <w:color w:val="auto"/>
                      <w:lang w:val="en-US" w:eastAsia="zh-CN"/>
                    </w:rPr>
                  </w:pPr>
                  <w:r>
                    <w:rPr>
                      <w:rFonts w:hint="default" w:ascii="Times New Roman" w:hAnsi="Times New Roman" w:cs="Times New Roman"/>
                      <w:color w:val="auto"/>
                      <w:lang w:val="en-US" w:eastAsia="zh-CN"/>
                    </w:rPr>
                    <w:t>E86°13'18.5123"，N41°40'20.9205"</w:t>
                  </w:r>
                </w:p>
              </w:tc>
              <w:tc>
                <w:tcPr>
                  <w:tcW w:w="655" w:type="dxa"/>
                  <w:vAlign w:val="center"/>
                </w:tcPr>
                <w:p w14:paraId="68AE0229">
                  <w:pPr>
                    <w:pStyle w:val="19"/>
                    <w:bidi w:val="0"/>
                    <w:jc w:val="center"/>
                    <w:rPr>
                      <w:rFonts w:hint="default"/>
                      <w:color w:val="auto"/>
                      <w:lang w:val="en-US" w:eastAsia="zh-CN"/>
                    </w:rPr>
                  </w:pPr>
                  <w:r>
                    <w:rPr>
                      <w:rFonts w:hint="eastAsia"/>
                      <w:color w:val="auto"/>
                      <w:lang w:val="en-US" w:eastAsia="zh-CN"/>
                    </w:rPr>
                    <w:t>25</w:t>
                  </w:r>
                </w:p>
              </w:tc>
            </w:tr>
            <w:tr w14:paraId="2689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Align w:val="center"/>
                </w:tcPr>
                <w:p w14:paraId="4E2E93BF">
                  <w:pPr>
                    <w:pStyle w:val="19"/>
                    <w:bidi w:val="0"/>
                    <w:jc w:val="center"/>
                    <w:rPr>
                      <w:rFonts w:hint="default"/>
                      <w:color w:val="auto"/>
                      <w:lang w:val="en-US" w:eastAsia="zh-CN"/>
                    </w:rPr>
                  </w:pPr>
                  <w:r>
                    <w:rPr>
                      <w:rFonts w:hint="eastAsia"/>
                      <w:color w:val="auto"/>
                      <w:lang w:val="en-US" w:eastAsia="zh-CN"/>
                    </w:rPr>
                    <w:t>2</w:t>
                  </w:r>
                </w:p>
              </w:tc>
              <w:tc>
                <w:tcPr>
                  <w:tcW w:w="741" w:type="dxa"/>
                  <w:vAlign w:val="center"/>
                </w:tcPr>
                <w:p w14:paraId="03286D71">
                  <w:pPr>
                    <w:pStyle w:val="19"/>
                    <w:bidi w:val="0"/>
                    <w:jc w:val="center"/>
                    <w:rPr>
                      <w:rFonts w:hint="default"/>
                      <w:color w:val="auto"/>
                      <w:lang w:val="en-US" w:eastAsia="zh-CN"/>
                    </w:rPr>
                  </w:pPr>
                  <w:r>
                    <w:rPr>
                      <w:rFonts w:hint="eastAsia"/>
                      <w:color w:val="auto"/>
                      <w:lang w:val="en-US" w:eastAsia="zh-CN"/>
                    </w:rPr>
                    <w:t>DA002</w:t>
                  </w:r>
                </w:p>
              </w:tc>
              <w:tc>
                <w:tcPr>
                  <w:tcW w:w="712" w:type="dxa"/>
                  <w:shd w:val="clear" w:color="auto" w:fill="auto"/>
                  <w:vAlign w:val="center"/>
                </w:tcPr>
                <w:p w14:paraId="3DA3556E">
                  <w:pPr>
                    <w:pStyle w:val="19"/>
                    <w:bidi w:val="0"/>
                    <w:jc w:val="center"/>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一般排放口</w:t>
                  </w:r>
                </w:p>
              </w:tc>
              <w:tc>
                <w:tcPr>
                  <w:tcW w:w="892" w:type="dxa"/>
                  <w:vAlign w:val="center"/>
                </w:tcPr>
                <w:p w14:paraId="14144F76">
                  <w:pPr>
                    <w:pStyle w:val="19"/>
                    <w:bidi w:val="0"/>
                    <w:rPr>
                      <w:rFonts w:hint="default"/>
                      <w:color w:val="auto"/>
                      <w:lang w:val="en-US" w:eastAsia="zh-CN"/>
                    </w:rPr>
                  </w:pPr>
                  <w:r>
                    <w:rPr>
                      <w:rFonts w:hint="eastAsia"/>
                      <w:color w:val="auto"/>
                      <w:lang w:val="en-US" w:eastAsia="zh-CN"/>
                    </w:rPr>
                    <w:t>复合及养护工序排气筒</w:t>
                  </w:r>
                </w:p>
              </w:tc>
              <w:tc>
                <w:tcPr>
                  <w:tcW w:w="764" w:type="dxa"/>
                  <w:vAlign w:val="center"/>
                </w:tcPr>
                <w:p w14:paraId="10BA2A0C">
                  <w:pPr>
                    <w:pStyle w:val="19"/>
                    <w:bidi w:val="0"/>
                    <w:rPr>
                      <w:rFonts w:hint="default"/>
                      <w:color w:val="auto"/>
                      <w:lang w:val="en-US" w:eastAsia="zh-CN"/>
                    </w:rPr>
                  </w:pPr>
                  <w:r>
                    <w:rPr>
                      <w:rFonts w:hint="eastAsia"/>
                      <w:color w:val="auto"/>
                      <w:lang w:val="en-US" w:eastAsia="zh-CN"/>
                    </w:rPr>
                    <w:t>NMHC</w:t>
                  </w:r>
                </w:p>
              </w:tc>
              <w:tc>
                <w:tcPr>
                  <w:tcW w:w="815" w:type="dxa"/>
                  <w:vAlign w:val="center"/>
                </w:tcPr>
                <w:p w14:paraId="1926442B">
                  <w:pPr>
                    <w:pStyle w:val="19"/>
                    <w:bidi w:val="0"/>
                    <w:rPr>
                      <w:rFonts w:hint="default"/>
                      <w:color w:val="auto"/>
                      <w:lang w:val="en-US" w:eastAsia="zh-CN"/>
                    </w:rPr>
                  </w:pPr>
                  <w:r>
                    <w:rPr>
                      <w:rFonts w:hint="eastAsia"/>
                      <w:color w:val="auto"/>
                      <w:lang w:val="en-US" w:eastAsia="zh-CN"/>
                    </w:rPr>
                    <w:t>20</w:t>
                  </w:r>
                </w:p>
              </w:tc>
              <w:tc>
                <w:tcPr>
                  <w:tcW w:w="660" w:type="dxa"/>
                  <w:vAlign w:val="center"/>
                </w:tcPr>
                <w:p w14:paraId="250D5249">
                  <w:pPr>
                    <w:pStyle w:val="19"/>
                    <w:bidi w:val="0"/>
                    <w:jc w:val="center"/>
                    <w:rPr>
                      <w:rFonts w:hint="default"/>
                      <w:color w:val="auto"/>
                      <w:lang w:val="en-US" w:eastAsia="zh-CN"/>
                    </w:rPr>
                  </w:pPr>
                  <w:r>
                    <w:rPr>
                      <w:rFonts w:hint="eastAsia"/>
                      <w:color w:val="auto"/>
                      <w:lang w:val="en-US" w:eastAsia="zh-CN"/>
                    </w:rPr>
                    <w:t>800</w:t>
                  </w:r>
                </w:p>
              </w:tc>
              <w:tc>
                <w:tcPr>
                  <w:tcW w:w="1785" w:type="dxa"/>
                  <w:shd w:val="clear" w:color="auto" w:fill="auto"/>
                  <w:vAlign w:val="center"/>
                </w:tcPr>
                <w:p w14:paraId="128459B8">
                  <w:pPr>
                    <w:pStyle w:val="19"/>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E86°13'18.4930"，</w:t>
                  </w:r>
                </w:p>
                <w:p w14:paraId="65F4F4B4">
                  <w:pPr>
                    <w:pStyle w:val="19"/>
                    <w:bidi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lang w:val="en-US" w:eastAsia="zh-CN"/>
                    </w:rPr>
                    <w:t>N41°40'20.1414"</w:t>
                  </w:r>
                </w:p>
              </w:tc>
              <w:tc>
                <w:tcPr>
                  <w:tcW w:w="655" w:type="dxa"/>
                  <w:vAlign w:val="center"/>
                </w:tcPr>
                <w:p w14:paraId="1B6B8DB0">
                  <w:pPr>
                    <w:pStyle w:val="19"/>
                    <w:bidi w:val="0"/>
                    <w:jc w:val="center"/>
                    <w:rPr>
                      <w:rFonts w:hint="default"/>
                      <w:color w:val="auto"/>
                      <w:lang w:val="en-US" w:eastAsia="zh-CN"/>
                    </w:rPr>
                  </w:pPr>
                  <w:r>
                    <w:rPr>
                      <w:rFonts w:hint="eastAsia"/>
                      <w:color w:val="auto"/>
                      <w:lang w:val="en-US" w:eastAsia="zh-CN"/>
                    </w:rPr>
                    <w:t>25</w:t>
                  </w:r>
                </w:p>
              </w:tc>
            </w:tr>
            <w:tr w14:paraId="1D8C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dxa"/>
                  <w:vAlign w:val="center"/>
                </w:tcPr>
                <w:p w14:paraId="0A0B17B9">
                  <w:pPr>
                    <w:pStyle w:val="19"/>
                    <w:bidi w:val="0"/>
                    <w:jc w:val="center"/>
                    <w:rPr>
                      <w:rFonts w:hint="default"/>
                      <w:color w:val="auto"/>
                      <w:lang w:val="en-US" w:eastAsia="zh-CN"/>
                    </w:rPr>
                  </w:pPr>
                  <w:r>
                    <w:rPr>
                      <w:rFonts w:hint="eastAsia"/>
                      <w:color w:val="auto"/>
                      <w:lang w:val="en-US" w:eastAsia="zh-CN"/>
                    </w:rPr>
                    <w:t>3</w:t>
                  </w:r>
                </w:p>
              </w:tc>
              <w:tc>
                <w:tcPr>
                  <w:tcW w:w="741" w:type="dxa"/>
                  <w:vAlign w:val="center"/>
                </w:tcPr>
                <w:p w14:paraId="18D31F9D">
                  <w:pPr>
                    <w:pStyle w:val="19"/>
                    <w:bidi w:val="0"/>
                    <w:jc w:val="center"/>
                    <w:rPr>
                      <w:rFonts w:hint="default"/>
                      <w:color w:val="auto"/>
                      <w:lang w:val="en-US" w:eastAsia="zh-CN"/>
                    </w:rPr>
                  </w:pPr>
                  <w:r>
                    <w:rPr>
                      <w:rFonts w:hint="eastAsia"/>
                      <w:color w:val="auto"/>
                      <w:lang w:val="en-US" w:eastAsia="zh-CN"/>
                    </w:rPr>
                    <w:t>DA003</w:t>
                  </w:r>
                </w:p>
              </w:tc>
              <w:tc>
                <w:tcPr>
                  <w:tcW w:w="712" w:type="dxa"/>
                  <w:shd w:val="clear" w:color="auto" w:fill="auto"/>
                  <w:vAlign w:val="center"/>
                </w:tcPr>
                <w:p w14:paraId="07109F99">
                  <w:pPr>
                    <w:pStyle w:val="19"/>
                    <w:bidi w:val="0"/>
                    <w:jc w:val="center"/>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一般排放口</w:t>
                  </w:r>
                </w:p>
              </w:tc>
              <w:tc>
                <w:tcPr>
                  <w:tcW w:w="892" w:type="dxa"/>
                  <w:vAlign w:val="center"/>
                </w:tcPr>
                <w:p w14:paraId="6D8054A2">
                  <w:pPr>
                    <w:pStyle w:val="19"/>
                    <w:bidi w:val="0"/>
                    <w:jc w:val="center"/>
                    <w:rPr>
                      <w:rFonts w:hint="default"/>
                      <w:color w:val="auto"/>
                      <w:lang w:val="en-US" w:eastAsia="zh-CN"/>
                    </w:rPr>
                  </w:pPr>
                  <w:r>
                    <w:rPr>
                      <w:rFonts w:hint="eastAsia"/>
                      <w:color w:val="auto"/>
                      <w:lang w:val="en-US" w:eastAsia="zh-CN"/>
                    </w:rPr>
                    <w:t>修边切割、雕刻粉尘排气筒</w:t>
                  </w:r>
                </w:p>
              </w:tc>
              <w:tc>
                <w:tcPr>
                  <w:tcW w:w="764" w:type="dxa"/>
                  <w:vAlign w:val="center"/>
                </w:tcPr>
                <w:p w14:paraId="29E945DC">
                  <w:pPr>
                    <w:pStyle w:val="19"/>
                    <w:bidi w:val="0"/>
                    <w:jc w:val="center"/>
                    <w:rPr>
                      <w:rFonts w:hint="default"/>
                      <w:color w:val="auto"/>
                      <w:lang w:val="en-US" w:eastAsia="zh-CN"/>
                    </w:rPr>
                  </w:pPr>
                  <w:r>
                    <w:rPr>
                      <w:rFonts w:hint="eastAsia"/>
                      <w:color w:val="auto"/>
                      <w:lang w:val="en-US" w:eastAsia="zh-CN"/>
                    </w:rPr>
                    <w:t>颗粒物</w:t>
                  </w:r>
                </w:p>
              </w:tc>
              <w:tc>
                <w:tcPr>
                  <w:tcW w:w="815" w:type="dxa"/>
                  <w:vAlign w:val="center"/>
                </w:tcPr>
                <w:p w14:paraId="483EE3AC">
                  <w:pPr>
                    <w:pStyle w:val="19"/>
                    <w:bidi w:val="0"/>
                    <w:jc w:val="center"/>
                    <w:rPr>
                      <w:rFonts w:hint="default"/>
                      <w:color w:val="auto"/>
                      <w:lang w:val="en-US" w:eastAsia="zh-CN"/>
                    </w:rPr>
                  </w:pPr>
                  <w:r>
                    <w:rPr>
                      <w:rFonts w:hint="eastAsia"/>
                      <w:color w:val="auto"/>
                      <w:lang w:val="en-US" w:eastAsia="zh-CN"/>
                    </w:rPr>
                    <w:t>20</w:t>
                  </w:r>
                </w:p>
              </w:tc>
              <w:tc>
                <w:tcPr>
                  <w:tcW w:w="660" w:type="dxa"/>
                  <w:vAlign w:val="center"/>
                </w:tcPr>
                <w:p w14:paraId="55EE4344">
                  <w:pPr>
                    <w:pStyle w:val="19"/>
                    <w:bidi w:val="0"/>
                    <w:jc w:val="center"/>
                    <w:rPr>
                      <w:rFonts w:hint="default"/>
                      <w:color w:val="auto"/>
                      <w:lang w:val="en-US" w:eastAsia="zh-CN"/>
                    </w:rPr>
                  </w:pPr>
                  <w:r>
                    <w:rPr>
                      <w:rFonts w:hint="eastAsia"/>
                      <w:color w:val="auto"/>
                      <w:lang w:val="en-US" w:eastAsia="zh-CN"/>
                    </w:rPr>
                    <w:t>500</w:t>
                  </w:r>
                </w:p>
              </w:tc>
              <w:tc>
                <w:tcPr>
                  <w:tcW w:w="1785" w:type="dxa"/>
                  <w:shd w:val="clear" w:color="auto" w:fill="auto"/>
                  <w:vAlign w:val="center"/>
                </w:tcPr>
                <w:p w14:paraId="19AE31B0">
                  <w:pPr>
                    <w:pStyle w:val="19"/>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E86°13'18.1074"，</w:t>
                  </w:r>
                </w:p>
                <w:p w14:paraId="76162596">
                  <w:pPr>
                    <w:pStyle w:val="19"/>
                    <w:bidi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lang w:val="en-US" w:eastAsia="zh-CN"/>
                    </w:rPr>
                    <w:t>N41°40'20.3582"</w:t>
                  </w:r>
                </w:p>
              </w:tc>
              <w:tc>
                <w:tcPr>
                  <w:tcW w:w="655" w:type="dxa"/>
                  <w:vAlign w:val="center"/>
                </w:tcPr>
                <w:p w14:paraId="22A3A8B3">
                  <w:pPr>
                    <w:pStyle w:val="19"/>
                    <w:bidi w:val="0"/>
                    <w:jc w:val="center"/>
                    <w:rPr>
                      <w:rFonts w:hint="default"/>
                      <w:color w:val="auto"/>
                      <w:lang w:val="en-US" w:eastAsia="zh-CN"/>
                    </w:rPr>
                  </w:pPr>
                  <w:r>
                    <w:rPr>
                      <w:rFonts w:hint="eastAsia"/>
                      <w:color w:val="auto"/>
                      <w:lang w:val="en-US" w:eastAsia="zh-CN"/>
                    </w:rPr>
                    <w:t>25</w:t>
                  </w:r>
                </w:p>
              </w:tc>
            </w:tr>
          </w:tbl>
          <w:p w14:paraId="3C796E23">
            <w:pPr>
              <w:pStyle w:val="20"/>
              <w:bidi w:val="0"/>
              <w:rPr>
                <w:rFonts w:hint="default"/>
                <w:color w:val="auto"/>
                <w:lang w:val="en-US" w:eastAsia="zh-CN"/>
              </w:rPr>
            </w:pPr>
          </w:p>
          <w:p w14:paraId="18D4FF2B">
            <w:pPr>
              <w:pStyle w:val="4"/>
              <w:bidi w:val="0"/>
              <w:rPr>
                <w:rFonts w:hint="eastAsia"/>
                <w:color w:val="auto"/>
                <w:lang w:val="en-US" w:eastAsia="zh-CN"/>
              </w:rPr>
            </w:pPr>
            <w:r>
              <w:rPr>
                <w:rFonts w:hint="eastAsia"/>
                <w:color w:val="auto"/>
                <w:lang w:val="en-US" w:eastAsia="zh-CN"/>
              </w:rPr>
              <w:t>废气监测方案</w:t>
            </w:r>
          </w:p>
          <w:p w14:paraId="32406BCC">
            <w:pPr>
              <w:pStyle w:val="5"/>
              <w:rPr>
                <w:rFonts w:hint="default"/>
                <w:color w:val="auto"/>
                <w:lang w:val="en-US" w:eastAsia="zh-CN"/>
              </w:rPr>
            </w:pPr>
            <w:r>
              <w:rPr>
                <w:rFonts w:hint="eastAsia"/>
                <w:color w:val="auto"/>
                <w:lang w:val="en-US" w:eastAsia="zh-CN"/>
              </w:rPr>
              <w:t>结合《排污单位自行监测技术指南 总则》（HJ819-2017）、《排污单位自行监测技术指南 水泥工业》（HJ848-2017）等相关标准，本项目废气监测方案见下表。</w:t>
            </w:r>
          </w:p>
          <w:p w14:paraId="1A7DA53B">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32</w:t>
            </w:r>
            <w:r>
              <w:rPr>
                <w:color w:val="auto"/>
              </w:rPr>
              <w:fldChar w:fldCharType="end"/>
            </w:r>
            <w:r>
              <w:rPr>
                <w:rFonts w:hint="eastAsia"/>
                <w:color w:val="auto"/>
                <w:lang w:val="en-US" w:eastAsia="zh-CN"/>
              </w:rPr>
              <w:t xml:space="preserve">  本项目营运期废气监测一览表</w:t>
            </w:r>
          </w:p>
          <w:tbl>
            <w:tblPr>
              <w:tblStyle w:val="16"/>
              <w:tblW w:w="7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377"/>
              <w:gridCol w:w="982"/>
              <w:gridCol w:w="946"/>
              <w:gridCol w:w="3361"/>
            </w:tblGrid>
            <w:tr w14:paraId="2AFC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2" w:type="dxa"/>
                  <w:gridSpan w:val="2"/>
                  <w:vAlign w:val="center"/>
                </w:tcPr>
                <w:p w14:paraId="5D1C93C3">
                  <w:pPr>
                    <w:pStyle w:val="19"/>
                    <w:bidi w:val="0"/>
                    <w:rPr>
                      <w:rFonts w:hint="default"/>
                      <w:color w:val="auto"/>
                      <w:lang w:val="en-US" w:eastAsia="zh-CN"/>
                    </w:rPr>
                  </w:pPr>
                  <w:r>
                    <w:rPr>
                      <w:rFonts w:hint="eastAsia"/>
                      <w:color w:val="auto"/>
                      <w:lang w:val="en-US" w:eastAsia="zh-CN"/>
                    </w:rPr>
                    <w:t>监测点位</w:t>
                  </w:r>
                </w:p>
              </w:tc>
              <w:tc>
                <w:tcPr>
                  <w:tcW w:w="982" w:type="dxa"/>
                  <w:vAlign w:val="center"/>
                </w:tcPr>
                <w:p w14:paraId="36A12301">
                  <w:pPr>
                    <w:pStyle w:val="19"/>
                    <w:bidi w:val="0"/>
                    <w:rPr>
                      <w:rFonts w:hint="default"/>
                      <w:color w:val="auto"/>
                      <w:lang w:val="en-US" w:eastAsia="zh-CN"/>
                    </w:rPr>
                  </w:pPr>
                  <w:r>
                    <w:rPr>
                      <w:rFonts w:hint="eastAsia"/>
                      <w:color w:val="auto"/>
                      <w:lang w:val="en-US" w:eastAsia="zh-CN"/>
                    </w:rPr>
                    <w:t>监测项目</w:t>
                  </w:r>
                </w:p>
              </w:tc>
              <w:tc>
                <w:tcPr>
                  <w:tcW w:w="946" w:type="dxa"/>
                  <w:vAlign w:val="center"/>
                </w:tcPr>
                <w:p w14:paraId="4679591B">
                  <w:pPr>
                    <w:pStyle w:val="19"/>
                    <w:bidi w:val="0"/>
                    <w:rPr>
                      <w:rFonts w:hint="default"/>
                      <w:color w:val="auto"/>
                      <w:lang w:val="en-US" w:eastAsia="zh-CN"/>
                    </w:rPr>
                  </w:pPr>
                  <w:r>
                    <w:rPr>
                      <w:rFonts w:hint="eastAsia"/>
                      <w:color w:val="auto"/>
                      <w:lang w:val="en-US" w:eastAsia="zh-CN"/>
                    </w:rPr>
                    <w:t>监测频次</w:t>
                  </w:r>
                </w:p>
              </w:tc>
              <w:tc>
                <w:tcPr>
                  <w:tcW w:w="3361" w:type="dxa"/>
                  <w:vAlign w:val="center"/>
                </w:tcPr>
                <w:p w14:paraId="09BE28ED">
                  <w:pPr>
                    <w:pStyle w:val="19"/>
                    <w:bidi w:val="0"/>
                    <w:rPr>
                      <w:rFonts w:hint="default"/>
                      <w:color w:val="auto"/>
                      <w:lang w:val="en-US" w:eastAsia="zh-CN"/>
                    </w:rPr>
                  </w:pPr>
                  <w:r>
                    <w:rPr>
                      <w:rFonts w:hint="eastAsia"/>
                      <w:color w:val="auto"/>
                      <w:lang w:val="en-US" w:eastAsia="zh-CN"/>
                    </w:rPr>
                    <w:t>执行标准</w:t>
                  </w:r>
                </w:p>
              </w:tc>
            </w:tr>
            <w:tr w14:paraId="6EE2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dxa"/>
                  <w:vMerge w:val="restart"/>
                  <w:vAlign w:val="center"/>
                </w:tcPr>
                <w:p w14:paraId="0D2A7570">
                  <w:pPr>
                    <w:pStyle w:val="19"/>
                    <w:bidi w:val="0"/>
                    <w:rPr>
                      <w:rFonts w:hint="default"/>
                      <w:color w:val="auto"/>
                      <w:lang w:val="en-US" w:eastAsia="zh-CN"/>
                    </w:rPr>
                  </w:pPr>
                  <w:r>
                    <w:rPr>
                      <w:rFonts w:hint="eastAsia"/>
                      <w:color w:val="auto"/>
                      <w:lang w:val="en-US" w:eastAsia="zh-CN"/>
                    </w:rPr>
                    <w:t>有组织</w:t>
                  </w:r>
                </w:p>
              </w:tc>
              <w:tc>
                <w:tcPr>
                  <w:tcW w:w="1377" w:type="dxa"/>
                  <w:shd w:val="clear" w:color="auto" w:fill="auto"/>
                  <w:vAlign w:val="center"/>
                </w:tcPr>
                <w:p w14:paraId="5BDB1198">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干粉入仓粉尘排气筒DA001</w:t>
                  </w:r>
                </w:p>
              </w:tc>
              <w:tc>
                <w:tcPr>
                  <w:tcW w:w="982" w:type="dxa"/>
                  <w:vAlign w:val="center"/>
                </w:tcPr>
                <w:p w14:paraId="174FF609">
                  <w:pPr>
                    <w:pStyle w:val="19"/>
                    <w:bidi w:val="0"/>
                    <w:rPr>
                      <w:rFonts w:hint="default"/>
                      <w:color w:val="auto"/>
                      <w:lang w:val="en-US" w:eastAsia="zh-CN"/>
                    </w:rPr>
                  </w:pPr>
                  <w:r>
                    <w:rPr>
                      <w:rFonts w:hint="eastAsia"/>
                      <w:color w:val="auto"/>
                      <w:lang w:val="en-US" w:eastAsia="zh-CN"/>
                    </w:rPr>
                    <w:t>颗粒物</w:t>
                  </w:r>
                </w:p>
              </w:tc>
              <w:tc>
                <w:tcPr>
                  <w:tcW w:w="946" w:type="dxa"/>
                  <w:vAlign w:val="center"/>
                </w:tcPr>
                <w:p w14:paraId="4A04E81A">
                  <w:pPr>
                    <w:pStyle w:val="19"/>
                    <w:bidi w:val="0"/>
                    <w:rPr>
                      <w:rFonts w:hint="default"/>
                      <w:color w:val="auto"/>
                      <w:lang w:val="en-US" w:eastAsia="zh-CN"/>
                    </w:rPr>
                  </w:pPr>
                  <w:r>
                    <w:rPr>
                      <w:rFonts w:hint="eastAsia"/>
                      <w:color w:val="auto"/>
                      <w:lang w:val="en-US" w:eastAsia="zh-CN"/>
                    </w:rPr>
                    <w:t>1次/年</w:t>
                  </w:r>
                </w:p>
              </w:tc>
              <w:tc>
                <w:tcPr>
                  <w:tcW w:w="3361" w:type="dxa"/>
                  <w:vAlign w:val="center"/>
                </w:tcPr>
                <w:p w14:paraId="61755EE3">
                  <w:pPr>
                    <w:pStyle w:val="19"/>
                    <w:bidi w:val="0"/>
                    <w:jc w:val="both"/>
                    <w:rPr>
                      <w:rFonts w:hint="eastAsia"/>
                      <w:color w:val="auto"/>
                      <w:lang w:val="en-US" w:eastAsia="zh-CN"/>
                    </w:rPr>
                  </w:pPr>
                  <w:r>
                    <w:rPr>
                      <w:rFonts w:hint="eastAsia"/>
                      <w:color w:val="auto"/>
                      <w:lang w:val="en-US" w:eastAsia="zh-CN"/>
                    </w:rPr>
                    <w:t>《水泥工业大气污染物排放标准》（GB 4915-2013，含2025年修改单）表1水泥仓及其他通风生产设备颗粒物有组织最高允许排放浓度</w:t>
                  </w:r>
                </w:p>
              </w:tc>
            </w:tr>
            <w:tr w14:paraId="7273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dxa"/>
                  <w:vMerge w:val="continue"/>
                  <w:vAlign w:val="center"/>
                </w:tcPr>
                <w:p w14:paraId="73464219">
                  <w:pPr>
                    <w:pStyle w:val="19"/>
                    <w:bidi w:val="0"/>
                    <w:rPr>
                      <w:rFonts w:hint="eastAsia"/>
                      <w:color w:val="auto"/>
                      <w:lang w:val="en-US" w:eastAsia="zh-CN"/>
                    </w:rPr>
                  </w:pPr>
                </w:p>
              </w:tc>
              <w:tc>
                <w:tcPr>
                  <w:tcW w:w="1377" w:type="dxa"/>
                  <w:shd w:val="clear" w:color="auto" w:fill="auto"/>
                  <w:vAlign w:val="center"/>
                </w:tcPr>
                <w:p w14:paraId="58D10C03">
                  <w:pPr>
                    <w:pStyle w:val="19"/>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复合及养护工序排气筒DA002</w:t>
                  </w:r>
                </w:p>
              </w:tc>
              <w:tc>
                <w:tcPr>
                  <w:tcW w:w="982" w:type="dxa"/>
                  <w:vAlign w:val="center"/>
                </w:tcPr>
                <w:p w14:paraId="2823AEA1">
                  <w:pPr>
                    <w:pStyle w:val="19"/>
                    <w:bidi w:val="0"/>
                    <w:rPr>
                      <w:rFonts w:hint="default"/>
                      <w:color w:val="auto"/>
                      <w:lang w:val="en-US" w:eastAsia="zh-CN"/>
                    </w:rPr>
                  </w:pPr>
                  <w:r>
                    <w:rPr>
                      <w:rFonts w:hint="eastAsia"/>
                      <w:color w:val="auto"/>
                      <w:lang w:val="en-US" w:eastAsia="zh-CN"/>
                    </w:rPr>
                    <w:t>NMHC</w:t>
                  </w:r>
                </w:p>
              </w:tc>
              <w:tc>
                <w:tcPr>
                  <w:tcW w:w="946" w:type="dxa"/>
                  <w:vAlign w:val="center"/>
                </w:tcPr>
                <w:p w14:paraId="4D971F9E">
                  <w:pPr>
                    <w:pStyle w:val="19"/>
                    <w:bidi w:val="0"/>
                    <w:rPr>
                      <w:rFonts w:hint="eastAsia"/>
                      <w:color w:val="auto"/>
                      <w:lang w:val="en-US" w:eastAsia="zh-CN"/>
                    </w:rPr>
                  </w:pPr>
                  <w:r>
                    <w:rPr>
                      <w:rFonts w:hint="eastAsia"/>
                      <w:color w:val="auto"/>
                      <w:lang w:val="en-US" w:eastAsia="zh-CN"/>
                    </w:rPr>
                    <w:t>1次/年</w:t>
                  </w:r>
                </w:p>
              </w:tc>
              <w:tc>
                <w:tcPr>
                  <w:tcW w:w="3361" w:type="dxa"/>
                  <w:vAlign w:val="center"/>
                </w:tcPr>
                <w:p w14:paraId="4C54D656">
                  <w:pPr>
                    <w:pStyle w:val="19"/>
                    <w:bidi w:val="0"/>
                    <w:jc w:val="both"/>
                    <w:rPr>
                      <w:rFonts w:hint="eastAsia"/>
                      <w:color w:val="auto"/>
                      <w:lang w:val="en-US" w:eastAsia="zh-CN"/>
                    </w:rPr>
                  </w:pPr>
                  <w:r>
                    <w:rPr>
                      <w:rFonts w:hint="eastAsia"/>
                      <w:color w:val="auto"/>
                      <w:lang w:val="en-US" w:eastAsia="zh-CN"/>
                    </w:rPr>
                    <w:t>《大气污染物综合排放标准》（GB16297-1996）表2二级标准</w:t>
                  </w:r>
                </w:p>
              </w:tc>
            </w:tr>
            <w:tr w14:paraId="167E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dxa"/>
                  <w:vMerge w:val="continue"/>
                  <w:vAlign w:val="center"/>
                </w:tcPr>
                <w:p w14:paraId="094BB96E">
                  <w:pPr>
                    <w:pStyle w:val="19"/>
                    <w:bidi w:val="0"/>
                    <w:rPr>
                      <w:rFonts w:hint="eastAsia"/>
                      <w:color w:val="auto"/>
                      <w:lang w:val="en-US" w:eastAsia="zh-CN"/>
                    </w:rPr>
                  </w:pPr>
                </w:p>
              </w:tc>
              <w:tc>
                <w:tcPr>
                  <w:tcW w:w="1377" w:type="dxa"/>
                  <w:shd w:val="clear" w:color="auto" w:fill="auto"/>
                  <w:vAlign w:val="center"/>
                </w:tcPr>
                <w:p w14:paraId="627F93B4">
                  <w:pPr>
                    <w:pStyle w:val="19"/>
                    <w:bidi w:val="0"/>
                    <w:jc w:val="center"/>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修边切割、雕刻粉尘排气筒DA003</w:t>
                  </w:r>
                </w:p>
              </w:tc>
              <w:tc>
                <w:tcPr>
                  <w:tcW w:w="982" w:type="dxa"/>
                  <w:vAlign w:val="center"/>
                </w:tcPr>
                <w:p w14:paraId="2D4CAD5E">
                  <w:pPr>
                    <w:pStyle w:val="19"/>
                    <w:bidi w:val="0"/>
                    <w:rPr>
                      <w:rFonts w:hint="default"/>
                      <w:color w:val="auto"/>
                      <w:lang w:val="en-US" w:eastAsia="zh-CN"/>
                    </w:rPr>
                  </w:pPr>
                  <w:r>
                    <w:rPr>
                      <w:rFonts w:hint="eastAsia"/>
                      <w:color w:val="auto"/>
                      <w:lang w:val="en-US" w:eastAsia="zh-CN"/>
                    </w:rPr>
                    <w:t>颗粒物</w:t>
                  </w:r>
                </w:p>
              </w:tc>
              <w:tc>
                <w:tcPr>
                  <w:tcW w:w="946" w:type="dxa"/>
                  <w:vAlign w:val="center"/>
                </w:tcPr>
                <w:p w14:paraId="5F4ECDD3">
                  <w:pPr>
                    <w:pStyle w:val="19"/>
                    <w:bidi w:val="0"/>
                    <w:rPr>
                      <w:rFonts w:hint="eastAsia"/>
                      <w:color w:val="auto"/>
                      <w:lang w:val="en-US" w:eastAsia="zh-CN"/>
                    </w:rPr>
                  </w:pPr>
                  <w:r>
                    <w:rPr>
                      <w:rFonts w:hint="eastAsia"/>
                      <w:color w:val="auto"/>
                      <w:lang w:val="en-US" w:eastAsia="zh-CN"/>
                    </w:rPr>
                    <w:t>1次/年</w:t>
                  </w:r>
                </w:p>
              </w:tc>
              <w:tc>
                <w:tcPr>
                  <w:tcW w:w="3361" w:type="dxa"/>
                  <w:vAlign w:val="center"/>
                </w:tcPr>
                <w:p w14:paraId="16826391">
                  <w:pPr>
                    <w:pStyle w:val="19"/>
                    <w:bidi w:val="0"/>
                    <w:jc w:val="both"/>
                    <w:rPr>
                      <w:rFonts w:hint="eastAsia"/>
                      <w:color w:val="auto"/>
                      <w:lang w:val="en-US" w:eastAsia="zh-CN"/>
                    </w:rPr>
                  </w:pPr>
                  <w:r>
                    <w:rPr>
                      <w:rFonts w:hint="eastAsia"/>
                      <w:color w:val="auto"/>
                      <w:lang w:val="en-US" w:eastAsia="zh-CN"/>
                    </w:rPr>
                    <w:t>《水泥工业大气污染物排放标准》（GB 4915-2013，含2025年修改单）表1水泥仓及其他通风生产设备颗粒物有组织最高允许排放浓度</w:t>
                  </w:r>
                </w:p>
              </w:tc>
            </w:tr>
            <w:tr w14:paraId="11ED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dxa"/>
                  <w:vMerge w:val="restart"/>
                  <w:vAlign w:val="center"/>
                </w:tcPr>
                <w:p w14:paraId="32AC50C0">
                  <w:pPr>
                    <w:pStyle w:val="19"/>
                    <w:bidi w:val="0"/>
                    <w:rPr>
                      <w:rFonts w:hint="default"/>
                      <w:color w:val="auto"/>
                      <w:lang w:val="en-US" w:eastAsia="zh-CN"/>
                    </w:rPr>
                  </w:pPr>
                  <w:r>
                    <w:rPr>
                      <w:rFonts w:hint="eastAsia"/>
                      <w:color w:val="auto"/>
                      <w:lang w:val="en-US" w:eastAsia="zh-CN"/>
                    </w:rPr>
                    <w:t>无组织</w:t>
                  </w:r>
                </w:p>
              </w:tc>
              <w:tc>
                <w:tcPr>
                  <w:tcW w:w="1377" w:type="dxa"/>
                  <w:vAlign w:val="center"/>
                </w:tcPr>
                <w:p w14:paraId="71A6D277">
                  <w:pPr>
                    <w:pStyle w:val="19"/>
                    <w:bidi w:val="0"/>
                    <w:rPr>
                      <w:rFonts w:hint="default"/>
                      <w:color w:val="auto"/>
                      <w:lang w:val="en-US" w:eastAsia="zh-CN"/>
                    </w:rPr>
                  </w:pPr>
                  <w:r>
                    <w:rPr>
                      <w:rFonts w:hint="eastAsia"/>
                      <w:color w:val="auto"/>
                      <w:lang w:val="en-US" w:eastAsia="zh-CN"/>
                    </w:rPr>
                    <w:t>生产车间的厂房门窗或通风口，其他开口(孔)等排放口外 1m 设置</w:t>
                  </w:r>
                </w:p>
              </w:tc>
              <w:tc>
                <w:tcPr>
                  <w:tcW w:w="982" w:type="dxa"/>
                  <w:vAlign w:val="center"/>
                </w:tcPr>
                <w:p w14:paraId="469ED90D">
                  <w:pPr>
                    <w:pStyle w:val="19"/>
                    <w:bidi w:val="0"/>
                    <w:rPr>
                      <w:rFonts w:hint="default"/>
                      <w:color w:val="auto"/>
                      <w:lang w:val="en-US" w:eastAsia="zh-CN"/>
                    </w:rPr>
                  </w:pPr>
                  <w:r>
                    <w:rPr>
                      <w:rFonts w:hint="eastAsia"/>
                      <w:color w:val="auto"/>
                      <w:lang w:val="en-US" w:eastAsia="zh-CN"/>
                    </w:rPr>
                    <w:t>NMHC、颗粒物</w:t>
                  </w:r>
                </w:p>
              </w:tc>
              <w:tc>
                <w:tcPr>
                  <w:tcW w:w="946" w:type="dxa"/>
                  <w:vAlign w:val="center"/>
                </w:tcPr>
                <w:p w14:paraId="65CE10AC">
                  <w:pPr>
                    <w:pStyle w:val="19"/>
                    <w:bidi w:val="0"/>
                    <w:rPr>
                      <w:rFonts w:hint="eastAsia"/>
                      <w:color w:val="auto"/>
                      <w:lang w:val="en-US" w:eastAsia="zh-CN"/>
                    </w:rPr>
                  </w:pPr>
                  <w:r>
                    <w:rPr>
                      <w:rFonts w:hint="eastAsia"/>
                      <w:color w:val="auto"/>
                      <w:lang w:val="en-US" w:eastAsia="zh-CN"/>
                    </w:rPr>
                    <w:t>1次/年</w:t>
                  </w:r>
                </w:p>
              </w:tc>
              <w:tc>
                <w:tcPr>
                  <w:tcW w:w="3361" w:type="dxa"/>
                  <w:vAlign w:val="center"/>
                </w:tcPr>
                <w:p w14:paraId="067F7D97">
                  <w:pPr>
                    <w:pStyle w:val="19"/>
                    <w:bidi w:val="0"/>
                    <w:jc w:val="both"/>
                    <w:rPr>
                      <w:rFonts w:hint="eastAsia"/>
                      <w:color w:val="auto"/>
                      <w:lang w:val="en-US" w:eastAsia="zh-CN"/>
                    </w:rPr>
                  </w:pPr>
                  <w:r>
                    <w:rPr>
                      <w:rFonts w:hint="eastAsia"/>
                      <w:color w:val="auto"/>
                      <w:lang w:val="en-US" w:eastAsia="zh-CN"/>
                    </w:rPr>
                    <w:t>《挥发性有机物无组织排放控制标准》（GB 37822-2019）、《水泥工业大气污染物排放标准》（GB 4915-2013，含2025年修改单）无组织限值</w:t>
                  </w:r>
                </w:p>
              </w:tc>
            </w:tr>
            <w:tr w14:paraId="2C0C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 w:type="dxa"/>
                  <w:vMerge w:val="continue"/>
                  <w:vAlign w:val="center"/>
                </w:tcPr>
                <w:p w14:paraId="3483F50F">
                  <w:pPr>
                    <w:pStyle w:val="19"/>
                    <w:bidi w:val="0"/>
                    <w:rPr>
                      <w:rFonts w:hint="eastAsia"/>
                      <w:color w:val="auto"/>
                      <w:lang w:val="en-US" w:eastAsia="zh-CN"/>
                    </w:rPr>
                  </w:pPr>
                </w:p>
              </w:tc>
              <w:tc>
                <w:tcPr>
                  <w:tcW w:w="1377" w:type="dxa"/>
                  <w:vAlign w:val="center"/>
                </w:tcPr>
                <w:p w14:paraId="2DA41101">
                  <w:pPr>
                    <w:pStyle w:val="19"/>
                    <w:bidi w:val="0"/>
                    <w:rPr>
                      <w:rFonts w:hint="eastAsia"/>
                      <w:color w:val="auto"/>
                      <w:lang w:val="en-US" w:eastAsia="zh-CN"/>
                    </w:rPr>
                  </w:pPr>
                  <w:r>
                    <w:rPr>
                      <w:rFonts w:hint="eastAsia"/>
                      <w:color w:val="auto"/>
                      <w:lang w:val="en-US" w:eastAsia="zh-CN"/>
                    </w:rPr>
                    <w:t>厂界上风向布设1个参照点，厂界下风向布设3个监控点</w:t>
                  </w:r>
                </w:p>
              </w:tc>
              <w:tc>
                <w:tcPr>
                  <w:tcW w:w="982" w:type="dxa"/>
                  <w:vAlign w:val="center"/>
                </w:tcPr>
                <w:p w14:paraId="105DAEB6">
                  <w:pPr>
                    <w:pStyle w:val="19"/>
                    <w:bidi w:val="0"/>
                    <w:rPr>
                      <w:rFonts w:hint="default"/>
                      <w:color w:val="auto"/>
                      <w:lang w:val="en-US" w:eastAsia="zh-CN"/>
                    </w:rPr>
                  </w:pPr>
                  <w:r>
                    <w:rPr>
                      <w:rFonts w:hint="eastAsia"/>
                      <w:color w:val="auto"/>
                      <w:lang w:val="en-US" w:eastAsia="zh-CN"/>
                    </w:rPr>
                    <w:t>NMHC、颗粒物</w:t>
                  </w:r>
                </w:p>
              </w:tc>
              <w:tc>
                <w:tcPr>
                  <w:tcW w:w="946" w:type="dxa"/>
                  <w:vAlign w:val="center"/>
                </w:tcPr>
                <w:p w14:paraId="005B9A2B">
                  <w:pPr>
                    <w:pStyle w:val="19"/>
                    <w:bidi w:val="0"/>
                    <w:rPr>
                      <w:rFonts w:hint="eastAsia"/>
                      <w:color w:val="auto"/>
                      <w:lang w:val="en-US" w:eastAsia="zh-CN"/>
                    </w:rPr>
                  </w:pPr>
                  <w:r>
                    <w:rPr>
                      <w:rFonts w:hint="eastAsia"/>
                      <w:color w:val="auto"/>
                      <w:lang w:val="en-US" w:eastAsia="zh-CN"/>
                    </w:rPr>
                    <w:t>1次/年</w:t>
                  </w:r>
                </w:p>
              </w:tc>
              <w:tc>
                <w:tcPr>
                  <w:tcW w:w="3361" w:type="dxa"/>
                  <w:vAlign w:val="center"/>
                </w:tcPr>
                <w:p w14:paraId="417C31E1">
                  <w:pPr>
                    <w:pStyle w:val="19"/>
                    <w:bidi w:val="0"/>
                    <w:jc w:val="both"/>
                    <w:rPr>
                      <w:rFonts w:hint="eastAsia"/>
                      <w:color w:val="auto"/>
                      <w:lang w:val="en-US" w:eastAsia="zh-CN"/>
                    </w:rPr>
                  </w:pPr>
                  <w:r>
                    <w:rPr>
                      <w:rFonts w:hint="eastAsia"/>
                      <w:color w:val="auto"/>
                      <w:lang w:val="en-US" w:eastAsia="zh-CN"/>
                    </w:rPr>
                    <w:t>《水泥工业大气污染物排放标准》（GB 4915-2013，含2025年修改单）无组织限值、《大气污染物综合排放标准》（GB16297-1996）周界外浓度限值</w:t>
                  </w:r>
                </w:p>
              </w:tc>
            </w:tr>
          </w:tbl>
          <w:p w14:paraId="668F52AF">
            <w:pPr>
              <w:pStyle w:val="20"/>
              <w:bidi w:val="0"/>
              <w:rPr>
                <w:rFonts w:hint="eastAsia"/>
                <w:color w:val="auto"/>
                <w:lang w:val="en-US" w:eastAsia="zh-CN"/>
              </w:rPr>
            </w:pPr>
          </w:p>
          <w:p w14:paraId="034D16F4">
            <w:pPr>
              <w:pStyle w:val="3"/>
              <w:rPr>
                <w:rFonts w:hint="default"/>
                <w:color w:val="auto"/>
              </w:rPr>
            </w:pPr>
            <w:r>
              <w:rPr>
                <w:color w:val="auto"/>
              </w:rPr>
              <w:t>运营期</w:t>
            </w:r>
            <w:r>
              <w:rPr>
                <w:rFonts w:hint="eastAsia"/>
                <w:color w:val="auto"/>
                <w:lang w:val="en-US" w:eastAsia="zh-CN"/>
              </w:rPr>
              <w:t>水</w:t>
            </w:r>
            <w:r>
              <w:rPr>
                <w:color w:val="auto"/>
              </w:rPr>
              <w:t>环境影响分析及保护措施</w:t>
            </w:r>
          </w:p>
          <w:p w14:paraId="37DCA445">
            <w:pPr>
              <w:pStyle w:val="4"/>
              <w:bidi w:val="0"/>
              <w:rPr>
                <w:rFonts w:hint="default"/>
                <w:color w:val="auto"/>
              </w:rPr>
            </w:pPr>
            <w:r>
              <w:rPr>
                <w:color w:val="auto"/>
              </w:rPr>
              <w:t>废</w:t>
            </w:r>
            <w:r>
              <w:rPr>
                <w:rFonts w:hint="eastAsia"/>
                <w:color w:val="auto"/>
                <w:lang w:val="en-US" w:eastAsia="zh-CN"/>
              </w:rPr>
              <w:t>水</w:t>
            </w:r>
            <w:r>
              <w:rPr>
                <w:color w:val="auto"/>
              </w:rPr>
              <w:t>污染源核算</w:t>
            </w:r>
          </w:p>
          <w:p w14:paraId="55F4E0FE">
            <w:pPr>
              <w:pStyle w:val="5"/>
              <w:bidi w:val="0"/>
              <w:rPr>
                <w:color w:val="auto"/>
              </w:rPr>
            </w:pPr>
            <w:r>
              <w:rPr>
                <w:rFonts w:hint="eastAsia"/>
                <w:color w:val="auto"/>
                <w:lang w:val="en-US" w:eastAsia="zh-CN"/>
              </w:rPr>
              <w:t>项目废水主要为养护工序冷凝水（全部回用于湿混工序）及生活废水。</w:t>
            </w:r>
          </w:p>
          <w:p w14:paraId="0555FF3B">
            <w:pPr>
              <w:pStyle w:val="6"/>
              <w:bidi w:val="0"/>
              <w:rPr>
                <w:rFonts w:hint="eastAsia"/>
                <w:color w:val="auto"/>
                <w:lang w:val="en-US" w:eastAsia="zh-CN"/>
              </w:rPr>
            </w:pPr>
            <w:r>
              <w:rPr>
                <w:rFonts w:hint="eastAsia"/>
                <w:color w:val="auto"/>
                <w:lang w:val="en-US" w:eastAsia="zh-CN"/>
              </w:rPr>
              <w:t>养护工序冷凝水的核算</w:t>
            </w:r>
          </w:p>
          <w:p w14:paraId="0C675132">
            <w:pPr>
              <w:pStyle w:val="5"/>
              <w:bidi w:val="0"/>
              <w:rPr>
                <w:rFonts w:hint="default"/>
                <w:color w:val="auto"/>
                <w:lang w:val="en-US" w:eastAsia="zh-CN"/>
              </w:rPr>
            </w:pPr>
            <w:r>
              <w:rPr>
                <w:rFonts w:hint="eastAsia"/>
                <w:color w:val="auto"/>
                <w:lang w:val="en-US" w:eastAsia="zh-CN"/>
              </w:rPr>
              <w:t>项目养护工序车间内含有大量的水蒸气，主要包括配料用水和VAE乳液中水两部分，养护工序冷凝水主要来自板材养护过程中，因环境温度变化导致空气中的水蒸气在板材表面凝结形成，该部分水蒸气经车间内除湿机冷凝收集后全部回用于湿混工序，</w:t>
            </w:r>
            <w:r>
              <w:rPr>
                <w:rFonts w:hint="eastAsia"/>
                <w:color w:val="auto"/>
                <w:vertAlign w:val="baseline"/>
                <w:lang w:val="en-US" w:eastAsia="zh-CN"/>
              </w:rPr>
              <w:t>实现水资源的循环利用，减少新鲜水的消耗量。</w:t>
            </w:r>
          </w:p>
          <w:p w14:paraId="7219F791">
            <w:pPr>
              <w:pStyle w:val="5"/>
              <w:bidi w:val="0"/>
              <w:rPr>
                <w:rFonts w:hint="eastAsia"/>
                <w:color w:val="auto"/>
                <w:lang w:val="en-US" w:eastAsia="zh-CN"/>
              </w:rPr>
            </w:pPr>
            <w:r>
              <w:rPr>
                <w:rFonts w:hint="eastAsia"/>
                <w:color w:val="auto"/>
                <w:lang w:val="en-US" w:eastAsia="zh-CN"/>
              </w:rPr>
              <w:t>根据《新疆乾昌业新型建材有限公司新型环保防水背衬板项目可行性研究报告》，蒸汽用量约配料用水的46%，</w:t>
            </w:r>
            <w:r>
              <w:rPr>
                <w:color w:val="auto"/>
              </w:rPr>
              <w:t>冷凝水产生量约蒸汽用量的36.5%</w:t>
            </w:r>
            <w:r>
              <w:rPr>
                <w:rFonts w:hint="eastAsia"/>
                <w:color w:val="auto"/>
                <w:lang w:eastAsia="zh-CN"/>
              </w:rPr>
              <w:t>。</w:t>
            </w:r>
          </w:p>
          <w:p w14:paraId="6A047E01">
            <w:pPr>
              <w:pStyle w:val="5"/>
              <w:bidi w:val="0"/>
              <w:rPr>
                <w:rFonts w:hint="eastAsia"/>
                <w:color w:val="auto"/>
                <w:lang w:val="en-US" w:eastAsia="zh-CN"/>
              </w:rPr>
            </w:pPr>
            <w:r>
              <w:rPr>
                <w:rFonts w:hint="eastAsia"/>
                <w:color w:val="auto"/>
                <w:lang w:val="en-US" w:eastAsia="zh-CN"/>
              </w:rPr>
              <w:t>根据配料用水量约4.81m</w:t>
            </w:r>
            <w:r>
              <w:rPr>
                <w:rFonts w:hint="eastAsia"/>
                <w:color w:val="auto"/>
                <w:vertAlign w:val="superscript"/>
                <w:lang w:val="en-US" w:eastAsia="zh-CN"/>
              </w:rPr>
              <w:t>3</w:t>
            </w:r>
            <w:r>
              <w:rPr>
                <w:rFonts w:hint="eastAsia"/>
                <w:color w:val="auto"/>
                <w:lang w:val="en-US" w:eastAsia="zh-CN"/>
              </w:rPr>
              <w:t>/d、1442m</w:t>
            </w:r>
            <w:r>
              <w:rPr>
                <w:rFonts w:hint="eastAsia"/>
                <w:color w:val="auto"/>
                <w:vertAlign w:val="superscript"/>
                <w:lang w:val="en-US" w:eastAsia="zh-CN"/>
              </w:rPr>
              <w:t>3</w:t>
            </w:r>
            <w:r>
              <w:rPr>
                <w:rFonts w:hint="eastAsia"/>
                <w:color w:val="auto"/>
                <w:lang w:val="en-US" w:eastAsia="zh-CN"/>
              </w:rPr>
              <w:t>/a计算，养护工序蒸汽（蒸发）用量为2.21m³/d（663.3m³/a），则养护工序冷凝水量为0.807m³/d（242.1m³/a）。</w:t>
            </w:r>
          </w:p>
          <w:p w14:paraId="227A7F4C">
            <w:pPr>
              <w:pStyle w:val="6"/>
              <w:bidi w:val="0"/>
              <w:rPr>
                <w:rFonts w:hint="eastAsia"/>
                <w:color w:val="auto"/>
                <w:lang w:val="en-US" w:eastAsia="zh-CN"/>
              </w:rPr>
            </w:pPr>
            <w:r>
              <w:rPr>
                <w:rFonts w:hint="eastAsia"/>
                <w:color w:val="auto"/>
                <w:lang w:val="en-US" w:eastAsia="zh-CN"/>
              </w:rPr>
              <w:t>生活废水</w:t>
            </w:r>
          </w:p>
          <w:p w14:paraId="25B1ED97">
            <w:pPr>
              <w:pStyle w:val="5"/>
              <w:bidi w:val="0"/>
              <w:rPr>
                <w:rFonts w:hint="eastAsia"/>
                <w:color w:val="auto"/>
                <w:vertAlign w:val="baseline"/>
                <w:lang w:val="en-US" w:eastAsia="zh-CN"/>
              </w:rPr>
            </w:pPr>
            <w:r>
              <w:rPr>
                <w:rFonts w:hint="eastAsia"/>
                <w:color w:val="auto"/>
                <w:lang w:val="en-US" w:eastAsia="zh-CN"/>
              </w:rPr>
              <w:t>由于本项目新增劳动定员65人，</w:t>
            </w:r>
            <w:r>
              <w:rPr>
                <w:rFonts w:hint="eastAsia"/>
                <w:color w:val="auto"/>
              </w:rPr>
              <w:t>根据《新疆维吾尔自治区生活用水定额》，人均工作、生活日用水量为</w:t>
            </w:r>
            <w:r>
              <w:rPr>
                <w:rFonts w:hint="eastAsia"/>
                <w:color w:val="auto"/>
                <w:lang w:val="en-US" w:eastAsia="zh-CN"/>
              </w:rPr>
              <w:t>40</w:t>
            </w:r>
            <w:r>
              <w:rPr>
                <w:rFonts w:hint="eastAsia"/>
                <w:color w:val="auto"/>
              </w:rPr>
              <w:t>L估算</w:t>
            </w:r>
            <w:r>
              <w:rPr>
                <w:rFonts w:hint="eastAsia"/>
                <w:color w:val="auto"/>
                <w:lang w:eastAsia="zh-CN"/>
              </w:rPr>
              <w:t>，</w:t>
            </w:r>
            <w:r>
              <w:rPr>
                <w:rFonts w:hint="eastAsia"/>
                <w:color w:val="auto"/>
              </w:rPr>
              <w:t>则新增日生活用水量为</w:t>
            </w:r>
            <w:r>
              <w:rPr>
                <w:rFonts w:hint="eastAsia"/>
                <w:color w:val="auto"/>
                <w:lang w:val="en-US" w:eastAsia="zh-CN"/>
              </w:rPr>
              <w:t>2.6m</w:t>
            </w:r>
            <w:r>
              <w:rPr>
                <w:rFonts w:hint="eastAsia"/>
                <w:color w:val="auto"/>
                <w:vertAlign w:val="superscript"/>
                <w:lang w:val="en-US" w:eastAsia="zh-CN"/>
              </w:rPr>
              <w:t>3</w:t>
            </w:r>
            <w:r>
              <w:rPr>
                <w:rFonts w:hint="eastAsia"/>
                <w:color w:val="auto"/>
                <w:vertAlign w:val="baseline"/>
                <w:lang w:val="en-US" w:eastAsia="zh-CN"/>
              </w:rPr>
              <w:t>，全年为780m</w:t>
            </w:r>
            <w:r>
              <w:rPr>
                <w:rFonts w:hint="eastAsia"/>
                <w:color w:val="auto"/>
                <w:vertAlign w:val="superscript"/>
                <w:lang w:val="en-US" w:eastAsia="zh-CN"/>
              </w:rPr>
              <w:t>3</w:t>
            </w:r>
            <w:r>
              <w:rPr>
                <w:rFonts w:hint="eastAsia"/>
                <w:color w:val="auto"/>
                <w:vertAlign w:val="baseline"/>
                <w:lang w:val="en-US" w:eastAsia="zh-CN"/>
              </w:rPr>
              <w:t>/a。</w:t>
            </w:r>
            <w:r>
              <w:rPr>
                <w:rFonts w:hint="eastAsia"/>
                <w:color w:val="auto"/>
                <w:lang w:val="en-US" w:eastAsia="zh-CN"/>
              </w:rPr>
              <w:t>排放系数按0.8计，则生活废水产生量为2.08m</w:t>
            </w:r>
            <w:r>
              <w:rPr>
                <w:rFonts w:hint="eastAsia"/>
                <w:color w:val="auto"/>
                <w:vertAlign w:val="superscript"/>
                <w:lang w:val="en-US" w:eastAsia="zh-CN"/>
              </w:rPr>
              <w:t>3/</w:t>
            </w:r>
            <w:r>
              <w:rPr>
                <w:rFonts w:hint="eastAsia"/>
                <w:color w:val="auto"/>
                <w:vertAlign w:val="baseline"/>
                <w:lang w:val="en-US" w:eastAsia="zh-CN"/>
              </w:rPr>
              <w:t>d，全年为624m</w:t>
            </w:r>
            <w:r>
              <w:rPr>
                <w:rFonts w:hint="eastAsia"/>
                <w:color w:val="auto"/>
                <w:vertAlign w:val="superscript"/>
                <w:lang w:val="en-US" w:eastAsia="zh-CN"/>
              </w:rPr>
              <w:t>3</w:t>
            </w:r>
            <w:r>
              <w:rPr>
                <w:rFonts w:hint="eastAsia"/>
                <w:color w:val="auto"/>
                <w:vertAlign w:val="baseline"/>
                <w:lang w:val="en-US" w:eastAsia="zh-CN"/>
              </w:rPr>
              <w:t>/a。</w:t>
            </w:r>
          </w:p>
          <w:p w14:paraId="543AA71A">
            <w:pPr>
              <w:pStyle w:val="5"/>
              <w:bidi w:val="0"/>
              <w:rPr>
                <w:rFonts w:hint="eastAsia"/>
                <w:color w:val="auto"/>
                <w:vertAlign w:val="baseline"/>
                <w:lang w:val="en-US" w:eastAsia="zh-CN"/>
              </w:rPr>
            </w:pPr>
            <w:r>
              <w:rPr>
                <w:rFonts w:hint="eastAsia"/>
                <w:color w:val="auto"/>
                <w:vertAlign w:val="baseline"/>
                <w:lang w:val="en-US" w:eastAsia="zh-CN"/>
              </w:rPr>
              <w:t>生活废水主要污染物为COD、BOD</w:t>
            </w:r>
            <w:r>
              <w:rPr>
                <w:rFonts w:hint="eastAsia"/>
                <w:color w:val="auto"/>
                <w:vertAlign w:val="subscript"/>
                <w:lang w:val="en-US" w:eastAsia="zh-CN"/>
              </w:rPr>
              <w:t>5</w:t>
            </w:r>
            <w:r>
              <w:rPr>
                <w:rFonts w:hint="eastAsia"/>
                <w:color w:val="auto"/>
                <w:vertAlign w:val="baseline"/>
                <w:lang w:val="en-US" w:eastAsia="zh-CN"/>
              </w:rPr>
              <w:t>、SS、氨氮等，通过市政污水管网排入园区污水处理厂进一步处理，对地表水环境影响较小。</w:t>
            </w:r>
          </w:p>
          <w:p w14:paraId="06ABD893">
            <w:pPr>
              <w:pStyle w:val="4"/>
              <w:bidi w:val="0"/>
              <w:rPr>
                <w:rFonts w:hint="eastAsia"/>
                <w:color w:val="auto"/>
                <w:lang w:val="en-US" w:eastAsia="zh-CN"/>
              </w:rPr>
            </w:pPr>
            <w:r>
              <w:rPr>
                <w:rFonts w:hint="eastAsia"/>
                <w:color w:val="auto"/>
                <w:lang w:val="en-US" w:eastAsia="zh-CN"/>
              </w:rPr>
              <w:t>废水治理措施可行性分析</w:t>
            </w:r>
          </w:p>
          <w:p w14:paraId="63254565">
            <w:pPr>
              <w:pStyle w:val="5"/>
              <w:bidi w:val="0"/>
              <w:rPr>
                <w:rFonts w:hint="default" w:ascii="宋体" w:hAnsi="宋体" w:eastAsia="宋体" w:cs="宋体"/>
                <w:color w:val="auto"/>
                <w:szCs w:val="24"/>
              </w:rPr>
            </w:pPr>
            <w:r>
              <w:rPr>
                <w:rFonts w:hint="default"/>
                <w:color w:val="auto"/>
              </w:rPr>
              <w:t>库尔勒经济技术开发区污水处理厂（以下简称</w:t>
            </w:r>
            <w:r>
              <w:rPr>
                <w:rFonts w:hint="eastAsia"/>
                <w:color w:val="auto"/>
                <w:lang w:eastAsia="zh-CN"/>
              </w:rPr>
              <w:t>“污水处理厂”</w:t>
            </w:r>
            <w:r>
              <w:rPr>
                <w:rFonts w:hint="default"/>
                <w:color w:val="auto"/>
              </w:rPr>
              <w:t>）是开发区重要的环保基础设施，主要负责处理园区内工业废水及部分生活污水，设计处理规模为5万吨/日，采用</w:t>
            </w:r>
            <w:r>
              <w:rPr>
                <w:rFonts w:hint="eastAsia"/>
                <w:color w:val="auto"/>
                <w:lang w:eastAsia="zh-CN"/>
              </w:rPr>
              <w:t>“</w:t>
            </w:r>
            <w:r>
              <w:rPr>
                <w:rFonts w:hint="default"/>
                <w:color w:val="auto"/>
              </w:rPr>
              <w:t>预处理+A2/O+深度处理</w:t>
            </w:r>
            <w:r>
              <w:rPr>
                <w:rFonts w:hint="eastAsia"/>
                <w:color w:val="auto"/>
                <w:lang w:eastAsia="zh-CN"/>
              </w:rPr>
              <w:t>”</w:t>
            </w:r>
            <w:r>
              <w:rPr>
                <w:rFonts w:hint="default"/>
                <w:color w:val="auto"/>
              </w:rPr>
              <w:t>工艺，出水水质执行《城镇污水处理厂污染物排放标准》（GB18918-2002）一级A标准。项目总投资约1.8亿元，于2015年建成投运。</w:t>
            </w:r>
          </w:p>
          <w:p w14:paraId="643BEA6F">
            <w:pPr>
              <w:pStyle w:val="5"/>
              <w:bidi w:val="0"/>
              <w:rPr>
                <w:rFonts w:hint="eastAsia"/>
                <w:color w:val="auto"/>
                <w:vertAlign w:val="baseline"/>
                <w:lang w:val="en-US" w:eastAsia="zh-CN"/>
              </w:rPr>
            </w:pPr>
            <w:r>
              <w:rPr>
                <w:rFonts w:hint="eastAsia"/>
                <w:color w:val="auto"/>
                <w:vertAlign w:val="baseline"/>
                <w:lang w:val="en-US" w:eastAsia="zh-CN"/>
              </w:rPr>
              <w:t>项目针对不同类型废水采取了相应的治理措施。养护工序冷凝水经收集后全部回用，实现了水资源的循环利用，减少了废水外排量；生活废水经化粪池预处理后接入市政污水管网，符合项目所在区域的污水处理规划。这些措施技术成熟可靠，操作简单，运行成本较低，能够有效控制废水对环境的影响。同时，通过加强对废水处理设施的日常维护和管理，确保处理效果稳定，可保障废水达标排放。</w:t>
            </w:r>
          </w:p>
          <w:p w14:paraId="28A36FF9">
            <w:pPr>
              <w:pStyle w:val="4"/>
              <w:bidi w:val="0"/>
              <w:rPr>
                <w:rFonts w:hint="eastAsia"/>
                <w:color w:val="auto"/>
                <w:lang w:val="en-US" w:eastAsia="zh-CN"/>
              </w:rPr>
            </w:pPr>
            <w:r>
              <w:rPr>
                <w:rFonts w:hint="eastAsia"/>
                <w:color w:val="auto"/>
                <w:lang w:val="en-US" w:eastAsia="zh-CN"/>
              </w:rPr>
              <w:t>废水排放口设置</w:t>
            </w:r>
          </w:p>
          <w:p w14:paraId="429D1A0B">
            <w:pPr>
              <w:pStyle w:val="5"/>
              <w:bidi w:val="0"/>
              <w:rPr>
                <w:rFonts w:hint="eastAsia"/>
                <w:color w:val="auto"/>
                <w:vertAlign w:val="baseline"/>
                <w:lang w:val="en-US" w:eastAsia="zh-CN"/>
              </w:rPr>
            </w:pPr>
            <w:r>
              <w:rPr>
                <w:rFonts w:hint="eastAsia"/>
                <w:color w:val="auto"/>
                <w:vertAlign w:val="baseline"/>
                <w:lang w:val="en-US" w:eastAsia="zh-CN"/>
              </w:rPr>
              <w:t>本项目生活废水排入园区污水管网，不设置专门的废水排放口，依托园区污水处理厂的排放口进行排放。</w:t>
            </w:r>
          </w:p>
          <w:p w14:paraId="4A68B272">
            <w:pPr>
              <w:pStyle w:val="4"/>
              <w:bidi w:val="0"/>
              <w:rPr>
                <w:rFonts w:hint="eastAsia"/>
                <w:color w:val="auto"/>
                <w:lang w:val="en-US" w:eastAsia="zh-CN"/>
              </w:rPr>
            </w:pPr>
            <w:r>
              <w:rPr>
                <w:rFonts w:hint="eastAsia"/>
                <w:color w:val="auto"/>
                <w:lang w:val="en-US" w:eastAsia="zh-CN"/>
              </w:rPr>
              <w:t>废水监测方案</w:t>
            </w:r>
          </w:p>
          <w:p w14:paraId="2FBBACAD">
            <w:pPr>
              <w:pStyle w:val="5"/>
              <w:bidi w:val="0"/>
              <w:rPr>
                <w:rFonts w:hint="eastAsia"/>
                <w:color w:val="auto"/>
                <w:vertAlign w:val="baseline"/>
                <w:lang w:val="en-US" w:eastAsia="zh-CN"/>
              </w:rPr>
            </w:pPr>
            <w:r>
              <w:rPr>
                <w:rFonts w:hint="eastAsia"/>
                <w:color w:val="auto"/>
                <w:vertAlign w:val="baseline"/>
                <w:lang w:val="en-US" w:eastAsia="zh-CN"/>
              </w:rPr>
              <w:t>根据《排污单位自行监测技术指南 总则》（HJ819-2017）等相关要求，本项目废水监测主要针对生活废水预处理后的水质，监测项目包括COD、BOD5、SS、氨氮等，监测频次为1次/季度，监测数据需满足《污水综合排放标准》（GB8978-1996）表4三级标准及园区污水处理厂进水水质要求。</w:t>
            </w:r>
          </w:p>
          <w:p w14:paraId="16A49DBC">
            <w:pPr>
              <w:pStyle w:val="3"/>
              <w:rPr>
                <w:rFonts w:hint="default"/>
                <w:color w:val="auto"/>
              </w:rPr>
            </w:pPr>
            <w:r>
              <w:rPr>
                <w:color w:val="auto"/>
              </w:rPr>
              <w:t>运营期声环境影响分析及治理措施</w:t>
            </w:r>
          </w:p>
          <w:p w14:paraId="4443FA28">
            <w:pPr>
              <w:pStyle w:val="4"/>
              <w:bidi w:val="0"/>
              <w:rPr>
                <w:rFonts w:hint="default"/>
                <w:color w:val="auto"/>
              </w:rPr>
            </w:pPr>
            <w:r>
              <w:rPr>
                <w:color w:val="auto"/>
              </w:rPr>
              <w:t>噪声源统计情况</w:t>
            </w:r>
          </w:p>
          <w:p w14:paraId="477ED655">
            <w:pPr>
              <w:pStyle w:val="5"/>
              <w:ind w:firstLine="480"/>
              <w:rPr>
                <w:rFonts w:hint="eastAsia"/>
                <w:color w:val="auto"/>
                <w:lang w:val="en-US" w:eastAsia="zh-CN"/>
              </w:rPr>
            </w:pPr>
            <w:r>
              <w:rPr>
                <w:rFonts w:hint="default"/>
                <w:color w:val="auto"/>
              </w:rPr>
              <w:t>本项目噪声主要来自干混搅拌机、板材成型系统、板材贴合机等运行过程产生的噪声，噪声级为80~90dB</w:t>
            </w:r>
            <w:r>
              <w:rPr>
                <w:rFonts w:hint="eastAsia"/>
                <w:color w:val="auto"/>
                <w:lang w:eastAsia="zh-CN"/>
              </w:rPr>
              <w:t>（</w:t>
            </w:r>
            <w:r>
              <w:rPr>
                <w:rFonts w:hint="default"/>
                <w:color w:val="auto"/>
              </w:rPr>
              <w:t>A</w:t>
            </w:r>
            <w:r>
              <w:rPr>
                <w:rFonts w:hint="eastAsia"/>
                <w:color w:val="auto"/>
                <w:lang w:eastAsia="zh-CN"/>
              </w:rPr>
              <w:t>）</w:t>
            </w:r>
            <w:r>
              <w:rPr>
                <w:rFonts w:hint="default"/>
                <w:color w:val="auto"/>
              </w:rPr>
              <w:t>。设备选型时采用低噪声设备，所有设备均安置在车间内，并安装基础减振设施，同时对门窗密闭隔音；引风机设备采取隔声、消音</w:t>
            </w:r>
            <w:r>
              <w:rPr>
                <w:rFonts w:hint="eastAsia"/>
                <w:color w:val="auto"/>
                <w:lang w:val="en-US" w:eastAsia="zh-CN"/>
              </w:rPr>
              <w:t>的措施。</w:t>
            </w:r>
          </w:p>
          <w:p w14:paraId="1AD89323">
            <w:pPr>
              <w:pStyle w:val="5"/>
              <w:ind w:firstLine="480"/>
              <w:rPr>
                <w:rFonts w:hint="eastAsia"/>
                <w:color w:val="auto"/>
                <w:lang w:val="en-US" w:eastAsia="zh-CN"/>
              </w:rPr>
            </w:pPr>
            <w:r>
              <w:rPr>
                <w:rFonts w:hint="default"/>
                <w:color w:val="auto"/>
              </w:rPr>
              <w:t>本项目室</w:t>
            </w:r>
            <w:r>
              <w:rPr>
                <w:rFonts w:hint="eastAsia"/>
                <w:color w:val="auto"/>
                <w:lang w:val="en-US" w:eastAsia="zh-CN"/>
              </w:rPr>
              <w:t>内</w:t>
            </w:r>
            <w:r>
              <w:rPr>
                <w:rFonts w:hint="default"/>
                <w:color w:val="auto"/>
              </w:rPr>
              <w:t>外噪声及源强</w:t>
            </w:r>
            <w:r>
              <w:rPr>
                <w:rFonts w:hint="eastAsia"/>
                <w:color w:val="auto"/>
                <w:lang w:val="en-US" w:eastAsia="zh-CN"/>
              </w:rPr>
              <w:t>见下表。</w:t>
            </w:r>
          </w:p>
          <w:p w14:paraId="35A863C7">
            <w:pPr>
              <w:pStyle w:val="12"/>
              <w:rPr>
                <w:rFonts w:hint="eastAsia"/>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33</w:t>
            </w:r>
            <w:r>
              <w:rPr>
                <w:color w:val="auto"/>
              </w:rPr>
              <w:fldChar w:fldCharType="end"/>
            </w:r>
            <w:r>
              <w:rPr>
                <w:rFonts w:hint="eastAsia"/>
                <w:color w:val="auto"/>
                <w:lang w:val="en-US" w:eastAsia="zh-CN"/>
              </w:rPr>
              <w:t xml:space="preserve">  工业企业噪声源强调查清单（室外声源）</w:t>
            </w:r>
          </w:p>
          <w:tbl>
            <w:tblPr>
              <w:tblStyle w:val="1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751"/>
              <w:gridCol w:w="1084"/>
              <w:gridCol w:w="673"/>
              <w:gridCol w:w="600"/>
              <w:gridCol w:w="565"/>
              <w:gridCol w:w="594"/>
              <w:gridCol w:w="1014"/>
              <w:gridCol w:w="751"/>
              <w:gridCol w:w="1023"/>
            </w:tblGrid>
            <w:tr w14:paraId="2F22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09" w:type="dxa"/>
                  <w:vMerge w:val="restart"/>
                  <w:vAlign w:val="center"/>
                </w:tcPr>
                <w:p w14:paraId="694E1094">
                  <w:pPr>
                    <w:pStyle w:val="19"/>
                    <w:bidi w:val="0"/>
                    <w:rPr>
                      <w:rFonts w:hint="default"/>
                      <w:color w:val="auto"/>
                      <w:lang w:val="en-US" w:eastAsia="zh-CN"/>
                    </w:rPr>
                  </w:pPr>
                  <w:r>
                    <w:rPr>
                      <w:rFonts w:hint="eastAsia"/>
                      <w:color w:val="auto"/>
                      <w:lang w:val="en-US" w:eastAsia="zh-CN"/>
                    </w:rPr>
                    <w:t>序号</w:t>
                  </w:r>
                </w:p>
              </w:tc>
              <w:tc>
                <w:tcPr>
                  <w:tcW w:w="743" w:type="dxa"/>
                  <w:vMerge w:val="restart"/>
                  <w:vAlign w:val="center"/>
                </w:tcPr>
                <w:p w14:paraId="191D5D62">
                  <w:pPr>
                    <w:pStyle w:val="19"/>
                    <w:bidi w:val="0"/>
                    <w:rPr>
                      <w:rFonts w:hint="default"/>
                      <w:color w:val="auto"/>
                      <w:lang w:val="en-US" w:eastAsia="zh-CN"/>
                    </w:rPr>
                  </w:pPr>
                  <w:r>
                    <w:rPr>
                      <w:rFonts w:hint="eastAsia"/>
                      <w:color w:val="auto"/>
                      <w:lang w:val="en-US" w:eastAsia="zh-CN"/>
                    </w:rPr>
                    <w:t>位置</w:t>
                  </w:r>
                </w:p>
              </w:tc>
              <w:tc>
                <w:tcPr>
                  <w:tcW w:w="1071" w:type="dxa"/>
                  <w:vMerge w:val="restart"/>
                  <w:vAlign w:val="center"/>
                </w:tcPr>
                <w:p w14:paraId="55147AF5">
                  <w:pPr>
                    <w:pStyle w:val="19"/>
                    <w:bidi w:val="0"/>
                    <w:rPr>
                      <w:rFonts w:hint="default"/>
                      <w:color w:val="auto"/>
                      <w:lang w:val="en-US" w:eastAsia="zh-CN"/>
                    </w:rPr>
                  </w:pPr>
                  <w:r>
                    <w:rPr>
                      <w:rFonts w:hint="eastAsia"/>
                      <w:color w:val="auto"/>
                      <w:lang w:val="en-US" w:eastAsia="zh-CN"/>
                    </w:rPr>
                    <w:t>声源名称</w:t>
                  </w:r>
                </w:p>
              </w:tc>
              <w:tc>
                <w:tcPr>
                  <w:tcW w:w="665" w:type="dxa"/>
                  <w:vMerge w:val="restart"/>
                  <w:vAlign w:val="top"/>
                </w:tcPr>
                <w:p w14:paraId="76282DE5">
                  <w:pPr>
                    <w:pStyle w:val="19"/>
                    <w:bidi w:val="0"/>
                    <w:rPr>
                      <w:rFonts w:hint="default"/>
                      <w:color w:val="auto"/>
                      <w:lang w:val="en-US" w:eastAsia="zh-CN"/>
                    </w:rPr>
                  </w:pPr>
                  <w:r>
                    <w:rPr>
                      <w:rFonts w:hint="eastAsia"/>
                      <w:color w:val="auto"/>
                      <w:lang w:val="en-US" w:eastAsia="zh-CN"/>
                    </w:rPr>
                    <w:t>数量</w:t>
                  </w:r>
                </w:p>
              </w:tc>
              <w:tc>
                <w:tcPr>
                  <w:tcW w:w="1735" w:type="dxa"/>
                  <w:gridSpan w:val="3"/>
                  <w:vAlign w:val="center"/>
                </w:tcPr>
                <w:p w14:paraId="4321B3E3">
                  <w:pPr>
                    <w:pStyle w:val="19"/>
                    <w:bidi w:val="0"/>
                    <w:rPr>
                      <w:rFonts w:hint="eastAsia"/>
                      <w:color w:val="auto"/>
                      <w:lang w:val="en-US" w:eastAsia="zh-CN"/>
                    </w:rPr>
                  </w:pPr>
                  <w:r>
                    <w:rPr>
                      <w:rFonts w:hint="eastAsia"/>
                      <w:color w:val="auto"/>
                      <w:lang w:val="en-US" w:eastAsia="zh-CN"/>
                    </w:rPr>
                    <w:t>相对位置（m）</w:t>
                  </w:r>
                </w:p>
              </w:tc>
              <w:tc>
                <w:tcPr>
                  <w:tcW w:w="1000" w:type="dxa"/>
                  <w:vMerge w:val="restart"/>
                  <w:vAlign w:val="center"/>
                </w:tcPr>
                <w:p w14:paraId="750F9AEE">
                  <w:pPr>
                    <w:pStyle w:val="19"/>
                    <w:bidi w:val="0"/>
                    <w:rPr>
                      <w:rFonts w:hint="default"/>
                      <w:color w:val="auto"/>
                      <w:lang w:val="en-US" w:eastAsia="zh-CN"/>
                    </w:rPr>
                  </w:pPr>
                  <w:r>
                    <w:rPr>
                      <w:rFonts w:hint="eastAsia"/>
                      <w:color w:val="auto"/>
                      <w:lang w:val="en-US" w:eastAsia="zh-CN"/>
                    </w:rPr>
                    <w:t>声源源强（dB）（A）</w:t>
                  </w:r>
                </w:p>
              </w:tc>
              <w:tc>
                <w:tcPr>
                  <w:tcW w:w="743" w:type="dxa"/>
                  <w:vMerge w:val="restart"/>
                  <w:vAlign w:val="center"/>
                </w:tcPr>
                <w:p w14:paraId="3A23C51A">
                  <w:pPr>
                    <w:pStyle w:val="19"/>
                    <w:bidi w:val="0"/>
                    <w:rPr>
                      <w:rFonts w:hint="default"/>
                      <w:color w:val="auto"/>
                      <w:lang w:val="en-US" w:eastAsia="zh-CN"/>
                    </w:rPr>
                  </w:pPr>
                  <w:r>
                    <w:rPr>
                      <w:rFonts w:hint="eastAsia"/>
                      <w:color w:val="auto"/>
                      <w:lang w:val="en-US" w:eastAsia="zh-CN"/>
                    </w:rPr>
                    <w:t>声源控制措施</w:t>
                  </w:r>
                </w:p>
              </w:tc>
              <w:tc>
                <w:tcPr>
                  <w:tcW w:w="1010" w:type="dxa"/>
                  <w:vMerge w:val="restart"/>
                  <w:vAlign w:val="center"/>
                </w:tcPr>
                <w:p w14:paraId="4FB9D914">
                  <w:pPr>
                    <w:pStyle w:val="19"/>
                    <w:bidi w:val="0"/>
                    <w:rPr>
                      <w:rFonts w:hint="default"/>
                      <w:color w:val="auto"/>
                      <w:lang w:val="en-US" w:eastAsia="zh-CN"/>
                    </w:rPr>
                  </w:pPr>
                  <w:r>
                    <w:rPr>
                      <w:rFonts w:hint="eastAsia"/>
                      <w:color w:val="auto"/>
                      <w:lang w:val="en-US" w:eastAsia="zh-CN"/>
                    </w:rPr>
                    <w:t>运行时段</w:t>
                  </w:r>
                </w:p>
              </w:tc>
            </w:tr>
            <w:tr w14:paraId="5643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dxa"/>
                  <w:vMerge w:val="continue"/>
                  <w:vAlign w:val="center"/>
                </w:tcPr>
                <w:p w14:paraId="4B1B0D09">
                  <w:pPr>
                    <w:pStyle w:val="21"/>
                    <w:widowControl w:val="0"/>
                    <w:bidi w:val="0"/>
                    <w:rPr>
                      <w:rFonts w:hint="eastAsia"/>
                      <w:color w:val="auto"/>
                      <w:lang w:val="en-US" w:eastAsia="zh-CN"/>
                    </w:rPr>
                  </w:pPr>
                </w:p>
              </w:tc>
              <w:tc>
                <w:tcPr>
                  <w:tcW w:w="743" w:type="dxa"/>
                  <w:vMerge w:val="continue"/>
                  <w:vAlign w:val="center"/>
                </w:tcPr>
                <w:p w14:paraId="6FE4EFFE">
                  <w:pPr>
                    <w:pStyle w:val="21"/>
                    <w:widowControl w:val="0"/>
                    <w:bidi w:val="0"/>
                    <w:rPr>
                      <w:rFonts w:hint="eastAsia"/>
                      <w:color w:val="auto"/>
                      <w:lang w:val="en-US" w:eastAsia="zh-CN"/>
                    </w:rPr>
                  </w:pPr>
                </w:p>
              </w:tc>
              <w:tc>
                <w:tcPr>
                  <w:tcW w:w="1071" w:type="dxa"/>
                  <w:vMerge w:val="continue"/>
                  <w:vAlign w:val="center"/>
                </w:tcPr>
                <w:p w14:paraId="1CC1FD39">
                  <w:pPr>
                    <w:pStyle w:val="21"/>
                    <w:widowControl w:val="0"/>
                    <w:bidi w:val="0"/>
                    <w:rPr>
                      <w:rFonts w:hint="eastAsia"/>
                      <w:color w:val="auto"/>
                      <w:lang w:val="en-US" w:eastAsia="zh-CN"/>
                    </w:rPr>
                  </w:pPr>
                </w:p>
              </w:tc>
              <w:tc>
                <w:tcPr>
                  <w:tcW w:w="665" w:type="dxa"/>
                  <w:vMerge w:val="continue"/>
                  <w:vAlign w:val="center"/>
                </w:tcPr>
                <w:p w14:paraId="0E9BB62A">
                  <w:pPr>
                    <w:pStyle w:val="21"/>
                    <w:widowControl w:val="0"/>
                    <w:bidi w:val="0"/>
                    <w:rPr>
                      <w:rFonts w:hint="eastAsia"/>
                      <w:color w:val="auto"/>
                      <w:lang w:val="en-US" w:eastAsia="zh-CN"/>
                    </w:rPr>
                  </w:pPr>
                </w:p>
              </w:tc>
              <w:tc>
                <w:tcPr>
                  <w:tcW w:w="592" w:type="dxa"/>
                  <w:vAlign w:val="center"/>
                </w:tcPr>
                <w:p w14:paraId="130D9C92">
                  <w:pPr>
                    <w:pStyle w:val="19"/>
                    <w:bidi w:val="0"/>
                    <w:rPr>
                      <w:rFonts w:hint="eastAsia"/>
                      <w:color w:val="auto"/>
                      <w:lang w:val="en-US" w:eastAsia="zh-CN"/>
                    </w:rPr>
                  </w:pPr>
                  <w:r>
                    <w:rPr>
                      <w:rFonts w:hint="eastAsia"/>
                      <w:color w:val="auto"/>
                      <w:lang w:val="en-US" w:eastAsia="zh-CN"/>
                    </w:rPr>
                    <w:t>X</w:t>
                  </w:r>
                </w:p>
              </w:tc>
              <w:tc>
                <w:tcPr>
                  <w:tcW w:w="558" w:type="dxa"/>
                  <w:vAlign w:val="center"/>
                </w:tcPr>
                <w:p w14:paraId="154A051D">
                  <w:pPr>
                    <w:pStyle w:val="19"/>
                    <w:bidi w:val="0"/>
                    <w:rPr>
                      <w:rFonts w:hint="eastAsia"/>
                      <w:color w:val="auto"/>
                      <w:lang w:val="en-US" w:eastAsia="zh-CN"/>
                    </w:rPr>
                  </w:pPr>
                  <w:r>
                    <w:rPr>
                      <w:rFonts w:hint="eastAsia"/>
                      <w:color w:val="auto"/>
                      <w:lang w:val="en-US" w:eastAsia="zh-CN"/>
                    </w:rPr>
                    <w:t>Y</w:t>
                  </w:r>
                </w:p>
              </w:tc>
              <w:tc>
                <w:tcPr>
                  <w:tcW w:w="585" w:type="dxa"/>
                  <w:vAlign w:val="center"/>
                </w:tcPr>
                <w:p w14:paraId="21471FC0">
                  <w:pPr>
                    <w:pStyle w:val="19"/>
                    <w:bidi w:val="0"/>
                    <w:rPr>
                      <w:rFonts w:hint="eastAsia"/>
                      <w:color w:val="auto"/>
                      <w:lang w:val="en-US" w:eastAsia="zh-CN"/>
                    </w:rPr>
                  </w:pPr>
                  <w:r>
                    <w:rPr>
                      <w:rFonts w:hint="eastAsia"/>
                      <w:color w:val="auto"/>
                      <w:lang w:val="en-US" w:eastAsia="zh-CN"/>
                    </w:rPr>
                    <w:t>Z</w:t>
                  </w:r>
                </w:p>
              </w:tc>
              <w:tc>
                <w:tcPr>
                  <w:tcW w:w="1000" w:type="dxa"/>
                  <w:vMerge w:val="continue"/>
                  <w:vAlign w:val="center"/>
                </w:tcPr>
                <w:p w14:paraId="31BBCAD8">
                  <w:pPr>
                    <w:pStyle w:val="21"/>
                    <w:widowControl w:val="0"/>
                    <w:bidi w:val="0"/>
                    <w:rPr>
                      <w:rFonts w:hint="default"/>
                      <w:color w:val="auto"/>
                      <w:lang w:val="en-US" w:eastAsia="zh-CN"/>
                    </w:rPr>
                  </w:pPr>
                </w:p>
              </w:tc>
              <w:tc>
                <w:tcPr>
                  <w:tcW w:w="743" w:type="dxa"/>
                  <w:vMerge w:val="continue"/>
                  <w:vAlign w:val="center"/>
                </w:tcPr>
                <w:p w14:paraId="1197614B">
                  <w:pPr>
                    <w:pStyle w:val="21"/>
                    <w:widowControl w:val="0"/>
                    <w:bidi w:val="0"/>
                    <w:rPr>
                      <w:rFonts w:hint="eastAsia"/>
                      <w:color w:val="auto"/>
                      <w:lang w:val="en-US" w:eastAsia="zh-CN"/>
                    </w:rPr>
                  </w:pPr>
                </w:p>
              </w:tc>
              <w:tc>
                <w:tcPr>
                  <w:tcW w:w="1010" w:type="dxa"/>
                  <w:vMerge w:val="continue"/>
                  <w:vAlign w:val="center"/>
                </w:tcPr>
                <w:p w14:paraId="5033687C">
                  <w:pPr>
                    <w:pStyle w:val="21"/>
                    <w:widowControl w:val="0"/>
                    <w:bidi w:val="0"/>
                    <w:rPr>
                      <w:rFonts w:hint="eastAsia"/>
                      <w:color w:val="auto"/>
                      <w:lang w:val="en-US" w:eastAsia="zh-CN"/>
                    </w:rPr>
                  </w:pPr>
                </w:p>
              </w:tc>
            </w:tr>
            <w:tr w14:paraId="650D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509" w:type="dxa"/>
                  <w:vAlign w:val="center"/>
                </w:tcPr>
                <w:p w14:paraId="67A5EFA1">
                  <w:pPr>
                    <w:pStyle w:val="21"/>
                    <w:widowControl w:val="0"/>
                    <w:numPr>
                      <w:ilvl w:val="0"/>
                      <w:numId w:val="8"/>
                    </w:numPr>
                    <w:tabs>
                      <w:tab w:val="clear" w:pos="0"/>
                    </w:tabs>
                    <w:bidi w:val="0"/>
                    <w:ind w:left="425" w:leftChars="0" w:hanging="425" w:firstLineChars="0"/>
                    <w:rPr>
                      <w:rFonts w:hint="eastAsia"/>
                      <w:color w:val="auto"/>
                      <w:lang w:val="en-US" w:eastAsia="zh-CN"/>
                    </w:rPr>
                  </w:pPr>
                </w:p>
              </w:tc>
              <w:tc>
                <w:tcPr>
                  <w:tcW w:w="743" w:type="dxa"/>
                  <w:vMerge w:val="restart"/>
                  <w:vAlign w:val="center"/>
                </w:tcPr>
                <w:p w14:paraId="5A847ACF">
                  <w:pPr>
                    <w:pStyle w:val="19"/>
                    <w:bidi w:val="0"/>
                    <w:rPr>
                      <w:rFonts w:hint="default"/>
                      <w:color w:val="auto"/>
                      <w:lang w:val="en-US" w:eastAsia="zh-CN"/>
                    </w:rPr>
                  </w:pPr>
                  <w:r>
                    <w:rPr>
                      <w:rFonts w:hint="eastAsia"/>
                      <w:color w:val="auto"/>
                      <w:lang w:val="en-US" w:eastAsia="zh-CN"/>
                    </w:rPr>
                    <w:t>生产车间</w:t>
                  </w:r>
                </w:p>
              </w:tc>
              <w:tc>
                <w:tcPr>
                  <w:tcW w:w="1071" w:type="dxa"/>
                  <w:vAlign w:val="center"/>
                </w:tcPr>
                <w:p w14:paraId="409DA12A">
                  <w:pPr>
                    <w:pStyle w:val="19"/>
                    <w:bidi w:val="0"/>
                    <w:rPr>
                      <w:rFonts w:hint="default"/>
                      <w:color w:val="auto"/>
                      <w:lang w:val="en-US" w:eastAsia="zh-CN"/>
                    </w:rPr>
                  </w:pPr>
                  <w:r>
                    <w:rPr>
                      <w:rFonts w:hint="eastAsia"/>
                      <w:color w:val="auto"/>
                      <w:lang w:val="en-US" w:eastAsia="zh-CN"/>
                    </w:rPr>
                    <w:t>风机1</w:t>
                  </w:r>
                </w:p>
              </w:tc>
              <w:tc>
                <w:tcPr>
                  <w:tcW w:w="665" w:type="dxa"/>
                  <w:vAlign w:val="center"/>
                </w:tcPr>
                <w:p w14:paraId="61AFFC9E">
                  <w:pPr>
                    <w:pStyle w:val="19"/>
                    <w:bidi w:val="0"/>
                    <w:rPr>
                      <w:rFonts w:hint="default"/>
                      <w:color w:val="auto"/>
                      <w:lang w:val="en-US" w:eastAsia="zh-CN"/>
                    </w:rPr>
                  </w:pPr>
                  <w:r>
                    <w:rPr>
                      <w:rFonts w:hint="eastAsia"/>
                      <w:color w:val="auto"/>
                      <w:lang w:val="en-US" w:eastAsia="zh-CN"/>
                    </w:rPr>
                    <w:t>1</w:t>
                  </w:r>
                </w:p>
              </w:tc>
              <w:tc>
                <w:tcPr>
                  <w:tcW w:w="592" w:type="dxa"/>
                  <w:vAlign w:val="center"/>
                </w:tcPr>
                <w:p w14:paraId="7B718AEA">
                  <w:pPr>
                    <w:pStyle w:val="19"/>
                    <w:bidi w:val="0"/>
                    <w:rPr>
                      <w:rFonts w:hint="default"/>
                      <w:color w:val="auto"/>
                      <w:lang w:val="en-US" w:eastAsia="zh-CN"/>
                    </w:rPr>
                  </w:pPr>
                  <w:r>
                    <w:rPr>
                      <w:rFonts w:hint="eastAsia"/>
                      <w:color w:val="auto"/>
                      <w:lang w:val="en-US" w:eastAsia="zh-CN"/>
                    </w:rPr>
                    <w:t>15</w:t>
                  </w:r>
                </w:p>
              </w:tc>
              <w:tc>
                <w:tcPr>
                  <w:tcW w:w="558" w:type="dxa"/>
                  <w:vAlign w:val="center"/>
                </w:tcPr>
                <w:p w14:paraId="3C6D04B6">
                  <w:pPr>
                    <w:pStyle w:val="19"/>
                    <w:bidi w:val="0"/>
                    <w:rPr>
                      <w:rFonts w:hint="default"/>
                      <w:color w:val="auto"/>
                      <w:lang w:val="en-US" w:eastAsia="zh-CN"/>
                    </w:rPr>
                  </w:pPr>
                  <w:r>
                    <w:rPr>
                      <w:rFonts w:hint="eastAsia"/>
                      <w:color w:val="auto"/>
                      <w:lang w:val="en-US" w:eastAsia="zh-CN"/>
                    </w:rPr>
                    <w:t>45</w:t>
                  </w:r>
                </w:p>
              </w:tc>
              <w:tc>
                <w:tcPr>
                  <w:tcW w:w="585" w:type="dxa"/>
                  <w:vAlign w:val="center"/>
                </w:tcPr>
                <w:p w14:paraId="559FAB2B">
                  <w:pPr>
                    <w:pStyle w:val="19"/>
                    <w:bidi w:val="0"/>
                    <w:rPr>
                      <w:rFonts w:hint="default"/>
                      <w:color w:val="auto"/>
                      <w:lang w:val="en-US" w:eastAsia="zh-CN"/>
                    </w:rPr>
                  </w:pPr>
                  <w:r>
                    <w:rPr>
                      <w:rFonts w:hint="eastAsia"/>
                      <w:color w:val="auto"/>
                      <w:lang w:val="en-US" w:eastAsia="zh-CN"/>
                    </w:rPr>
                    <w:t>0.5</w:t>
                  </w:r>
                </w:p>
              </w:tc>
              <w:tc>
                <w:tcPr>
                  <w:tcW w:w="1000" w:type="dxa"/>
                  <w:vAlign w:val="center"/>
                </w:tcPr>
                <w:p w14:paraId="18A8CD83">
                  <w:pPr>
                    <w:pStyle w:val="19"/>
                    <w:bidi w:val="0"/>
                    <w:rPr>
                      <w:rFonts w:hint="default"/>
                      <w:color w:val="auto"/>
                      <w:lang w:val="en-US" w:eastAsia="zh-CN"/>
                    </w:rPr>
                  </w:pPr>
                  <w:r>
                    <w:rPr>
                      <w:rFonts w:hint="eastAsia"/>
                      <w:color w:val="auto"/>
                      <w:lang w:val="en-US" w:eastAsia="zh-CN"/>
                    </w:rPr>
                    <w:t>90</w:t>
                  </w:r>
                </w:p>
              </w:tc>
              <w:tc>
                <w:tcPr>
                  <w:tcW w:w="743" w:type="dxa"/>
                  <w:vMerge w:val="restart"/>
                  <w:vAlign w:val="center"/>
                </w:tcPr>
                <w:p w14:paraId="4FCF5CE6">
                  <w:pPr>
                    <w:pStyle w:val="19"/>
                    <w:bidi w:val="0"/>
                    <w:rPr>
                      <w:rFonts w:hint="default"/>
                      <w:color w:val="auto"/>
                      <w:lang w:val="en-US" w:eastAsia="zh-CN"/>
                    </w:rPr>
                  </w:pPr>
                  <w:r>
                    <w:rPr>
                      <w:rFonts w:hint="eastAsia"/>
                      <w:color w:val="auto"/>
                      <w:lang w:val="en-US" w:eastAsia="zh-CN"/>
                    </w:rPr>
                    <w:t>加装减震设施</w:t>
                  </w:r>
                </w:p>
              </w:tc>
              <w:tc>
                <w:tcPr>
                  <w:tcW w:w="1010" w:type="dxa"/>
                  <w:vMerge w:val="restart"/>
                  <w:vAlign w:val="center"/>
                </w:tcPr>
                <w:p w14:paraId="74B995DE">
                  <w:pPr>
                    <w:pStyle w:val="19"/>
                    <w:bidi w:val="0"/>
                    <w:rPr>
                      <w:rFonts w:hint="default"/>
                      <w:color w:val="auto"/>
                      <w:lang w:val="en-US" w:eastAsia="zh-CN"/>
                    </w:rPr>
                  </w:pPr>
                  <w:r>
                    <w:rPr>
                      <w:rFonts w:hint="eastAsia"/>
                      <w:color w:val="auto"/>
                      <w:lang w:val="en-US" w:eastAsia="zh-CN"/>
                    </w:rPr>
                    <w:t>与生产设备同步运行</w:t>
                  </w:r>
                </w:p>
              </w:tc>
            </w:tr>
            <w:tr w14:paraId="27C0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dxa"/>
                  <w:vAlign w:val="center"/>
                </w:tcPr>
                <w:p w14:paraId="1236BFDE">
                  <w:pPr>
                    <w:pStyle w:val="21"/>
                    <w:widowControl w:val="0"/>
                    <w:numPr>
                      <w:ilvl w:val="0"/>
                      <w:numId w:val="8"/>
                    </w:numPr>
                    <w:tabs>
                      <w:tab w:val="clear" w:pos="0"/>
                    </w:tabs>
                    <w:bidi w:val="0"/>
                    <w:ind w:left="425" w:leftChars="0" w:hanging="425" w:firstLineChars="0"/>
                    <w:rPr>
                      <w:rFonts w:hint="eastAsia"/>
                      <w:color w:val="auto"/>
                      <w:lang w:val="en-US" w:eastAsia="zh-CN"/>
                    </w:rPr>
                  </w:pPr>
                </w:p>
              </w:tc>
              <w:tc>
                <w:tcPr>
                  <w:tcW w:w="743" w:type="dxa"/>
                  <w:vMerge w:val="continue"/>
                  <w:vAlign w:val="center"/>
                </w:tcPr>
                <w:p w14:paraId="35E1520B">
                  <w:pPr>
                    <w:pStyle w:val="21"/>
                    <w:widowControl w:val="0"/>
                    <w:bidi w:val="0"/>
                    <w:rPr>
                      <w:rFonts w:hint="eastAsia"/>
                      <w:color w:val="auto"/>
                      <w:lang w:val="en-US" w:eastAsia="zh-CN"/>
                    </w:rPr>
                  </w:pPr>
                </w:p>
              </w:tc>
              <w:tc>
                <w:tcPr>
                  <w:tcW w:w="1071" w:type="dxa"/>
                  <w:vAlign w:val="center"/>
                </w:tcPr>
                <w:p w14:paraId="1D56C3A2">
                  <w:pPr>
                    <w:pStyle w:val="19"/>
                    <w:bidi w:val="0"/>
                    <w:rPr>
                      <w:rFonts w:hint="default"/>
                      <w:color w:val="auto"/>
                      <w:lang w:val="en-US" w:eastAsia="zh-CN"/>
                    </w:rPr>
                  </w:pPr>
                  <w:r>
                    <w:rPr>
                      <w:rFonts w:hint="eastAsia"/>
                      <w:color w:val="auto"/>
                      <w:lang w:val="en-US" w:eastAsia="zh-CN"/>
                    </w:rPr>
                    <w:t>风机2</w:t>
                  </w:r>
                </w:p>
              </w:tc>
              <w:tc>
                <w:tcPr>
                  <w:tcW w:w="665" w:type="dxa"/>
                  <w:vAlign w:val="center"/>
                </w:tcPr>
                <w:p w14:paraId="229D38D8">
                  <w:pPr>
                    <w:pStyle w:val="19"/>
                    <w:bidi w:val="0"/>
                    <w:rPr>
                      <w:rFonts w:hint="default"/>
                      <w:color w:val="auto"/>
                      <w:lang w:val="en-US" w:eastAsia="zh-CN"/>
                    </w:rPr>
                  </w:pPr>
                  <w:r>
                    <w:rPr>
                      <w:rFonts w:hint="eastAsia"/>
                      <w:color w:val="auto"/>
                      <w:lang w:val="en-US" w:eastAsia="zh-CN"/>
                    </w:rPr>
                    <w:t>1</w:t>
                  </w:r>
                </w:p>
              </w:tc>
              <w:tc>
                <w:tcPr>
                  <w:tcW w:w="592" w:type="dxa"/>
                  <w:vAlign w:val="center"/>
                </w:tcPr>
                <w:p w14:paraId="6BE70F9F">
                  <w:pPr>
                    <w:pStyle w:val="19"/>
                    <w:bidi w:val="0"/>
                    <w:rPr>
                      <w:rFonts w:hint="default"/>
                      <w:color w:val="auto"/>
                      <w:lang w:val="en-US" w:eastAsia="zh-CN"/>
                    </w:rPr>
                  </w:pPr>
                  <w:r>
                    <w:rPr>
                      <w:rFonts w:hint="eastAsia"/>
                      <w:color w:val="auto"/>
                      <w:lang w:val="en-US" w:eastAsia="zh-CN"/>
                    </w:rPr>
                    <w:t>100</w:t>
                  </w:r>
                </w:p>
              </w:tc>
              <w:tc>
                <w:tcPr>
                  <w:tcW w:w="558" w:type="dxa"/>
                  <w:vAlign w:val="center"/>
                </w:tcPr>
                <w:p w14:paraId="7621BBDC">
                  <w:pPr>
                    <w:pStyle w:val="19"/>
                    <w:bidi w:val="0"/>
                    <w:rPr>
                      <w:rFonts w:hint="default"/>
                      <w:color w:val="auto"/>
                      <w:lang w:val="en-US" w:eastAsia="zh-CN"/>
                    </w:rPr>
                  </w:pPr>
                  <w:r>
                    <w:rPr>
                      <w:rFonts w:hint="eastAsia"/>
                      <w:color w:val="auto"/>
                      <w:lang w:val="en-US" w:eastAsia="zh-CN"/>
                    </w:rPr>
                    <w:t>22</w:t>
                  </w:r>
                </w:p>
              </w:tc>
              <w:tc>
                <w:tcPr>
                  <w:tcW w:w="585" w:type="dxa"/>
                  <w:vAlign w:val="center"/>
                </w:tcPr>
                <w:p w14:paraId="7EAD0CA2">
                  <w:pPr>
                    <w:pStyle w:val="19"/>
                    <w:bidi w:val="0"/>
                    <w:rPr>
                      <w:rFonts w:hint="default"/>
                      <w:color w:val="auto"/>
                      <w:lang w:val="en-US" w:eastAsia="zh-CN"/>
                    </w:rPr>
                  </w:pPr>
                  <w:r>
                    <w:rPr>
                      <w:rFonts w:hint="eastAsia"/>
                      <w:color w:val="auto"/>
                      <w:lang w:val="en-US" w:eastAsia="zh-CN"/>
                    </w:rPr>
                    <w:t>0.5</w:t>
                  </w:r>
                </w:p>
              </w:tc>
              <w:tc>
                <w:tcPr>
                  <w:tcW w:w="1000" w:type="dxa"/>
                  <w:vAlign w:val="center"/>
                </w:tcPr>
                <w:p w14:paraId="6CB8AFF0">
                  <w:pPr>
                    <w:pStyle w:val="19"/>
                    <w:bidi w:val="0"/>
                    <w:rPr>
                      <w:rFonts w:hint="default"/>
                      <w:color w:val="auto"/>
                      <w:lang w:val="en-US" w:eastAsia="zh-CN"/>
                    </w:rPr>
                  </w:pPr>
                  <w:r>
                    <w:rPr>
                      <w:rFonts w:hint="eastAsia"/>
                      <w:color w:val="auto"/>
                      <w:lang w:val="en-US" w:eastAsia="zh-CN"/>
                    </w:rPr>
                    <w:t>90</w:t>
                  </w:r>
                </w:p>
              </w:tc>
              <w:tc>
                <w:tcPr>
                  <w:tcW w:w="743" w:type="dxa"/>
                  <w:vMerge w:val="continue"/>
                  <w:vAlign w:val="center"/>
                </w:tcPr>
                <w:p w14:paraId="2EABD702">
                  <w:pPr>
                    <w:pStyle w:val="21"/>
                    <w:widowControl w:val="0"/>
                    <w:bidi w:val="0"/>
                    <w:rPr>
                      <w:rFonts w:hint="eastAsia"/>
                      <w:color w:val="auto"/>
                      <w:lang w:val="en-US" w:eastAsia="zh-CN"/>
                    </w:rPr>
                  </w:pPr>
                </w:p>
              </w:tc>
              <w:tc>
                <w:tcPr>
                  <w:tcW w:w="1010" w:type="dxa"/>
                  <w:vMerge w:val="continue"/>
                  <w:vAlign w:val="center"/>
                </w:tcPr>
                <w:p w14:paraId="414FBFAF">
                  <w:pPr>
                    <w:pStyle w:val="21"/>
                    <w:widowControl w:val="0"/>
                    <w:bidi w:val="0"/>
                    <w:rPr>
                      <w:rFonts w:hint="eastAsia"/>
                      <w:color w:val="auto"/>
                      <w:lang w:val="en-US" w:eastAsia="zh-CN"/>
                    </w:rPr>
                  </w:pPr>
                </w:p>
              </w:tc>
            </w:tr>
            <w:tr w14:paraId="61D8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9" w:type="dxa"/>
                  <w:vAlign w:val="center"/>
                </w:tcPr>
                <w:p w14:paraId="65EE9351">
                  <w:pPr>
                    <w:pStyle w:val="21"/>
                    <w:widowControl w:val="0"/>
                    <w:numPr>
                      <w:ilvl w:val="0"/>
                      <w:numId w:val="8"/>
                    </w:numPr>
                    <w:tabs>
                      <w:tab w:val="clear" w:pos="0"/>
                    </w:tabs>
                    <w:bidi w:val="0"/>
                    <w:ind w:left="425" w:leftChars="0" w:hanging="425" w:firstLineChars="0"/>
                    <w:rPr>
                      <w:rFonts w:hint="eastAsia"/>
                      <w:color w:val="auto"/>
                      <w:lang w:val="en-US" w:eastAsia="zh-CN"/>
                    </w:rPr>
                  </w:pPr>
                </w:p>
              </w:tc>
              <w:tc>
                <w:tcPr>
                  <w:tcW w:w="743" w:type="dxa"/>
                  <w:vMerge w:val="continue"/>
                  <w:vAlign w:val="center"/>
                </w:tcPr>
                <w:p w14:paraId="64FE23BA">
                  <w:pPr>
                    <w:pStyle w:val="21"/>
                    <w:widowControl w:val="0"/>
                    <w:bidi w:val="0"/>
                    <w:rPr>
                      <w:rFonts w:hint="eastAsia"/>
                      <w:color w:val="auto"/>
                      <w:lang w:val="en-US" w:eastAsia="zh-CN"/>
                    </w:rPr>
                  </w:pPr>
                </w:p>
              </w:tc>
              <w:tc>
                <w:tcPr>
                  <w:tcW w:w="1071" w:type="dxa"/>
                  <w:vAlign w:val="center"/>
                </w:tcPr>
                <w:p w14:paraId="369DE7F2">
                  <w:pPr>
                    <w:pStyle w:val="19"/>
                    <w:bidi w:val="0"/>
                    <w:rPr>
                      <w:rFonts w:hint="default"/>
                      <w:color w:val="auto"/>
                      <w:lang w:val="en-US" w:eastAsia="zh-CN"/>
                    </w:rPr>
                  </w:pPr>
                  <w:r>
                    <w:rPr>
                      <w:rFonts w:hint="eastAsia"/>
                      <w:color w:val="auto"/>
                      <w:lang w:val="en-US" w:eastAsia="zh-CN"/>
                    </w:rPr>
                    <w:t>风机3</w:t>
                  </w:r>
                </w:p>
              </w:tc>
              <w:tc>
                <w:tcPr>
                  <w:tcW w:w="665" w:type="dxa"/>
                  <w:vAlign w:val="center"/>
                </w:tcPr>
                <w:p w14:paraId="7A1C027A">
                  <w:pPr>
                    <w:pStyle w:val="19"/>
                    <w:bidi w:val="0"/>
                    <w:rPr>
                      <w:rFonts w:hint="default"/>
                      <w:color w:val="auto"/>
                      <w:lang w:val="en-US" w:eastAsia="zh-CN"/>
                    </w:rPr>
                  </w:pPr>
                  <w:r>
                    <w:rPr>
                      <w:rFonts w:hint="eastAsia"/>
                      <w:color w:val="auto"/>
                      <w:lang w:val="en-US" w:eastAsia="zh-CN"/>
                    </w:rPr>
                    <w:t>1</w:t>
                  </w:r>
                </w:p>
              </w:tc>
              <w:tc>
                <w:tcPr>
                  <w:tcW w:w="592" w:type="dxa"/>
                  <w:vAlign w:val="center"/>
                </w:tcPr>
                <w:p w14:paraId="21651C48">
                  <w:pPr>
                    <w:pStyle w:val="19"/>
                    <w:bidi w:val="0"/>
                    <w:rPr>
                      <w:rFonts w:hint="default"/>
                      <w:color w:val="auto"/>
                      <w:lang w:val="en-US" w:eastAsia="zh-CN"/>
                    </w:rPr>
                  </w:pPr>
                  <w:r>
                    <w:rPr>
                      <w:rFonts w:hint="eastAsia"/>
                      <w:color w:val="auto"/>
                      <w:lang w:val="en-US" w:eastAsia="zh-CN"/>
                    </w:rPr>
                    <w:t>-1</w:t>
                  </w:r>
                </w:p>
              </w:tc>
              <w:tc>
                <w:tcPr>
                  <w:tcW w:w="558" w:type="dxa"/>
                  <w:vAlign w:val="center"/>
                </w:tcPr>
                <w:p w14:paraId="63BCF329">
                  <w:pPr>
                    <w:pStyle w:val="19"/>
                    <w:bidi w:val="0"/>
                    <w:rPr>
                      <w:rFonts w:hint="default"/>
                      <w:color w:val="auto"/>
                      <w:lang w:val="en-US" w:eastAsia="zh-CN"/>
                    </w:rPr>
                  </w:pPr>
                  <w:r>
                    <w:rPr>
                      <w:rFonts w:hint="eastAsia"/>
                      <w:color w:val="auto"/>
                      <w:lang w:val="en-US" w:eastAsia="zh-CN"/>
                    </w:rPr>
                    <w:t>22</w:t>
                  </w:r>
                </w:p>
              </w:tc>
              <w:tc>
                <w:tcPr>
                  <w:tcW w:w="585" w:type="dxa"/>
                  <w:vAlign w:val="center"/>
                </w:tcPr>
                <w:p w14:paraId="0DCF6FDD">
                  <w:pPr>
                    <w:pStyle w:val="19"/>
                    <w:bidi w:val="0"/>
                    <w:rPr>
                      <w:rFonts w:hint="default"/>
                      <w:color w:val="auto"/>
                      <w:lang w:val="en-US" w:eastAsia="zh-CN"/>
                    </w:rPr>
                  </w:pPr>
                  <w:r>
                    <w:rPr>
                      <w:rFonts w:hint="eastAsia"/>
                      <w:color w:val="auto"/>
                      <w:lang w:val="en-US" w:eastAsia="zh-CN"/>
                    </w:rPr>
                    <w:t>0.5</w:t>
                  </w:r>
                </w:p>
              </w:tc>
              <w:tc>
                <w:tcPr>
                  <w:tcW w:w="1000" w:type="dxa"/>
                  <w:vAlign w:val="center"/>
                </w:tcPr>
                <w:p w14:paraId="0C51FA51">
                  <w:pPr>
                    <w:pStyle w:val="19"/>
                    <w:bidi w:val="0"/>
                    <w:rPr>
                      <w:rFonts w:hint="default"/>
                      <w:color w:val="auto"/>
                      <w:lang w:val="en-US" w:eastAsia="zh-CN"/>
                    </w:rPr>
                  </w:pPr>
                  <w:r>
                    <w:rPr>
                      <w:rFonts w:hint="eastAsia"/>
                      <w:color w:val="auto"/>
                      <w:lang w:val="en-US" w:eastAsia="zh-CN"/>
                    </w:rPr>
                    <w:t>90</w:t>
                  </w:r>
                </w:p>
              </w:tc>
              <w:tc>
                <w:tcPr>
                  <w:tcW w:w="743" w:type="dxa"/>
                  <w:vMerge w:val="continue"/>
                  <w:vAlign w:val="center"/>
                </w:tcPr>
                <w:p w14:paraId="2979B772">
                  <w:pPr>
                    <w:pStyle w:val="21"/>
                    <w:widowControl w:val="0"/>
                    <w:bidi w:val="0"/>
                    <w:rPr>
                      <w:rFonts w:hint="eastAsia"/>
                      <w:color w:val="auto"/>
                      <w:lang w:val="en-US" w:eastAsia="zh-CN"/>
                    </w:rPr>
                  </w:pPr>
                </w:p>
              </w:tc>
              <w:tc>
                <w:tcPr>
                  <w:tcW w:w="1010" w:type="dxa"/>
                  <w:vMerge w:val="continue"/>
                  <w:vAlign w:val="center"/>
                </w:tcPr>
                <w:p w14:paraId="4E1F9758">
                  <w:pPr>
                    <w:pStyle w:val="21"/>
                    <w:widowControl w:val="0"/>
                    <w:bidi w:val="0"/>
                    <w:rPr>
                      <w:rFonts w:hint="eastAsia"/>
                      <w:color w:val="auto"/>
                      <w:lang w:val="en-US" w:eastAsia="zh-CN"/>
                    </w:rPr>
                  </w:pPr>
                </w:p>
              </w:tc>
            </w:tr>
          </w:tbl>
          <w:p w14:paraId="5ABEA15F">
            <w:pPr>
              <w:pStyle w:val="5"/>
              <w:ind w:firstLine="0" w:firstLineChars="0"/>
              <w:rPr>
                <w:rFonts w:hint="default"/>
                <w:color w:val="auto"/>
              </w:rPr>
            </w:pPr>
          </w:p>
        </w:tc>
      </w:tr>
    </w:tbl>
    <w:p w14:paraId="179034E9">
      <w:pPr>
        <w:pStyle w:val="5"/>
        <w:bidi w:val="0"/>
        <w:rPr>
          <w:color w:val="auto"/>
        </w:rPr>
        <w:sectPr>
          <w:pgSz w:w="11907" w:h="16840"/>
          <w:pgMar w:top="1701" w:right="1531" w:bottom="2127" w:left="1531" w:header="851" w:footer="851" w:gutter="0"/>
          <w:pgNumType w:fmt="decimal"/>
          <w:cols w:space="720" w:num="1"/>
          <w:docGrid w:linePitch="312" w:charSpace="0"/>
        </w:sectPr>
      </w:pPr>
    </w:p>
    <w:p w14:paraId="295B4F13">
      <w:pPr>
        <w:pStyle w:val="12"/>
        <w:outlineLvl w:val="9"/>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34</w:t>
      </w:r>
      <w:r>
        <w:rPr>
          <w:color w:val="auto"/>
        </w:rPr>
        <w:fldChar w:fldCharType="end"/>
      </w:r>
      <w:r>
        <w:rPr>
          <w:rFonts w:hint="eastAsia"/>
          <w:color w:val="auto"/>
          <w:lang w:val="en-US" w:eastAsia="zh-CN"/>
        </w:rPr>
        <w:t xml:space="preserve">  工业企业噪声源强调查清单（室内声源）</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454"/>
        <w:gridCol w:w="482"/>
        <w:gridCol w:w="676"/>
        <w:gridCol w:w="945"/>
        <w:gridCol w:w="473"/>
        <w:gridCol w:w="430"/>
        <w:gridCol w:w="430"/>
        <w:gridCol w:w="484"/>
        <w:gridCol w:w="432"/>
        <w:gridCol w:w="432"/>
        <w:gridCol w:w="432"/>
        <w:gridCol w:w="432"/>
        <w:gridCol w:w="588"/>
        <w:gridCol w:w="588"/>
        <w:gridCol w:w="588"/>
        <w:gridCol w:w="588"/>
        <w:gridCol w:w="454"/>
        <w:gridCol w:w="973"/>
        <w:gridCol w:w="595"/>
        <w:gridCol w:w="595"/>
        <w:gridCol w:w="596"/>
        <w:gridCol w:w="596"/>
        <w:gridCol w:w="530"/>
      </w:tblGrid>
      <w:tr w14:paraId="767B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restart"/>
            <w:vAlign w:val="center"/>
          </w:tcPr>
          <w:p w14:paraId="095B3EBA">
            <w:pPr>
              <w:pStyle w:val="19"/>
              <w:bidi w:val="0"/>
              <w:rPr>
                <w:rFonts w:hint="eastAsia" w:eastAsia="宋体"/>
                <w:color w:val="auto"/>
                <w:lang w:val="en-US" w:eastAsia="zh-CN"/>
              </w:rPr>
            </w:pPr>
            <w:r>
              <w:rPr>
                <w:rFonts w:hint="eastAsia"/>
                <w:color w:val="auto"/>
                <w:lang w:val="en-US" w:eastAsia="zh-CN"/>
              </w:rPr>
              <w:t>序号</w:t>
            </w:r>
          </w:p>
        </w:tc>
        <w:tc>
          <w:tcPr>
            <w:tcW w:w="0" w:type="auto"/>
            <w:gridSpan w:val="2"/>
            <w:vMerge w:val="restart"/>
            <w:vAlign w:val="center"/>
          </w:tcPr>
          <w:p w14:paraId="3F974D7C">
            <w:pPr>
              <w:pStyle w:val="19"/>
              <w:bidi w:val="0"/>
              <w:rPr>
                <w:rFonts w:hint="default"/>
                <w:color w:val="auto"/>
                <w:lang w:val="en-US"/>
              </w:rPr>
            </w:pPr>
            <w:r>
              <w:rPr>
                <w:rFonts w:hint="eastAsia"/>
                <w:color w:val="auto"/>
                <w:lang w:val="en-US" w:eastAsia="zh-CN"/>
              </w:rPr>
              <w:t>声源名称</w:t>
            </w:r>
          </w:p>
        </w:tc>
        <w:tc>
          <w:tcPr>
            <w:tcW w:w="0" w:type="auto"/>
            <w:vMerge w:val="restart"/>
            <w:vAlign w:val="center"/>
          </w:tcPr>
          <w:p w14:paraId="5613BD9E">
            <w:pPr>
              <w:pStyle w:val="19"/>
              <w:bidi w:val="0"/>
              <w:rPr>
                <w:rFonts w:hint="default" w:eastAsia="宋体"/>
                <w:color w:val="auto"/>
                <w:lang w:val="en-US" w:eastAsia="zh-CN"/>
              </w:rPr>
            </w:pPr>
            <w:r>
              <w:rPr>
                <w:rFonts w:hint="eastAsia"/>
                <w:color w:val="auto"/>
                <w:lang w:val="en-US" w:eastAsia="zh-CN"/>
              </w:rPr>
              <w:t>数量（台/套）</w:t>
            </w:r>
          </w:p>
        </w:tc>
        <w:tc>
          <w:tcPr>
            <w:tcW w:w="0" w:type="auto"/>
            <w:vMerge w:val="restart"/>
            <w:vAlign w:val="center"/>
          </w:tcPr>
          <w:p w14:paraId="4A153B43">
            <w:pPr>
              <w:pStyle w:val="19"/>
              <w:bidi w:val="0"/>
              <w:rPr>
                <w:color w:val="auto"/>
              </w:rPr>
            </w:pPr>
            <w:r>
              <w:rPr>
                <w:rFonts w:hint="eastAsia"/>
                <w:color w:val="auto"/>
                <w:lang w:val="en-US" w:eastAsia="zh-CN"/>
              </w:rPr>
              <w:t>声源源强（dB）（A）</w:t>
            </w:r>
          </w:p>
        </w:tc>
        <w:tc>
          <w:tcPr>
            <w:tcW w:w="0" w:type="auto"/>
            <w:vMerge w:val="restart"/>
            <w:vAlign w:val="center"/>
          </w:tcPr>
          <w:p w14:paraId="23D251BF">
            <w:pPr>
              <w:pStyle w:val="19"/>
              <w:bidi w:val="0"/>
              <w:rPr>
                <w:color w:val="auto"/>
              </w:rPr>
            </w:pPr>
            <w:r>
              <w:rPr>
                <w:rFonts w:hint="eastAsia"/>
                <w:color w:val="auto"/>
                <w:lang w:val="en-US" w:eastAsia="zh-CN"/>
              </w:rPr>
              <w:t>声源控制措施</w:t>
            </w:r>
          </w:p>
        </w:tc>
        <w:tc>
          <w:tcPr>
            <w:tcW w:w="0" w:type="auto"/>
            <w:gridSpan w:val="3"/>
            <w:shd w:val="clear" w:color="auto" w:fill="auto"/>
            <w:vAlign w:val="center"/>
          </w:tcPr>
          <w:p w14:paraId="45E13BC5">
            <w:pPr>
              <w:pStyle w:val="19"/>
              <w:bidi w:val="0"/>
              <w:rPr>
                <w:color w:val="auto"/>
              </w:rPr>
            </w:pPr>
            <w:r>
              <w:rPr>
                <w:rFonts w:hint="eastAsia"/>
                <w:color w:val="auto"/>
                <w:lang w:val="en-US" w:eastAsia="zh-CN"/>
              </w:rPr>
              <w:t>相对位置（m）</w:t>
            </w:r>
          </w:p>
        </w:tc>
        <w:tc>
          <w:tcPr>
            <w:tcW w:w="0" w:type="auto"/>
            <w:gridSpan w:val="4"/>
            <w:vAlign w:val="center"/>
          </w:tcPr>
          <w:p w14:paraId="2ADBA0B7">
            <w:pPr>
              <w:pStyle w:val="19"/>
              <w:bidi w:val="0"/>
              <w:rPr>
                <w:color w:val="auto"/>
              </w:rPr>
            </w:pPr>
            <w:r>
              <w:rPr>
                <w:rFonts w:hint="eastAsia"/>
                <w:color w:val="auto"/>
                <w:lang w:val="en-US" w:eastAsia="zh-CN"/>
              </w:rPr>
              <w:t>距室内边界距离（m）</w:t>
            </w:r>
          </w:p>
        </w:tc>
        <w:tc>
          <w:tcPr>
            <w:tcW w:w="0" w:type="auto"/>
            <w:gridSpan w:val="4"/>
            <w:vAlign w:val="center"/>
          </w:tcPr>
          <w:p w14:paraId="076AA0F1">
            <w:pPr>
              <w:pStyle w:val="19"/>
              <w:bidi w:val="0"/>
              <w:rPr>
                <w:color w:val="auto"/>
              </w:rPr>
            </w:pPr>
            <w:r>
              <w:rPr>
                <w:rFonts w:hint="eastAsia"/>
                <w:color w:val="auto"/>
                <w:lang w:val="en-US" w:eastAsia="zh-CN"/>
              </w:rPr>
              <w:t>室内边界声级（dB）（A）</w:t>
            </w:r>
          </w:p>
        </w:tc>
        <w:tc>
          <w:tcPr>
            <w:tcW w:w="0" w:type="auto"/>
            <w:vMerge w:val="restart"/>
            <w:vAlign w:val="center"/>
          </w:tcPr>
          <w:p w14:paraId="62C7C5B5">
            <w:pPr>
              <w:pStyle w:val="19"/>
              <w:bidi w:val="0"/>
              <w:rPr>
                <w:rFonts w:hint="eastAsia" w:eastAsia="宋体"/>
                <w:color w:val="auto"/>
                <w:lang w:val="en-US" w:eastAsia="zh-CN"/>
              </w:rPr>
            </w:pPr>
            <w:r>
              <w:rPr>
                <w:rFonts w:hint="eastAsia"/>
                <w:color w:val="auto"/>
                <w:lang w:val="en-US" w:eastAsia="zh-CN"/>
              </w:rPr>
              <w:t>运行时段</w:t>
            </w:r>
          </w:p>
        </w:tc>
        <w:tc>
          <w:tcPr>
            <w:tcW w:w="0" w:type="auto"/>
            <w:vMerge w:val="restart"/>
            <w:vAlign w:val="center"/>
          </w:tcPr>
          <w:p w14:paraId="792BEC6E">
            <w:pPr>
              <w:pStyle w:val="19"/>
              <w:bidi w:val="0"/>
              <w:rPr>
                <w:rFonts w:hint="default" w:eastAsia="宋体"/>
                <w:color w:val="auto"/>
                <w:lang w:val="en-US" w:eastAsia="zh-CN"/>
              </w:rPr>
            </w:pPr>
            <w:r>
              <w:rPr>
                <w:rFonts w:hint="eastAsia"/>
                <w:color w:val="auto"/>
                <w:lang w:val="en-US" w:eastAsia="zh-CN"/>
              </w:rPr>
              <w:t>建筑物插入损失（dB）（A）</w:t>
            </w:r>
          </w:p>
        </w:tc>
        <w:tc>
          <w:tcPr>
            <w:tcW w:w="0" w:type="auto"/>
            <w:gridSpan w:val="4"/>
            <w:vAlign w:val="center"/>
          </w:tcPr>
          <w:p w14:paraId="1740E2CA">
            <w:pPr>
              <w:pStyle w:val="19"/>
              <w:bidi w:val="0"/>
              <w:rPr>
                <w:rFonts w:hint="eastAsia"/>
                <w:color w:val="auto"/>
                <w:lang w:eastAsia="zh-CN"/>
              </w:rPr>
            </w:pPr>
            <w:r>
              <w:rPr>
                <w:rFonts w:hint="eastAsia"/>
                <w:color w:val="auto"/>
                <w:lang w:val="en-US" w:eastAsia="zh-CN"/>
              </w:rPr>
              <w:t>建筑物外噪声声压级（dB）（A）</w:t>
            </w:r>
          </w:p>
        </w:tc>
        <w:tc>
          <w:tcPr>
            <w:tcW w:w="0" w:type="auto"/>
            <w:vMerge w:val="restart"/>
            <w:vAlign w:val="center"/>
          </w:tcPr>
          <w:p w14:paraId="630CDCC6">
            <w:pPr>
              <w:pStyle w:val="19"/>
              <w:bidi w:val="0"/>
              <w:rPr>
                <w:rFonts w:hint="default" w:eastAsia="宋体"/>
                <w:color w:val="auto"/>
                <w:lang w:val="en-US" w:eastAsia="zh-CN"/>
              </w:rPr>
            </w:pPr>
            <w:r>
              <w:rPr>
                <w:rFonts w:hint="eastAsia"/>
                <w:color w:val="auto"/>
                <w:lang w:val="en-US" w:eastAsia="zh-CN"/>
              </w:rPr>
              <w:t>建筑物外距离</w:t>
            </w:r>
          </w:p>
        </w:tc>
      </w:tr>
      <w:tr w14:paraId="26BC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BF90631">
            <w:pPr>
              <w:pStyle w:val="21"/>
              <w:widowControl w:val="0"/>
              <w:bidi w:val="0"/>
              <w:jc w:val="center"/>
              <w:rPr>
                <w:color w:val="auto"/>
              </w:rPr>
            </w:pPr>
          </w:p>
        </w:tc>
        <w:tc>
          <w:tcPr>
            <w:tcW w:w="0" w:type="auto"/>
            <w:gridSpan w:val="2"/>
            <w:vMerge w:val="continue"/>
            <w:vAlign w:val="center"/>
          </w:tcPr>
          <w:p w14:paraId="651748BE">
            <w:pPr>
              <w:pStyle w:val="21"/>
              <w:widowControl w:val="0"/>
              <w:bidi w:val="0"/>
              <w:jc w:val="center"/>
              <w:rPr>
                <w:color w:val="auto"/>
              </w:rPr>
            </w:pPr>
          </w:p>
        </w:tc>
        <w:tc>
          <w:tcPr>
            <w:tcW w:w="0" w:type="auto"/>
            <w:vMerge w:val="continue"/>
            <w:vAlign w:val="center"/>
          </w:tcPr>
          <w:p w14:paraId="61282428">
            <w:pPr>
              <w:pStyle w:val="21"/>
              <w:widowControl w:val="0"/>
              <w:bidi w:val="0"/>
              <w:jc w:val="center"/>
              <w:rPr>
                <w:color w:val="auto"/>
              </w:rPr>
            </w:pPr>
          </w:p>
        </w:tc>
        <w:tc>
          <w:tcPr>
            <w:tcW w:w="0" w:type="auto"/>
            <w:vMerge w:val="continue"/>
            <w:vAlign w:val="center"/>
          </w:tcPr>
          <w:p w14:paraId="63587762">
            <w:pPr>
              <w:pStyle w:val="21"/>
              <w:widowControl w:val="0"/>
              <w:bidi w:val="0"/>
              <w:jc w:val="center"/>
              <w:rPr>
                <w:color w:val="auto"/>
              </w:rPr>
            </w:pPr>
          </w:p>
        </w:tc>
        <w:tc>
          <w:tcPr>
            <w:tcW w:w="0" w:type="auto"/>
            <w:vMerge w:val="continue"/>
            <w:vAlign w:val="center"/>
          </w:tcPr>
          <w:p w14:paraId="4BC3BCAB">
            <w:pPr>
              <w:pStyle w:val="21"/>
              <w:widowControl w:val="0"/>
              <w:bidi w:val="0"/>
              <w:jc w:val="center"/>
              <w:rPr>
                <w:color w:val="auto"/>
              </w:rPr>
            </w:pPr>
          </w:p>
        </w:tc>
        <w:tc>
          <w:tcPr>
            <w:tcW w:w="0" w:type="auto"/>
            <w:shd w:val="clear" w:color="auto" w:fill="auto"/>
            <w:vAlign w:val="center"/>
          </w:tcPr>
          <w:p w14:paraId="4AA80215">
            <w:pPr>
              <w:pStyle w:val="19"/>
              <w:bidi w:val="0"/>
              <w:rPr>
                <w:rFonts w:hint="eastAsia" w:ascii="Times New Roman" w:hAnsi="Times New Roman" w:eastAsia="宋体" w:cstheme="minorBidi"/>
                <w:color w:val="auto"/>
                <w:kern w:val="2"/>
                <w:szCs w:val="24"/>
                <w:lang w:val="en-US" w:eastAsia="zh-CN" w:bidi="ar-SA"/>
              </w:rPr>
            </w:pPr>
            <w:r>
              <w:rPr>
                <w:rFonts w:hint="eastAsia"/>
                <w:color w:val="auto"/>
                <w:lang w:val="en-US" w:eastAsia="zh-CN"/>
              </w:rPr>
              <w:t>X</w:t>
            </w:r>
          </w:p>
        </w:tc>
        <w:tc>
          <w:tcPr>
            <w:tcW w:w="0" w:type="auto"/>
            <w:shd w:val="clear" w:color="auto" w:fill="auto"/>
            <w:vAlign w:val="center"/>
          </w:tcPr>
          <w:p w14:paraId="141AD666">
            <w:pPr>
              <w:pStyle w:val="19"/>
              <w:bidi w:val="0"/>
              <w:rPr>
                <w:rFonts w:hint="eastAsia" w:ascii="Times New Roman" w:hAnsi="Times New Roman" w:eastAsia="宋体" w:cstheme="minorBidi"/>
                <w:color w:val="auto"/>
                <w:kern w:val="2"/>
                <w:szCs w:val="24"/>
                <w:lang w:val="en-US" w:eastAsia="zh-CN" w:bidi="ar-SA"/>
              </w:rPr>
            </w:pPr>
            <w:r>
              <w:rPr>
                <w:rFonts w:hint="eastAsia"/>
                <w:color w:val="auto"/>
                <w:lang w:val="en-US" w:eastAsia="zh-CN"/>
              </w:rPr>
              <w:t>Y</w:t>
            </w:r>
          </w:p>
        </w:tc>
        <w:tc>
          <w:tcPr>
            <w:tcW w:w="0" w:type="auto"/>
            <w:shd w:val="clear" w:color="auto" w:fill="auto"/>
            <w:vAlign w:val="center"/>
          </w:tcPr>
          <w:p w14:paraId="7D68B525">
            <w:pPr>
              <w:pStyle w:val="19"/>
              <w:bidi w:val="0"/>
              <w:rPr>
                <w:rFonts w:hint="eastAsia" w:ascii="Times New Roman" w:hAnsi="Times New Roman" w:eastAsia="宋体" w:cstheme="minorBidi"/>
                <w:color w:val="auto"/>
                <w:kern w:val="2"/>
                <w:szCs w:val="24"/>
                <w:lang w:val="en-US" w:eastAsia="zh-CN" w:bidi="ar-SA"/>
              </w:rPr>
            </w:pPr>
            <w:r>
              <w:rPr>
                <w:rFonts w:hint="eastAsia"/>
                <w:color w:val="auto"/>
                <w:lang w:val="en-US" w:eastAsia="zh-CN"/>
              </w:rPr>
              <w:t>Z</w:t>
            </w:r>
          </w:p>
        </w:tc>
        <w:tc>
          <w:tcPr>
            <w:tcW w:w="0" w:type="auto"/>
            <w:vAlign w:val="center"/>
          </w:tcPr>
          <w:p w14:paraId="6A8DB2BA">
            <w:pPr>
              <w:pStyle w:val="19"/>
              <w:bidi w:val="0"/>
              <w:rPr>
                <w:rFonts w:hint="eastAsia" w:eastAsia="宋体"/>
                <w:color w:val="auto"/>
                <w:lang w:val="en-US" w:eastAsia="zh-CN"/>
              </w:rPr>
            </w:pPr>
            <w:r>
              <w:rPr>
                <w:rFonts w:hint="eastAsia"/>
                <w:color w:val="auto"/>
                <w:lang w:val="en-US" w:eastAsia="zh-CN"/>
              </w:rPr>
              <w:t>东</w:t>
            </w:r>
          </w:p>
        </w:tc>
        <w:tc>
          <w:tcPr>
            <w:tcW w:w="0" w:type="auto"/>
            <w:vAlign w:val="center"/>
          </w:tcPr>
          <w:p w14:paraId="7DB3B8E8">
            <w:pPr>
              <w:pStyle w:val="19"/>
              <w:bidi w:val="0"/>
              <w:rPr>
                <w:rFonts w:hint="eastAsia" w:eastAsia="宋体"/>
                <w:color w:val="auto"/>
                <w:lang w:val="en-US" w:eastAsia="zh-CN"/>
              </w:rPr>
            </w:pPr>
            <w:r>
              <w:rPr>
                <w:rFonts w:hint="eastAsia"/>
                <w:color w:val="auto"/>
                <w:lang w:val="en-US" w:eastAsia="zh-CN"/>
              </w:rPr>
              <w:t>南</w:t>
            </w:r>
          </w:p>
        </w:tc>
        <w:tc>
          <w:tcPr>
            <w:tcW w:w="0" w:type="auto"/>
            <w:vAlign w:val="center"/>
          </w:tcPr>
          <w:p w14:paraId="1C79FAE9">
            <w:pPr>
              <w:pStyle w:val="19"/>
              <w:bidi w:val="0"/>
              <w:rPr>
                <w:rFonts w:hint="eastAsia" w:eastAsia="宋体"/>
                <w:color w:val="auto"/>
                <w:lang w:val="en-US" w:eastAsia="zh-CN"/>
              </w:rPr>
            </w:pPr>
            <w:r>
              <w:rPr>
                <w:rFonts w:hint="eastAsia"/>
                <w:color w:val="auto"/>
                <w:lang w:val="en-US" w:eastAsia="zh-CN"/>
              </w:rPr>
              <w:t>西</w:t>
            </w:r>
          </w:p>
        </w:tc>
        <w:tc>
          <w:tcPr>
            <w:tcW w:w="0" w:type="auto"/>
            <w:vAlign w:val="center"/>
          </w:tcPr>
          <w:p w14:paraId="76A1E2E5">
            <w:pPr>
              <w:pStyle w:val="19"/>
              <w:bidi w:val="0"/>
              <w:rPr>
                <w:rFonts w:hint="eastAsia" w:eastAsia="宋体"/>
                <w:color w:val="auto"/>
                <w:lang w:val="en-US" w:eastAsia="zh-CN"/>
              </w:rPr>
            </w:pPr>
            <w:r>
              <w:rPr>
                <w:rFonts w:hint="eastAsia"/>
                <w:color w:val="auto"/>
                <w:lang w:val="en-US" w:eastAsia="zh-CN"/>
              </w:rPr>
              <w:t>北</w:t>
            </w:r>
          </w:p>
        </w:tc>
        <w:tc>
          <w:tcPr>
            <w:tcW w:w="0" w:type="auto"/>
            <w:vAlign w:val="center"/>
          </w:tcPr>
          <w:p w14:paraId="3ABB8DDC">
            <w:pPr>
              <w:pStyle w:val="19"/>
              <w:bidi w:val="0"/>
              <w:rPr>
                <w:color w:val="auto"/>
              </w:rPr>
            </w:pPr>
            <w:r>
              <w:rPr>
                <w:rFonts w:hint="eastAsia"/>
                <w:color w:val="auto"/>
                <w:lang w:val="en-US" w:eastAsia="zh-CN"/>
              </w:rPr>
              <w:t>东</w:t>
            </w:r>
          </w:p>
        </w:tc>
        <w:tc>
          <w:tcPr>
            <w:tcW w:w="0" w:type="auto"/>
            <w:vAlign w:val="center"/>
          </w:tcPr>
          <w:p w14:paraId="606F7C4F">
            <w:pPr>
              <w:pStyle w:val="19"/>
              <w:bidi w:val="0"/>
              <w:rPr>
                <w:color w:val="auto"/>
              </w:rPr>
            </w:pPr>
            <w:r>
              <w:rPr>
                <w:rFonts w:hint="eastAsia"/>
                <w:color w:val="auto"/>
                <w:lang w:val="en-US" w:eastAsia="zh-CN"/>
              </w:rPr>
              <w:t>南</w:t>
            </w:r>
          </w:p>
        </w:tc>
        <w:tc>
          <w:tcPr>
            <w:tcW w:w="0" w:type="auto"/>
            <w:vAlign w:val="center"/>
          </w:tcPr>
          <w:p w14:paraId="607D03AC">
            <w:pPr>
              <w:pStyle w:val="19"/>
              <w:bidi w:val="0"/>
              <w:rPr>
                <w:color w:val="auto"/>
              </w:rPr>
            </w:pPr>
            <w:r>
              <w:rPr>
                <w:rFonts w:hint="eastAsia"/>
                <w:color w:val="auto"/>
                <w:lang w:val="en-US" w:eastAsia="zh-CN"/>
              </w:rPr>
              <w:t>西</w:t>
            </w:r>
          </w:p>
        </w:tc>
        <w:tc>
          <w:tcPr>
            <w:tcW w:w="0" w:type="auto"/>
            <w:vAlign w:val="center"/>
          </w:tcPr>
          <w:p w14:paraId="17ECB485">
            <w:pPr>
              <w:pStyle w:val="19"/>
              <w:bidi w:val="0"/>
              <w:rPr>
                <w:color w:val="auto"/>
              </w:rPr>
            </w:pPr>
            <w:r>
              <w:rPr>
                <w:rFonts w:hint="eastAsia"/>
                <w:color w:val="auto"/>
                <w:lang w:val="en-US" w:eastAsia="zh-CN"/>
              </w:rPr>
              <w:t>北</w:t>
            </w:r>
          </w:p>
        </w:tc>
        <w:tc>
          <w:tcPr>
            <w:tcW w:w="0" w:type="auto"/>
            <w:vMerge w:val="continue"/>
            <w:vAlign w:val="center"/>
          </w:tcPr>
          <w:p w14:paraId="204D6B62">
            <w:pPr>
              <w:pStyle w:val="21"/>
              <w:widowControl w:val="0"/>
              <w:bidi w:val="0"/>
              <w:jc w:val="center"/>
              <w:rPr>
                <w:color w:val="auto"/>
              </w:rPr>
            </w:pPr>
          </w:p>
        </w:tc>
        <w:tc>
          <w:tcPr>
            <w:tcW w:w="0" w:type="auto"/>
            <w:vMerge w:val="continue"/>
            <w:vAlign w:val="center"/>
          </w:tcPr>
          <w:p w14:paraId="5053B07B">
            <w:pPr>
              <w:pStyle w:val="21"/>
              <w:widowControl w:val="0"/>
              <w:bidi w:val="0"/>
              <w:jc w:val="center"/>
              <w:rPr>
                <w:color w:val="auto"/>
              </w:rPr>
            </w:pPr>
          </w:p>
        </w:tc>
        <w:tc>
          <w:tcPr>
            <w:tcW w:w="0" w:type="auto"/>
            <w:vAlign w:val="center"/>
          </w:tcPr>
          <w:p w14:paraId="1FE44795">
            <w:pPr>
              <w:pStyle w:val="19"/>
              <w:bidi w:val="0"/>
              <w:rPr>
                <w:color w:val="auto"/>
              </w:rPr>
            </w:pPr>
            <w:r>
              <w:rPr>
                <w:rFonts w:hint="eastAsia"/>
                <w:color w:val="auto"/>
                <w:lang w:val="en-US" w:eastAsia="zh-CN"/>
              </w:rPr>
              <w:t>东</w:t>
            </w:r>
          </w:p>
        </w:tc>
        <w:tc>
          <w:tcPr>
            <w:tcW w:w="0" w:type="auto"/>
            <w:vAlign w:val="center"/>
          </w:tcPr>
          <w:p w14:paraId="721B163C">
            <w:pPr>
              <w:pStyle w:val="19"/>
              <w:bidi w:val="0"/>
              <w:rPr>
                <w:color w:val="auto"/>
              </w:rPr>
            </w:pPr>
            <w:r>
              <w:rPr>
                <w:rFonts w:hint="eastAsia"/>
                <w:color w:val="auto"/>
                <w:lang w:val="en-US" w:eastAsia="zh-CN"/>
              </w:rPr>
              <w:t>南</w:t>
            </w:r>
          </w:p>
        </w:tc>
        <w:tc>
          <w:tcPr>
            <w:tcW w:w="0" w:type="auto"/>
            <w:vAlign w:val="center"/>
          </w:tcPr>
          <w:p w14:paraId="54E4EC7B">
            <w:pPr>
              <w:pStyle w:val="19"/>
              <w:bidi w:val="0"/>
              <w:rPr>
                <w:color w:val="auto"/>
              </w:rPr>
            </w:pPr>
            <w:r>
              <w:rPr>
                <w:rFonts w:hint="eastAsia"/>
                <w:color w:val="auto"/>
                <w:lang w:val="en-US" w:eastAsia="zh-CN"/>
              </w:rPr>
              <w:t>西</w:t>
            </w:r>
          </w:p>
        </w:tc>
        <w:tc>
          <w:tcPr>
            <w:tcW w:w="0" w:type="auto"/>
            <w:vAlign w:val="center"/>
          </w:tcPr>
          <w:p w14:paraId="1C86079A">
            <w:pPr>
              <w:pStyle w:val="19"/>
              <w:bidi w:val="0"/>
              <w:rPr>
                <w:color w:val="auto"/>
              </w:rPr>
            </w:pPr>
            <w:r>
              <w:rPr>
                <w:rFonts w:hint="eastAsia"/>
                <w:color w:val="auto"/>
                <w:lang w:val="en-US" w:eastAsia="zh-CN"/>
              </w:rPr>
              <w:t>北</w:t>
            </w:r>
          </w:p>
        </w:tc>
        <w:tc>
          <w:tcPr>
            <w:tcW w:w="0" w:type="auto"/>
            <w:vMerge w:val="continue"/>
            <w:vAlign w:val="center"/>
          </w:tcPr>
          <w:p w14:paraId="0362AA21">
            <w:pPr>
              <w:pStyle w:val="21"/>
              <w:widowControl w:val="0"/>
              <w:bidi w:val="0"/>
              <w:jc w:val="center"/>
              <w:rPr>
                <w:color w:val="auto"/>
              </w:rPr>
            </w:pPr>
          </w:p>
        </w:tc>
      </w:tr>
      <w:tr w14:paraId="3002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070CC59">
            <w:pPr>
              <w:pStyle w:val="21"/>
              <w:widowControl w:val="0"/>
              <w:numPr>
                <w:ilvl w:val="0"/>
                <w:numId w:val="9"/>
              </w:numPr>
              <w:tabs>
                <w:tab w:val="clear" w:pos="0"/>
              </w:tabs>
              <w:bidi w:val="0"/>
              <w:ind w:left="425" w:leftChars="0" w:hanging="425" w:firstLineChars="0"/>
              <w:jc w:val="center"/>
              <w:rPr>
                <w:color w:val="auto"/>
              </w:rPr>
            </w:pPr>
          </w:p>
        </w:tc>
        <w:tc>
          <w:tcPr>
            <w:tcW w:w="0" w:type="auto"/>
            <w:vMerge w:val="restart"/>
            <w:vAlign w:val="center"/>
          </w:tcPr>
          <w:p w14:paraId="018AB455">
            <w:pPr>
              <w:pStyle w:val="19"/>
              <w:bidi w:val="0"/>
              <w:rPr>
                <w:rFonts w:hint="eastAsia" w:eastAsia="宋体"/>
                <w:color w:val="auto"/>
                <w:lang w:val="en-US" w:eastAsia="zh-CN"/>
              </w:rPr>
            </w:pPr>
            <w:r>
              <w:rPr>
                <w:rFonts w:hint="eastAsia"/>
                <w:color w:val="auto"/>
                <w:lang w:val="en-US" w:eastAsia="zh-CN"/>
              </w:rPr>
              <w:t>生产车间</w:t>
            </w:r>
          </w:p>
        </w:tc>
        <w:tc>
          <w:tcPr>
            <w:tcW w:w="0" w:type="auto"/>
            <w:vAlign w:val="center"/>
          </w:tcPr>
          <w:p w14:paraId="2F661448">
            <w:pPr>
              <w:pStyle w:val="19"/>
              <w:bidi w:val="0"/>
              <w:rPr>
                <w:rFonts w:hint="eastAsia" w:eastAsia="宋体"/>
                <w:color w:val="auto"/>
                <w:lang w:val="en-US" w:eastAsia="zh-CN"/>
              </w:rPr>
            </w:pPr>
            <w:r>
              <w:rPr>
                <w:rFonts w:hint="eastAsia"/>
                <w:color w:val="auto"/>
                <w:lang w:val="en-US" w:eastAsia="zh-CN"/>
              </w:rPr>
              <w:t>自动配料系统</w:t>
            </w:r>
          </w:p>
        </w:tc>
        <w:tc>
          <w:tcPr>
            <w:tcW w:w="0" w:type="auto"/>
            <w:vAlign w:val="center"/>
          </w:tcPr>
          <w:p w14:paraId="5848D2A7">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3C9C5E55">
            <w:pPr>
              <w:pStyle w:val="19"/>
              <w:bidi w:val="0"/>
              <w:rPr>
                <w:rFonts w:hint="default" w:eastAsia="宋体"/>
                <w:color w:val="auto"/>
                <w:lang w:val="en-US" w:eastAsia="zh-CN"/>
              </w:rPr>
            </w:pPr>
            <w:r>
              <w:rPr>
                <w:rFonts w:hint="eastAsia"/>
                <w:color w:val="auto"/>
                <w:lang w:val="en-US" w:eastAsia="zh-CN"/>
              </w:rPr>
              <w:t>85</w:t>
            </w:r>
          </w:p>
        </w:tc>
        <w:tc>
          <w:tcPr>
            <w:tcW w:w="0" w:type="auto"/>
            <w:vAlign w:val="center"/>
          </w:tcPr>
          <w:p w14:paraId="01CE30A5">
            <w:pPr>
              <w:pStyle w:val="19"/>
              <w:bidi w:val="0"/>
              <w:rPr>
                <w:rFonts w:hint="eastAsia" w:eastAsia="宋体"/>
                <w:color w:val="auto"/>
                <w:lang w:val="en-US" w:eastAsia="zh-CN"/>
              </w:rPr>
            </w:pPr>
            <w:r>
              <w:rPr>
                <w:rFonts w:hint="eastAsia"/>
                <w:color w:val="auto"/>
                <w:lang w:val="en-US" w:eastAsia="zh-CN"/>
              </w:rPr>
              <w:t>基础减震</w:t>
            </w:r>
          </w:p>
        </w:tc>
        <w:tc>
          <w:tcPr>
            <w:tcW w:w="0" w:type="auto"/>
            <w:vAlign w:val="center"/>
          </w:tcPr>
          <w:p w14:paraId="3B935DC6">
            <w:pPr>
              <w:pStyle w:val="19"/>
              <w:bidi w:val="0"/>
              <w:rPr>
                <w:rFonts w:hint="eastAsia" w:eastAsia="宋体"/>
                <w:color w:val="auto"/>
                <w:lang w:val="en-US" w:eastAsia="zh-CN"/>
              </w:rPr>
            </w:pPr>
            <w:r>
              <w:rPr>
                <w:rFonts w:hint="eastAsia"/>
                <w:color w:val="auto"/>
                <w:lang w:val="en-US" w:eastAsia="zh-CN"/>
              </w:rPr>
              <w:t>6</w:t>
            </w:r>
          </w:p>
        </w:tc>
        <w:tc>
          <w:tcPr>
            <w:tcW w:w="0" w:type="auto"/>
            <w:vAlign w:val="center"/>
          </w:tcPr>
          <w:p w14:paraId="764F7573">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241FEEF7">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0F1774D3">
            <w:pPr>
              <w:pStyle w:val="19"/>
              <w:bidi w:val="0"/>
              <w:rPr>
                <w:rFonts w:hint="default" w:eastAsia="宋体"/>
                <w:color w:val="auto"/>
                <w:lang w:val="en-US" w:eastAsia="zh-CN"/>
              </w:rPr>
            </w:pPr>
            <w:r>
              <w:rPr>
                <w:rFonts w:hint="eastAsia"/>
                <w:color w:val="auto"/>
                <w:lang w:val="en-US" w:eastAsia="zh-CN"/>
              </w:rPr>
              <w:t>88</w:t>
            </w:r>
          </w:p>
        </w:tc>
        <w:tc>
          <w:tcPr>
            <w:tcW w:w="0" w:type="auto"/>
            <w:vAlign w:val="center"/>
          </w:tcPr>
          <w:p w14:paraId="3886EEB5">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2800502D">
            <w:pPr>
              <w:pStyle w:val="19"/>
              <w:bidi w:val="0"/>
              <w:rPr>
                <w:rFonts w:hint="eastAsia" w:eastAsia="宋体"/>
                <w:color w:val="auto"/>
                <w:lang w:val="en-US" w:eastAsia="zh-CN"/>
              </w:rPr>
            </w:pPr>
            <w:r>
              <w:rPr>
                <w:rFonts w:hint="eastAsia"/>
                <w:color w:val="auto"/>
                <w:lang w:val="en-US" w:eastAsia="zh-CN"/>
              </w:rPr>
              <w:t>6</w:t>
            </w:r>
          </w:p>
        </w:tc>
        <w:tc>
          <w:tcPr>
            <w:tcW w:w="0" w:type="auto"/>
            <w:vAlign w:val="center"/>
          </w:tcPr>
          <w:p w14:paraId="671AF895">
            <w:pPr>
              <w:pStyle w:val="19"/>
              <w:bidi w:val="0"/>
              <w:rPr>
                <w:rFonts w:hint="default" w:eastAsia="宋体"/>
                <w:color w:val="auto"/>
                <w:lang w:val="en-US" w:eastAsia="zh-CN"/>
              </w:rPr>
            </w:pPr>
            <w:r>
              <w:rPr>
                <w:rFonts w:hint="eastAsia"/>
                <w:color w:val="auto"/>
                <w:lang w:val="en-US" w:eastAsia="zh-CN"/>
              </w:rPr>
              <w:t>38</w:t>
            </w:r>
          </w:p>
        </w:tc>
        <w:tc>
          <w:tcPr>
            <w:tcW w:w="0" w:type="auto"/>
            <w:vAlign w:val="center"/>
          </w:tcPr>
          <w:p w14:paraId="068E8ACF">
            <w:pPr>
              <w:pStyle w:val="19"/>
              <w:bidi w:val="0"/>
              <w:rPr>
                <w:rFonts w:hint="default" w:eastAsia="宋体"/>
                <w:color w:val="auto"/>
                <w:lang w:val="en-US" w:eastAsia="zh-CN"/>
              </w:rPr>
            </w:pPr>
            <w:r>
              <w:rPr>
                <w:rFonts w:hint="eastAsia"/>
                <w:color w:val="auto"/>
                <w:lang w:val="en-US" w:eastAsia="zh-CN"/>
              </w:rPr>
              <w:t>46.1</w:t>
            </w:r>
          </w:p>
        </w:tc>
        <w:tc>
          <w:tcPr>
            <w:tcW w:w="0" w:type="auto"/>
            <w:vAlign w:val="center"/>
          </w:tcPr>
          <w:p w14:paraId="263D8C96">
            <w:pPr>
              <w:pStyle w:val="19"/>
              <w:bidi w:val="0"/>
              <w:rPr>
                <w:rFonts w:hint="default" w:eastAsia="宋体"/>
                <w:color w:val="auto"/>
                <w:lang w:val="en-US" w:eastAsia="zh-CN"/>
              </w:rPr>
            </w:pPr>
            <w:r>
              <w:rPr>
                <w:rFonts w:hint="eastAsia"/>
                <w:color w:val="auto"/>
                <w:lang w:val="en-US" w:eastAsia="zh-CN"/>
              </w:rPr>
              <w:t>54.3</w:t>
            </w:r>
          </w:p>
        </w:tc>
        <w:tc>
          <w:tcPr>
            <w:tcW w:w="0" w:type="auto"/>
            <w:vAlign w:val="center"/>
          </w:tcPr>
          <w:p w14:paraId="195482CC">
            <w:pPr>
              <w:pStyle w:val="19"/>
              <w:bidi w:val="0"/>
              <w:rPr>
                <w:rFonts w:hint="default" w:eastAsia="宋体"/>
                <w:color w:val="auto"/>
                <w:lang w:val="en-US" w:eastAsia="zh-CN"/>
              </w:rPr>
            </w:pPr>
            <w:r>
              <w:rPr>
                <w:rFonts w:hint="eastAsia"/>
                <w:color w:val="auto"/>
                <w:lang w:val="en-US" w:eastAsia="zh-CN"/>
              </w:rPr>
              <w:t>69.4</w:t>
            </w:r>
          </w:p>
        </w:tc>
        <w:tc>
          <w:tcPr>
            <w:tcW w:w="0" w:type="auto"/>
            <w:vAlign w:val="center"/>
          </w:tcPr>
          <w:p w14:paraId="505E3E05">
            <w:pPr>
              <w:pStyle w:val="19"/>
              <w:bidi w:val="0"/>
              <w:rPr>
                <w:rFonts w:hint="default" w:eastAsia="宋体"/>
                <w:color w:val="auto"/>
                <w:lang w:val="en-US" w:eastAsia="zh-CN"/>
              </w:rPr>
            </w:pPr>
            <w:r>
              <w:rPr>
                <w:rFonts w:hint="eastAsia"/>
                <w:color w:val="auto"/>
                <w:lang w:val="en-US" w:eastAsia="zh-CN"/>
              </w:rPr>
              <w:t>53.4</w:t>
            </w:r>
          </w:p>
        </w:tc>
        <w:tc>
          <w:tcPr>
            <w:tcW w:w="0" w:type="auto"/>
            <w:vMerge w:val="restart"/>
            <w:vAlign w:val="center"/>
          </w:tcPr>
          <w:p w14:paraId="1745EB4A">
            <w:pPr>
              <w:pStyle w:val="19"/>
              <w:bidi w:val="0"/>
              <w:rPr>
                <w:rFonts w:hint="eastAsia" w:eastAsia="宋体"/>
                <w:color w:val="auto"/>
                <w:lang w:val="en-US" w:eastAsia="zh-CN"/>
              </w:rPr>
            </w:pPr>
            <w:r>
              <w:rPr>
                <w:rFonts w:hint="eastAsia"/>
                <w:color w:val="auto"/>
                <w:lang w:val="en-US" w:eastAsia="zh-CN"/>
              </w:rPr>
              <w:t>昼间</w:t>
            </w:r>
          </w:p>
        </w:tc>
        <w:tc>
          <w:tcPr>
            <w:tcW w:w="0" w:type="auto"/>
            <w:vAlign w:val="center"/>
          </w:tcPr>
          <w:p w14:paraId="61D179FC">
            <w:pPr>
              <w:pStyle w:val="19"/>
              <w:bidi w:val="0"/>
              <w:rPr>
                <w:rFonts w:hint="default" w:eastAsia="宋体"/>
                <w:color w:val="auto"/>
                <w:lang w:val="en-US" w:eastAsia="zh-CN"/>
              </w:rPr>
            </w:pPr>
            <w:r>
              <w:rPr>
                <w:rFonts w:hint="eastAsia"/>
                <w:color w:val="auto"/>
                <w:lang w:val="en-US" w:eastAsia="zh-CN"/>
              </w:rPr>
              <w:t>20</w:t>
            </w:r>
          </w:p>
        </w:tc>
        <w:tc>
          <w:tcPr>
            <w:tcW w:w="0" w:type="auto"/>
            <w:vAlign w:val="center"/>
          </w:tcPr>
          <w:p w14:paraId="71C05A8A">
            <w:pPr>
              <w:pStyle w:val="19"/>
              <w:bidi w:val="0"/>
              <w:rPr>
                <w:rFonts w:hint="default" w:eastAsia="宋体"/>
                <w:color w:val="auto"/>
                <w:lang w:val="en-US" w:eastAsia="zh-CN"/>
              </w:rPr>
            </w:pPr>
            <w:r>
              <w:rPr>
                <w:rFonts w:hint="eastAsia"/>
                <w:color w:val="auto"/>
                <w:lang w:val="en-US" w:eastAsia="zh-CN"/>
              </w:rPr>
              <w:t>26.1</w:t>
            </w:r>
          </w:p>
        </w:tc>
        <w:tc>
          <w:tcPr>
            <w:tcW w:w="0" w:type="auto"/>
            <w:vAlign w:val="center"/>
          </w:tcPr>
          <w:p w14:paraId="270D6E4B">
            <w:pPr>
              <w:pStyle w:val="19"/>
              <w:bidi w:val="0"/>
              <w:rPr>
                <w:rFonts w:hint="default" w:eastAsia="宋体"/>
                <w:color w:val="auto"/>
                <w:lang w:val="en-US" w:eastAsia="zh-CN"/>
              </w:rPr>
            </w:pPr>
            <w:r>
              <w:rPr>
                <w:rFonts w:hint="eastAsia"/>
                <w:color w:val="auto"/>
                <w:lang w:val="en-US" w:eastAsia="zh-CN"/>
              </w:rPr>
              <w:t>34.3</w:t>
            </w:r>
          </w:p>
        </w:tc>
        <w:tc>
          <w:tcPr>
            <w:tcW w:w="0" w:type="auto"/>
            <w:vAlign w:val="center"/>
          </w:tcPr>
          <w:p w14:paraId="627B95A1">
            <w:pPr>
              <w:pStyle w:val="19"/>
              <w:bidi w:val="0"/>
              <w:rPr>
                <w:rFonts w:hint="default" w:eastAsia="宋体"/>
                <w:color w:val="auto"/>
                <w:lang w:val="en-US" w:eastAsia="zh-CN"/>
              </w:rPr>
            </w:pPr>
            <w:r>
              <w:rPr>
                <w:rFonts w:hint="eastAsia"/>
                <w:color w:val="auto"/>
                <w:lang w:val="en-US" w:eastAsia="zh-CN"/>
              </w:rPr>
              <w:t>49.4</w:t>
            </w:r>
          </w:p>
        </w:tc>
        <w:tc>
          <w:tcPr>
            <w:tcW w:w="0" w:type="auto"/>
            <w:vAlign w:val="center"/>
          </w:tcPr>
          <w:p w14:paraId="48CB9193">
            <w:pPr>
              <w:pStyle w:val="19"/>
              <w:bidi w:val="0"/>
              <w:rPr>
                <w:rFonts w:hint="default" w:eastAsia="宋体"/>
                <w:color w:val="auto"/>
                <w:lang w:val="en-US" w:eastAsia="zh-CN"/>
              </w:rPr>
            </w:pPr>
            <w:r>
              <w:rPr>
                <w:rFonts w:hint="eastAsia"/>
                <w:color w:val="auto"/>
                <w:lang w:val="en-US" w:eastAsia="zh-CN"/>
              </w:rPr>
              <w:t>33.4</w:t>
            </w:r>
          </w:p>
        </w:tc>
        <w:tc>
          <w:tcPr>
            <w:tcW w:w="0" w:type="auto"/>
            <w:vAlign w:val="center"/>
          </w:tcPr>
          <w:p w14:paraId="3CCDC5F0">
            <w:pPr>
              <w:pStyle w:val="19"/>
              <w:bidi w:val="0"/>
              <w:rPr>
                <w:rFonts w:hint="default" w:eastAsia="宋体"/>
                <w:color w:val="auto"/>
                <w:lang w:val="en-US" w:eastAsia="zh-CN"/>
              </w:rPr>
            </w:pPr>
            <w:r>
              <w:rPr>
                <w:rFonts w:hint="eastAsia"/>
                <w:color w:val="auto"/>
                <w:lang w:val="en-US" w:eastAsia="zh-CN"/>
              </w:rPr>
              <w:t>1m</w:t>
            </w:r>
          </w:p>
        </w:tc>
      </w:tr>
      <w:tr w14:paraId="772D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80977DF">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21107F70">
            <w:pPr>
              <w:pStyle w:val="21"/>
              <w:widowControl w:val="0"/>
              <w:bidi w:val="0"/>
              <w:jc w:val="center"/>
              <w:rPr>
                <w:color w:val="auto"/>
              </w:rPr>
            </w:pPr>
          </w:p>
        </w:tc>
        <w:tc>
          <w:tcPr>
            <w:tcW w:w="0" w:type="auto"/>
            <w:vAlign w:val="center"/>
          </w:tcPr>
          <w:p w14:paraId="7E5FF0B1">
            <w:pPr>
              <w:pStyle w:val="19"/>
              <w:bidi w:val="0"/>
              <w:rPr>
                <w:rFonts w:hint="default" w:eastAsia="宋体"/>
                <w:color w:val="auto"/>
                <w:lang w:val="en-US" w:eastAsia="zh-CN"/>
              </w:rPr>
            </w:pPr>
            <w:r>
              <w:rPr>
                <w:rFonts w:hint="eastAsia"/>
                <w:color w:val="auto"/>
                <w:lang w:val="en-US" w:eastAsia="zh-CN"/>
              </w:rPr>
              <w:t>干式搅拌机</w:t>
            </w:r>
          </w:p>
        </w:tc>
        <w:tc>
          <w:tcPr>
            <w:tcW w:w="0" w:type="auto"/>
            <w:vAlign w:val="center"/>
          </w:tcPr>
          <w:p w14:paraId="6F830CF7">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04EC3D54">
            <w:pPr>
              <w:pStyle w:val="19"/>
              <w:bidi w:val="0"/>
              <w:rPr>
                <w:rFonts w:hint="default" w:eastAsia="宋体"/>
                <w:color w:val="auto"/>
                <w:lang w:val="en-US" w:eastAsia="zh-CN"/>
              </w:rPr>
            </w:pPr>
            <w:r>
              <w:rPr>
                <w:rFonts w:hint="eastAsia"/>
                <w:color w:val="auto"/>
                <w:lang w:val="en-US" w:eastAsia="zh-CN"/>
              </w:rPr>
              <w:t>80</w:t>
            </w:r>
          </w:p>
        </w:tc>
        <w:tc>
          <w:tcPr>
            <w:tcW w:w="0" w:type="auto"/>
            <w:vAlign w:val="center"/>
          </w:tcPr>
          <w:p w14:paraId="3DA52AD4">
            <w:pPr>
              <w:pStyle w:val="19"/>
              <w:bidi w:val="0"/>
              <w:rPr>
                <w:rFonts w:hint="eastAsia" w:eastAsia="宋体"/>
                <w:color w:val="auto"/>
                <w:lang w:val="en-US" w:eastAsia="zh-CN"/>
              </w:rPr>
            </w:pPr>
            <w:r>
              <w:rPr>
                <w:rFonts w:hint="eastAsia"/>
                <w:color w:val="auto"/>
                <w:lang w:val="en-US" w:eastAsia="zh-CN"/>
              </w:rPr>
              <w:t>基础减震</w:t>
            </w:r>
          </w:p>
        </w:tc>
        <w:tc>
          <w:tcPr>
            <w:tcW w:w="0" w:type="auto"/>
            <w:vAlign w:val="center"/>
          </w:tcPr>
          <w:p w14:paraId="3F5C35A6">
            <w:pPr>
              <w:pStyle w:val="19"/>
              <w:bidi w:val="0"/>
              <w:rPr>
                <w:rFonts w:hint="default" w:eastAsia="宋体"/>
                <w:color w:val="auto"/>
                <w:lang w:val="en-US" w:eastAsia="zh-CN"/>
              </w:rPr>
            </w:pPr>
            <w:r>
              <w:rPr>
                <w:rFonts w:hint="eastAsia"/>
                <w:color w:val="auto"/>
                <w:lang w:val="en-US" w:eastAsia="zh-CN"/>
              </w:rPr>
              <w:t>10</w:t>
            </w:r>
          </w:p>
        </w:tc>
        <w:tc>
          <w:tcPr>
            <w:tcW w:w="0" w:type="auto"/>
            <w:vAlign w:val="center"/>
          </w:tcPr>
          <w:p w14:paraId="52D4895F">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3B430DEA">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065950CC">
            <w:pPr>
              <w:pStyle w:val="19"/>
              <w:bidi w:val="0"/>
              <w:rPr>
                <w:rFonts w:hint="default" w:eastAsia="宋体"/>
                <w:color w:val="auto"/>
                <w:lang w:val="en-US" w:eastAsia="zh-CN"/>
              </w:rPr>
            </w:pPr>
            <w:r>
              <w:rPr>
                <w:rFonts w:hint="eastAsia"/>
                <w:color w:val="auto"/>
                <w:lang w:val="en-US" w:eastAsia="zh-CN"/>
              </w:rPr>
              <w:t>87</w:t>
            </w:r>
          </w:p>
        </w:tc>
        <w:tc>
          <w:tcPr>
            <w:tcW w:w="0" w:type="auto"/>
            <w:vAlign w:val="center"/>
          </w:tcPr>
          <w:p w14:paraId="686D4A38">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39732D0A">
            <w:pPr>
              <w:pStyle w:val="19"/>
              <w:bidi w:val="0"/>
              <w:rPr>
                <w:rFonts w:hint="default" w:eastAsia="宋体"/>
                <w:color w:val="auto"/>
                <w:lang w:val="en-US" w:eastAsia="zh-CN"/>
              </w:rPr>
            </w:pPr>
            <w:r>
              <w:rPr>
                <w:rFonts w:hint="eastAsia"/>
                <w:color w:val="auto"/>
                <w:lang w:val="en-US" w:eastAsia="zh-CN"/>
              </w:rPr>
              <w:t>10</w:t>
            </w:r>
          </w:p>
        </w:tc>
        <w:tc>
          <w:tcPr>
            <w:tcW w:w="0" w:type="auto"/>
            <w:vAlign w:val="center"/>
          </w:tcPr>
          <w:p w14:paraId="285F7F62">
            <w:pPr>
              <w:pStyle w:val="19"/>
              <w:bidi w:val="0"/>
              <w:rPr>
                <w:rFonts w:hint="default" w:eastAsia="宋体"/>
                <w:color w:val="auto"/>
                <w:lang w:val="en-US" w:eastAsia="zh-CN"/>
              </w:rPr>
            </w:pPr>
            <w:r>
              <w:rPr>
                <w:rFonts w:hint="eastAsia"/>
                <w:color w:val="auto"/>
                <w:lang w:val="en-US" w:eastAsia="zh-CN"/>
              </w:rPr>
              <w:t>38</w:t>
            </w:r>
          </w:p>
        </w:tc>
        <w:tc>
          <w:tcPr>
            <w:tcW w:w="0" w:type="auto"/>
            <w:vAlign w:val="center"/>
          </w:tcPr>
          <w:p w14:paraId="350C2909">
            <w:pPr>
              <w:pStyle w:val="19"/>
              <w:bidi w:val="0"/>
              <w:rPr>
                <w:rFonts w:hint="default" w:eastAsia="宋体"/>
                <w:color w:val="auto"/>
                <w:lang w:val="en-US" w:eastAsia="zh-CN"/>
              </w:rPr>
            </w:pPr>
            <w:r>
              <w:rPr>
                <w:rFonts w:hint="eastAsia"/>
                <w:color w:val="auto"/>
                <w:lang w:val="en-US" w:eastAsia="zh-CN"/>
              </w:rPr>
              <w:t>41.2</w:t>
            </w:r>
          </w:p>
        </w:tc>
        <w:tc>
          <w:tcPr>
            <w:tcW w:w="0" w:type="auto"/>
            <w:vAlign w:val="center"/>
          </w:tcPr>
          <w:p w14:paraId="12581BC1">
            <w:pPr>
              <w:pStyle w:val="19"/>
              <w:bidi w:val="0"/>
              <w:rPr>
                <w:rFonts w:hint="default" w:eastAsia="宋体"/>
                <w:color w:val="auto"/>
                <w:lang w:val="en-US" w:eastAsia="zh-CN"/>
              </w:rPr>
            </w:pPr>
            <w:r>
              <w:rPr>
                <w:rFonts w:hint="eastAsia"/>
                <w:color w:val="auto"/>
                <w:lang w:val="en-US" w:eastAsia="zh-CN"/>
              </w:rPr>
              <w:t>66.0</w:t>
            </w:r>
          </w:p>
        </w:tc>
        <w:tc>
          <w:tcPr>
            <w:tcW w:w="0" w:type="auto"/>
            <w:vAlign w:val="center"/>
          </w:tcPr>
          <w:p w14:paraId="7AE763F0">
            <w:pPr>
              <w:pStyle w:val="19"/>
              <w:bidi w:val="0"/>
              <w:rPr>
                <w:rFonts w:hint="default" w:eastAsia="宋体"/>
                <w:color w:val="auto"/>
                <w:lang w:val="en-US" w:eastAsia="zh-CN"/>
              </w:rPr>
            </w:pPr>
            <w:r>
              <w:rPr>
                <w:rFonts w:hint="eastAsia"/>
                <w:color w:val="auto"/>
                <w:lang w:val="en-US" w:eastAsia="zh-CN"/>
              </w:rPr>
              <w:t>60.0</w:t>
            </w:r>
          </w:p>
        </w:tc>
        <w:tc>
          <w:tcPr>
            <w:tcW w:w="0" w:type="auto"/>
            <w:vAlign w:val="center"/>
          </w:tcPr>
          <w:p w14:paraId="2A6F40A5">
            <w:pPr>
              <w:pStyle w:val="19"/>
              <w:bidi w:val="0"/>
              <w:rPr>
                <w:rFonts w:hint="default" w:eastAsia="宋体"/>
                <w:color w:val="auto"/>
                <w:lang w:val="en-US" w:eastAsia="zh-CN"/>
              </w:rPr>
            </w:pPr>
            <w:r>
              <w:rPr>
                <w:rFonts w:hint="eastAsia"/>
                <w:color w:val="auto"/>
                <w:lang w:val="en-US" w:eastAsia="zh-CN"/>
              </w:rPr>
              <w:t>48.4</w:t>
            </w:r>
          </w:p>
        </w:tc>
        <w:tc>
          <w:tcPr>
            <w:tcW w:w="0" w:type="auto"/>
            <w:vMerge w:val="continue"/>
            <w:vAlign w:val="center"/>
          </w:tcPr>
          <w:p w14:paraId="027A2049">
            <w:pPr>
              <w:pStyle w:val="21"/>
              <w:widowControl w:val="0"/>
              <w:bidi w:val="0"/>
              <w:jc w:val="center"/>
              <w:rPr>
                <w:color w:val="auto"/>
              </w:rPr>
            </w:pPr>
          </w:p>
        </w:tc>
        <w:tc>
          <w:tcPr>
            <w:tcW w:w="0" w:type="auto"/>
            <w:vAlign w:val="center"/>
          </w:tcPr>
          <w:p w14:paraId="5F0BF21D">
            <w:pPr>
              <w:pStyle w:val="19"/>
              <w:bidi w:val="0"/>
              <w:rPr>
                <w:rFonts w:hint="default" w:eastAsia="宋体"/>
                <w:color w:val="auto"/>
                <w:lang w:val="en-US" w:eastAsia="zh-CN"/>
              </w:rPr>
            </w:pPr>
            <w:r>
              <w:rPr>
                <w:rFonts w:hint="eastAsia"/>
                <w:color w:val="auto"/>
                <w:lang w:val="en-US" w:eastAsia="zh-CN"/>
              </w:rPr>
              <w:t>20</w:t>
            </w:r>
          </w:p>
        </w:tc>
        <w:tc>
          <w:tcPr>
            <w:tcW w:w="0" w:type="auto"/>
            <w:vAlign w:val="center"/>
          </w:tcPr>
          <w:p w14:paraId="66243E5B">
            <w:pPr>
              <w:pStyle w:val="19"/>
              <w:bidi w:val="0"/>
              <w:rPr>
                <w:rFonts w:hint="default" w:eastAsia="宋体"/>
                <w:color w:val="auto"/>
                <w:lang w:val="en-US" w:eastAsia="zh-CN"/>
              </w:rPr>
            </w:pPr>
            <w:r>
              <w:rPr>
                <w:rFonts w:hint="eastAsia"/>
                <w:color w:val="auto"/>
                <w:lang w:val="en-US" w:eastAsia="zh-CN"/>
              </w:rPr>
              <w:t>21.2</w:t>
            </w:r>
          </w:p>
        </w:tc>
        <w:tc>
          <w:tcPr>
            <w:tcW w:w="0" w:type="auto"/>
            <w:vAlign w:val="center"/>
          </w:tcPr>
          <w:p w14:paraId="69D9369D">
            <w:pPr>
              <w:pStyle w:val="19"/>
              <w:bidi w:val="0"/>
              <w:rPr>
                <w:rFonts w:hint="default" w:eastAsia="宋体"/>
                <w:color w:val="auto"/>
                <w:lang w:val="en-US" w:eastAsia="zh-CN"/>
              </w:rPr>
            </w:pPr>
            <w:r>
              <w:rPr>
                <w:rFonts w:hint="eastAsia"/>
                <w:color w:val="auto"/>
                <w:lang w:val="en-US" w:eastAsia="zh-CN"/>
              </w:rPr>
              <w:t>46.0</w:t>
            </w:r>
          </w:p>
        </w:tc>
        <w:tc>
          <w:tcPr>
            <w:tcW w:w="0" w:type="auto"/>
            <w:vAlign w:val="center"/>
          </w:tcPr>
          <w:p w14:paraId="213A2F1E">
            <w:pPr>
              <w:pStyle w:val="19"/>
              <w:bidi w:val="0"/>
              <w:rPr>
                <w:rFonts w:hint="default" w:eastAsia="宋体"/>
                <w:color w:val="auto"/>
                <w:lang w:val="en-US" w:eastAsia="zh-CN"/>
              </w:rPr>
            </w:pPr>
            <w:r>
              <w:rPr>
                <w:rFonts w:hint="eastAsia"/>
                <w:color w:val="auto"/>
                <w:lang w:val="en-US" w:eastAsia="zh-CN"/>
              </w:rPr>
              <w:t>40.0</w:t>
            </w:r>
          </w:p>
        </w:tc>
        <w:tc>
          <w:tcPr>
            <w:tcW w:w="0" w:type="auto"/>
            <w:vAlign w:val="center"/>
          </w:tcPr>
          <w:p w14:paraId="72790698">
            <w:pPr>
              <w:pStyle w:val="19"/>
              <w:bidi w:val="0"/>
              <w:rPr>
                <w:rFonts w:hint="default" w:eastAsia="宋体"/>
                <w:color w:val="auto"/>
                <w:lang w:val="en-US" w:eastAsia="zh-CN"/>
              </w:rPr>
            </w:pPr>
            <w:r>
              <w:rPr>
                <w:rFonts w:hint="eastAsia"/>
                <w:color w:val="auto"/>
                <w:lang w:val="en-US" w:eastAsia="zh-CN"/>
              </w:rPr>
              <w:t>28.4</w:t>
            </w:r>
          </w:p>
        </w:tc>
        <w:tc>
          <w:tcPr>
            <w:tcW w:w="0" w:type="auto"/>
            <w:vAlign w:val="center"/>
          </w:tcPr>
          <w:p w14:paraId="321BD886">
            <w:pPr>
              <w:pStyle w:val="19"/>
              <w:bidi w:val="0"/>
              <w:rPr>
                <w:color w:val="auto"/>
              </w:rPr>
            </w:pPr>
            <w:r>
              <w:rPr>
                <w:rFonts w:hint="eastAsia"/>
                <w:color w:val="auto"/>
                <w:lang w:val="en-US" w:eastAsia="zh-CN"/>
              </w:rPr>
              <w:t>1m</w:t>
            </w:r>
          </w:p>
        </w:tc>
      </w:tr>
      <w:tr w14:paraId="6223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FBE3F3B">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6A55181B">
            <w:pPr>
              <w:pStyle w:val="21"/>
              <w:widowControl w:val="0"/>
              <w:bidi w:val="0"/>
              <w:jc w:val="center"/>
              <w:rPr>
                <w:color w:val="auto"/>
              </w:rPr>
            </w:pPr>
          </w:p>
        </w:tc>
        <w:tc>
          <w:tcPr>
            <w:tcW w:w="0" w:type="auto"/>
            <w:vAlign w:val="center"/>
          </w:tcPr>
          <w:p w14:paraId="580B9527">
            <w:pPr>
              <w:pStyle w:val="19"/>
              <w:bidi w:val="0"/>
              <w:rPr>
                <w:rFonts w:hint="eastAsia" w:eastAsia="宋体"/>
                <w:color w:val="auto"/>
                <w:lang w:val="en-US" w:eastAsia="zh-CN"/>
              </w:rPr>
            </w:pPr>
            <w:r>
              <w:rPr>
                <w:rFonts w:hint="eastAsia"/>
                <w:color w:val="auto"/>
                <w:lang w:val="en-US" w:eastAsia="zh-CN"/>
              </w:rPr>
              <w:t>湿混搅拌机</w:t>
            </w:r>
          </w:p>
        </w:tc>
        <w:tc>
          <w:tcPr>
            <w:tcW w:w="0" w:type="auto"/>
            <w:vAlign w:val="center"/>
          </w:tcPr>
          <w:p w14:paraId="5632736F">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6E339058">
            <w:pPr>
              <w:pStyle w:val="19"/>
              <w:bidi w:val="0"/>
              <w:rPr>
                <w:rFonts w:hint="default" w:eastAsia="宋体"/>
                <w:color w:val="auto"/>
                <w:lang w:val="en-US" w:eastAsia="zh-CN"/>
              </w:rPr>
            </w:pPr>
            <w:r>
              <w:rPr>
                <w:rFonts w:hint="eastAsia"/>
                <w:color w:val="auto"/>
                <w:lang w:val="en-US" w:eastAsia="zh-CN"/>
              </w:rPr>
              <w:t>80</w:t>
            </w:r>
          </w:p>
        </w:tc>
        <w:tc>
          <w:tcPr>
            <w:tcW w:w="0" w:type="auto"/>
            <w:vAlign w:val="center"/>
          </w:tcPr>
          <w:p w14:paraId="49EAB8B6">
            <w:pPr>
              <w:pStyle w:val="19"/>
              <w:bidi w:val="0"/>
              <w:rPr>
                <w:color w:val="auto"/>
              </w:rPr>
            </w:pPr>
            <w:r>
              <w:rPr>
                <w:rFonts w:hint="eastAsia"/>
                <w:color w:val="auto"/>
                <w:lang w:val="en-US" w:eastAsia="zh-CN"/>
              </w:rPr>
              <w:t>基础减震</w:t>
            </w:r>
          </w:p>
        </w:tc>
        <w:tc>
          <w:tcPr>
            <w:tcW w:w="0" w:type="auto"/>
            <w:vAlign w:val="center"/>
          </w:tcPr>
          <w:p w14:paraId="03CF14B2">
            <w:pPr>
              <w:pStyle w:val="19"/>
              <w:bidi w:val="0"/>
              <w:rPr>
                <w:rFonts w:hint="default" w:eastAsia="宋体"/>
                <w:color w:val="auto"/>
                <w:lang w:val="en-US" w:eastAsia="zh-CN"/>
              </w:rPr>
            </w:pPr>
            <w:r>
              <w:rPr>
                <w:rFonts w:hint="eastAsia"/>
                <w:color w:val="auto"/>
                <w:lang w:val="en-US" w:eastAsia="zh-CN"/>
              </w:rPr>
              <w:t>14</w:t>
            </w:r>
          </w:p>
        </w:tc>
        <w:tc>
          <w:tcPr>
            <w:tcW w:w="0" w:type="auto"/>
            <w:vAlign w:val="center"/>
          </w:tcPr>
          <w:p w14:paraId="56890ACF">
            <w:pPr>
              <w:pStyle w:val="19"/>
              <w:bidi w:val="0"/>
              <w:rPr>
                <w:rFonts w:hint="default" w:eastAsia="宋体"/>
                <w:color w:val="auto"/>
                <w:lang w:val="en-US" w:eastAsia="zh-CN"/>
              </w:rPr>
            </w:pPr>
            <w:r>
              <w:rPr>
                <w:rFonts w:hint="eastAsia"/>
                <w:color w:val="auto"/>
                <w:lang w:val="en-US" w:eastAsia="zh-CN"/>
              </w:rPr>
              <w:t>5</w:t>
            </w:r>
          </w:p>
        </w:tc>
        <w:tc>
          <w:tcPr>
            <w:tcW w:w="0" w:type="auto"/>
            <w:vAlign w:val="center"/>
          </w:tcPr>
          <w:p w14:paraId="2F07BC52">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1E6AA0A3">
            <w:pPr>
              <w:pStyle w:val="19"/>
              <w:bidi w:val="0"/>
              <w:rPr>
                <w:rFonts w:hint="default" w:eastAsia="宋体"/>
                <w:color w:val="auto"/>
                <w:lang w:val="en-US" w:eastAsia="zh-CN"/>
              </w:rPr>
            </w:pPr>
            <w:r>
              <w:rPr>
                <w:rFonts w:hint="eastAsia"/>
                <w:color w:val="auto"/>
                <w:lang w:val="en-US" w:eastAsia="zh-CN"/>
              </w:rPr>
              <w:t>83</w:t>
            </w:r>
          </w:p>
        </w:tc>
        <w:tc>
          <w:tcPr>
            <w:tcW w:w="0" w:type="auto"/>
            <w:vAlign w:val="center"/>
          </w:tcPr>
          <w:p w14:paraId="0EEFD2B0">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439BFC87">
            <w:pPr>
              <w:pStyle w:val="19"/>
              <w:bidi w:val="0"/>
              <w:rPr>
                <w:rFonts w:hint="default" w:eastAsia="宋体"/>
                <w:color w:val="auto"/>
                <w:lang w:val="en-US" w:eastAsia="zh-CN"/>
              </w:rPr>
            </w:pPr>
            <w:r>
              <w:rPr>
                <w:rFonts w:hint="eastAsia"/>
                <w:color w:val="auto"/>
                <w:lang w:val="en-US" w:eastAsia="zh-CN"/>
              </w:rPr>
              <w:t>14</w:t>
            </w:r>
          </w:p>
        </w:tc>
        <w:tc>
          <w:tcPr>
            <w:tcW w:w="0" w:type="auto"/>
            <w:vAlign w:val="center"/>
          </w:tcPr>
          <w:p w14:paraId="58801C0C">
            <w:pPr>
              <w:pStyle w:val="19"/>
              <w:bidi w:val="0"/>
              <w:rPr>
                <w:rFonts w:hint="default" w:eastAsia="宋体"/>
                <w:color w:val="auto"/>
                <w:lang w:val="en-US" w:eastAsia="zh-CN"/>
              </w:rPr>
            </w:pPr>
            <w:r>
              <w:rPr>
                <w:rFonts w:hint="eastAsia"/>
                <w:color w:val="auto"/>
                <w:lang w:val="en-US" w:eastAsia="zh-CN"/>
              </w:rPr>
              <w:t>38</w:t>
            </w:r>
          </w:p>
        </w:tc>
        <w:tc>
          <w:tcPr>
            <w:tcW w:w="0" w:type="auto"/>
            <w:vAlign w:val="center"/>
          </w:tcPr>
          <w:p w14:paraId="05393712">
            <w:pPr>
              <w:pStyle w:val="19"/>
              <w:bidi w:val="0"/>
              <w:rPr>
                <w:rFonts w:hint="default" w:eastAsia="宋体"/>
                <w:color w:val="auto"/>
                <w:lang w:val="en-US" w:eastAsia="zh-CN"/>
              </w:rPr>
            </w:pPr>
            <w:r>
              <w:rPr>
                <w:rFonts w:hint="eastAsia"/>
                <w:color w:val="auto"/>
                <w:lang w:val="en-US" w:eastAsia="zh-CN"/>
              </w:rPr>
              <w:t>41.6</w:t>
            </w:r>
          </w:p>
        </w:tc>
        <w:tc>
          <w:tcPr>
            <w:tcW w:w="0" w:type="auto"/>
            <w:vAlign w:val="center"/>
          </w:tcPr>
          <w:p w14:paraId="7BE1E9D9">
            <w:pPr>
              <w:pStyle w:val="19"/>
              <w:bidi w:val="0"/>
              <w:rPr>
                <w:rFonts w:hint="default" w:eastAsia="宋体"/>
                <w:color w:val="auto"/>
                <w:lang w:val="en-US" w:eastAsia="zh-CN"/>
              </w:rPr>
            </w:pPr>
            <w:r>
              <w:rPr>
                <w:rFonts w:hint="eastAsia"/>
                <w:color w:val="auto"/>
                <w:lang w:val="en-US" w:eastAsia="zh-CN"/>
              </w:rPr>
              <w:t>66.0</w:t>
            </w:r>
          </w:p>
        </w:tc>
        <w:tc>
          <w:tcPr>
            <w:tcW w:w="0" w:type="auto"/>
            <w:vAlign w:val="center"/>
          </w:tcPr>
          <w:p w14:paraId="7A25B2FB">
            <w:pPr>
              <w:pStyle w:val="19"/>
              <w:bidi w:val="0"/>
              <w:rPr>
                <w:rFonts w:hint="default" w:eastAsia="宋体"/>
                <w:color w:val="auto"/>
                <w:lang w:val="en-US" w:eastAsia="zh-CN"/>
              </w:rPr>
            </w:pPr>
            <w:r>
              <w:rPr>
                <w:rFonts w:hint="eastAsia"/>
                <w:color w:val="auto"/>
                <w:lang w:val="en-US" w:eastAsia="zh-CN"/>
              </w:rPr>
              <w:t>57.1</w:t>
            </w:r>
          </w:p>
        </w:tc>
        <w:tc>
          <w:tcPr>
            <w:tcW w:w="0" w:type="auto"/>
            <w:vAlign w:val="center"/>
          </w:tcPr>
          <w:p w14:paraId="0C6DA55C">
            <w:pPr>
              <w:pStyle w:val="19"/>
              <w:bidi w:val="0"/>
              <w:rPr>
                <w:rFonts w:hint="default" w:eastAsia="宋体"/>
                <w:color w:val="auto"/>
                <w:lang w:val="en-US" w:eastAsia="zh-CN"/>
              </w:rPr>
            </w:pPr>
            <w:r>
              <w:rPr>
                <w:rFonts w:hint="eastAsia"/>
                <w:color w:val="auto"/>
                <w:lang w:val="en-US" w:eastAsia="zh-CN"/>
              </w:rPr>
              <w:t>48.4</w:t>
            </w:r>
          </w:p>
        </w:tc>
        <w:tc>
          <w:tcPr>
            <w:tcW w:w="0" w:type="auto"/>
            <w:vMerge w:val="continue"/>
            <w:vAlign w:val="center"/>
          </w:tcPr>
          <w:p w14:paraId="65634E0B">
            <w:pPr>
              <w:pStyle w:val="21"/>
              <w:widowControl w:val="0"/>
              <w:bidi w:val="0"/>
              <w:jc w:val="center"/>
              <w:rPr>
                <w:color w:val="auto"/>
              </w:rPr>
            </w:pPr>
          </w:p>
        </w:tc>
        <w:tc>
          <w:tcPr>
            <w:tcW w:w="0" w:type="auto"/>
            <w:vAlign w:val="center"/>
          </w:tcPr>
          <w:p w14:paraId="6E8E8AA2">
            <w:pPr>
              <w:pStyle w:val="19"/>
              <w:bidi w:val="0"/>
              <w:rPr>
                <w:rFonts w:hint="default" w:eastAsia="宋体"/>
                <w:color w:val="auto"/>
                <w:lang w:val="en-US" w:eastAsia="zh-CN"/>
              </w:rPr>
            </w:pPr>
            <w:r>
              <w:rPr>
                <w:rFonts w:hint="eastAsia"/>
                <w:color w:val="auto"/>
                <w:lang w:val="en-US" w:eastAsia="zh-CN"/>
              </w:rPr>
              <w:t>20</w:t>
            </w:r>
          </w:p>
        </w:tc>
        <w:tc>
          <w:tcPr>
            <w:tcW w:w="0" w:type="auto"/>
            <w:vAlign w:val="center"/>
          </w:tcPr>
          <w:p w14:paraId="4A8FC046">
            <w:pPr>
              <w:pStyle w:val="19"/>
              <w:bidi w:val="0"/>
              <w:rPr>
                <w:rFonts w:hint="default" w:eastAsia="宋体"/>
                <w:color w:val="auto"/>
                <w:lang w:val="en-US" w:eastAsia="zh-CN"/>
              </w:rPr>
            </w:pPr>
            <w:r>
              <w:rPr>
                <w:rFonts w:hint="eastAsia"/>
                <w:color w:val="auto"/>
                <w:lang w:val="en-US" w:eastAsia="zh-CN"/>
              </w:rPr>
              <w:t>21.6</w:t>
            </w:r>
          </w:p>
        </w:tc>
        <w:tc>
          <w:tcPr>
            <w:tcW w:w="0" w:type="auto"/>
            <w:vAlign w:val="center"/>
          </w:tcPr>
          <w:p w14:paraId="225595EF">
            <w:pPr>
              <w:pStyle w:val="19"/>
              <w:bidi w:val="0"/>
              <w:rPr>
                <w:rFonts w:hint="default" w:eastAsia="宋体"/>
                <w:color w:val="auto"/>
                <w:lang w:val="en-US" w:eastAsia="zh-CN"/>
              </w:rPr>
            </w:pPr>
            <w:r>
              <w:rPr>
                <w:rFonts w:hint="eastAsia"/>
                <w:color w:val="auto"/>
                <w:lang w:val="en-US" w:eastAsia="zh-CN"/>
              </w:rPr>
              <w:t>46.0</w:t>
            </w:r>
          </w:p>
        </w:tc>
        <w:tc>
          <w:tcPr>
            <w:tcW w:w="0" w:type="auto"/>
            <w:vAlign w:val="center"/>
          </w:tcPr>
          <w:p w14:paraId="234138EF">
            <w:pPr>
              <w:pStyle w:val="19"/>
              <w:bidi w:val="0"/>
              <w:rPr>
                <w:rFonts w:hint="default" w:eastAsia="宋体"/>
                <w:color w:val="auto"/>
                <w:lang w:val="en-US" w:eastAsia="zh-CN"/>
              </w:rPr>
            </w:pPr>
            <w:r>
              <w:rPr>
                <w:rFonts w:hint="eastAsia"/>
                <w:color w:val="auto"/>
                <w:lang w:val="en-US" w:eastAsia="zh-CN"/>
              </w:rPr>
              <w:t>37.1</w:t>
            </w:r>
          </w:p>
        </w:tc>
        <w:tc>
          <w:tcPr>
            <w:tcW w:w="0" w:type="auto"/>
            <w:vAlign w:val="center"/>
          </w:tcPr>
          <w:p w14:paraId="5E883496">
            <w:pPr>
              <w:pStyle w:val="19"/>
              <w:bidi w:val="0"/>
              <w:rPr>
                <w:rFonts w:hint="default" w:eastAsia="宋体"/>
                <w:color w:val="auto"/>
                <w:lang w:val="en-US" w:eastAsia="zh-CN"/>
              </w:rPr>
            </w:pPr>
            <w:r>
              <w:rPr>
                <w:rFonts w:hint="eastAsia"/>
                <w:color w:val="auto"/>
                <w:lang w:val="en-US" w:eastAsia="zh-CN"/>
              </w:rPr>
              <w:t>28.4</w:t>
            </w:r>
          </w:p>
        </w:tc>
        <w:tc>
          <w:tcPr>
            <w:tcW w:w="0" w:type="auto"/>
            <w:vAlign w:val="center"/>
          </w:tcPr>
          <w:p w14:paraId="07A8EDFD">
            <w:pPr>
              <w:pStyle w:val="19"/>
              <w:bidi w:val="0"/>
              <w:rPr>
                <w:color w:val="auto"/>
              </w:rPr>
            </w:pPr>
            <w:r>
              <w:rPr>
                <w:rFonts w:hint="eastAsia"/>
                <w:color w:val="auto"/>
                <w:lang w:val="en-US" w:eastAsia="zh-CN"/>
              </w:rPr>
              <w:t>1m</w:t>
            </w:r>
          </w:p>
        </w:tc>
      </w:tr>
      <w:tr w14:paraId="7B2E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0ED4A4">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0728B590">
            <w:pPr>
              <w:pStyle w:val="21"/>
              <w:widowControl w:val="0"/>
              <w:bidi w:val="0"/>
              <w:jc w:val="center"/>
              <w:rPr>
                <w:color w:val="auto"/>
              </w:rPr>
            </w:pPr>
          </w:p>
        </w:tc>
        <w:tc>
          <w:tcPr>
            <w:tcW w:w="0" w:type="auto"/>
            <w:vAlign w:val="center"/>
          </w:tcPr>
          <w:p w14:paraId="4427B88C">
            <w:pPr>
              <w:pStyle w:val="19"/>
              <w:bidi w:val="0"/>
              <w:rPr>
                <w:rFonts w:hint="eastAsia" w:eastAsia="宋体"/>
                <w:color w:val="auto"/>
                <w:lang w:val="en-US" w:eastAsia="zh-CN"/>
              </w:rPr>
            </w:pPr>
            <w:r>
              <w:rPr>
                <w:rFonts w:hint="eastAsia"/>
                <w:color w:val="auto"/>
                <w:lang w:val="en-US" w:eastAsia="zh-CN"/>
              </w:rPr>
              <w:t>复合制板线</w:t>
            </w:r>
          </w:p>
        </w:tc>
        <w:tc>
          <w:tcPr>
            <w:tcW w:w="0" w:type="auto"/>
            <w:vAlign w:val="center"/>
          </w:tcPr>
          <w:p w14:paraId="58D79820">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4C7884D6">
            <w:pPr>
              <w:pStyle w:val="19"/>
              <w:bidi w:val="0"/>
              <w:rPr>
                <w:rFonts w:hint="default" w:eastAsia="宋体"/>
                <w:color w:val="auto"/>
                <w:lang w:val="en-US" w:eastAsia="zh-CN"/>
              </w:rPr>
            </w:pPr>
            <w:r>
              <w:rPr>
                <w:rFonts w:hint="eastAsia"/>
                <w:color w:val="auto"/>
                <w:lang w:val="en-US" w:eastAsia="zh-CN"/>
              </w:rPr>
              <w:t>80</w:t>
            </w:r>
          </w:p>
        </w:tc>
        <w:tc>
          <w:tcPr>
            <w:tcW w:w="0" w:type="auto"/>
            <w:vAlign w:val="center"/>
          </w:tcPr>
          <w:p w14:paraId="48C2DB54">
            <w:pPr>
              <w:pStyle w:val="19"/>
              <w:bidi w:val="0"/>
              <w:rPr>
                <w:color w:val="auto"/>
              </w:rPr>
            </w:pPr>
            <w:r>
              <w:rPr>
                <w:rFonts w:hint="eastAsia"/>
                <w:color w:val="auto"/>
                <w:lang w:val="en-US" w:eastAsia="zh-CN"/>
              </w:rPr>
              <w:t>基础减震</w:t>
            </w:r>
          </w:p>
        </w:tc>
        <w:tc>
          <w:tcPr>
            <w:tcW w:w="0" w:type="auto"/>
            <w:vAlign w:val="center"/>
          </w:tcPr>
          <w:p w14:paraId="31EFC3B5">
            <w:pPr>
              <w:pStyle w:val="19"/>
              <w:bidi w:val="0"/>
              <w:rPr>
                <w:rFonts w:hint="default" w:eastAsia="宋体"/>
                <w:color w:val="auto"/>
                <w:lang w:val="en-US" w:eastAsia="zh-CN"/>
              </w:rPr>
            </w:pPr>
            <w:r>
              <w:rPr>
                <w:rFonts w:hint="eastAsia"/>
                <w:color w:val="auto"/>
                <w:lang w:val="en-US" w:eastAsia="zh-CN"/>
              </w:rPr>
              <w:t>20</w:t>
            </w:r>
          </w:p>
        </w:tc>
        <w:tc>
          <w:tcPr>
            <w:tcW w:w="0" w:type="auto"/>
            <w:vAlign w:val="center"/>
          </w:tcPr>
          <w:p w14:paraId="714D0857">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028E7E57">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35F50A56">
            <w:pPr>
              <w:pStyle w:val="19"/>
              <w:bidi w:val="0"/>
              <w:rPr>
                <w:rFonts w:hint="default" w:eastAsia="宋体"/>
                <w:color w:val="auto"/>
                <w:lang w:val="en-US" w:eastAsia="zh-CN"/>
              </w:rPr>
            </w:pPr>
            <w:r>
              <w:rPr>
                <w:rFonts w:hint="eastAsia"/>
                <w:color w:val="auto"/>
                <w:lang w:val="en-US" w:eastAsia="zh-CN"/>
              </w:rPr>
              <w:t>60</w:t>
            </w:r>
          </w:p>
        </w:tc>
        <w:tc>
          <w:tcPr>
            <w:tcW w:w="0" w:type="auto"/>
            <w:vAlign w:val="center"/>
          </w:tcPr>
          <w:p w14:paraId="15617109">
            <w:pPr>
              <w:pStyle w:val="19"/>
              <w:bidi w:val="0"/>
              <w:rPr>
                <w:rFonts w:hint="eastAsia" w:eastAsia="宋体"/>
                <w:color w:val="auto"/>
                <w:lang w:val="en-US" w:eastAsia="zh-CN"/>
              </w:rPr>
            </w:pPr>
            <w:r>
              <w:rPr>
                <w:rFonts w:hint="eastAsia"/>
                <w:color w:val="auto"/>
                <w:lang w:val="en-US" w:eastAsia="zh-CN"/>
              </w:rPr>
              <w:t>5</w:t>
            </w:r>
          </w:p>
        </w:tc>
        <w:tc>
          <w:tcPr>
            <w:tcW w:w="0" w:type="auto"/>
            <w:vAlign w:val="center"/>
          </w:tcPr>
          <w:p w14:paraId="4967E78D">
            <w:pPr>
              <w:pStyle w:val="19"/>
              <w:bidi w:val="0"/>
              <w:rPr>
                <w:rFonts w:hint="default" w:eastAsia="宋体"/>
                <w:color w:val="auto"/>
                <w:lang w:val="en-US" w:eastAsia="zh-CN"/>
              </w:rPr>
            </w:pPr>
            <w:r>
              <w:rPr>
                <w:rFonts w:hint="eastAsia"/>
                <w:color w:val="auto"/>
                <w:lang w:val="en-US" w:eastAsia="zh-CN"/>
              </w:rPr>
              <w:t>20</w:t>
            </w:r>
          </w:p>
        </w:tc>
        <w:tc>
          <w:tcPr>
            <w:tcW w:w="0" w:type="auto"/>
            <w:vAlign w:val="center"/>
          </w:tcPr>
          <w:p w14:paraId="473D4D31">
            <w:pPr>
              <w:pStyle w:val="19"/>
              <w:bidi w:val="0"/>
              <w:rPr>
                <w:rFonts w:hint="default" w:eastAsia="宋体"/>
                <w:color w:val="auto"/>
                <w:lang w:val="en-US" w:eastAsia="zh-CN"/>
              </w:rPr>
            </w:pPr>
            <w:r>
              <w:rPr>
                <w:rFonts w:hint="eastAsia"/>
                <w:color w:val="auto"/>
                <w:lang w:val="en-US" w:eastAsia="zh-CN"/>
              </w:rPr>
              <w:t>38</w:t>
            </w:r>
          </w:p>
        </w:tc>
        <w:tc>
          <w:tcPr>
            <w:tcW w:w="0" w:type="auto"/>
            <w:vAlign w:val="center"/>
          </w:tcPr>
          <w:p w14:paraId="3CB06733">
            <w:pPr>
              <w:pStyle w:val="19"/>
              <w:bidi w:val="0"/>
              <w:rPr>
                <w:rFonts w:hint="default" w:eastAsia="宋体"/>
                <w:color w:val="auto"/>
                <w:lang w:val="en-US" w:eastAsia="zh-CN"/>
              </w:rPr>
            </w:pPr>
            <w:r>
              <w:rPr>
                <w:rFonts w:hint="eastAsia"/>
                <w:color w:val="auto"/>
                <w:lang w:val="en-US" w:eastAsia="zh-CN"/>
              </w:rPr>
              <w:t>44.4</w:t>
            </w:r>
          </w:p>
        </w:tc>
        <w:tc>
          <w:tcPr>
            <w:tcW w:w="0" w:type="auto"/>
            <w:vAlign w:val="center"/>
          </w:tcPr>
          <w:p w14:paraId="3C93A7BF">
            <w:pPr>
              <w:pStyle w:val="19"/>
              <w:bidi w:val="0"/>
              <w:rPr>
                <w:rFonts w:hint="default" w:eastAsia="宋体"/>
                <w:color w:val="auto"/>
                <w:lang w:val="en-US" w:eastAsia="zh-CN"/>
              </w:rPr>
            </w:pPr>
            <w:r>
              <w:rPr>
                <w:rFonts w:hint="eastAsia"/>
                <w:color w:val="auto"/>
                <w:lang w:val="en-US" w:eastAsia="zh-CN"/>
              </w:rPr>
              <w:t>66.0</w:t>
            </w:r>
          </w:p>
        </w:tc>
        <w:tc>
          <w:tcPr>
            <w:tcW w:w="0" w:type="auto"/>
            <w:vAlign w:val="center"/>
          </w:tcPr>
          <w:p w14:paraId="6319B309">
            <w:pPr>
              <w:pStyle w:val="19"/>
              <w:bidi w:val="0"/>
              <w:rPr>
                <w:rFonts w:hint="default" w:eastAsia="宋体"/>
                <w:color w:val="auto"/>
                <w:lang w:val="en-US" w:eastAsia="zh-CN"/>
              </w:rPr>
            </w:pPr>
            <w:r>
              <w:rPr>
                <w:rFonts w:hint="eastAsia"/>
                <w:color w:val="auto"/>
                <w:lang w:val="en-US" w:eastAsia="zh-CN"/>
              </w:rPr>
              <w:t>54.0</w:t>
            </w:r>
          </w:p>
        </w:tc>
        <w:tc>
          <w:tcPr>
            <w:tcW w:w="0" w:type="auto"/>
            <w:vAlign w:val="center"/>
          </w:tcPr>
          <w:p w14:paraId="72A4C204">
            <w:pPr>
              <w:pStyle w:val="19"/>
              <w:bidi w:val="0"/>
              <w:rPr>
                <w:rFonts w:hint="default" w:eastAsia="宋体"/>
                <w:color w:val="auto"/>
                <w:lang w:val="en-US" w:eastAsia="zh-CN"/>
              </w:rPr>
            </w:pPr>
            <w:r>
              <w:rPr>
                <w:rFonts w:hint="eastAsia"/>
                <w:color w:val="auto"/>
                <w:lang w:val="en-US" w:eastAsia="zh-CN"/>
              </w:rPr>
              <w:t>48.4</w:t>
            </w:r>
          </w:p>
        </w:tc>
        <w:tc>
          <w:tcPr>
            <w:tcW w:w="0" w:type="auto"/>
            <w:vMerge w:val="continue"/>
            <w:vAlign w:val="center"/>
          </w:tcPr>
          <w:p w14:paraId="5317487C">
            <w:pPr>
              <w:pStyle w:val="21"/>
              <w:widowControl w:val="0"/>
              <w:bidi w:val="0"/>
              <w:jc w:val="center"/>
              <w:rPr>
                <w:color w:val="auto"/>
              </w:rPr>
            </w:pPr>
          </w:p>
        </w:tc>
        <w:tc>
          <w:tcPr>
            <w:tcW w:w="0" w:type="auto"/>
            <w:vAlign w:val="center"/>
          </w:tcPr>
          <w:p w14:paraId="48A4103A">
            <w:pPr>
              <w:pStyle w:val="19"/>
              <w:bidi w:val="0"/>
              <w:rPr>
                <w:color w:val="auto"/>
              </w:rPr>
            </w:pPr>
            <w:r>
              <w:rPr>
                <w:rFonts w:hint="eastAsia"/>
                <w:color w:val="auto"/>
                <w:lang w:val="en-US" w:eastAsia="zh-CN"/>
              </w:rPr>
              <w:t>20</w:t>
            </w:r>
          </w:p>
        </w:tc>
        <w:tc>
          <w:tcPr>
            <w:tcW w:w="0" w:type="auto"/>
            <w:vAlign w:val="center"/>
          </w:tcPr>
          <w:p w14:paraId="1517C491">
            <w:pPr>
              <w:pStyle w:val="19"/>
              <w:bidi w:val="0"/>
              <w:rPr>
                <w:rFonts w:hint="default" w:eastAsia="宋体"/>
                <w:color w:val="auto"/>
                <w:lang w:val="en-US" w:eastAsia="zh-CN"/>
              </w:rPr>
            </w:pPr>
            <w:r>
              <w:rPr>
                <w:rFonts w:hint="eastAsia"/>
                <w:color w:val="auto"/>
                <w:lang w:val="en-US" w:eastAsia="zh-CN"/>
              </w:rPr>
              <w:t>24.4</w:t>
            </w:r>
          </w:p>
        </w:tc>
        <w:tc>
          <w:tcPr>
            <w:tcW w:w="0" w:type="auto"/>
            <w:vAlign w:val="center"/>
          </w:tcPr>
          <w:p w14:paraId="37D29189">
            <w:pPr>
              <w:pStyle w:val="19"/>
              <w:bidi w:val="0"/>
              <w:rPr>
                <w:color w:val="auto"/>
              </w:rPr>
            </w:pPr>
            <w:r>
              <w:rPr>
                <w:rFonts w:hint="eastAsia"/>
                <w:color w:val="auto"/>
                <w:lang w:val="en-US" w:eastAsia="zh-CN"/>
              </w:rPr>
              <w:t>46.0</w:t>
            </w:r>
          </w:p>
        </w:tc>
        <w:tc>
          <w:tcPr>
            <w:tcW w:w="0" w:type="auto"/>
            <w:vAlign w:val="center"/>
          </w:tcPr>
          <w:p w14:paraId="64E778D7">
            <w:pPr>
              <w:pStyle w:val="19"/>
              <w:bidi w:val="0"/>
              <w:rPr>
                <w:rFonts w:hint="default" w:eastAsia="宋体"/>
                <w:color w:val="auto"/>
                <w:lang w:val="en-US" w:eastAsia="zh-CN"/>
              </w:rPr>
            </w:pPr>
            <w:r>
              <w:rPr>
                <w:rFonts w:hint="eastAsia"/>
                <w:color w:val="auto"/>
                <w:lang w:val="en-US" w:eastAsia="zh-CN"/>
              </w:rPr>
              <w:t>34.0</w:t>
            </w:r>
          </w:p>
        </w:tc>
        <w:tc>
          <w:tcPr>
            <w:tcW w:w="0" w:type="auto"/>
            <w:vAlign w:val="center"/>
          </w:tcPr>
          <w:p w14:paraId="77A5EFF3">
            <w:pPr>
              <w:pStyle w:val="19"/>
              <w:bidi w:val="0"/>
              <w:rPr>
                <w:rFonts w:hint="default" w:eastAsia="宋体"/>
                <w:color w:val="auto"/>
                <w:lang w:val="en-US" w:eastAsia="zh-CN"/>
              </w:rPr>
            </w:pPr>
            <w:r>
              <w:rPr>
                <w:rFonts w:hint="eastAsia"/>
                <w:color w:val="auto"/>
                <w:lang w:val="en-US" w:eastAsia="zh-CN"/>
              </w:rPr>
              <w:t>28.4</w:t>
            </w:r>
          </w:p>
        </w:tc>
        <w:tc>
          <w:tcPr>
            <w:tcW w:w="0" w:type="auto"/>
            <w:vAlign w:val="center"/>
          </w:tcPr>
          <w:p w14:paraId="3E0D565A">
            <w:pPr>
              <w:pStyle w:val="19"/>
              <w:bidi w:val="0"/>
              <w:rPr>
                <w:color w:val="auto"/>
              </w:rPr>
            </w:pPr>
            <w:r>
              <w:rPr>
                <w:rFonts w:hint="eastAsia"/>
                <w:color w:val="auto"/>
                <w:lang w:val="en-US" w:eastAsia="zh-CN"/>
              </w:rPr>
              <w:t>1m</w:t>
            </w:r>
          </w:p>
        </w:tc>
      </w:tr>
      <w:tr w14:paraId="113B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6D16AAE">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74CEB492">
            <w:pPr>
              <w:pStyle w:val="21"/>
              <w:widowControl w:val="0"/>
              <w:bidi w:val="0"/>
              <w:jc w:val="center"/>
              <w:rPr>
                <w:color w:val="auto"/>
              </w:rPr>
            </w:pPr>
          </w:p>
        </w:tc>
        <w:tc>
          <w:tcPr>
            <w:tcW w:w="0" w:type="auto"/>
            <w:vAlign w:val="center"/>
          </w:tcPr>
          <w:p w14:paraId="03A601DE">
            <w:pPr>
              <w:pStyle w:val="19"/>
              <w:bidi w:val="0"/>
              <w:rPr>
                <w:rFonts w:hint="default" w:eastAsia="宋体"/>
                <w:color w:val="auto"/>
                <w:lang w:val="en-US" w:eastAsia="zh-CN"/>
              </w:rPr>
            </w:pPr>
            <w:r>
              <w:rPr>
                <w:rFonts w:hint="eastAsia"/>
                <w:color w:val="auto"/>
                <w:lang w:val="en-US" w:eastAsia="zh-CN"/>
              </w:rPr>
              <w:t>两头精密切割锯</w:t>
            </w:r>
          </w:p>
        </w:tc>
        <w:tc>
          <w:tcPr>
            <w:tcW w:w="0" w:type="auto"/>
            <w:vAlign w:val="center"/>
          </w:tcPr>
          <w:p w14:paraId="56C8F09B">
            <w:pPr>
              <w:pStyle w:val="19"/>
              <w:bidi w:val="0"/>
              <w:rPr>
                <w:rFonts w:hint="eastAsia" w:eastAsia="宋体"/>
                <w:color w:val="auto"/>
                <w:lang w:val="en-US" w:eastAsia="zh-CN"/>
              </w:rPr>
            </w:pPr>
            <w:r>
              <w:rPr>
                <w:rFonts w:hint="eastAsia"/>
                <w:color w:val="auto"/>
                <w:lang w:val="en-US" w:eastAsia="zh-CN"/>
              </w:rPr>
              <w:t>2</w:t>
            </w:r>
          </w:p>
        </w:tc>
        <w:tc>
          <w:tcPr>
            <w:tcW w:w="0" w:type="auto"/>
            <w:vAlign w:val="center"/>
          </w:tcPr>
          <w:p w14:paraId="014967EE">
            <w:pPr>
              <w:pStyle w:val="19"/>
              <w:bidi w:val="0"/>
              <w:rPr>
                <w:rFonts w:hint="default" w:eastAsia="宋体"/>
                <w:color w:val="auto"/>
                <w:lang w:val="en-US" w:eastAsia="zh-CN"/>
              </w:rPr>
            </w:pPr>
            <w:r>
              <w:rPr>
                <w:rFonts w:hint="eastAsia"/>
                <w:color w:val="auto"/>
                <w:lang w:val="en-US" w:eastAsia="zh-CN"/>
              </w:rPr>
              <w:t>85</w:t>
            </w:r>
          </w:p>
        </w:tc>
        <w:tc>
          <w:tcPr>
            <w:tcW w:w="0" w:type="auto"/>
            <w:vAlign w:val="center"/>
          </w:tcPr>
          <w:p w14:paraId="27A41FAF">
            <w:pPr>
              <w:pStyle w:val="19"/>
              <w:bidi w:val="0"/>
              <w:rPr>
                <w:rFonts w:hint="eastAsia" w:eastAsia="宋体"/>
                <w:color w:val="auto"/>
                <w:lang w:val="en-US" w:eastAsia="zh-CN"/>
              </w:rPr>
            </w:pPr>
            <w:r>
              <w:rPr>
                <w:rFonts w:hint="eastAsia"/>
                <w:color w:val="auto"/>
                <w:lang w:val="en-US" w:eastAsia="zh-CN"/>
              </w:rPr>
              <w:t>减震垫</w:t>
            </w:r>
          </w:p>
        </w:tc>
        <w:tc>
          <w:tcPr>
            <w:tcW w:w="0" w:type="auto"/>
            <w:vAlign w:val="center"/>
          </w:tcPr>
          <w:p w14:paraId="37491DAB">
            <w:pPr>
              <w:pStyle w:val="19"/>
              <w:bidi w:val="0"/>
              <w:rPr>
                <w:rFonts w:hint="default" w:eastAsia="宋体"/>
                <w:color w:val="auto"/>
                <w:lang w:val="en-US" w:eastAsia="zh-CN"/>
              </w:rPr>
            </w:pPr>
            <w:r>
              <w:rPr>
                <w:rFonts w:hint="eastAsia"/>
                <w:color w:val="auto"/>
                <w:lang w:val="en-US" w:eastAsia="zh-CN"/>
              </w:rPr>
              <w:t>27</w:t>
            </w:r>
          </w:p>
        </w:tc>
        <w:tc>
          <w:tcPr>
            <w:tcW w:w="0" w:type="auto"/>
            <w:vAlign w:val="center"/>
          </w:tcPr>
          <w:p w14:paraId="018C69FF">
            <w:pPr>
              <w:pStyle w:val="19"/>
              <w:bidi w:val="0"/>
              <w:rPr>
                <w:rFonts w:hint="default" w:eastAsia="宋体"/>
                <w:color w:val="auto"/>
                <w:lang w:val="en-US" w:eastAsia="zh-CN"/>
              </w:rPr>
            </w:pPr>
            <w:r>
              <w:rPr>
                <w:rFonts w:hint="eastAsia"/>
                <w:color w:val="auto"/>
                <w:lang w:val="en-US" w:eastAsia="zh-CN"/>
              </w:rPr>
              <w:t>11</w:t>
            </w:r>
          </w:p>
        </w:tc>
        <w:tc>
          <w:tcPr>
            <w:tcW w:w="0" w:type="auto"/>
            <w:vAlign w:val="center"/>
          </w:tcPr>
          <w:p w14:paraId="374B6336">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42A948C2">
            <w:pPr>
              <w:pStyle w:val="19"/>
              <w:bidi w:val="0"/>
              <w:rPr>
                <w:rFonts w:hint="default" w:eastAsia="宋体"/>
                <w:color w:val="auto"/>
                <w:lang w:val="en-US" w:eastAsia="zh-CN"/>
              </w:rPr>
            </w:pPr>
            <w:r>
              <w:rPr>
                <w:rFonts w:hint="eastAsia"/>
                <w:color w:val="auto"/>
                <w:lang w:val="en-US" w:eastAsia="zh-CN"/>
              </w:rPr>
              <w:t>69</w:t>
            </w:r>
          </w:p>
        </w:tc>
        <w:tc>
          <w:tcPr>
            <w:tcW w:w="0" w:type="auto"/>
            <w:vAlign w:val="center"/>
          </w:tcPr>
          <w:p w14:paraId="48114569">
            <w:pPr>
              <w:pStyle w:val="19"/>
              <w:bidi w:val="0"/>
              <w:rPr>
                <w:rFonts w:hint="default" w:eastAsia="宋体"/>
                <w:color w:val="auto"/>
                <w:lang w:val="en-US" w:eastAsia="zh-CN"/>
              </w:rPr>
            </w:pPr>
            <w:r>
              <w:rPr>
                <w:rFonts w:hint="eastAsia"/>
                <w:color w:val="auto"/>
                <w:lang w:val="en-US" w:eastAsia="zh-CN"/>
              </w:rPr>
              <w:t>11</w:t>
            </w:r>
          </w:p>
        </w:tc>
        <w:tc>
          <w:tcPr>
            <w:tcW w:w="0" w:type="auto"/>
            <w:vAlign w:val="center"/>
          </w:tcPr>
          <w:p w14:paraId="3906D0CA">
            <w:pPr>
              <w:pStyle w:val="19"/>
              <w:bidi w:val="0"/>
              <w:rPr>
                <w:rFonts w:hint="default" w:eastAsia="宋体"/>
                <w:color w:val="auto"/>
                <w:lang w:val="en-US" w:eastAsia="zh-CN"/>
              </w:rPr>
            </w:pPr>
            <w:r>
              <w:rPr>
                <w:rFonts w:hint="eastAsia"/>
                <w:color w:val="auto"/>
                <w:lang w:val="en-US" w:eastAsia="zh-CN"/>
              </w:rPr>
              <w:t>27</w:t>
            </w:r>
          </w:p>
        </w:tc>
        <w:tc>
          <w:tcPr>
            <w:tcW w:w="0" w:type="auto"/>
            <w:vAlign w:val="center"/>
          </w:tcPr>
          <w:p w14:paraId="5F8F81A1">
            <w:pPr>
              <w:pStyle w:val="19"/>
              <w:bidi w:val="0"/>
              <w:rPr>
                <w:rFonts w:hint="default" w:eastAsia="宋体"/>
                <w:color w:val="auto"/>
                <w:lang w:val="en-US" w:eastAsia="zh-CN"/>
              </w:rPr>
            </w:pPr>
            <w:r>
              <w:rPr>
                <w:rFonts w:hint="eastAsia"/>
                <w:color w:val="auto"/>
                <w:lang w:val="en-US" w:eastAsia="zh-CN"/>
              </w:rPr>
              <w:t>32</w:t>
            </w:r>
          </w:p>
        </w:tc>
        <w:tc>
          <w:tcPr>
            <w:tcW w:w="0" w:type="auto"/>
            <w:vAlign w:val="center"/>
          </w:tcPr>
          <w:p w14:paraId="6F01BE0E">
            <w:pPr>
              <w:pStyle w:val="19"/>
              <w:bidi w:val="0"/>
              <w:rPr>
                <w:rFonts w:hint="default" w:eastAsia="宋体"/>
                <w:color w:val="auto"/>
                <w:lang w:val="en-US" w:eastAsia="zh-CN"/>
              </w:rPr>
            </w:pPr>
            <w:r>
              <w:rPr>
                <w:rFonts w:hint="eastAsia"/>
                <w:color w:val="auto"/>
                <w:lang w:val="en-US" w:eastAsia="zh-CN"/>
              </w:rPr>
              <w:t>48.2</w:t>
            </w:r>
          </w:p>
        </w:tc>
        <w:tc>
          <w:tcPr>
            <w:tcW w:w="0" w:type="auto"/>
            <w:vAlign w:val="center"/>
          </w:tcPr>
          <w:p w14:paraId="02A4648E">
            <w:pPr>
              <w:pStyle w:val="19"/>
              <w:bidi w:val="0"/>
              <w:rPr>
                <w:rFonts w:hint="default" w:eastAsia="宋体"/>
                <w:color w:val="auto"/>
                <w:lang w:val="en-US" w:eastAsia="zh-CN"/>
              </w:rPr>
            </w:pPr>
            <w:r>
              <w:rPr>
                <w:rFonts w:hint="eastAsia"/>
                <w:color w:val="auto"/>
                <w:lang w:val="en-US" w:eastAsia="zh-CN"/>
              </w:rPr>
              <w:t>64.2</w:t>
            </w:r>
          </w:p>
        </w:tc>
        <w:tc>
          <w:tcPr>
            <w:tcW w:w="0" w:type="auto"/>
            <w:vAlign w:val="center"/>
          </w:tcPr>
          <w:p w14:paraId="19D62C01">
            <w:pPr>
              <w:pStyle w:val="19"/>
              <w:bidi w:val="0"/>
              <w:rPr>
                <w:rFonts w:hint="default" w:eastAsia="宋体"/>
                <w:color w:val="auto"/>
                <w:lang w:val="en-US" w:eastAsia="zh-CN"/>
              </w:rPr>
            </w:pPr>
            <w:r>
              <w:rPr>
                <w:rFonts w:hint="eastAsia"/>
                <w:color w:val="auto"/>
                <w:lang w:val="en-US" w:eastAsia="zh-CN"/>
              </w:rPr>
              <w:t>56.4</w:t>
            </w:r>
          </w:p>
        </w:tc>
        <w:tc>
          <w:tcPr>
            <w:tcW w:w="0" w:type="auto"/>
            <w:vAlign w:val="center"/>
          </w:tcPr>
          <w:p w14:paraId="7AFDCAF3">
            <w:pPr>
              <w:pStyle w:val="19"/>
              <w:bidi w:val="0"/>
              <w:rPr>
                <w:rFonts w:hint="default" w:eastAsia="宋体"/>
                <w:color w:val="auto"/>
                <w:lang w:val="en-US" w:eastAsia="zh-CN"/>
              </w:rPr>
            </w:pPr>
            <w:r>
              <w:rPr>
                <w:rFonts w:hint="eastAsia"/>
                <w:color w:val="auto"/>
                <w:lang w:val="en-US" w:eastAsia="zh-CN"/>
              </w:rPr>
              <w:t>54.9</w:t>
            </w:r>
          </w:p>
        </w:tc>
        <w:tc>
          <w:tcPr>
            <w:tcW w:w="0" w:type="auto"/>
            <w:vMerge w:val="continue"/>
            <w:vAlign w:val="center"/>
          </w:tcPr>
          <w:p w14:paraId="2CEFFFBB">
            <w:pPr>
              <w:pStyle w:val="21"/>
              <w:widowControl w:val="0"/>
              <w:bidi w:val="0"/>
              <w:jc w:val="center"/>
              <w:rPr>
                <w:color w:val="auto"/>
              </w:rPr>
            </w:pPr>
          </w:p>
        </w:tc>
        <w:tc>
          <w:tcPr>
            <w:tcW w:w="0" w:type="auto"/>
            <w:vAlign w:val="center"/>
          </w:tcPr>
          <w:p w14:paraId="367D10BD">
            <w:pPr>
              <w:pStyle w:val="19"/>
              <w:bidi w:val="0"/>
              <w:rPr>
                <w:color w:val="auto"/>
              </w:rPr>
            </w:pPr>
            <w:r>
              <w:rPr>
                <w:rFonts w:hint="eastAsia"/>
                <w:color w:val="auto"/>
                <w:lang w:val="en-US" w:eastAsia="zh-CN"/>
              </w:rPr>
              <w:t>20</w:t>
            </w:r>
          </w:p>
        </w:tc>
        <w:tc>
          <w:tcPr>
            <w:tcW w:w="0" w:type="auto"/>
            <w:vAlign w:val="center"/>
          </w:tcPr>
          <w:p w14:paraId="7FA251EE">
            <w:pPr>
              <w:pStyle w:val="19"/>
              <w:bidi w:val="0"/>
              <w:rPr>
                <w:rFonts w:hint="default" w:eastAsia="宋体"/>
                <w:color w:val="auto"/>
                <w:lang w:val="en-US" w:eastAsia="zh-CN"/>
              </w:rPr>
            </w:pPr>
            <w:r>
              <w:rPr>
                <w:rFonts w:hint="eastAsia"/>
                <w:color w:val="auto"/>
                <w:lang w:val="en-US" w:eastAsia="zh-CN"/>
              </w:rPr>
              <w:t>28.2</w:t>
            </w:r>
          </w:p>
        </w:tc>
        <w:tc>
          <w:tcPr>
            <w:tcW w:w="0" w:type="auto"/>
            <w:vAlign w:val="center"/>
          </w:tcPr>
          <w:p w14:paraId="6809BCF4">
            <w:pPr>
              <w:pStyle w:val="19"/>
              <w:bidi w:val="0"/>
              <w:rPr>
                <w:rFonts w:hint="default" w:eastAsia="宋体"/>
                <w:color w:val="auto"/>
                <w:lang w:val="en-US" w:eastAsia="zh-CN"/>
              </w:rPr>
            </w:pPr>
            <w:r>
              <w:rPr>
                <w:rFonts w:hint="eastAsia"/>
                <w:color w:val="auto"/>
                <w:lang w:val="en-US" w:eastAsia="zh-CN"/>
              </w:rPr>
              <w:t>44.2</w:t>
            </w:r>
          </w:p>
        </w:tc>
        <w:tc>
          <w:tcPr>
            <w:tcW w:w="0" w:type="auto"/>
            <w:vAlign w:val="center"/>
          </w:tcPr>
          <w:p w14:paraId="493C8C91">
            <w:pPr>
              <w:pStyle w:val="19"/>
              <w:bidi w:val="0"/>
              <w:rPr>
                <w:rFonts w:hint="default" w:eastAsia="宋体"/>
                <w:color w:val="auto"/>
                <w:lang w:val="en-US" w:eastAsia="zh-CN"/>
              </w:rPr>
            </w:pPr>
            <w:r>
              <w:rPr>
                <w:rFonts w:hint="eastAsia"/>
                <w:color w:val="auto"/>
                <w:lang w:val="en-US" w:eastAsia="zh-CN"/>
              </w:rPr>
              <w:t>36.4</w:t>
            </w:r>
          </w:p>
        </w:tc>
        <w:tc>
          <w:tcPr>
            <w:tcW w:w="0" w:type="auto"/>
            <w:vAlign w:val="center"/>
          </w:tcPr>
          <w:p w14:paraId="2402EAAA">
            <w:pPr>
              <w:pStyle w:val="19"/>
              <w:bidi w:val="0"/>
              <w:rPr>
                <w:rFonts w:hint="default" w:eastAsia="宋体"/>
                <w:color w:val="auto"/>
                <w:lang w:val="en-US" w:eastAsia="zh-CN"/>
              </w:rPr>
            </w:pPr>
            <w:r>
              <w:rPr>
                <w:rFonts w:hint="eastAsia"/>
                <w:color w:val="auto"/>
                <w:lang w:val="en-US" w:eastAsia="zh-CN"/>
              </w:rPr>
              <w:t>34.9</w:t>
            </w:r>
          </w:p>
        </w:tc>
        <w:tc>
          <w:tcPr>
            <w:tcW w:w="0" w:type="auto"/>
            <w:vAlign w:val="center"/>
          </w:tcPr>
          <w:p w14:paraId="2B4AFB32">
            <w:pPr>
              <w:pStyle w:val="19"/>
              <w:bidi w:val="0"/>
              <w:rPr>
                <w:color w:val="auto"/>
              </w:rPr>
            </w:pPr>
            <w:r>
              <w:rPr>
                <w:rFonts w:hint="eastAsia"/>
                <w:color w:val="auto"/>
                <w:lang w:val="en-US" w:eastAsia="zh-CN"/>
              </w:rPr>
              <w:t>1m</w:t>
            </w:r>
          </w:p>
        </w:tc>
      </w:tr>
      <w:tr w14:paraId="2515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02168B">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269A3F65">
            <w:pPr>
              <w:pStyle w:val="21"/>
              <w:widowControl w:val="0"/>
              <w:bidi w:val="0"/>
              <w:jc w:val="center"/>
              <w:rPr>
                <w:color w:val="auto"/>
              </w:rPr>
            </w:pPr>
          </w:p>
        </w:tc>
        <w:tc>
          <w:tcPr>
            <w:tcW w:w="0" w:type="auto"/>
            <w:vAlign w:val="center"/>
          </w:tcPr>
          <w:p w14:paraId="7F2AFAB8">
            <w:pPr>
              <w:pStyle w:val="19"/>
              <w:bidi w:val="0"/>
              <w:rPr>
                <w:rFonts w:hint="eastAsia" w:eastAsia="宋体"/>
                <w:color w:val="auto"/>
                <w:lang w:val="en-US" w:eastAsia="zh-CN"/>
              </w:rPr>
            </w:pPr>
            <w:r>
              <w:rPr>
                <w:rFonts w:hint="eastAsia"/>
                <w:color w:val="auto"/>
                <w:lang w:val="en-US" w:eastAsia="zh-CN"/>
              </w:rPr>
              <w:t>自动雕刻机</w:t>
            </w:r>
          </w:p>
        </w:tc>
        <w:tc>
          <w:tcPr>
            <w:tcW w:w="0" w:type="auto"/>
            <w:vAlign w:val="center"/>
          </w:tcPr>
          <w:p w14:paraId="35795029">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71EE2F32">
            <w:pPr>
              <w:pStyle w:val="19"/>
              <w:bidi w:val="0"/>
              <w:rPr>
                <w:rFonts w:hint="default" w:eastAsia="宋体"/>
                <w:color w:val="auto"/>
                <w:lang w:val="en-US" w:eastAsia="zh-CN"/>
              </w:rPr>
            </w:pPr>
            <w:r>
              <w:rPr>
                <w:rFonts w:hint="eastAsia"/>
                <w:color w:val="auto"/>
                <w:lang w:val="en-US" w:eastAsia="zh-CN"/>
              </w:rPr>
              <w:t>85</w:t>
            </w:r>
          </w:p>
        </w:tc>
        <w:tc>
          <w:tcPr>
            <w:tcW w:w="0" w:type="auto"/>
            <w:vAlign w:val="center"/>
          </w:tcPr>
          <w:p w14:paraId="757BCC25">
            <w:pPr>
              <w:pStyle w:val="19"/>
              <w:bidi w:val="0"/>
              <w:rPr>
                <w:rFonts w:hint="eastAsia" w:eastAsia="宋体"/>
                <w:color w:val="auto"/>
                <w:lang w:val="en-US" w:eastAsia="zh-CN"/>
              </w:rPr>
            </w:pPr>
            <w:r>
              <w:rPr>
                <w:rFonts w:hint="eastAsia"/>
                <w:color w:val="auto"/>
                <w:lang w:val="en-US" w:eastAsia="zh-CN"/>
              </w:rPr>
              <w:t>减震垫</w:t>
            </w:r>
          </w:p>
        </w:tc>
        <w:tc>
          <w:tcPr>
            <w:tcW w:w="0" w:type="auto"/>
            <w:vAlign w:val="center"/>
          </w:tcPr>
          <w:p w14:paraId="18C13375">
            <w:pPr>
              <w:pStyle w:val="19"/>
              <w:bidi w:val="0"/>
              <w:rPr>
                <w:rFonts w:hint="default" w:eastAsia="宋体"/>
                <w:color w:val="auto"/>
                <w:lang w:val="en-US" w:eastAsia="zh-CN"/>
              </w:rPr>
            </w:pPr>
            <w:r>
              <w:rPr>
                <w:rFonts w:hint="eastAsia"/>
                <w:color w:val="auto"/>
                <w:lang w:val="en-US" w:eastAsia="zh-CN"/>
              </w:rPr>
              <w:t>21</w:t>
            </w:r>
          </w:p>
        </w:tc>
        <w:tc>
          <w:tcPr>
            <w:tcW w:w="0" w:type="auto"/>
            <w:vAlign w:val="center"/>
          </w:tcPr>
          <w:p w14:paraId="5067D605">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2FB8D096">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6CF5526F">
            <w:pPr>
              <w:pStyle w:val="19"/>
              <w:bidi w:val="0"/>
              <w:rPr>
                <w:rFonts w:hint="default" w:eastAsia="宋体"/>
                <w:color w:val="auto"/>
                <w:lang w:val="en-US" w:eastAsia="zh-CN"/>
              </w:rPr>
            </w:pPr>
            <w:r>
              <w:rPr>
                <w:rFonts w:hint="eastAsia"/>
                <w:color w:val="auto"/>
                <w:lang w:val="en-US" w:eastAsia="zh-CN"/>
              </w:rPr>
              <w:t>75</w:t>
            </w:r>
          </w:p>
        </w:tc>
        <w:tc>
          <w:tcPr>
            <w:tcW w:w="0" w:type="auto"/>
            <w:vAlign w:val="center"/>
          </w:tcPr>
          <w:p w14:paraId="3EB758F2">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3BF40949">
            <w:pPr>
              <w:pStyle w:val="19"/>
              <w:bidi w:val="0"/>
              <w:rPr>
                <w:rFonts w:hint="default" w:eastAsia="宋体"/>
                <w:color w:val="auto"/>
                <w:lang w:val="en-US" w:eastAsia="zh-CN"/>
              </w:rPr>
            </w:pPr>
            <w:r>
              <w:rPr>
                <w:rFonts w:hint="eastAsia"/>
                <w:color w:val="auto"/>
                <w:lang w:val="en-US" w:eastAsia="zh-CN"/>
              </w:rPr>
              <w:t>21</w:t>
            </w:r>
          </w:p>
        </w:tc>
        <w:tc>
          <w:tcPr>
            <w:tcW w:w="0" w:type="auto"/>
            <w:vAlign w:val="center"/>
          </w:tcPr>
          <w:p w14:paraId="5CBF49F8">
            <w:pPr>
              <w:pStyle w:val="19"/>
              <w:bidi w:val="0"/>
              <w:rPr>
                <w:rFonts w:hint="default" w:eastAsia="宋体"/>
                <w:color w:val="auto"/>
                <w:lang w:val="en-US" w:eastAsia="zh-CN"/>
              </w:rPr>
            </w:pPr>
            <w:r>
              <w:rPr>
                <w:rFonts w:hint="eastAsia"/>
                <w:color w:val="auto"/>
                <w:lang w:val="en-US" w:eastAsia="zh-CN"/>
              </w:rPr>
              <w:t>28</w:t>
            </w:r>
          </w:p>
        </w:tc>
        <w:tc>
          <w:tcPr>
            <w:tcW w:w="0" w:type="auto"/>
            <w:vAlign w:val="center"/>
          </w:tcPr>
          <w:p w14:paraId="371CE555">
            <w:pPr>
              <w:pStyle w:val="19"/>
              <w:bidi w:val="0"/>
              <w:rPr>
                <w:rFonts w:hint="default" w:eastAsia="宋体"/>
                <w:color w:val="auto"/>
                <w:lang w:val="en-US" w:eastAsia="zh-CN"/>
              </w:rPr>
            </w:pPr>
            <w:r>
              <w:rPr>
                <w:rFonts w:hint="eastAsia"/>
                <w:color w:val="auto"/>
                <w:lang w:val="en-US" w:eastAsia="zh-CN"/>
              </w:rPr>
              <w:t>47.5</w:t>
            </w:r>
          </w:p>
        </w:tc>
        <w:tc>
          <w:tcPr>
            <w:tcW w:w="0" w:type="auto"/>
            <w:vAlign w:val="center"/>
          </w:tcPr>
          <w:p w14:paraId="15DA0D56">
            <w:pPr>
              <w:pStyle w:val="19"/>
              <w:bidi w:val="0"/>
              <w:rPr>
                <w:rFonts w:hint="default" w:eastAsia="宋体"/>
                <w:color w:val="auto"/>
                <w:lang w:val="en-US" w:eastAsia="zh-CN"/>
              </w:rPr>
            </w:pPr>
            <w:r>
              <w:rPr>
                <w:rFonts w:hint="eastAsia"/>
                <w:color w:val="auto"/>
                <w:lang w:val="en-US" w:eastAsia="zh-CN"/>
              </w:rPr>
              <w:t>54.3</w:t>
            </w:r>
          </w:p>
        </w:tc>
        <w:tc>
          <w:tcPr>
            <w:tcW w:w="0" w:type="auto"/>
            <w:vAlign w:val="center"/>
          </w:tcPr>
          <w:p w14:paraId="27A0C71A">
            <w:pPr>
              <w:pStyle w:val="19"/>
              <w:bidi w:val="0"/>
              <w:rPr>
                <w:rFonts w:hint="default" w:eastAsia="宋体"/>
                <w:color w:val="auto"/>
                <w:lang w:val="en-US" w:eastAsia="zh-CN"/>
              </w:rPr>
            </w:pPr>
            <w:r>
              <w:rPr>
                <w:rFonts w:hint="eastAsia"/>
                <w:color w:val="auto"/>
                <w:lang w:val="en-US" w:eastAsia="zh-CN"/>
              </w:rPr>
              <w:t>58.6</w:t>
            </w:r>
          </w:p>
        </w:tc>
        <w:tc>
          <w:tcPr>
            <w:tcW w:w="0" w:type="auto"/>
            <w:vAlign w:val="center"/>
          </w:tcPr>
          <w:p w14:paraId="22F02EA1">
            <w:pPr>
              <w:pStyle w:val="19"/>
              <w:bidi w:val="0"/>
              <w:rPr>
                <w:rFonts w:hint="default" w:eastAsia="宋体"/>
                <w:color w:val="auto"/>
                <w:lang w:val="en-US" w:eastAsia="zh-CN"/>
              </w:rPr>
            </w:pPr>
            <w:r>
              <w:rPr>
                <w:rFonts w:hint="eastAsia"/>
                <w:color w:val="auto"/>
                <w:lang w:val="en-US" w:eastAsia="zh-CN"/>
              </w:rPr>
              <w:t>56.1</w:t>
            </w:r>
          </w:p>
        </w:tc>
        <w:tc>
          <w:tcPr>
            <w:tcW w:w="0" w:type="auto"/>
            <w:vMerge w:val="continue"/>
            <w:vAlign w:val="center"/>
          </w:tcPr>
          <w:p w14:paraId="574F7DBC">
            <w:pPr>
              <w:pStyle w:val="21"/>
              <w:widowControl w:val="0"/>
              <w:bidi w:val="0"/>
              <w:jc w:val="center"/>
              <w:rPr>
                <w:color w:val="auto"/>
              </w:rPr>
            </w:pPr>
          </w:p>
        </w:tc>
        <w:tc>
          <w:tcPr>
            <w:tcW w:w="0" w:type="auto"/>
            <w:vAlign w:val="center"/>
          </w:tcPr>
          <w:p w14:paraId="3FC612EA">
            <w:pPr>
              <w:pStyle w:val="19"/>
              <w:bidi w:val="0"/>
              <w:rPr>
                <w:color w:val="auto"/>
              </w:rPr>
            </w:pPr>
            <w:r>
              <w:rPr>
                <w:rFonts w:hint="eastAsia"/>
                <w:color w:val="auto"/>
                <w:lang w:val="en-US" w:eastAsia="zh-CN"/>
              </w:rPr>
              <w:t>20</w:t>
            </w:r>
          </w:p>
        </w:tc>
        <w:tc>
          <w:tcPr>
            <w:tcW w:w="0" w:type="auto"/>
            <w:vAlign w:val="center"/>
          </w:tcPr>
          <w:p w14:paraId="06F16FEC">
            <w:pPr>
              <w:pStyle w:val="19"/>
              <w:bidi w:val="0"/>
              <w:rPr>
                <w:rFonts w:hint="default" w:eastAsia="宋体"/>
                <w:color w:val="auto"/>
                <w:lang w:val="en-US" w:eastAsia="zh-CN"/>
              </w:rPr>
            </w:pPr>
            <w:r>
              <w:rPr>
                <w:rFonts w:hint="eastAsia"/>
                <w:color w:val="auto"/>
                <w:lang w:val="en-US" w:eastAsia="zh-CN"/>
              </w:rPr>
              <w:t>27.5</w:t>
            </w:r>
          </w:p>
        </w:tc>
        <w:tc>
          <w:tcPr>
            <w:tcW w:w="0" w:type="auto"/>
            <w:vAlign w:val="center"/>
          </w:tcPr>
          <w:p w14:paraId="19167DAD">
            <w:pPr>
              <w:pStyle w:val="19"/>
              <w:bidi w:val="0"/>
              <w:rPr>
                <w:rFonts w:hint="default" w:eastAsia="宋体"/>
                <w:color w:val="auto"/>
                <w:lang w:val="en-US" w:eastAsia="zh-CN"/>
              </w:rPr>
            </w:pPr>
            <w:r>
              <w:rPr>
                <w:rFonts w:hint="eastAsia"/>
                <w:color w:val="auto"/>
                <w:lang w:val="en-US" w:eastAsia="zh-CN"/>
              </w:rPr>
              <w:t>34.3</w:t>
            </w:r>
          </w:p>
        </w:tc>
        <w:tc>
          <w:tcPr>
            <w:tcW w:w="0" w:type="auto"/>
            <w:vAlign w:val="center"/>
          </w:tcPr>
          <w:p w14:paraId="2E261D35">
            <w:pPr>
              <w:pStyle w:val="19"/>
              <w:bidi w:val="0"/>
              <w:rPr>
                <w:rFonts w:hint="default" w:eastAsia="宋体"/>
                <w:color w:val="auto"/>
                <w:lang w:val="en-US" w:eastAsia="zh-CN"/>
              </w:rPr>
            </w:pPr>
            <w:r>
              <w:rPr>
                <w:rFonts w:hint="eastAsia"/>
                <w:color w:val="auto"/>
                <w:lang w:val="en-US" w:eastAsia="zh-CN"/>
              </w:rPr>
              <w:t>38.6</w:t>
            </w:r>
          </w:p>
        </w:tc>
        <w:tc>
          <w:tcPr>
            <w:tcW w:w="0" w:type="auto"/>
            <w:vAlign w:val="center"/>
          </w:tcPr>
          <w:p w14:paraId="265B67F6">
            <w:pPr>
              <w:pStyle w:val="19"/>
              <w:bidi w:val="0"/>
              <w:rPr>
                <w:rFonts w:hint="default" w:eastAsia="宋体"/>
                <w:color w:val="auto"/>
                <w:lang w:val="en-US" w:eastAsia="zh-CN"/>
              </w:rPr>
            </w:pPr>
            <w:r>
              <w:rPr>
                <w:rFonts w:hint="eastAsia"/>
                <w:color w:val="auto"/>
                <w:lang w:val="en-US" w:eastAsia="zh-CN"/>
              </w:rPr>
              <w:t>36.1</w:t>
            </w:r>
          </w:p>
        </w:tc>
        <w:tc>
          <w:tcPr>
            <w:tcW w:w="0" w:type="auto"/>
            <w:vAlign w:val="center"/>
          </w:tcPr>
          <w:p w14:paraId="322135D0">
            <w:pPr>
              <w:pStyle w:val="19"/>
              <w:bidi w:val="0"/>
              <w:rPr>
                <w:color w:val="auto"/>
              </w:rPr>
            </w:pPr>
            <w:r>
              <w:rPr>
                <w:rFonts w:hint="eastAsia"/>
                <w:color w:val="auto"/>
                <w:lang w:val="en-US" w:eastAsia="zh-CN"/>
              </w:rPr>
              <w:t>1m</w:t>
            </w:r>
          </w:p>
        </w:tc>
      </w:tr>
      <w:tr w14:paraId="71F9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4A0518A">
            <w:pPr>
              <w:pStyle w:val="21"/>
              <w:widowControl w:val="0"/>
              <w:numPr>
                <w:ilvl w:val="0"/>
                <w:numId w:val="9"/>
              </w:numPr>
              <w:tabs>
                <w:tab w:val="clear" w:pos="0"/>
              </w:tabs>
              <w:bidi w:val="0"/>
              <w:ind w:left="425" w:leftChars="0" w:hanging="425" w:firstLineChars="0"/>
              <w:jc w:val="center"/>
              <w:rPr>
                <w:color w:val="auto"/>
              </w:rPr>
            </w:pPr>
          </w:p>
        </w:tc>
        <w:tc>
          <w:tcPr>
            <w:tcW w:w="0" w:type="auto"/>
            <w:vMerge w:val="continue"/>
            <w:vAlign w:val="center"/>
          </w:tcPr>
          <w:p w14:paraId="7117E126">
            <w:pPr>
              <w:pStyle w:val="21"/>
              <w:widowControl w:val="0"/>
              <w:bidi w:val="0"/>
              <w:jc w:val="center"/>
              <w:rPr>
                <w:color w:val="auto"/>
              </w:rPr>
            </w:pPr>
          </w:p>
        </w:tc>
        <w:tc>
          <w:tcPr>
            <w:tcW w:w="0" w:type="auto"/>
            <w:vAlign w:val="center"/>
          </w:tcPr>
          <w:p w14:paraId="6C3D4628">
            <w:pPr>
              <w:pStyle w:val="19"/>
              <w:bidi w:val="0"/>
              <w:rPr>
                <w:rFonts w:hint="eastAsia" w:eastAsia="宋体"/>
                <w:color w:val="auto"/>
                <w:lang w:val="en-US" w:eastAsia="zh-CN"/>
              </w:rPr>
            </w:pPr>
            <w:r>
              <w:rPr>
                <w:rFonts w:hint="eastAsia"/>
                <w:color w:val="auto"/>
                <w:lang w:val="en-US" w:eastAsia="zh-CN"/>
              </w:rPr>
              <w:t>空压机</w:t>
            </w:r>
          </w:p>
        </w:tc>
        <w:tc>
          <w:tcPr>
            <w:tcW w:w="0" w:type="auto"/>
            <w:vAlign w:val="center"/>
          </w:tcPr>
          <w:p w14:paraId="4D648167">
            <w:pPr>
              <w:pStyle w:val="19"/>
              <w:bidi w:val="0"/>
              <w:rPr>
                <w:rFonts w:hint="eastAsia" w:eastAsia="宋体"/>
                <w:color w:val="auto"/>
                <w:lang w:val="en-US" w:eastAsia="zh-CN"/>
              </w:rPr>
            </w:pPr>
            <w:r>
              <w:rPr>
                <w:rFonts w:hint="eastAsia"/>
                <w:color w:val="auto"/>
                <w:lang w:val="en-US" w:eastAsia="zh-CN"/>
              </w:rPr>
              <w:t>1</w:t>
            </w:r>
          </w:p>
        </w:tc>
        <w:tc>
          <w:tcPr>
            <w:tcW w:w="0" w:type="auto"/>
            <w:vAlign w:val="center"/>
          </w:tcPr>
          <w:p w14:paraId="639B2F63">
            <w:pPr>
              <w:pStyle w:val="19"/>
              <w:bidi w:val="0"/>
              <w:rPr>
                <w:rFonts w:hint="default" w:eastAsia="宋体"/>
                <w:color w:val="auto"/>
                <w:lang w:val="en-US" w:eastAsia="zh-CN"/>
              </w:rPr>
            </w:pPr>
            <w:r>
              <w:rPr>
                <w:rFonts w:hint="eastAsia"/>
                <w:color w:val="auto"/>
                <w:lang w:val="en-US" w:eastAsia="zh-CN"/>
              </w:rPr>
              <w:t>90</w:t>
            </w:r>
          </w:p>
        </w:tc>
        <w:tc>
          <w:tcPr>
            <w:tcW w:w="0" w:type="auto"/>
            <w:vAlign w:val="center"/>
          </w:tcPr>
          <w:p w14:paraId="78B5C10A">
            <w:pPr>
              <w:pStyle w:val="19"/>
              <w:bidi w:val="0"/>
              <w:rPr>
                <w:rFonts w:hint="eastAsia" w:eastAsia="宋体"/>
                <w:color w:val="auto"/>
                <w:lang w:val="en-US" w:eastAsia="zh-CN"/>
              </w:rPr>
            </w:pPr>
            <w:r>
              <w:rPr>
                <w:rFonts w:hint="eastAsia"/>
                <w:color w:val="auto"/>
                <w:lang w:val="en-US" w:eastAsia="zh-CN"/>
              </w:rPr>
              <w:t>消声器</w:t>
            </w:r>
          </w:p>
        </w:tc>
        <w:tc>
          <w:tcPr>
            <w:tcW w:w="0" w:type="auto"/>
            <w:vAlign w:val="center"/>
          </w:tcPr>
          <w:p w14:paraId="5A1BA303">
            <w:pPr>
              <w:pStyle w:val="19"/>
              <w:bidi w:val="0"/>
              <w:rPr>
                <w:rFonts w:hint="default" w:eastAsia="宋体"/>
                <w:color w:val="auto"/>
                <w:lang w:val="en-US" w:eastAsia="zh-CN"/>
              </w:rPr>
            </w:pPr>
            <w:r>
              <w:rPr>
                <w:rFonts w:hint="eastAsia"/>
                <w:color w:val="auto"/>
                <w:lang w:val="en-US" w:eastAsia="zh-CN"/>
              </w:rPr>
              <w:t>10</w:t>
            </w:r>
          </w:p>
        </w:tc>
        <w:tc>
          <w:tcPr>
            <w:tcW w:w="0" w:type="auto"/>
            <w:vAlign w:val="center"/>
          </w:tcPr>
          <w:p w14:paraId="1D11647F">
            <w:pPr>
              <w:pStyle w:val="19"/>
              <w:bidi w:val="0"/>
              <w:rPr>
                <w:rFonts w:hint="eastAsia" w:eastAsia="宋体"/>
                <w:color w:val="auto"/>
                <w:lang w:val="en-US" w:eastAsia="zh-CN"/>
              </w:rPr>
            </w:pPr>
            <w:r>
              <w:rPr>
                <w:rFonts w:hint="eastAsia"/>
                <w:color w:val="auto"/>
                <w:lang w:val="en-US" w:eastAsia="zh-CN"/>
              </w:rPr>
              <w:t>3</w:t>
            </w:r>
          </w:p>
        </w:tc>
        <w:tc>
          <w:tcPr>
            <w:tcW w:w="0" w:type="auto"/>
            <w:vAlign w:val="center"/>
          </w:tcPr>
          <w:p w14:paraId="2B71CC63">
            <w:pPr>
              <w:pStyle w:val="19"/>
              <w:bidi w:val="0"/>
              <w:rPr>
                <w:rFonts w:hint="default" w:eastAsia="宋体"/>
                <w:color w:val="auto"/>
                <w:lang w:val="en-US" w:eastAsia="zh-CN"/>
              </w:rPr>
            </w:pPr>
            <w:r>
              <w:rPr>
                <w:rFonts w:hint="eastAsia"/>
                <w:color w:val="auto"/>
                <w:lang w:val="en-US" w:eastAsia="zh-CN"/>
              </w:rPr>
              <w:t>1.5</w:t>
            </w:r>
          </w:p>
        </w:tc>
        <w:tc>
          <w:tcPr>
            <w:tcW w:w="0" w:type="auto"/>
            <w:vAlign w:val="center"/>
          </w:tcPr>
          <w:p w14:paraId="5AAA7019">
            <w:pPr>
              <w:pStyle w:val="19"/>
              <w:bidi w:val="0"/>
              <w:rPr>
                <w:rFonts w:hint="default" w:eastAsia="宋体"/>
                <w:color w:val="auto"/>
                <w:lang w:val="en-US" w:eastAsia="zh-CN"/>
              </w:rPr>
            </w:pPr>
            <w:r>
              <w:rPr>
                <w:rFonts w:hint="eastAsia"/>
                <w:color w:val="auto"/>
                <w:lang w:val="en-US" w:eastAsia="zh-CN"/>
              </w:rPr>
              <w:t>87</w:t>
            </w:r>
          </w:p>
        </w:tc>
        <w:tc>
          <w:tcPr>
            <w:tcW w:w="0" w:type="auto"/>
            <w:vAlign w:val="center"/>
          </w:tcPr>
          <w:p w14:paraId="1E527719">
            <w:pPr>
              <w:pStyle w:val="19"/>
              <w:bidi w:val="0"/>
              <w:rPr>
                <w:rFonts w:hint="eastAsia" w:eastAsia="宋体"/>
                <w:color w:val="auto"/>
                <w:lang w:val="en-US" w:eastAsia="zh-CN"/>
              </w:rPr>
            </w:pPr>
            <w:r>
              <w:rPr>
                <w:rFonts w:hint="eastAsia"/>
                <w:color w:val="auto"/>
                <w:lang w:val="en-US" w:eastAsia="zh-CN"/>
              </w:rPr>
              <w:t>3</w:t>
            </w:r>
          </w:p>
        </w:tc>
        <w:tc>
          <w:tcPr>
            <w:tcW w:w="0" w:type="auto"/>
            <w:vAlign w:val="center"/>
          </w:tcPr>
          <w:p w14:paraId="062C99F8">
            <w:pPr>
              <w:pStyle w:val="19"/>
              <w:bidi w:val="0"/>
              <w:rPr>
                <w:rFonts w:hint="default" w:eastAsia="宋体"/>
                <w:color w:val="auto"/>
                <w:lang w:val="en-US" w:eastAsia="zh-CN"/>
              </w:rPr>
            </w:pPr>
            <w:r>
              <w:rPr>
                <w:rFonts w:hint="eastAsia"/>
                <w:color w:val="auto"/>
                <w:lang w:val="en-US" w:eastAsia="zh-CN"/>
              </w:rPr>
              <w:t>10</w:t>
            </w:r>
          </w:p>
        </w:tc>
        <w:tc>
          <w:tcPr>
            <w:tcW w:w="0" w:type="auto"/>
            <w:vAlign w:val="center"/>
          </w:tcPr>
          <w:p w14:paraId="67D52E95">
            <w:pPr>
              <w:pStyle w:val="19"/>
              <w:bidi w:val="0"/>
              <w:rPr>
                <w:rFonts w:hint="default" w:eastAsia="宋体"/>
                <w:color w:val="auto"/>
                <w:lang w:val="en-US" w:eastAsia="zh-CN"/>
              </w:rPr>
            </w:pPr>
            <w:r>
              <w:rPr>
                <w:rFonts w:hint="eastAsia"/>
                <w:color w:val="auto"/>
                <w:lang w:val="en-US" w:eastAsia="zh-CN"/>
              </w:rPr>
              <w:t>40</w:t>
            </w:r>
          </w:p>
        </w:tc>
        <w:tc>
          <w:tcPr>
            <w:tcW w:w="0" w:type="auto"/>
            <w:vAlign w:val="center"/>
          </w:tcPr>
          <w:p w14:paraId="38E8722C">
            <w:pPr>
              <w:pStyle w:val="19"/>
              <w:bidi w:val="0"/>
              <w:rPr>
                <w:rFonts w:hint="default" w:eastAsia="宋体"/>
                <w:color w:val="auto"/>
                <w:lang w:val="en-US" w:eastAsia="zh-CN"/>
              </w:rPr>
            </w:pPr>
            <w:r>
              <w:rPr>
                <w:rFonts w:hint="eastAsia"/>
                <w:color w:val="auto"/>
                <w:lang w:val="en-US" w:eastAsia="zh-CN"/>
              </w:rPr>
              <w:t>51.2</w:t>
            </w:r>
          </w:p>
        </w:tc>
        <w:tc>
          <w:tcPr>
            <w:tcW w:w="0" w:type="auto"/>
            <w:vAlign w:val="center"/>
          </w:tcPr>
          <w:p w14:paraId="7B7F6A69">
            <w:pPr>
              <w:pStyle w:val="19"/>
              <w:bidi w:val="0"/>
              <w:rPr>
                <w:rFonts w:hint="default" w:eastAsia="宋体"/>
                <w:color w:val="auto"/>
                <w:lang w:val="en-US" w:eastAsia="zh-CN"/>
              </w:rPr>
            </w:pPr>
            <w:r>
              <w:rPr>
                <w:rFonts w:hint="eastAsia"/>
                <w:color w:val="auto"/>
                <w:lang w:val="en-US" w:eastAsia="zh-CN"/>
              </w:rPr>
              <w:t>80.5</w:t>
            </w:r>
          </w:p>
        </w:tc>
        <w:tc>
          <w:tcPr>
            <w:tcW w:w="0" w:type="auto"/>
            <w:vAlign w:val="center"/>
          </w:tcPr>
          <w:p w14:paraId="76A3B957">
            <w:pPr>
              <w:pStyle w:val="19"/>
              <w:bidi w:val="0"/>
              <w:rPr>
                <w:rFonts w:hint="default" w:eastAsia="宋体"/>
                <w:color w:val="auto"/>
                <w:lang w:val="en-US" w:eastAsia="zh-CN"/>
              </w:rPr>
            </w:pPr>
            <w:r>
              <w:rPr>
                <w:rFonts w:hint="eastAsia"/>
                <w:color w:val="auto"/>
                <w:lang w:val="en-US" w:eastAsia="zh-CN"/>
              </w:rPr>
              <w:t>70.0</w:t>
            </w:r>
          </w:p>
        </w:tc>
        <w:tc>
          <w:tcPr>
            <w:tcW w:w="0" w:type="auto"/>
            <w:vAlign w:val="center"/>
          </w:tcPr>
          <w:p w14:paraId="295F5E1C">
            <w:pPr>
              <w:pStyle w:val="19"/>
              <w:bidi w:val="0"/>
              <w:rPr>
                <w:rFonts w:hint="default" w:eastAsia="宋体"/>
                <w:color w:val="auto"/>
                <w:lang w:val="en-US" w:eastAsia="zh-CN"/>
              </w:rPr>
            </w:pPr>
            <w:r>
              <w:rPr>
                <w:rFonts w:hint="eastAsia"/>
                <w:color w:val="auto"/>
                <w:lang w:val="en-US" w:eastAsia="zh-CN"/>
              </w:rPr>
              <w:t>58.0</w:t>
            </w:r>
          </w:p>
        </w:tc>
        <w:tc>
          <w:tcPr>
            <w:tcW w:w="0" w:type="auto"/>
            <w:vMerge w:val="continue"/>
            <w:vAlign w:val="center"/>
          </w:tcPr>
          <w:p w14:paraId="58736B38">
            <w:pPr>
              <w:pStyle w:val="21"/>
              <w:widowControl w:val="0"/>
              <w:bidi w:val="0"/>
              <w:jc w:val="center"/>
              <w:rPr>
                <w:color w:val="auto"/>
              </w:rPr>
            </w:pPr>
          </w:p>
        </w:tc>
        <w:tc>
          <w:tcPr>
            <w:tcW w:w="0" w:type="auto"/>
            <w:vAlign w:val="center"/>
          </w:tcPr>
          <w:p w14:paraId="5DBA8922">
            <w:pPr>
              <w:pStyle w:val="19"/>
              <w:bidi w:val="0"/>
              <w:rPr>
                <w:color w:val="auto"/>
              </w:rPr>
            </w:pPr>
            <w:r>
              <w:rPr>
                <w:rFonts w:hint="eastAsia"/>
                <w:color w:val="auto"/>
                <w:lang w:val="en-US" w:eastAsia="zh-CN"/>
              </w:rPr>
              <w:t>20</w:t>
            </w:r>
          </w:p>
        </w:tc>
        <w:tc>
          <w:tcPr>
            <w:tcW w:w="0" w:type="auto"/>
            <w:vAlign w:val="center"/>
          </w:tcPr>
          <w:p w14:paraId="7EB0679A">
            <w:pPr>
              <w:pStyle w:val="19"/>
              <w:bidi w:val="0"/>
              <w:rPr>
                <w:rFonts w:hint="default" w:eastAsia="宋体"/>
                <w:color w:val="auto"/>
                <w:lang w:val="en-US" w:eastAsia="zh-CN"/>
              </w:rPr>
            </w:pPr>
            <w:r>
              <w:rPr>
                <w:rFonts w:hint="eastAsia"/>
                <w:color w:val="auto"/>
                <w:lang w:val="en-US" w:eastAsia="zh-CN"/>
              </w:rPr>
              <w:t>31.2</w:t>
            </w:r>
          </w:p>
        </w:tc>
        <w:tc>
          <w:tcPr>
            <w:tcW w:w="0" w:type="auto"/>
            <w:vAlign w:val="center"/>
          </w:tcPr>
          <w:p w14:paraId="6F8BBAC9">
            <w:pPr>
              <w:pStyle w:val="19"/>
              <w:bidi w:val="0"/>
              <w:rPr>
                <w:rFonts w:hint="default" w:eastAsia="宋体"/>
                <w:color w:val="auto"/>
                <w:lang w:val="en-US" w:eastAsia="zh-CN"/>
              </w:rPr>
            </w:pPr>
            <w:r>
              <w:rPr>
                <w:rFonts w:hint="eastAsia"/>
                <w:color w:val="auto"/>
                <w:lang w:val="en-US" w:eastAsia="zh-CN"/>
              </w:rPr>
              <w:t>60.5</w:t>
            </w:r>
          </w:p>
        </w:tc>
        <w:tc>
          <w:tcPr>
            <w:tcW w:w="0" w:type="auto"/>
            <w:vAlign w:val="center"/>
          </w:tcPr>
          <w:p w14:paraId="40B7EF36">
            <w:pPr>
              <w:pStyle w:val="19"/>
              <w:bidi w:val="0"/>
              <w:rPr>
                <w:rFonts w:hint="default" w:eastAsia="宋体"/>
                <w:color w:val="auto"/>
                <w:lang w:val="en-US" w:eastAsia="zh-CN"/>
              </w:rPr>
            </w:pPr>
            <w:r>
              <w:rPr>
                <w:rFonts w:hint="eastAsia"/>
                <w:color w:val="auto"/>
                <w:lang w:val="en-US" w:eastAsia="zh-CN"/>
              </w:rPr>
              <w:t>50.0</w:t>
            </w:r>
          </w:p>
        </w:tc>
        <w:tc>
          <w:tcPr>
            <w:tcW w:w="0" w:type="auto"/>
            <w:vAlign w:val="center"/>
          </w:tcPr>
          <w:p w14:paraId="7CE6C9B8">
            <w:pPr>
              <w:pStyle w:val="19"/>
              <w:bidi w:val="0"/>
              <w:rPr>
                <w:rFonts w:hint="default" w:eastAsia="宋体"/>
                <w:color w:val="auto"/>
                <w:lang w:val="en-US" w:eastAsia="zh-CN"/>
              </w:rPr>
            </w:pPr>
            <w:r>
              <w:rPr>
                <w:rFonts w:hint="eastAsia"/>
                <w:color w:val="auto"/>
                <w:lang w:val="en-US" w:eastAsia="zh-CN"/>
              </w:rPr>
              <w:t>38.0</w:t>
            </w:r>
          </w:p>
        </w:tc>
        <w:tc>
          <w:tcPr>
            <w:tcW w:w="0" w:type="auto"/>
            <w:vAlign w:val="center"/>
          </w:tcPr>
          <w:p w14:paraId="7E08C9B3">
            <w:pPr>
              <w:pStyle w:val="19"/>
              <w:bidi w:val="0"/>
              <w:rPr>
                <w:color w:val="auto"/>
              </w:rPr>
            </w:pPr>
            <w:r>
              <w:rPr>
                <w:rFonts w:hint="eastAsia"/>
                <w:color w:val="auto"/>
                <w:lang w:val="en-US" w:eastAsia="zh-CN"/>
              </w:rPr>
              <w:t>1m</w:t>
            </w:r>
          </w:p>
        </w:tc>
      </w:tr>
    </w:tbl>
    <w:p w14:paraId="4BD45793">
      <w:pPr>
        <w:pStyle w:val="5"/>
        <w:bidi w:val="0"/>
        <w:rPr>
          <w:color w:val="auto"/>
        </w:rPr>
      </w:pPr>
    </w:p>
    <w:p w14:paraId="63FE1B74">
      <w:pPr>
        <w:pStyle w:val="5"/>
        <w:bidi w:val="0"/>
        <w:rPr>
          <w:color w:val="auto"/>
        </w:rPr>
        <w:sectPr>
          <w:pgSz w:w="16840" w:h="11907" w:orient="landscape"/>
          <w:pgMar w:top="1531" w:right="1701" w:bottom="1531" w:left="2127" w:header="851" w:footer="851" w:gutter="0"/>
          <w:pgNumType w:fmt="decimal"/>
          <w:cols w:space="720" w:num="1"/>
          <w:docGrid w:linePitch="312" w:charSpace="0"/>
        </w:sectPr>
      </w:pPr>
    </w:p>
    <w:tbl>
      <w:tblPr>
        <w:tblStyle w:val="15"/>
        <w:tblW w:w="90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506"/>
      </w:tblGrid>
      <w:tr w14:paraId="00FE5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18" w:hRule="atLeast"/>
          <w:jc w:val="center"/>
        </w:trPr>
        <w:tc>
          <w:tcPr>
            <w:tcW w:w="1526" w:type="dxa"/>
            <w:tcMar>
              <w:left w:w="28" w:type="dxa"/>
              <w:right w:w="28" w:type="dxa"/>
            </w:tcMar>
            <w:vAlign w:val="center"/>
          </w:tcPr>
          <w:p w14:paraId="2BB5752B">
            <w:pPr>
              <w:pStyle w:val="5"/>
              <w:bidi w:val="0"/>
              <w:ind w:left="0" w:leftChars="0" w:firstLine="0" w:firstLineChars="0"/>
              <w:jc w:val="both"/>
              <w:rPr>
                <w:color w:val="auto"/>
              </w:rPr>
            </w:pPr>
            <w:r>
              <w:rPr>
                <w:rFonts w:hint="eastAsia"/>
                <w:color w:val="auto"/>
              </w:rPr>
              <w:t>运营期环境影响和保护措施</w:t>
            </w:r>
          </w:p>
        </w:tc>
        <w:tc>
          <w:tcPr>
            <w:tcW w:w="7506" w:type="dxa"/>
          </w:tcPr>
          <w:p w14:paraId="0EAED555">
            <w:pPr>
              <w:pStyle w:val="5"/>
              <w:ind w:firstLine="480"/>
              <w:rPr>
                <w:rFonts w:hint="default"/>
                <w:color w:val="auto"/>
              </w:rPr>
            </w:pPr>
            <w:r>
              <w:rPr>
                <w:rFonts w:hint="default"/>
                <w:color w:val="auto"/>
              </w:rPr>
              <w:t>根据《</w:t>
            </w:r>
            <w:r>
              <w:rPr>
                <w:rFonts w:hint="eastAsia"/>
                <w:color w:val="auto"/>
                <w:lang w:eastAsia="zh-CN"/>
              </w:rPr>
              <w:t>环境影响评价技术导则 声环境</w:t>
            </w:r>
            <w:r>
              <w:rPr>
                <w:rFonts w:hint="default"/>
                <w:color w:val="auto"/>
              </w:rPr>
              <w:t>》</w:t>
            </w:r>
            <w:r>
              <w:rPr>
                <w:rFonts w:hint="eastAsia"/>
                <w:color w:val="auto"/>
                <w:lang w:eastAsia="zh-CN"/>
              </w:rPr>
              <w:t>（</w:t>
            </w:r>
            <w:r>
              <w:rPr>
                <w:rFonts w:hint="default"/>
                <w:color w:val="auto"/>
              </w:rPr>
              <w:t>HJ2.4-2021</w:t>
            </w:r>
            <w:r>
              <w:rPr>
                <w:rFonts w:hint="eastAsia"/>
                <w:color w:val="auto"/>
                <w:lang w:eastAsia="zh-CN"/>
              </w:rPr>
              <w:t>）</w:t>
            </w:r>
            <w:r>
              <w:rPr>
                <w:rFonts w:hint="default"/>
                <w:color w:val="auto"/>
              </w:rPr>
              <w:t>的要求，采用如下模式</w:t>
            </w:r>
            <w:r>
              <w:rPr>
                <w:rFonts w:hint="eastAsia"/>
                <w:color w:val="auto"/>
                <w:lang w:eastAsia="zh-CN"/>
              </w:rPr>
              <w:t>：</w:t>
            </w:r>
          </w:p>
          <w:p w14:paraId="06A83CE6">
            <w:pPr>
              <w:pStyle w:val="5"/>
              <w:ind w:firstLine="480"/>
              <w:rPr>
                <w:rFonts w:hint="default"/>
                <w:color w:val="auto"/>
              </w:rPr>
            </w:pPr>
            <w:r>
              <w:rPr>
                <w:rFonts w:hint="default"/>
                <w:color w:val="auto"/>
              </w:rPr>
              <w:t>预测条件</w:t>
            </w:r>
            <w:r>
              <w:rPr>
                <w:rFonts w:hint="eastAsia"/>
                <w:color w:val="auto"/>
                <w:lang w:eastAsia="zh-CN"/>
              </w:rPr>
              <w:t>：</w:t>
            </w:r>
          </w:p>
          <w:p w14:paraId="6E3AE12F">
            <w:pPr>
              <w:pStyle w:val="5"/>
              <w:ind w:firstLine="480"/>
              <w:rPr>
                <w:rFonts w:hint="default"/>
                <w:color w:val="auto"/>
              </w:rPr>
            </w:pPr>
            <w:r>
              <w:rPr>
                <w:rFonts w:hint="default"/>
                <w:color w:val="auto"/>
              </w:rPr>
              <w:t>①所有产噪设备均在正常工况条件下运行</w:t>
            </w:r>
            <w:r>
              <w:rPr>
                <w:color w:val="auto"/>
              </w:rPr>
              <w:t>；</w:t>
            </w:r>
          </w:p>
          <w:p w14:paraId="728D9549">
            <w:pPr>
              <w:pStyle w:val="5"/>
              <w:ind w:firstLine="480"/>
              <w:rPr>
                <w:rFonts w:hint="default"/>
                <w:color w:val="auto"/>
              </w:rPr>
            </w:pPr>
            <w:r>
              <w:rPr>
                <w:rFonts w:hint="default"/>
                <w:color w:val="auto"/>
              </w:rPr>
              <w:t>②室内噪声源考虑声源所在围护结构的隔声作用</w:t>
            </w:r>
            <w:r>
              <w:rPr>
                <w:color w:val="auto"/>
              </w:rPr>
              <w:t>；</w:t>
            </w:r>
          </w:p>
          <w:p w14:paraId="731B2601">
            <w:pPr>
              <w:pStyle w:val="5"/>
              <w:ind w:firstLine="480"/>
              <w:rPr>
                <w:rFonts w:hint="default"/>
                <w:color w:val="auto"/>
              </w:rPr>
            </w:pPr>
            <w:r>
              <w:rPr>
                <w:rFonts w:hint="default"/>
                <w:color w:val="auto"/>
              </w:rPr>
              <w:t>③考虑声源至预测点的距离衰减，忽略传播中建筑物的阻挡、地面反射以及空气吸收、雨、雪、温度等影响。</w:t>
            </w:r>
          </w:p>
          <w:p w14:paraId="3B2E103B">
            <w:pPr>
              <w:pStyle w:val="5"/>
              <w:ind w:firstLine="480"/>
              <w:rPr>
                <w:rFonts w:hint="default"/>
                <w:color w:val="auto"/>
              </w:rPr>
            </w:pPr>
            <w:r>
              <w:rPr>
                <w:rFonts w:hint="default"/>
                <w:color w:val="auto"/>
              </w:rPr>
              <w:t>预测模式</w:t>
            </w:r>
            <w:r>
              <w:rPr>
                <w:rFonts w:hint="eastAsia"/>
                <w:color w:val="auto"/>
                <w:lang w:eastAsia="zh-CN"/>
              </w:rPr>
              <w:t>：</w:t>
            </w:r>
          </w:p>
          <w:p w14:paraId="0DC87F8F">
            <w:pPr>
              <w:pStyle w:val="5"/>
              <w:bidi w:val="0"/>
              <w:rPr>
                <w:rFonts w:hint="eastAsia"/>
                <w:color w:val="auto"/>
                <w:lang w:val="en-US" w:eastAsia="zh-CN"/>
              </w:rPr>
            </w:pPr>
            <w:r>
              <w:rPr>
                <w:rFonts w:hint="eastAsia"/>
                <w:color w:val="auto"/>
                <w:lang w:val="en-US" w:eastAsia="zh-CN"/>
              </w:rPr>
              <w:t>1.无指向性点声源的几何发散衰减计算公式：</w:t>
            </w:r>
          </w:p>
          <w:p w14:paraId="61AEF7B1">
            <w:pPr>
              <w:pStyle w:val="5"/>
              <w:bidi w:val="0"/>
              <w:rPr>
                <w:color w:val="auto"/>
              </w:rPr>
            </w:pPr>
            <m:oMathPara>
              <m:oMath>
                <m:r>
                  <m:rPr>
                    <m:sty m:val="p"/>
                  </m:rPr>
                  <w:rPr>
                    <w:rFonts w:hint="default" w:ascii="Times New Roman" w:hAnsi="Times New Roman"/>
                    <w:color w:val="auto"/>
                  </w:rPr>
                  <m:t>L(r)=L(</m:t>
                </m:r>
                <m:sSub>
                  <m:sSubPr>
                    <m:ctrlPr>
                      <w:rPr>
                        <w:rFonts w:hint="default" w:ascii="Cambria Math" w:hAnsi="Cambria Math"/>
                        <w:color w:val="auto"/>
                      </w:rPr>
                    </m:ctrlPr>
                  </m:sSubPr>
                  <m:e>
                    <m:r>
                      <m:rPr>
                        <m:sty m:val="p"/>
                      </m:rPr>
                      <w:rPr>
                        <w:rFonts w:hint="default" w:ascii="Times New Roman" w:hAnsi="Times New Roman"/>
                        <w:color w:val="auto"/>
                      </w:rPr>
                      <m:t>r</m:t>
                    </m:r>
                    <m:ctrlPr>
                      <w:rPr>
                        <w:rFonts w:hint="default" w:ascii="Cambria Math" w:hAnsi="Cambria Math"/>
                        <w:color w:val="auto"/>
                      </w:rPr>
                    </m:ctrlPr>
                  </m:e>
                  <m:sub>
                    <m:r>
                      <m:rPr>
                        <m:sty m:val="p"/>
                      </m:rPr>
                      <w:rPr>
                        <w:rFonts w:hint="default" w:ascii="Times New Roman" w:hAnsi="Times New Roman"/>
                        <w:color w:val="auto"/>
                      </w:rPr>
                      <m:t>0</m:t>
                    </m:r>
                    <m:ctrlPr>
                      <w:rPr>
                        <w:rFonts w:hint="default" w:ascii="Cambria Math" w:hAnsi="Cambria Math"/>
                        <w:color w:val="auto"/>
                      </w:rPr>
                    </m:ctrlPr>
                  </m:sub>
                </m:sSub>
                <m:r>
                  <m:rPr>
                    <m:sty m:val="p"/>
                  </m:rPr>
                  <w:rPr>
                    <w:rFonts w:hint="default" w:ascii="Times New Roman" w:hAnsi="Times New Roman"/>
                    <w:color w:val="auto"/>
                  </w:rPr>
                  <m:t>)−20</m:t>
                </m:r>
                <m:func>
                  <m:funcPr>
                    <m:ctrlPr>
                      <w:rPr>
                        <w:rFonts w:hint="default" w:ascii="Cambria Math" w:hAnsi="Cambria Math"/>
                        <w:color w:val="auto"/>
                      </w:rPr>
                    </m:ctrlPr>
                  </m:funcPr>
                  <m:fName>
                    <m:r>
                      <m:rPr>
                        <m:sty m:val="p"/>
                      </m:rPr>
                      <w:rPr>
                        <w:rFonts w:hint="default" w:ascii="Times New Roman" w:hAnsi="Times New Roman"/>
                        <w:color w:val="auto"/>
                      </w:rPr>
                      <m:t>lg</m:t>
                    </m:r>
                    <m:ctrlPr>
                      <w:rPr>
                        <w:rFonts w:hint="default" w:ascii="Cambria Math" w:hAnsi="Cambria Math"/>
                        <w:color w:val="auto"/>
                      </w:rPr>
                    </m:ctrlPr>
                  </m:fName>
                  <m:e>
                    <m:d>
                      <m:dPr>
                        <m:ctrlPr>
                          <w:rPr>
                            <w:rFonts w:hint="default" w:ascii="Cambria Math" w:hAnsi="Cambria Math"/>
                            <w:color w:val="auto"/>
                          </w:rPr>
                        </m:ctrlPr>
                      </m:dPr>
                      <m:e>
                        <m:f>
                          <m:fPr>
                            <m:ctrlPr>
                              <w:rPr>
                                <w:rFonts w:hint="default" w:ascii="Cambria Math" w:hAnsi="Cambria Math"/>
                                <w:color w:val="auto"/>
                              </w:rPr>
                            </m:ctrlPr>
                          </m:fPr>
                          <m:num>
                            <m:r>
                              <m:rPr>
                                <m:sty m:val="p"/>
                              </m:rPr>
                              <w:rPr>
                                <w:rFonts w:hint="default" w:ascii="Times New Roman" w:hAnsi="Times New Roman"/>
                                <w:color w:val="auto"/>
                              </w:rPr>
                              <m:t>r</m:t>
                            </m:r>
                            <m:ctrlPr>
                              <w:rPr>
                                <w:rFonts w:hint="default" w:ascii="Cambria Math" w:hAnsi="Cambria Math"/>
                                <w:color w:val="auto"/>
                              </w:rPr>
                            </m:ctrlPr>
                          </m:num>
                          <m:den>
                            <m:sSub>
                              <m:sSubPr>
                                <m:ctrlPr>
                                  <w:rPr>
                                    <w:rFonts w:hint="default" w:ascii="Cambria Math" w:hAnsi="Cambria Math"/>
                                    <w:color w:val="auto"/>
                                  </w:rPr>
                                </m:ctrlPr>
                              </m:sSubPr>
                              <m:e>
                                <m:r>
                                  <m:rPr>
                                    <m:sty m:val="p"/>
                                  </m:rPr>
                                  <w:rPr>
                                    <w:rFonts w:hint="default" w:ascii="Times New Roman" w:hAnsi="Times New Roman"/>
                                    <w:color w:val="auto"/>
                                  </w:rPr>
                                  <m:t>r</m:t>
                                </m:r>
                                <m:ctrlPr>
                                  <w:rPr>
                                    <w:rFonts w:hint="default" w:ascii="Cambria Math" w:hAnsi="Cambria Math"/>
                                    <w:color w:val="auto"/>
                                  </w:rPr>
                                </m:ctrlPr>
                              </m:e>
                              <m:sub>
                                <m:r>
                                  <m:rPr>
                                    <m:sty m:val="p"/>
                                  </m:rPr>
                                  <w:rPr>
                                    <w:rFonts w:hint="default" w:ascii="Times New Roman" w:hAnsi="Times New Roman"/>
                                    <w:color w:val="auto"/>
                                  </w:rPr>
                                  <m:t>0</m:t>
                                </m:r>
                                <m:ctrlPr>
                                  <w:rPr>
                                    <w:rFonts w:hint="default" w:ascii="Cambria Math" w:hAnsi="Cambria Math"/>
                                    <w:color w:val="auto"/>
                                  </w:rPr>
                                </m:ctrlPr>
                              </m:sub>
                            </m:sSub>
                            <m:ctrlPr>
                              <w:rPr>
                                <w:rFonts w:hint="default" w:ascii="Cambria Math" w:hAnsi="Cambria Math"/>
                                <w:color w:val="auto"/>
                              </w:rPr>
                            </m:ctrlPr>
                          </m:den>
                        </m:f>
                        <m:ctrlPr>
                          <w:rPr>
                            <w:rFonts w:hint="default" w:ascii="Cambria Math" w:hAnsi="Cambria Math"/>
                            <w:color w:val="auto"/>
                          </w:rPr>
                        </m:ctrlPr>
                      </m:e>
                    </m:d>
                    <m:ctrlPr>
                      <w:rPr>
                        <w:rFonts w:hint="default" w:ascii="Cambria Math" w:hAnsi="Cambria Math"/>
                        <w:color w:val="auto"/>
                      </w:rPr>
                    </m:ctrlPr>
                  </m:e>
                </m:func>
              </m:oMath>
            </m:oMathPara>
          </w:p>
          <w:p w14:paraId="2AE70DE1">
            <w:pPr>
              <w:pStyle w:val="5"/>
              <w:bidi w:val="0"/>
              <w:rPr>
                <w:rFonts w:hint="eastAsia"/>
                <w:color w:val="auto"/>
                <w:lang w:val="en-US" w:eastAsia="zh-CN"/>
              </w:rPr>
            </w:pPr>
            <w:r>
              <w:rPr>
                <w:rFonts w:hint="eastAsia"/>
                <w:color w:val="auto"/>
                <w:lang w:val="en-US" w:eastAsia="zh-CN"/>
              </w:rPr>
              <w:t>其中：</w:t>
            </w:r>
          </w:p>
          <w:p w14:paraId="1AA6113D">
            <w:pPr>
              <w:pStyle w:val="5"/>
              <w:bidi w:val="0"/>
              <w:ind w:firstLine="1200" w:firstLineChars="500"/>
              <w:rPr>
                <w:rFonts w:hint="default"/>
                <w:color w:val="auto"/>
                <w:lang w:val="en-US" w:eastAsia="zh-CN"/>
              </w:rPr>
            </w:pPr>
            <w:r>
              <w:rPr>
                <w:rFonts w:hint="eastAsia"/>
                <w:color w:val="auto"/>
                <w:lang w:val="en-US" w:eastAsia="zh-CN"/>
              </w:rPr>
              <w:t>L（r）为距离声源r处的声压级dB（A））；</w:t>
            </w:r>
          </w:p>
          <w:p w14:paraId="22ED6BA7">
            <w:pPr>
              <w:pStyle w:val="5"/>
              <w:bidi w:val="0"/>
              <w:ind w:firstLine="1200" w:firstLineChars="500"/>
              <w:rPr>
                <w:rFonts w:hint="eastAsia"/>
                <w:color w:val="auto"/>
                <w:lang w:val="en-US" w:eastAsia="zh-CN"/>
              </w:rPr>
            </w:pPr>
            <w:r>
              <w:rPr>
                <w:rFonts w:hint="eastAsia"/>
                <w:color w:val="auto"/>
                <w:lang w:val="en-US" w:eastAsia="zh-CN"/>
              </w:rPr>
              <w:t>L（r0）为参考位置r0处的声压级dB（A））；</w:t>
            </w:r>
          </w:p>
          <w:p w14:paraId="6B649AFA">
            <w:pPr>
              <w:pStyle w:val="5"/>
              <w:bidi w:val="0"/>
              <w:ind w:firstLine="1200" w:firstLineChars="500"/>
              <w:rPr>
                <w:rFonts w:hint="eastAsia"/>
                <w:color w:val="auto"/>
                <w:lang w:val="en-US" w:eastAsia="zh-CN"/>
              </w:rPr>
            </w:pPr>
            <w:r>
              <w:rPr>
                <w:rFonts w:hint="eastAsia"/>
                <w:color w:val="auto"/>
                <w:lang w:val="en-US" w:eastAsia="zh-CN"/>
              </w:rPr>
              <w:t>r为预测点距声源的距离（m）；</w:t>
            </w:r>
          </w:p>
          <w:p w14:paraId="08A43DF8">
            <w:pPr>
              <w:pStyle w:val="5"/>
              <w:bidi w:val="0"/>
              <w:ind w:firstLine="1200" w:firstLineChars="500"/>
              <w:rPr>
                <w:rFonts w:hint="eastAsia"/>
                <w:color w:val="auto"/>
                <w:lang w:val="en-US" w:eastAsia="zh-CN"/>
              </w:rPr>
            </w:pPr>
            <w:r>
              <w:rPr>
                <w:rFonts w:hint="eastAsia"/>
                <w:color w:val="auto"/>
                <w:lang w:val="en-US" w:eastAsia="zh-CN"/>
              </w:rPr>
              <w:t>r0为参考位置距声源的距离（m），通常取r0=1m。</w:t>
            </w:r>
          </w:p>
          <w:p w14:paraId="0CFE065B">
            <w:pPr>
              <w:pStyle w:val="5"/>
              <w:numPr>
                <w:ilvl w:val="0"/>
                <w:numId w:val="10"/>
              </w:numPr>
              <w:bidi w:val="0"/>
              <w:rPr>
                <w:rFonts w:hint="eastAsia"/>
                <w:color w:val="auto"/>
                <w:lang w:val="en-US" w:eastAsia="zh-CN"/>
              </w:rPr>
            </w:pPr>
            <w:r>
              <w:rPr>
                <w:rFonts w:hint="eastAsia"/>
                <w:color w:val="auto"/>
                <w:lang w:val="en-US" w:eastAsia="zh-CN"/>
              </w:rPr>
              <w:t>室内声源等效室外声源声功率级计算：</w:t>
            </w:r>
          </w:p>
          <w:p w14:paraId="62E11961">
            <w:pPr>
              <w:pStyle w:val="5"/>
              <w:numPr>
                <w:ilvl w:val="0"/>
                <w:numId w:val="0"/>
              </w:numPr>
              <w:bidi w:val="0"/>
              <w:ind w:firstLine="480" w:firstLineChars="200"/>
              <w:rPr>
                <w:rFonts w:hint="eastAsia"/>
                <w:color w:val="auto"/>
                <w:lang w:val="en-US" w:eastAsia="zh-CN"/>
              </w:rPr>
            </w:pPr>
            <w:r>
              <w:rPr>
                <w:rFonts w:hint="eastAsia"/>
                <w:color w:val="auto"/>
                <w:lang w:val="en-US" w:eastAsia="zh-CN"/>
              </w:rPr>
              <w:t>将室内声源近似为位于房间中心的等效点声源，等效室外声源的声功率级Lw可通过下式计算：</w:t>
            </w:r>
          </w:p>
          <w:p w14:paraId="61812EB2">
            <w:pPr>
              <w:pStyle w:val="5"/>
              <w:bidi w:val="0"/>
              <w:rPr>
                <w:color w:val="auto"/>
              </w:rPr>
            </w:pPr>
            <m:oMathPara>
              <m:oMath>
                <m:sSub>
                  <m:sSubPr>
                    <m:ctrlPr>
                      <w:rPr>
                        <w:rFonts w:hint="default" w:ascii="Cambria Math" w:hAnsi="Cambria Math"/>
                        <w:color w:val="auto"/>
                      </w:rPr>
                    </m:ctrlPr>
                  </m:sSubPr>
                  <m:e>
                    <m:r>
                      <m:rPr>
                        <m:sty m:val="p"/>
                      </m:rPr>
                      <w:rPr>
                        <w:rFonts w:hint="default" w:ascii="Times New Roman" w:hAnsi="Times New Roman"/>
                        <w:color w:val="auto"/>
                      </w:rPr>
                      <m:t>L</m:t>
                    </m:r>
                    <m:ctrlPr>
                      <w:rPr>
                        <w:rFonts w:hint="default" w:ascii="Cambria Math" w:hAnsi="Cambria Math"/>
                        <w:color w:val="auto"/>
                      </w:rPr>
                    </m:ctrlPr>
                  </m:e>
                  <m:sub>
                    <m:r>
                      <m:rPr>
                        <m:sty m:val="p"/>
                      </m:rPr>
                      <w:rPr>
                        <w:rFonts w:hint="default" w:ascii="Times New Roman" w:hAnsi="Times New Roman"/>
                        <w:color w:val="auto"/>
                      </w:rPr>
                      <m:t>w</m:t>
                    </m:r>
                    <m:ctrlPr>
                      <w:rPr>
                        <w:rFonts w:hint="default" w:ascii="Cambria Math" w:hAnsi="Cambria Math"/>
                        <w:color w:val="auto"/>
                      </w:rPr>
                    </m:ctrlPr>
                  </m:sub>
                </m:sSub>
                <m:r>
                  <m:rPr>
                    <m:sty m:val="p"/>
                  </m:rPr>
                  <w:rPr>
                    <w:rFonts w:hint="default" w:ascii="Times New Roman" w:hAnsi="Times New Roman"/>
                    <w:color w:val="auto"/>
                  </w:rPr>
                  <m:t>=</m:t>
                </m:r>
                <m:sSub>
                  <m:sSubPr>
                    <m:ctrlPr>
                      <w:rPr>
                        <w:rFonts w:hint="default" w:ascii="Cambria Math" w:hAnsi="Cambria Math"/>
                        <w:color w:val="auto"/>
                      </w:rPr>
                    </m:ctrlPr>
                  </m:sSubPr>
                  <m:e>
                    <m:r>
                      <m:rPr>
                        <m:sty m:val="p"/>
                      </m:rPr>
                      <w:rPr>
                        <w:rFonts w:hint="default" w:ascii="Times New Roman" w:hAnsi="Times New Roman"/>
                        <w:color w:val="auto"/>
                      </w:rPr>
                      <m:t>L</m:t>
                    </m:r>
                    <m:ctrlPr>
                      <w:rPr>
                        <w:rFonts w:hint="default" w:ascii="Cambria Math" w:hAnsi="Cambria Math"/>
                        <w:color w:val="auto"/>
                      </w:rPr>
                    </m:ctrlPr>
                  </m:e>
                  <m:sub>
                    <m:r>
                      <m:rPr>
                        <m:sty m:val="p"/>
                      </m:rPr>
                      <w:rPr>
                        <w:rFonts w:hint="default" w:ascii="Times New Roman" w:hAnsi="Times New Roman"/>
                        <w:color w:val="auto"/>
                      </w:rPr>
                      <m:t>p1</m:t>
                    </m:r>
                    <m:ctrlPr>
                      <w:rPr>
                        <w:rFonts w:hint="default" w:ascii="Cambria Math" w:hAnsi="Cambria Math"/>
                        <w:color w:val="auto"/>
                      </w:rPr>
                    </m:ctrlPr>
                  </m:sub>
                </m:sSub>
                <m:r>
                  <m:rPr>
                    <m:sty m:val="p"/>
                  </m:rPr>
                  <w:rPr>
                    <w:rFonts w:hint="default" w:ascii="Times New Roman" w:hAnsi="Times New Roman"/>
                    <w:color w:val="auto"/>
                  </w:rPr>
                  <m:t>+10</m:t>
                </m:r>
                <m:func>
                  <m:funcPr>
                    <m:ctrlPr>
                      <w:rPr>
                        <w:rFonts w:hint="default" w:ascii="Cambria Math" w:hAnsi="Cambria Math"/>
                        <w:color w:val="auto"/>
                      </w:rPr>
                    </m:ctrlPr>
                  </m:funcPr>
                  <m:fName>
                    <m:r>
                      <m:rPr>
                        <m:sty m:val="p"/>
                      </m:rPr>
                      <w:rPr>
                        <w:rFonts w:hint="default" w:ascii="Times New Roman" w:hAnsi="Times New Roman"/>
                        <w:color w:val="auto"/>
                      </w:rPr>
                      <m:t>lg</m:t>
                    </m:r>
                    <m:ctrlPr>
                      <w:rPr>
                        <w:rFonts w:hint="default" w:ascii="Cambria Math" w:hAnsi="Cambria Math"/>
                        <w:color w:val="auto"/>
                      </w:rPr>
                    </m:ctrlPr>
                  </m:fName>
                  <m:e>
                    <m:r>
                      <m:rPr>
                        <m:sty m:val="p"/>
                      </m:rPr>
                      <w:rPr>
                        <w:rFonts w:hint="default" w:ascii="Times New Roman" w:hAnsi="Times New Roman"/>
                        <w:color w:val="auto"/>
                      </w:rPr>
                      <m:t>(</m:t>
                    </m:r>
                    <m:ctrlPr>
                      <w:rPr>
                        <w:rFonts w:hint="default" w:ascii="Cambria Math" w:hAnsi="Cambria Math"/>
                        <w:color w:val="auto"/>
                      </w:rPr>
                    </m:ctrlPr>
                  </m:e>
                </m:func>
                <m:r>
                  <m:rPr>
                    <m:sty m:val="p"/>
                  </m:rPr>
                  <w:rPr>
                    <w:rFonts w:hint="default" w:ascii="Times New Roman" w:hAnsi="Times New Roman"/>
                    <w:color w:val="auto"/>
                  </w:rPr>
                  <m:t>S)−TL</m:t>
                </m:r>
              </m:oMath>
            </m:oMathPara>
          </w:p>
          <w:p w14:paraId="5B81BAB8">
            <w:pPr>
              <w:pStyle w:val="5"/>
              <w:numPr>
                <w:ilvl w:val="0"/>
                <w:numId w:val="0"/>
              </w:numPr>
              <w:bidi w:val="0"/>
              <w:ind w:firstLine="480" w:firstLineChars="200"/>
              <w:rPr>
                <w:rFonts w:hint="eastAsia"/>
                <w:color w:val="auto"/>
                <w:lang w:val="en-US" w:eastAsia="zh-CN"/>
              </w:rPr>
            </w:pPr>
            <w:r>
              <w:rPr>
                <w:rFonts w:hint="eastAsia"/>
                <w:color w:val="auto"/>
                <w:lang w:val="en-US" w:eastAsia="zh-CN"/>
              </w:rPr>
              <w:t>其中：</w:t>
            </w:r>
          </w:p>
          <w:p w14:paraId="0F87C0C9">
            <w:pPr>
              <w:pStyle w:val="5"/>
              <w:numPr>
                <w:ilvl w:val="0"/>
                <w:numId w:val="0"/>
              </w:numPr>
              <w:bidi w:val="0"/>
              <w:ind w:firstLine="1200" w:firstLineChars="500"/>
              <w:rPr>
                <w:rFonts w:hint="eastAsia"/>
                <w:color w:val="auto"/>
                <w:lang w:val="en-US" w:eastAsia="zh-CN"/>
              </w:rPr>
            </w:pPr>
            <w:r>
              <w:rPr>
                <w:rFonts w:hint="eastAsia"/>
                <w:color w:val="auto"/>
                <w:lang w:val="en-US" w:eastAsia="zh-CN"/>
              </w:rPr>
              <w:t>Lp1为室内某点的声压级dB（A））；</w:t>
            </w:r>
          </w:p>
          <w:p w14:paraId="3B7E969C">
            <w:pPr>
              <w:pStyle w:val="5"/>
              <w:numPr>
                <w:ilvl w:val="0"/>
                <w:numId w:val="0"/>
              </w:numPr>
              <w:bidi w:val="0"/>
              <w:ind w:firstLine="1200" w:firstLineChars="500"/>
              <w:rPr>
                <w:rFonts w:hint="eastAsia"/>
                <w:color w:val="auto"/>
                <w:lang w:val="en-US" w:eastAsia="zh-CN"/>
              </w:rPr>
            </w:pPr>
            <w:r>
              <w:rPr>
                <w:rFonts w:hint="eastAsia"/>
                <w:color w:val="auto"/>
                <w:lang w:val="en-US" w:eastAsia="zh-CN"/>
              </w:rPr>
              <w:t>S为房间的面积（m²）；</w:t>
            </w:r>
          </w:p>
          <w:p w14:paraId="7F02EC70">
            <w:pPr>
              <w:pStyle w:val="5"/>
              <w:numPr>
                <w:ilvl w:val="0"/>
                <w:numId w:val="0"/>
              </w:numPr>
              <w:bidi w:val="0"/>
              <w:ind w:firstLine="1200" w:firstLineChars="500"/>
              <w:rPr>
                <w:rFonts w:hint="eastAsia"/>
                <w:color w:val="auto"/>
                <w:lang w:val="en-US" w:eastAsia="zh-CN"/>
              </w:rPr>
            </w:pPr>
            <w:r>
              <w:rPr>
                <w:rFonts w:hint="eastAsia"/>
                <w:color w:val="auto"/>
                <w:lang w:val="en-US" w:eastAsia="zh-CN"/>
              </w:rPr>
              <w:t>TL为围护结构的隔声量dB（A））。</w:t>
            </w:r>
          </w:p>
          <w:p w14:paraId="0897E643">
            <w:pPr>
              <w:pStyle w:val="5"/>
              <w:numPr>
                <w:ilvl w:val="0"/>
                <w:numId w:val="10"/>
              </w:numPr>
              <w:bidi w:val="0"/>
              <w:ind w:left="0" w:leftChars="0" w:firstLine="480" w:firstLineChars="200"/>
              <w:rPr>
                <w:rFonts w:hint="eastAsia"/>
                <w:color w:val="auto"/>
                <w:lang w:val="en-US" w:eastAsia="zh-CN"/>
              </w:rPr>
            </w:pPr>
            <w:r>
              <w:rPr>
                <w:rFonts w:hint="eastAsia"/>
                <w:color w:val="auto"/>
                <w:lang w:val="en-US" w:eastAsia="zh-CN"/>
              </w:rPr>
              <w:t>多声源叠加公式：</w:t>
            </w:r>
          </w:p>
          <w:p w14:paraId="02EC23D2">
            <w:pPr>
              <w:pStyle w:val="5"/>
              <w:bidi w:val="0"/>
              <w:rPr>
                <w:color w:val="auto"/>
              </w:rPr>
            </w:pPr>
            <m:oMathPara>
              <m:oMath>
                <m:sSub>
                  <m:sSubPr>
                    <m:ctrlPr>
                      <w:rPr>
                        <w:rFonts w:hint="default" w:ascii="Cambria Math" w:hAnsi="Cambria Math"/>
                        <w:color w:val="auto"/>
                      </w:rPr>
                    </m:ctrlPr>
                  </m:sSubPr>
                  <m:e>
                    <m:r>
                      <m:rPr>
                        <m:sty m:val="p"/>
                      </m:rPr>
                      <w:rPr>
                        <w:rFonts w:hint="default" w:ascii="Times New Roman" w:hAnsi="Times New Roman"/>
                        <w:color w:val="auto"/>
                      </w:rPr>
                      <m:t>L</m:t>
                    </m:r>
                    <m:ctrlPr>
                      <w:rPr>
                        <w:rFonts w:hint="default" w:ascii="Cambria Math" w:hAnsi="Cambria Math"/>
                        <w:color w:val="auto"/>
                      </w:rPr>
                    </m:ctrlPr>
                  </m:e>
                  <m:sub>
                    <m:r>
                      <m:rPr>
                        <m:sty m:val="p"/>
                      </m:rPr>
                      <w:rPr>
                        <w:rFonts w:hint="default" w:ascii="Times New Roman" w:hAnsi="Times New Roman"/>
                        <w:color w:val="auto"/>
                      </w:rPr>
                      <m:t>eq</m:t>
                    </m:r>
                    <m:ctrlPr>
                      <w:rPr>
                        <w:rFonts w:hint="default" w:ascii="Cambria Math" w:hAnsi="Cambria Math"/>
                        <w:color w:val="auto"/>
                      </w:rPr>
                    </m:ctrlPr>
                  </m:sub>
                </m:sSub>
                <m:r>
                  <m:rPr>
                    <m:sty m:val="p"/>
                  </m:rPr>
                  <w:rPr>
                    <w:rFonts w:hint="default" w:ascii="Times New Roman" w:hAnsi="Times New Roman"/>
                    <w:color w:val="auto"/>
                  </w:rPr>
                  <m:t>=10</m:t>
                </m:r>
                <m:func>
                  <m:funcPr>
                    <m:ctrlPr>
                      <w:rPr>
                        <w:rFonts w:hint="default" w:ascii="Cambria Math" w:hAnsi="Cambria Math"/>
                        <w:color w:val="auto"/>
                      </w:rPr>
                    </m:ctrlPr>
                  </m:funcPr>
                  <m:fName>
                    <m:r>
                      <m:rPr>
                        <m:sty m:val="p"/>
                      </m:rPr>
                      <w:rPr>
                        <w:rFonts w:hint="default" w:ascii="Times New Roman" w:hAnsi="Times New Roman"/>
                        <w:color w:val="auto"/>
                      </w:rPr>
                      <m:t>lg</m:t>
                    </m:r>
                    <m:ctrlPr>
                      <w:rPr>
                        <w:rFonts w:hint="default" w:ascii="Cambria Math" w:hAnsi="Cambria Math"/>
                        <w:color w:val="auto"/>
                      </w:rPr>
                    </m:ctrlPr>
                  </m:fName>
                  <m:e>
                    <m:d>
                      <m:dPr>
                        <m:ctrlPr>
                          <w:rPr>
                            <w:rFonts w:hint="default" w:ascii="Cambria Math" w:hAnsi="Cambria Math"/>
                            <w:color w:val="auto"/>
                          </w:rPr>
                        </m:ctrlPr>
                      </m:dPr>
                      <m:e>
                        <m:nary>
                          <m:naryPr>
                            <m:chr m:val="∑"/>
                            <m:limLoc m:val="undOvr"/>
                            <m:ctrlPr>
                              <w:rPr>
                                <w:rFonts w:hint="default" w:ascii="Cambria Math" w:hAnsi="Cambria Math"/>
                                <w:color w:val="auto"/>
                              </w:rPr>
                            </m:ctrlPr>
                          </m:naryPr>
                          <m:sub>
                            <m:r>
                              <m:rPr>
                                <m:sty m:val="p"/>
                              </m:rPr>
                              <w:rPr>
                                <w:rFonts w:hint="default" w:ascii="Times New Roman" w:hAnsi="Times New Roman"/>
                                <w:color w:val="auto"/>
                              </w:rPr>
                              <m:t>i=1</m:t>
                            </m:r>
                            <m:ctrlPr>
                              <w:rPr>
                                <w:rFonts w:hint="default" w:ascii="Cambria Math" w:hAnsi="Cambria Math"/>
                                <w:color w:val="auto"/>
                              </w:rPr>
                            </m:ctrlPr>
                          </m:sub>
                          <m:sup>
                            <m:r>
                              <m:rPr>
                                <m:sty m:val="p"/>
                              </m:rPr>
                              <w:rPr>
                                <w:rFonts w:hint="default" w:ascii="Times New Roman" w:hAnsi="Times New Roman"/>
                                <w:color w:val="auto"/>
                              </w:rPr>
                              <m:t>n</m:t>
                            </m:r>
                            <m:ctrlPr>
                              <w:rPr>
                                <w:rFonts w:hint="default" w:ascii="Cambria Math" w:hAnsi="Cambria Math"/>
                                <w:color w:val="auto"/>
                              </w:rPr>
                            </m:ctrlPr>
                          </m:sup>
                          <m:e>
                            <m:r>
                              <m:rPr>
                                <m:sty m:val="p"/>
                              </m:rPr>
                              <w:rPr>
                                <w:rFonts w:hint="default" w:ascii="Times New Roman" w:hAnsi="Times New Roman"/>
                                <w:color w:val="auto"/>
                              </w:rPr>
                              <m:t>1</m:t>
                            </m:r>
                            <m:ctrlPr>
                              <w:rPr>
                                <w:rFonts w:hint="default" w:ascii="Cambria Math" w:hAnsi="Cambria Math"/>
                                <w:color w:val="auto"/>
                              </w:rPr>
                            </m:ctrlPr>
                          </m:e>
                        </m:nary>
                        <m:sSup>
                          <m:sSupPr>
                            <m:ctrlPr>
                              <w:rPr>
                                <w:rFonts w:hint="default" w:ascii="Cambria Math" w:hAnsi="Cambria Math"/>
                                <w:color w:val="auto"/>
                              </w:rPr>
                            </m:ctrlPr>
                          </m:sSupPr>
                          <m:e>
                            <m:r>
                              <m:rPr>
                                <m:sty m:val="p"/>
                              </m:rPr>
                              <w:rPr>
                                <w:rFonts w:hint="default" w:ascii="Times New Roman" w:hAnsi="Times New Roman"/>
                                <w:color w:val="auto"/>
                              </w:rPr>
                              <m:t>0</m:t>
                            </m:r>
                            <m:ctrlPr>
                              <w:rPr>
                                <w:rFonts w:hint="default" w:ascii="Cambria Math" w:hAnsi="Cambria Math"/>
                                <w:color w:val="auto"/>
                              </w:rPr>
                            </m:ctrlPr>
                          </m:e>
                          <m:sup>
                            <m:sSub>
                              <m:sSubPr>
                                <m:ctrlPr>
                                  <w:rPr>
                                    <w:rFonts w:hint="default" w:ascii="Cambria Math" w:hAnsi="Cambria Math"/>
                                    <w:color w:val="auto"/>
                                  </w:rPr>
                                </m:ctrlPr>
                              </m:sSubPr>
                              <m:e>
                                <m:r>
                                  <m:rPr>
                                    <m:sty m:val="p"/>
                                  </m:rPr>
                                  <w:rPr>
                                    <w:rFonts w:hint="default" w:ascii="Times New Roman" w:hAnsi="Times New Roman"/>
                                    <w:color w:val="auto"/>
                                  </w:rPr>
                                  <m:t>L</m:t>
                                </m:r>
                                <m:ctrlPr>
                                  <w:rPr>
                                    <w:rFonts w:hint="default" w:ascii="Cambria Math" w:hAnsi="Cambria Math"/>
                                    <w:color w:val="auto"/>
                                  </w:rPr>
                                </m:ctrlPr>
                              </m:e>
                              <m:sub>
                                <m:r>
                                  <m:rPr>
                                    <m:sty m:val="p"/>
                                  </m:rPr>
                                  <w:rPr>
                                    <w:rFonts w:hint="default" w:ascii="Times New Roman" w:hAnsi="Times New Roman"/>
                                    <w:color w:val="auto"/>
                                  </w:rPr>
                                  <m:t>i</m:t>
                                </m:r>
                                <m:ctrlPr>
                                  <w:rPr>
                                    <w:rFonts w:hint="default" w:ascii="Cambria Math" w:hAnsi="Cambria Math"/>
                                    <w:color w:val="auto"/>
                                  </w:rPr>
                                </m:ctrlPr>
                              </m:sub>
                            </m:sSub>
                            <m:r>
                              <m:rPr>
                                <m:sty m:val="p"/>
                              </m:rPr>
                              <w:rPr>
                                <w:rFonts w:hint="default" w:ascii="Times New Roman" w:hAnsi="Times New Roman"/>
                                <w:color w:val="auto"/>
                              </w:rPr>
                              <m:t>/10</m:t>
                            </m:r>
                            <m:ctrlPr>
                              <w:rPr>
                                <w:rFonts w:hint="default" w:ascii="Cambria Math" w:hAnsi="Cambria Math"/>
                                <w:color w:val="auto"/>
                              </w:rPr>
                            </m:ctrlPr>
                          </m:sup>
                        </m:sSup>
                        <m:ctrlPr>
                          <w:rPr>
                            <w:rFonts w:hint="default" w:ascii="Cambria Math" w:hAnsi="Cambria Math"/>
                            <w:color w:val="auto"/>
                          </w:rPr>
                        </m:ctrlPr>
                      </m:e>
                    </m:d>
                    <m:ctrlPr>
                      <w:rPr>
                        <w:rFonts w:hint="default" w:ascii="Cambria Math" w:hAnsi="Cambria Math"/>
                        <w:color w:val="auto"/>
                      </w:rPr>
                    </m:ctrlPr>
                  </m:e>
                </m:func>
              </m:oMath>
            </m:oMathPara>
          </w:p>
          <w:p w14:paraId="69157B06">
            <w:pPr>
              <w:pStyle w:val="5"/>
              <w:numPr>
                <w:ilvl w:val="0"/>
                <w:numId w:val="0"/>
              </w:numPr>
              <w:bidi w:val="0"/>
              <w:ind w:leftChars="200"/>
              <w:rPr>
                <w:rFonts w:hint="eastAsia"/>
                <w:color w:val="auto"/>
                <w:lang w:val="en-US" w:eastAsia="zh-CN"/>
              </w:rPr>
            </w:pPr>
            <w:r>
              <w:rPr>
                <w:rFonts w:hint="eastAsia"/>
                <w:color w:val="auto"/>
                <w:lang w:val="en-US" w:eastAsia="zh-CN"/>
              </w:rPr>
              <w:t>其中：</w:t>
            </w:r>
          </w:p>
          <w:p w14:paraId="1D65433F">
            <w:pPr>
              <w:pStyle w:val="5"/>
              <w:numPr>
                <w:ilvl w:val="0"/>
                <w:numId w:val="0"/>
              </w:numPr>
              <w:bidi w:val="0"/>
              <w:ind w:leftChars="200" w:firstLine="720" w:firstLineChars="300"/>
              <w:rPr>
                <w:rFonts w:hint="eastAsia"/>
                <w:color w:val="auto"/>
                <w:lang w:val="en-US" w:eastAsia="zh-CN"/>
              </w:rPr>
            </w:pPr>
            <w:r>
              <w:rPr>
                <w:rFonts w:hint="eastAsia"/>
                <w:color w:val="auto"/>
                <w:lang w:val="en-US" w:eastAsia="zh-CN"/>
              </w:rPr>
              <w:t>Leq为叠加后的等效连续A声级dB（A））；</w:t>
            </w:r>
          </w:p>
          <w:p w14:paraId="33FB1A6B">
            <w:pPr>
              <w:pStyle w:val="5"/>
              <w:numPr>
                <w:ilvl w:val="0"/>
                <w:numId w:val="0"/>
              </w:numPr>
              <w:bidi w:val="0"/>
              <w:ind w:leftChars="200" w:firstLine="720" w:firstLineChars="300"/>
              <w:rPr>
                <w:rFonts w:hint="eastAsia"/>
                <w:color w:val="auto"/>
                <w:lang w:val="en-US" w:eastAsia="zh-CN"/>
              </w:rPr>
            </w:pPr>
            <w:r>
              <w:rPr>
                <w:rFonts w:hint="eastAsia"/>
                <w:color w:val="auto"/>
                <w:lang w:val="en-US" w:eastAsia="zh-CN"/>
              </w:rPr>
              <w:t>L1、L2…Ln为各声源在预测点产生的声压级dB（A））。</w:t>
            </w:r>
          </w:p>
          <w:p w14:paraId="159AAE73">
            <w:pPr>
              <w:pStyle w:val="5"/>
              <w:ind w:firstLine="480"/>
              <w:rPr>
                <w:rFonts w:hint="default"/>
                <w:color w:val="auto"/>
                <w:kern w:val="0"/>
              </w:rPr>
            </w:pPr>
            <w:r>
              <w:rPr>
                <w:rFonts w:hint="eastAsia"/>
                <w:color w:val="auto"/>
                <w:lang w:val="en-US" w:eastAsia="zh-CN"/>
              </w:rPr>
              <w:t>4.</w:t>
            </w:r>
            <w:r>
              <w:rPr>
                <w:color w:val="auto"/>
                <w:kern w:val="0"/>
              </w:rPr>
              <w:t>厂内噪声贡献值计算</w:t>
            </w:r>
          </w:p>
          <w:p w14:paraId="633C7774">
            <w:pPr>
              <w:pStyle w:val="5"/>
              <w:ind w:firstLine="480"/>
              <w:rPr>
                <w:rFonts w:hint="default"/>
                <w:color w:val="auto"/>
                <w:kern w:val="0"/>
              </w:rPr>
            </w:pPr>
            <w:r>
              <w:rPr>
                <w:rFonts w:hint="default"/>
                <w:color w:val="auto"/>
                <w:kern w:val="0"/>
              </w:rPr>
              <w:t>设第i个室外声源在预测点产生的A声级为L</w:t>
            </w:r>
            <w:r>
              <w:rPr>
                <w:color w:val="auto"/>
                <w:kern w:val="0"/>
              </w:rPr>
              <w:t>Ai</w:t>
            </w:r>
            <w:r>
              <w:rPr>
                <w:rFonts w:hint="default"/>
                <w:color w:val="auto"/>
                <w:kern w:val="0"/>
              </w:rPr>
              <w:t>，在T时间内该声源工作时间为t</w:t>
            </w:r>
            <w:r>
              <w:rPr>
                <w:color w:val="auto"/>
                <w:kern w:val="0"/>
              </w:rPr>
              <w:t>i；</w:t>
            </w:r>
            <w:r>
              <w:rPr>
                <w:rFonts w:hint="default"/>
                <w:color w:val="auto"/>
                <w:kern w:val="0"/>
              </w:rPr>
              <w:t>设第</w:t>
            </w:r>
            <w:r>
              <w:rPr>
                <w:color w:val="auto"/>
                <w:kern w:val="0"/>
              </w:rPr>
              <w:t>j</w:t>
            </w:r>
            <w:r>
              <w:rPr>
                <w:rFonts w:hint="default"/>
                <w:color w:val="auto"/>
                <w:kern w:val="0"/>
              </w:rPr>
              <w:t>个等效室外声源在预测点产生的A声级为L</w:t>
            </w:r>
            <w:r>
              <w:rPr>
                <w:color w:val="auto"/>
                <w:kern w:val="0"/>
              </w:rPr>
              <w:t>Aj</w:t>
            </w:r>
            <w:r>
              <w:rPr>
                <w:rFonts w:hint="default"/>
                <w:color w:val="auto"/>
                <w:kern w:val="0"/>
              </w:rPr>
              <w:t>，在T时间内该声源工作时间为</w:t>
            </w:r>
            <w:r>
              <w:rPr>
                <w:color w:val="auto"/>
                <w:kern w:val="0"/>
              </w:rPr>
              <w:t>tj</w:t>
            </w:r>
            <w:r>
              <w:rPr>
                <w:rFonts w:hint="default"/>
                <w:color w:val="auto"/>
                <w:kern w:val="0"/>
              </w:rPr>
              <w:t>。则拟建工程声源对预测点产生的贡献值</w:t>
            </w:r>
            <w:r>
              <w:rPr>
                <w:rFonts w:hint="eastAsia"/>
                <w:color w:val="auto"/>
                <w:kern w:val="0"/>
                <w:lang w:eastAsia="zh-CN"/>
              </w:rPr>
              <w:t>（</w:t>
            </w:r>
            <w:r>
              <w:rPr>
                <w:rFonts w:hint="default"/>
                <w:color w:val="auto"/>
                <w:kern w:val="0"/>
              </w:rPr>
              <w:t>L</w:t>
            </w:r>
            <w:r>
              <w:rPr>
                <w:color w:val="auto"/>
                <w:kern w:val="0"/>
              </w:rPr>
              <w:t>eqg</w:t>
            </w:r>
            <w:r>
              <w:rPr>
                <w:rFonts w:hint="eastAsia"/>
                <w:color w:val="auto"/>
                <w:kern w:val="0"/>
                <w:lang w:eastAsia="zh-CN"/>
              </w:rPr>
              <w:t>）</w:t>
            </w:r>
            <w:r>
              <w:rPr>
                <w:rFonts w:hint="default"/>
                <w:color w:val="auto"/>
                <w:kern w:val="0"/>
              </w:rPr>
              <w:t>为</w:t>
            </w:r>
            <w:r>
              <w:rPr>
                <w:rFonts w:hint="eastAsia"/>
                <w:color w:val="auto"/>
                <w:kern w:val="0"/>
                <w:lang w:eastAsia="zh-CN"/>
              </w:rPr>
              <w:t>：</w:t>
            </w:r>
          </w:p>
          <w:p w14:paraId="0C3CC794">
            <w:pPr>
              <w:pStyle w:val="5"/>
              <w:ind w:firstLine="480"/>
              <w:jc w:val="center"/>
              <w:rPr>
                <w:rFonts w:hint="default"/>
                <w:color w:val="auto"/>
              </w:rPr>
            </w:pPr>
            <w:r>
              <w:rPr>
                <w:color w:val="auto"/>
              </w:rPr>
              <w:drawing>
                <wp:inline distT="0" distB="0" distL="114300" distR="114300">
                  <wp:extent cx="2418080" cy="641985"/>
                  <wp:effectExtent l="0" t="0" r="1270" b="5715"/>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16"/>
                          <a:stretch>
                            <a:fillRect/>
                          </a:stretch>
                        </pic:blipFill>
                        <pic:spPr>
                          <a:xfrm>
                            <a:off x="0" y="0"/>
                            <a:ext cx="2418080" cy="641985"/>
                          </a:xfrm>
                          <a:prstGeom prst="rect">
                            <a:avLst/>
                          </a:prstGeom>
                          <a:noFill/>
                          <a:ln>
                            <a:noFill/>
                          </a:ln>
                        </pic:spPr>
                      </pic:pic>
                    </a:graphicData>
                  </a:graphic>
                </wp:inline>
              </w:drawing>
            </w:r>
          </w:p>
          <w:p w14:paraId="0FD1FC1A">
            <w:pPr>
              <w:pStyle w:val="5"/>
              <w:ind w:firstLine="480"/>
              <w:rPr>
                <w:rFonts w:hint="default"/>
                <w:color w:val="auto"/>
              </w:rPr>
            </w:pPr>
            <w:r>
              <w:rPr>
                <w:color w:val="auto"/>
              </w:rPr>
              <w:t>式中：Leqp</w:t>
            </w:r>
            <w:r>
              <w:rPr>
                <w:rFonts w:hint="default"/>
                <w:color w:val="auto"/>
                <w:kern w:val="0"/>
              </w:rPr>
              <w:t>——</w:t>
            </w:r>
            <w:r>
              <w:rPr>
                <w:color w:val="auto"/>
              </w:rPr>
              <w:t>建设项目声源在预测点产生的等效声源贡献值的叠加值</w:t>
            </w:r>
            <w:r>
              <w:rPr>
                <w:rFonts w:hint="eastAsia"/>
                <w:color w:val="auto"/>
                <w:lang w:eastAsia="zh-CN"/>
              </w:rPr>
              <w:t>，</w:t>
            </w:r>
            <w:r>
              <w:rPr>
                <w:color w:val="auto"/>
              </w:rPr>
              <w:t>dB(A</w:t>
            </w:r>
            <w:r>
              <w:rPr>
                <w:rFonts w:hint="eastAsia"/>
                <w:color w:val="auto"/>
                <w:lang w:eastAsia="zh-CN"/>
              </w:rPr>
              <w:t>)</w:t>
            </w:r>
            <w:r>
              <w:rPr>
                <w:color w:val="auto"/>
              </w:rPr>
              <w:t>；</w:t>
            </w:r>
          </w:p>
          <w:p w14:paraId="306F5BE5">
            <w:pPr>
              <w:pStyle w:val="5"/>
              <w:ind w:firstLine="1200" w:firstLineChars="500"/>
              <w:rPr>
                <w:rFonts w:hint="default"/>
                <w:color w:val="auto"/>
              </w:rPr>
            </w:pPr>
            <w:r>
              <w:rPr>
                <w:color w:val="auto"/>
              </w:rPr>
              <w:t>ti</w:t>
            </w:r>
            <w:r>
              <w:rPr>
                <w:rFonts w:hint="default"/>
                <w:color w:val="auto"/>
                <w:kern w:val="0"/>
              </w:rPr>
              <w:t>——</w:t>
            </w:r>
            <w:r>
              <w:rPr>
                <w:color w:val="auto"/>
              </w:rPr>
              <w:t>在T时间内的i声源工作时间，s；</w:t>
            </w:r>
          </w:p>
          <w:p w14:paraId="65DFA7B0">
            <w:pPr>
              <w:pStyle w:val="5"/>
              <w:ind w:firstLine="1200" w:firstLineChars="500"/>
              <w:rPr>
                <w:rFonts w:hint="default"/>
                <w:color w:val="auto"/>
              </w:rPr>
            </w:pPr>
            <w:r>
              <w:rPr>
                <w:color w:val="auto"/>
              </w:rPr>
              <w:t>tj</w:t>
            </w:r>
            <w:r>
              <w:rPr>
                <w:rFonts w:hint="default"/>
                <w:color w:val="auto"/>
                <w:kern w:val="0"/>
              </w:rPr>
              <w:t>——</w:t>
            </w:r>
            <w:r>
              <w:rPr>
                <w:color w:val="auto"/>
              </w:rPr>
              <w:t>在T工时间内的j声源工作时间，s；</w:t>
            </w:r>
          </w:p>
          <w:p w14:paraId="23B93FE9">
            <w:pPr>
              <w:pStyle w:val="5"/>
              <w:ind w:firstLine="1200" w:firstLineChars="500"/>
              <w:rPr>
                <w:rFonts w:hint="default"/>
                <w:color w:val="auto"/>
              </w:rPr>
            </w:pPr>
            <w:r>
              <w:rPr>
                <w:color w:val="auto"/>
              </w:rPr>
              <w:t>T</w:t>
            </w:r>
            <w:r>
              <w:rPr>
                <w:rFonts w:hint="default"/>
                <w:color w:val="auto"/>
                <w:kern w:val="0"/>
              </w:rPr>
              <w:t>——</w:t>
            </w:r>
            <w:r>
              <w:rPr>
                <w:color w:val="auto"/>
              </w:rPr>
              <w:t>用于计算等效声级的时间，s；</w:t>
            </w:r>
          </w:p>
          <w:p w14:paraId="54EE52C3">
            <w:pPr>
              <w:pStyle w:val="5"/>
              <w:ind w:firstLine="1200" w:firstLineChars="500"/>
              <w:rPr>
                <w:rFonts w:hint="default"/>
                <w:color w:val="auto"/>
              </w:rPr>
            </w:pPr>
            <w:r>
              <w:rPr>
                <w:color w:val="auto"/>
              </w:rPr>
              <w:t>N</w:t>
            </w:r>
            <w:r>
              <w:rPr>
                <w:rFonts w:hint="default"/>
                <w:color w:val="auto"/>
                <w:kern w:val="0"/>
              </w:rPr>
              <w:t>——</w:t>
            </w:r>
            <w:r>
              <w:rPr>
                <w:color w:val="auto"/>
              </w:rPr>
              <w:t>室外声源个数</w:t>
            </w:r>
            <w:r>
              <w:rPr>
                <w:rFonts w:hint="eastAsia"/>
                <w:color w:val="auto"/>
                <w:lang w:eastAsia="zh-CN"/>
              </w:rPr>
              <w:t>；</w:t>
            </w:r>
          </w:p>
          <w:p w14:paraId="30BFFDD1">
            <w:pPr>
              <w:pStyle w:val="5"/>
              <w:ind w:firstLine="1200" w:firstLineChars="500"/>
              <w:rPr>
                <w:rFonts w:hint="default"/>
                <w:color w:val="auto"/>
              </w:rPr>
            </w:pPr>
            <w:r>
              <w:rPr>
                <w:color w:val="auto"/>
              </w:rPr>
              <w:t>M</w:t>
            </w:r>
            <w:r>
              <w:rPr>
                <w:rFonts w:hint="default"/>
                <w:color w:val="auto"/>
                <w:kern w:val="0"/>
              </w:rPr>
              <w:t>——</w:t>
            </w:r>
            <w:r>
              <w:rPr>
                <w:color w:val="auto"/>
              </w:rPr>
              <w:t>等效室外声源个数。</w:t>
            </w:r>
          </w:p>
          <w:p w14:paraId="210D27F1">
            <w:pPr>
              <w:pStyle w:val="5"/>
              <w:bidi w:val="0"/>
              <w:rPr>
                <w:color w:val="auto"/>
              </w:rPr>
            </w:pPr>
            <w:r>
              <w:rPr>
                <w:rFonts w:hint="eastAsia"/>
                <w:color w:val="auto"/>
                <w:lang w:val="en-US" w:eastAsia="zh-CN"/>
              </w:rPr>
              <w:t>本次评价以</w:t>
            </w:r>
            <w:r>
              <w:rPr>
                <w:rFonts w:hint="eastAsia" w:ascii="Times New Roman" w:hAnsi="Times New Roman" w:eastAsia="宋体" w:cs="Times New Roman"/>
                <w:color w:val="auto"/>
              </w:rPr>
              <w:t>新疆乾昌业新型建材有限公司</w:t>
            </w:r>
            <w:r>
              <w:rPr>
                <w:rFonts w:hint="eastAsia"/>
                <w:color w:val="auto"/>
                <w:lang w:val="en-US" w:eastAsia="zh-CN"/>
              </w:rPr>
              <w:t>四至厂界作为项目厂界进行预测，经预测，正常生产情况下项目所在厂区各厂界噪声值下表。</w:t>
            </w:r>
          </w:p>
          <w:p w14:paraId="0DADCC04">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35</w:t>
            </w:r>
            <w:r>
              <w:rPr>
                <w:color w:val="auto"/>
              </w:rPr>
              <w:fldChar w:fldCharType="end"/>
            </w:r>
            <w:r>
              <w:rPr>
                <w:rFonts w:hint="eastAsia"/>
                <w:color w:val="auto"/>
                <w:lang w:val="en-US" w:eastAsia="zh-CN"/>
              </w:rPr>
              <w:t xml:space="preserve">  项目厂界噪声预测结果</w:t>
            </w:r>
          </w:p>
          <w:tbl>
            <w:tblPr>
              <w:tblStyle w:val="1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1260"/>
              <w:gridCol w:w="1262"/>
              <w:gridCol w:w="1262"/>
              <w:gridCol w:w="1263"/>
              <w:gridCol w:w="1264"/>
            </w:tblGrid>
            <w:tr w14:paraId="609C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Merge w:val="restart"/>
                  <w:vAlign w:val="center"/>
                </w:tcPr>
                <w:p w14:paraId="7273E736">
                  <w:pPr>
                    <w:pStyle w:val="19"/>
                    <w:rPr>
                      <w:color w:val="auto"/>
                    </w:rPr>
                  </w:pPr>
                  <w:r>
                    <w:rPr>
                      <w:rFonts w:hint="eastAsia"/>
                      <w:color w:val="auto"/>
                    </w:rPr>
                    <w:t>序号</w:t>
                  </w:r>
                </w:p>
              </w:tc>
              <w:tc>
                <w:tcPr>
                  <w:tcW w:w="1294" w:type="dxa"/>
                  <w:vMerge w:val="restart"/>
                  <w:vAlign w:val="center"/>
                </w:tcPr>
                <w:p w14:paraId="2BA5C7CE">
                  <w:pPr>
                    <w:pStyle w:val="19"/>
                    <w:rPr>
                      <w:color w:val="auto"/>
                    </w:rPr>
                  </w:pPr>
                  <w:r>
                    <w:rPr>
                      <w:rFonts w:hint="eastAsia"/>
                      <w:color w:val="auto"/>
                    </w:rPr>
                    <w:t>预测点位</w:t>
                  </w:r>
                </w:p>
              </w:tc>
              <w:tc>
                <w:tcPr>
                  <w:tcW w:w="2592" w:type="dxa"/>
                  <w:gridSpan w:val="2"/>
                  <w:vAlign w:val="center"/>
                </w:tcPr>
                <w:p w14:paraId="10266269">
                  <w:pPr>
                    <w:pStyle w:val="19"/>
                    <w:rPr>
                      <w:color w:val="auto"/>
                    </w:rPr>
                  </w:pPr>
                  <w:r>
                    <w:rPr>
                      <w:rFonts w:hint="eastAsia"/>
                      <w:color w:val="auto"/>
                    </w:rPr>
                    <w:t>预测值</w:t>
                  </w:r>
                </w:p>
              </w:tc>
              <w:tc>
                <w:tcPr>
                  <w:tcW w:w="2595" w:type="dxa"/>
                  <w:gridSpan w:val="2"/>
                  <w:vAlign w:val="center"/>
                </w:tcPr>
                <w:p w14:paraId="61B142EF">
                  <w:pPr>
                    <w:pStyle w:val="19"/>
                    <w:rPr>
                      <w:color w:val="auto"/>
                    </w:rPr>
                  </w:pPr>
                  <w:r>
                    <w:rPr>
                      <w:rFonts w:hint="eastAsia"/>
                      <w:color w:val="auto"/>
                    </w:rPr>
                    <w:t>标准值</w:t>
                  </w:r>
                </w:p>
              </w:tc>
            </w:tr>
            <w:tr w14:paraId="6A68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Merge w:val="continue"/>
                  <w:vAlign w:val="center"/>
                </w:tcPr>
                <w:p w14:paraId="67C333C4">
                  <w:pPr>
                    <w:pStyle w:val="19"/>
                    <w:rPr>
                      <w:color w:val="auto"/>
                    </w:rPr>
                  </w:pPr>
                </w:p>
              </w:tc>
              <w:tc>
                <w:tcPr>
                  <w:tcW w:w="1294" w:type="dxa"/>
                  <w:vMerge w:val="continue"/>
                  <w:vAlign w:val="center"/>
                </w:tcPr>
                <w:p w14:paraId="69BA9FD3">
                  <w:pPr>
                    <w:pStyle w:val="19"/>
                    <w:rPr>
                      <w:color w:val="auto"/>
                    </w:rPr>
                  </w:pPr>
                </w:p>
              </w:tc>
              <w:tc>
                <w:tcPr>
                  <w:tcW w:w="1296" w:type="dxa"/>
                  <w:vAlign w:val="center"/>
                </w:tcPr>
                <w:p w14:paraId="4104362D">
                  <w:pPr>
                    <w:pStyle w:val="19"/>
                    <w:rPr>
                      <w:color w:val="auto"/>
                    </w:rPr>
                  </w:pPr>
                  <w:r>
                    <w:rPr>
                      <w:rFonts w:hint="eastAsia"/>
                      <w:color w:val="auto"/>
                    </w:rPr>
                    <w:t>昼间</w:t>
                  </w:r>
                </w:p>
              </w:tc>
              <w:tc>
                <w:tcPr>
                  <w:tcW w:w="1296" w:type="dxa"/>
                  <w:vAlign w:val="center"/>
                </w:tcPr>
                <w:p w14:paraId="63C97EFD">
                  <w:pPr>
                    <w:pStyle w:val="19"/>
                    <w:rPr>
                      <w:color w:val="auto"/>
                    </w:rPr>
                  </w:pPr>
                  <w:r>
                    <w:rPr>
                      <w:rFonts w:hint="eastAsia"/>
                      <w:color w:val="auto"/>
                    </w:rPr>
                    <w:t>夜间</w:t>
                  </w:r>
                </w:p>
              </w:tc>
              <w:tc>
                <w:tcPr>
                  <w:tcW w:w="1297" w:type="dxa"/>
                  <w:vAlign w:val="center"/>
                </w:tcPr>
                <w:p w14:paraId="01A5713A">
                  <w:pPr>
                    <w:pStyle w:val="19"/>
                    <w:rPr>
                      <w:color w:val="auto"/>
                    </w:rPr>
                  </w:pPr>
                  <w:r>
                    <w:rPr>
                      <w:rFonts w:hint="eastAsia"/>
                      <w:color w:val="auto"/>
                    </w:rPr>
                    <w:t>昼间</w:t>
                  </w:r>
                </w:p>
              </w:tc>
              <w:tc>
                <w:tcPr>
                  <w:tcW w:w="1298" w:type="dxa"/>
                  <w:vAlign w:val="center"/>
                </w:tcPr>
                <w:p w14:paraId="6B8EAA2C">
                  <w:pPr>
                    <w:pStyle w:val="19"/>
                    <w:rPr>
                      <w:color w:val="auto"/>
                    </w:rPr>
                  </w:pPr>
                  <w:r>
                    <w:rPr>
                      <w:rFonts w:hint="eastAsia"/>
                      <w:color w:val="auto"/>
                    </w:rPr>
                    <w:t>夜间</w:t>
                  </w:r>
                </w:p>
              </w:tc>
            </w:tr>
            <w:tr w14:paraId="7FE7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Align w:val="center"/>
                </w:tcPr>
                <w:p w14:paraId="5F8E4A19">
                  <w:pPr>
                    <w:pStyle w:val="19"/>
                    <w:rPr>
                      <w:color w:val="auto"/>
                    </w:rPr>
                  </w:pPr>
                  <w:r>
                    <w:rPr>
                      <w:rFonts w:hint="eastAsia"/>
                      <w:color w:val="auto"/>
                    </w:rPr>
                    <w:t>1</w:t>
                  </w:r>
                </w:p>
              </w:tc>
              <w:tc>
                <w:tcPr>
                  <w:tcW w:w="1294" w:type="dxa"/>
                  <w:vAlign w:val="center"/>
                </w:tcPr>
                <w:p w14:paraId="6864054D">
                  <w:pPr>
                    <w:pStyle w:val="19"/>
                    <w:rPr>
                      <w:color w:val="auto"/>
                    </w:rPr>
                  </w:pPr>
                  <w:r>
                    <w:rPr>
                      <w:rFonts w:hint="eastAsia"/>
                      <w:color w:val="auto"/>
                    </w:rPr>
                    <w:t>东厂界</w:t>
                  </w:r>
                </w:p>
              </w:tc>
              <w:tc>
                <w:tcPr>
                  <w:tcW w:w="1296" w:type="dxa"/>
                  <w:vAlign w:val="center"/>
                </w:tcPr>
                <w:p w14:paraId="2BC3C162">
                  <w:pPr>
                    <w:pStyle w:val="19"/>
                    <w:rPr>
                      <w:color w:val="auto"/>
                    </w:rPr>
                  </w:pPr>
                  <w:r>
                    <w:rPr>
                      <w:rFonts w:hint="eastAsia"/>
                      <w:color w:val="auto"/>
                    </w:rPr>
                    <w:t>61.9</w:t>
                  </w:r>
                </w:p>
              </w:tc>
              <w:tc>
                <w:tcPr>
                  <w:tcW w:w="1296" w:type="dxa"/>
                  <w:vAlign w:val="center"/>
                </w:tcPr>
                <w:p w14:paraId="17C0C17B">
                  <w:pPr>
                    <w:pStyle w:val="19"/>
                    <w:rPr>
                      <w:rFonts w:hint="eastAsia" w:eastAsia="宋体"/>
                      <w:color w:val="auto"/>
                      <w:lang w:val="en-US" w:eastAsia="zh-CN"/>
                    </w:rPr>
                  </w:pPr>
                  <w:r>
                    <w:rPr>
                      <w:rFonts w:hint="eastAsia"/>
                      <w:color w:val="auto"/>
                      <w:lang w:val="en-US" w:eastAsia="zh-CN"/>
                    </w:rPr>
                    <w:t>0</w:t>
                  </w:r>
                </w:p>
              </w:tc>
              <w:tc>
                <w:tcPr>
                  <w:tcW w:w="1297" w:type="dxa"/>
                  <w:vMerge w:val="restart"/>
                  <w:vAlign w:val="center"/>
                </w:tcPr>
                <w:p w14:paraId="27E8AA52">
                  <w:pPr>
                    <w:pStyle w:val="19"/>
                    <w:rPr>
                      <w:color w:val="auto"/>
                    </w:rPr>
                  </w:pPr>
                  <w:r>
                    <w:rPr>
                      <w:rFonts w:hint="eastAsia"/>
                      <w:color w:val="auto"/>
                    </w:rPr>
                    <w:t>65</w:t>
                  </w:r>
                </w:p>
              </w:tc>
              <w:tc>
                <w:tcPr>
                  <w:tcW w:w="1298" w:type="dxa"/>
                  <w:vMerge w:val="restart"/>
                  <w:vAlign w:val="center"/>
                </w:tcPr>
                <w:p w14:paraId="77B277B2">
                  <w:pPr>
                    <w:pStyle w:val="19"/>
                    <w:rPr>
                      <w:color w:val="auto"/>
                    </w:rPr>
                  </w:pPr>
                  <w:r>
                    <w:rPr>
                      <w:rFonts w:hint="eastAsia"/>
                      <w:color w:val="auto"/>
                    </w:rPr>
                    <w:t>55</w:t>
                  </w:r>
                </w:p>
              </w:tc>
            </w:tr>
            <w:tr w14:paraId="0510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Align w:val="center"/>
                </w:tcPr>
                <w:p w14:paraId="08930A19">
                  <w:pPr>
                    <w:pStyle w:val="19"/>
                    <w:rPr>
                      <w:color w:val="auto"/>
                    </w:rPr>
                  </w:pPr>
                  <w:r>
                    <w:rPr>
                      <w:rFonts w:hint="eastAsia"/>
                      <w:color w:val="auto"/>
                    </w:rPr>
                    <w:t>2</w:t>
                  </w:r>
                </w:p>
              </w:tc>
              <w:tc>
                <w:tcPr>
                  <w:tcW w:w="1294" w:type="dxa"/>
                  <w:vAlign w:val="center"/>
                </w:tcPr>
                <w:p w14:paraId="54FED9AD">
                  <w:pPr>
                    <w:pStyle w:val="19"/>
                    <w:rPr>
                      <w:color w:val="auto"/>
                    </w:rPr>
                  </w:pPr>
                  <w:r>
                    <w:rPr>
                      <w:rFonts w:hint="eastAsia"/>
                      <w:color w:val="auto"/>
                    </w:rPr>
                    <w:t>南厂界</w:t>
                  </w:r>
                </w:p>
              </w:tc>
              <w:tc>
                <w:tcPr>
                  <w:tcW w:w="1296" w:type="dxa"/>
                  <w:vAlign w:val="center"/>
                </w:tcPr>
                <w:p w14:paraId="057288A5">
                  <w:pPr>
                    <w:pStyle w:val="19"/>
                    <w:rPr>
                      <w:color w:val="auto"/>
                    </w:rPr>
                  </w:pPr>
                  <w:r>
                    <w:rPr>
                      <w:rFonts w:hint="eastAsia"/>
                      <w:color w:val="auto"/>
                    </w:rPr>
                    <w:t>60.7</w:t>
                  </w:r>
                </w:p>
              </w:tc>
              <w:tc>
                <w:tcPr>
                  <w:tcW w:w="1296" w:type="dxa"/>
                  <w:vAlign w:val="center"/>
                </w:tcPr>
                <w:p w14:paraId="71D95697">
                  <w:pPr>
                    <w:pStyle w:val="19"/>
                    <w:rPr>
                      <w:color w:val="auto"/>
                    </w:rPr>
                  </w:pPr>
                  <w:r>
                    <w:rPr>
                      <w:rFonts w:hint="eastAsia"/>
                      <w:color w:val="auto"/>
                      <w:lang w:val="en-US" w:eastAsia="zh-CN"/>
                    </w:rPr>
                    <w:t>0</w:t>
                  </w:r>
                </w:p>
              </w:tc>
              <w:tc>
                <w:tcPr>
                  <w:tcW w:w="1297" w:type="dxa"/>
                  <w:vMerge w:val="continue"/>
                  <w:vAlign w:val="center"/>
                </w:tcPr>
                <w:p w14:paraId="6BBAC922">
                  <w:pPr>
                    <w:pStyle w:val="19"/>
                    <w:rPr>
                      <w:color w:val="auto"/>
                    </w:rPr>
                  </w:pPr>
                </w:p>
              </w:tc>
              <w:tc>
                <w:tcPr>
                  <w:tcW w:w="1298" w:type="dxa"/>
                  <w:vMerge w:val="continue"/>
                  <w:vAlign w:val="center"/>
                </w:tcPr>
                <w:p w14:paraId="349DE9D1">
                  <w:pPr>
                    <w:pStyle w:val="19"/>
                    <w:rPr>
                      <w:color w:val="auto"/>
                    </w:rPr>
                  </w:pPr>
                </w:p>
              </w:tc>
            </w:tr>
            <w:tr w14:paraId="5EDA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Align w:val="center"/>
                </w:tcPr>
                <w:p w14:paraId="5619B88E">
                  <w:pPr>
                    <w:pStyle w:val="19"/>
                    <w:rPr>
                      <w:color w:val="auto"/>
                    </w:rPr>
                  </w:pPr>
                  <w:r>
                    <w:rPr>
                      <w:rFonts w:hint="eastAsia"/>
                      <w:color w:val="auto"/>
                    </w:rPr>
                    <w:t>3</w:t>
                  </w:r>
                </w:p>
              </w:tc>
              <w:tc>
                <w:tcPr>
                  <w:tcW w:w="1294" w:type="dxa"/>
                  <w:vAlign w:val="center"/>
                </w:tcPr>
                <w:p w14:paraId="2384C114">
                  <w:pPr>
                    <w:pStyle w:val="19"/>
                    <w:rPr>
                      <w:color w:val="auto"/>
                    </w:rPr>
                  </w:pPr>
                  <w:r>
                    <w:rPr>
                      <w:rFonts w:hint="eastAsia"/>
                      <w:color w:val="auto"/>
                    </w:rPr>
                    <w:t>西厂界</w:t>
                  </w:r>
                </w:p>
              </w:tc>
              <w:tc>
                <w:tcPr>
                  <w:tcW w:w="1296" w:type="dxa"/>
                  <w:vAlign w:val="center"/>
                </w:tcPr>
                <w:p w14:paraId="004A85F4">
                  <w:pPr>
                    <w:pStyle w:val="19"/>
                    <w:rPr>
                      <w:color w:val="auto"/>
                    </w:rPr>
                  </w:pPr>
                  <w:r>
                    <w:rPr>
                      <w:rFonts w:hint="eastAsia"/>
                      <w:color w:val="auto"/>
                    </w:rPr>
                    <w:t>63.1</w:t>
                  </w:r>
                </w:p>
              </w:tc>
              <w:tc>
                <w:tcPr>
                  <w:tcW w:w="1296" w:type="dxa"/>
                  <w:vAlign w:val="center"/>
                </w:tcPr>
                <w:p w14:paraId="279FA61E">
                  <w:pPr>
                    <w:pStyle w:val="19"/>
                    <w:rPr>
                      <w:color w:val="auto"/>
                    </w:rPr>
                  </w:pPr>
                  <w:r>
                    <w:rPr>
                      <w:rFonts w:hint="eastAsia"/>
                      <w:color w:val="auto"/>
                      <w:lang w:val="en-US" w:eastAsia="zh-CN"/>
                    </w:rPr>
                    <w:t>0</w:t>
                  </w:r>
                </w:p>
              </w:tc>
              <w:tc>
                <w:tcPr>
                  <w:tcW w:w="1297" w:type="dxa"/>
                  <w:vMerge w:val="continue"/>
                  <w:vAlign w:val="center"/>
                </w:tcPr>
                <w:p w14:paraId="589EB875">
                  <w:pPr>
                    <w:pStyle w:val="19"/>
                    <w:rPr>
                      <w:color w:val="auto"/>
                    </w:rPr>
                  </w:pPr>
                </w:p>
              </w:tc>
              <w:tc>
                <w:tcPr>
                  <w:tcW w:w="1298" w:type="dxa"/>
                  <w:vMerge w:val="continue"/>
                  <w:vAlign w:val="center"/>
                </w:tcPr>
                <w:p w14:paraId="76F2645E">
                  <w:pPr>
                    <w:pStyle w:val="19"/>
                    <w:rPr>
                      <w:color w:val="auto"/>
                    </w:rPr>
                  </w:pPr>
                </w:p>
              </w:tc>
            </w:tr>
            <w:tr w14:paraId="24D0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vAlign w:val="center"/>
                </w:tcPr>
                <w:p w14:paraId="3D939C0B">
                  <w:pPr>
                    <w:pStyle w:val="19"/>
                    <w:rPr>
                      <w:color w:val="auto"/>
                    </w:rPr>
                  </w:pPr>
                  <w:r>
                    <w:rPr>
                      <w:rFonts w:hint="eastAsia"/>
                      <w:color w:val="auto"/>
                    </w:rPr>
                    <w:t>4</w:t>
                  </w:r>
                </w:p>
              </w:tc>
              <w:tc>
                <w:tcPr>
                  <w:tcW w:w="1294" w:type="dxa"/>
                  <w:vAlign w:val="center"/>
                </w:tcPr>
                <w:p w14:paraId="23786817">
                  <w:pPr>
                    <w:pStyle w:val="19"/>
                    <w:rPr>
                      <w:color w:val="auto"/>
                    </w:rPr>
                  </w:pPr>
                  <w:r>
                    <w:rPr>
                      <w:rFonts w:hint="eastAsia"/>
                      <w:color w:val="auto"/>
                    </w:rPr>
                    <w:t>北厂界</w:t>
                  </w:r>
                </w:p>
              </w:tc>
              <w:tc>
                <w:tcPr>
                  <w:tcW w:w="1296" w:type="dxa"/>
                  <w:vAlign w:val="center"/>
                </w:tcPr>
                <w:p w14:paraId="62496D03">
                  <w:pPr>
                    <w:pStyle w:val="19"/>
                    <w:rPr>
                      <w:color w:val="auto"/>
                    </w:rPr>
                  </w:pPr>
                  <w:r>
                    <w:rPr>
                      <w:rFonts w:hint="eastAsia"/>
                      <w:color w:val="auto"/>
                    </w:rPr>
                    <w:t>61.3</w:t>
                  </w:r>
                </w:p>
              </w:tc>
              <w:tc>
                <w:tcPr>
                  <w:tcW w:w="1296" w:type="dxa"/>
                  <w:vAlign w:val="center"/>
                </w:tcPr>
                <w:p w14:paraId="02B3B7AF">
                  <w:pPr>
                    <w:pStyle w:val="19"/>
                    <w:rPr>
                      <w:color w:val="auto"/>
                    </w:rPr>
                  </w:pPr>
                  <w:r>
                    <w:rPr>
                      <w:rFonts w:hint="eastAsia"/>
                      <w:color w:val="auto"/>
                      <w:lang w:val="en-US" w:eastAsia="zh-CN"/>
                    </w:rPr>
                    <w:t>0</w:t>
                  </w:r>
                </w:p>
              </w:tc>
              <w:tc>
                <w:tcPr>
                  <w:tcW w:w="1297" w:type="dxa"/>
                  <w:vMerge w:val="continue"/>
                  <w:vAlign w:val="center"/>
                </w:tcPr>
                <w:p w14:paraId="42C1C1CF">
                  <w:pPr>
                    <w:pStyle w:val="19"/>
                    <w:rPr>
                      <w:color w:val="auto"/>
                    </w:rPr>
                  </w:pPr>
                </w:p>
              </w:tc>
              <w:tc>
                <w:tcPr>
                  <w:tcW w:w="1298" w:type="dxa"/>
                  <w:vMerge w:val="continue"/>
                  <w:vAlign w:val="center"/>
                </w:tcPr>
                <w:p w14:paraId="1C896E46">
                  <w:pPr>
                    <w:pStyle w:val="19"/>
                    <w:rPr>
                      <w:color w:val="auto"/>
                    </w:rPr>
                  </w:pPr>
                </w:p>
              </w:tc>
            </w:tr>
          </w:tbl>
          <w:p w14:paraId="34CA3A7F">
            <w:pPr>
              <w:pStyle w:val="20"/>
              <w:bidi w:val="0"/>
              <w:rPr>
                <w:rFonts w:hint="eastAsia"/>
                <w:color w:val="auto"/>
                <w:lang w:val="en-US" w:eastAsia="zh-CN"/>
              </w:rPr>
            </w:pPr>
          </w:p>
          <w:p w14:paraId="3431711E">
            <w:pPr>
              <w:pStyle w:val="5"/>
              <w:bidi w:val="0"/>
              <w:rPr>
                <w:rFonts w:hint="eastAsia"/>
                <w:color w:val="auto"/>
                <w:lang w:val="en-US" w:eastAsia="zh-CN"/>
              </w:rPr>
            </w:pPr>
            <w:r>
              <w:rPr>
                <w:rFonts w:hint="eastAsia"/>
                <w:color w:val="auto"/>
                <w:lang w:val="en-US" w:eastAsia="zh-CN"/>
              </w:rPr>
              <w:t>通过上述预测模式，结合本项目各噪声源的位置、声源源强、控制措施以及建筑物隔声等参数，对厂界的噪声贡献值进行预测。预测结果显示，在采取基础减振、隔声、消声等措施后，本项目厂界噪声能够满足《工业企业厂界环境噪声排放标准》（GB12348-2008）3类标准要求昼间≤65dB（A），夜间≤55dB（A）。本项目实行单班8小时、年运行300天，正常工况下夜间不组织生产；若除湿机、排风机等辅助设备夜间运行，须保证厂界夜间噪声仍不超过55dB（A），并纳入季度监测。厂界50米范围内无声环境敏感目标，不会改变原有声环境功能区类别。</w:t>
            </w:r>
          </w:p>
          <w:p w14:paraId="7712855A">
            <w:pPr>
              <w:pStyle w:val="6"/>
              <w:bidi w:val="0"/>
              <w:rPr>
                <w:rFonts w:hint="eastAsia"/>
                <w:color w:val="auto"/>
                <w:lang w:val="en-US" w:eastAsia="zh-CN"/>
              </w:rPr>
            </w:pPr>
            <w:r>
              <w:rPr>
                <w:rFonts w:hint="eastAsia"/>
                <w:color w:val="auto"/>
                <w:lang w:val="en-US" w:eastAsia="zh-CN"/>
              </w:rPr>
              <w:t>噪声治理措施可行性分析</w:t>
            </w:r>
          </w:p>
          <w:p w14:paraId="0E21684B">
            <w:pPr>
              <w:pStyle w:val="5"/>
              <w:bidi w:val="0"/>
              <w:rPr>
                <w:rFonts w:hint="eastAsia"/>
                <w:color w:val="auto"/>
                <w:lang w:val="en-US" w:eastAsia="zh-CN"/>
              </w:rPr>
            </w:pPr>
            <w:r>
              <w:rPr>
                <w:rFonts w:hint="eastAsia"/>
                <w:color w:val="auto"/>
                <w:lang w:val="en-US" w:eastAsia="zh-CN"/>
              </w:rPr>
              <w:t>本项目针对主要噪声源采取的低噪声设备选型、基础减振、车间隔声、风机消声等措施，均为当前工业噪声控制中成熟且有效的技术手段。这些措施在实际工程中应用广泛，具有良好的降噪效果和稳定性，且运行维护成本较低。通过合理布局噪声源，将高噪声设备集中布置在车间内部，并利用建筑物的隔声作用进一步降低对外界的影响，可确保厂界噪声达标排放。同时，加强设备的日常维护保养，避免因设备异常运行产生额外噪声，能够长期稳定地控制噪声对周边环境的影响。</w:t>
            </w:r>
          </w:p>
          <w:p w14:paraId="4DE56C00">
            <w:pPr>
              <w:pStyle w:val="6"/>
              <w:bidi w:val="0"/>
              <w:rPr>
                <w:rFonts w:hint="eastAsia"/>
                <w:color w:val="auto"/>
                <w:lang w:val="en-US" w:eastAsia="zh-CN"/>
              </w:rPr>
            </w:pPr>
            <w:r>
              <w:rPr>
                <w:rFonts w:hint="eastAsia"/>
                <w:color w:val="auto"/>
                <w:lang w:val="en-US" w:eastAsia="zh-CN"/>
              </w:rPr>
              <w:t>噪声监测方案</w:t>
            </w:r>
          </w:p>
          <w:p w14:paraId="0C405414">
            <w:pPr>
              <w:pStyle w:val="5"/>
              <w:bidi w:val="0"/>
              <w:rPr>
                <w:rFonts w:hint="eastAsia"/>
                <w:color w:val="auto"/>
                <w:lang w:val="en-US" w:eastAsia="zh-CN"/>
              </w:rPr>
            </w:pPr>
            <w:r>
              <w:rPr>
                <w:rFonts w:hint="eastAsia"/>
                <w:color w:val="auto"/>
                <w:lang w:val="en-US" w:eastAsia="zh-CN"/>
              </w:rPr>
              <w:t>根据《排污单位自行监测技术指南 总则》（HJ819-2017）及相关要求，本项目噪声监测点位布设在厂界东、南、西、北四个方向各设1个监测点，监测项目为等效连续A声级，监测频次为每季度1次，每次监测昼间、夜间各1次，执行《工业企业厂界环境噪声排放标准》（GB12348-2008）3类标准。</w:t>
            </w:r>
          </w:p>
          <w:p w14:paraId="7B24D157">
            <w:pPr>
              <w:pStyle w:val="3"/>
              <w:bidi w:val="0"/>
              <w:rPr>
                <w:rFonts w:hint="eastAsia"/>
                <w:color w:val="auto"/>
                <w:lang w:val="en-US" w:eastAsia="zh-CN"/>
              </w:rPr>
            </w:pPr>
            <w:r>
              <w:rPr>
                <w:rFonts w:hint="eastAsia"/>
                <w:color w:val="auto"/>
                <w:lang w:val="en-US" w:eastAsia="zh-CN"/>
              </w:rPr>
              <w:t>运营期固体废物环境影响分析及治理措施</w:t>
            </w:r>
          </w:p>
          <w:p w14:paraId="72B2264A">
            <w:pPr>
              <w:pStyle w:val="4"/>
              <w:bidi w:val="0"/>
              <w:rPr>
                <w:rFonts w:hint="eastAsia"/>
                <w:color w:val="auto"/>
                <w:lang w:val="en-US" w:eastAsia="zh-CN"/>
              </w:rPr>
            </w:pPr>
            <w:r>
              <w:rPr>
                <w:rFonts w:hint="eastAsia"/>
                <w:color w:val="auto"/>
                <w:lang w:val="en-US" w:eastAsia="zh-CN"/>
              </w:rPr>
              <w:t>生活垃圾</w:t>
            </w:r>
          </w:p>
          <w:p w14:paraId="77AC194D">
            <w:pPr>
              <w:pStyle w:val="5"/>
              <w:rPr>
                <w:rFonts w:hint="default"/>
                <w:color w:val="auto"/>
                <w:lang w:val="en-US" w:eastAsia="zh-CN"/>
              </w:rPr>
            </w:pPr>
            <w:r>
              <w:rPr>
                <w:rFonts w:hint="default"/>
                <w:color w:val="auto"/>
                <w:lang w:val="en-US" w:eastAsia="zh-CN"/>
              </w:rPr>
              <w:t xml:space="preserve">本项目劳动定员 </w:t>
            </w:r>
            <w:r>
              <w:rPr>
                <w:rFonts w:hint="eastAsia"/>
                <w:color w:val="auto"/>
                <w:lang w:val="en-US" w:eastAsia="zh-CN"/>
              </w:rPr>
              <w:t>65</w:t>
            </w:r>
            <w:r>
              <w:rPr>
                <w:rFonts w:hint="default"/>
                <w:color w:val="auto"/>
                <w:lang w:val="en-US" w:eastAsia="zh-CN"/>
              </w:rPr>
              <w:t xml:space="preserve"> 人，年工作时间为300d，生活垃圾产生量按0.5kg/（人•d）计，则生活垃圾产生量为</w:t>
            </w:r>
            <w:r>
              <w:rPr>
                <w:rFonts w:hint="eastAsia"/>
                <w:color w:val="auto"/>
                <w:lang w:val="en-US" w:eastAsia="zh-CN"/>
              </w:rPr>
              <w:t>9.75</w:t>
            </w:r>
            <w:r>
              <w:rPr>
                <w:rFonts w:hint="default"/>
                <w:color w:val="auto"/>
                <w:lang w:val="en-US" w:eastAsia="zh-CN"/>
              </w:rPr>
              <w:t>t/a，交由环卫部门处理。</w:t>
            </w:r>
          </w:p>
          <w:p w14:paraId="41EC83AD">
            <w:pPr>
              <w:pStyle w:val="4"/>
              <w:bidi w:val="0"/>
              <w:rPr>
                <w:rFonts w:hint="eastAsia"/>
                <w:color w:val="auto"/>
                <w:lang w:val="en-US" w:eastAsia="zh-CN"/>
              </w:rPr>
            </w:pPr>
            <w:r>
              <w:rPr>
                <w:rFonts w:hint="eastAsia"/>
                <w:color w:val="auto"/>
                <w:lang w:val="en-US" w:eastAsia="zh-CN"/>
              </w:rPr>
              <w:t>一般固废</w:t>
            </w:r>
          </w:p>
          <w:p w14:paraId="1F03842B">
            <w:pPr>
              <w:pStyle w:val="5"/>
              <w:rPr>
                <w:rFonts w:hint="eastAsia"/>
                <w:color w:val="auto"/>
                <w:lang w:val="en-US" w:eastAsia="zh-CN"/>
              </w:rPr>
            </w:pPr>
            <w:r>
              <w:rPr>
                <w:rFonts w:hint="eastAsia"/>
                <w:color w:val="auto"/>
                <w:lang w:val="en-US" w:eastAsia="zh-CN"/>
              </w:rPr>
              <w:t>本项目一般固废主要为修边切割和雕刻工序产生的边角料、袋式除尘器收集的粉尘以及废包装材料。</w:t>
            </w:r>
          </w:p>
          <w:p w14:paraId="1FEF3527">
            <w:pPr>
              <w:pStyle w:val="6"/>
              <w:bidi w:val="0"/>
              <w:rPr>
                <w:rFonts w:hint="eastAsia"/>
                <w:color w:val="auto"/>
                <w:lang w:val="en-US" w:eastAsia="zh-CN"/>
              </w:rPr>
            </w:pPr>
            <w:r>
              <w:rPr>
                <w:rFonts w:hint="eastAsia"/>
                <w:color w:val="auto"/>
                <w:lang w:val="en-US" w:eastAsia="zh-CN"/>
              </w:rPr>
              <w:t>除尘器收尘</w:t>
            </w:r>
          </w:p>
          <w:p w14:paraId="399605FA">
            <w:pPr>
              <w:pStyle w:val="5"/>
              <w:rPr>
                <w:rFonts w:hint="default"/>
                <w:color w:val="auto"/>
                <w:lang w:val="en-US" w:eastAsia="zh-CN"/>
              </w:rPr>
            </w:pPr>
            <w:r>
              <w:rPr>
                <w:rFonts w:hint="eastAsia"/>
                <w:color w:val="auto"/>
                <w:lang w:val="en-US" w:eastAsia="zh-CN"/>
              </w:rPr>
              <w:t>项目除尘器收集粉尘主要来源于干粉入仓、切割及雕刻工序，根据前述废气产排分析可知，干粉入仓、切割及雕刻工序收集的除尘灰约为4.654t/a。根据《固体废物分类与代码目录》（公告2024年第4号），废物类别为SW59其他工业固体废物，废物代码为900-099-S59，全部作为原料回用于生产。</w:t>
            </w:r>
          </w:p>
          <w:p w14:paraId="02CD783A">
            <w:pPr>
              <w:pStyle w:val="6"/>
              <w:bidi w:val="0"/>
              <w:rPr>
                <w:rFonts w:hint="eastAsia"/>
                <w:color w:val="auto"/>
                <w:lang w:val="en-US" w:eastAsia="zh-CN"/>
              </w:rPr>
            </w:pPr>
            <w:r>
              <w:rPr>
                <w:rFonts w:hint="eastAsia"/>
                <w:color w:val="auto"/>
                <w:lang w:val="en-US" w:eastAsia="zh-CN"/>
              </w:rPr>
              <w:t>废边角料及不合格品</w:t>
            </w:r>
          </w:p>
          <w:p w14:paraId="46832B97">
            <w:pPr>
              <w:pStyle w:val="5"/>
              <w:rPr>
                <w:rFonts w:hint="eastAsia"/>
                <w:color w:val="auto"/>
                <w:lang w:val="en-US" w:eastAsia="zh-CN"/>
              </w:rPr>
            </w:pPr>
            <w:r>
              <w:rPr>
                <w:rFonts w:hint="eastAsia"/>
                <w:color w:val="auto"/>
                <w:lang w:val="en-US" w:eastAsia="zh-CN"/>
              </w:rPr>
              <w:t>项目修边切割、雕刻及产品检验过程会产生废边角料和不合格品。根据《新疆乾昌业新型建材有限公司新型环保防水背衬板项目可行性研究报告》其产生量为415.792t/a，属于一般固体废物，经查阅《固体废物分类与代码目录》（公告2024年第4号），该类废物属于SW17可再生类废物，废物代码为900-099-S17。本项目对其进行统一收集、分类存放于一般固体废物贮存库，定期出售给具有资质的再生资源回收单位进行综合利用，以实现资源的循环再利用。</w:t>
            </w:r>
          </w:p>
          <w:p w14:paraId="24308E0D">
            <w:pPr>
              <w:pStyle w:val="6"/>
              <w:bidi w:val="0"/>
              <w:rPr>
                <w:rFonts w:hint="eastAsia"/>
                <w:color w:val="auto"/>
                <w:lang w:val="en-US" w:eastAsia="zh-CN"/>
              </w:rPr>
            </w:pPr>
            <w:r>
              <w:rPr>
                <w:rFonts w:hint="eastAsia"/>
                <w:color w:val="auto"/>
                <w:lang w:val="en-US" w:eastAsia="zh-CN"/>
              </w:rPr>
              <w:t>废包装材料</w:t>
            </w:r>
          </w:p>
          <w:p w14:paraId="3F1DC28C">
            <w:pPr>
              <w:pStyle w:val="5"/>
              <w:rPr>
                <w:rFonts w:hint="eastAsia"/>
                <w:color w:val="auto"/>
                <w:lang w:val="en-US" w:eastAsia="zh-CN"/>
              </w:rPr>
            </w:pPr>
            <w:r>
              <w:rPr>
                <w:rFonts w:hint="eastAsia"/>
                <w:color w:val="auto"/>
                <w:lang w:val="en-US" w:eastAsia="zh-CN"/>
              </w:rPr>
              <w:t>本项目在生产过程中使用的原材料通常采用袋装或桶装形式，在拆包、倒料过程中会产生废包装材料，主要包括废编织袋、废塑料袋等。根据项目原辅材料使用量及包装规格估算，废包装材料产生量约为3.5t/a。根据《固体废物鉴别标准通则》（GB 34330-2025）的第 6 部分规定，任何未经修复和加工即可用于其原始用途的物质，都不被视为固体废物，因此也不归类为危险废物。这意味着，那些含有或直接沾染危险废物的包装物或容器，只要它们保持其原始用途，就不属于危险废物，从而可以直接回收。所以，本项目的废编织袋、废塑料袋等属于可回收物，经收集后外售给再生资源回收单位。</w:t>
            </w:r>
          </w:p>
          <w:p w14:paraId="525942AC">
            <w:pPr>
              <w:pStyle w:val="5"/>
              <w:rPr>
                <w:rFonts w:hint="eastAsia"/>
                <w:color w:val="auto"/>
                <w:lang w:val="en-US" w:eastAsia="zh-CN"/>
              </w:rPr>
            </w:pPr>
            <w:r>
              <w:rPr>
                <w:rFonts w:hint="eastAsia"/>
                <w:color w:val="auto"/>
                <w:lang w:val="en-US" w:eastAsia="zh-CN"/>
              </w:rPr>
              <w:t>根据《固体废物分类与代码目录》（公告2024年第4号），废物类别为SW59其他工业固体废物，废物代码为900-099-S59，项目废包装材料在一般固体废物贮存库暂存后由原厂家回收处理。</w:t>
            </w:r>
          </w:p>
          <w:p w14:paraId="6EE5AB44">
            <w:pPr>
              <w:pStyle w:val="7"/>
              <w:bidi w:val="0"/>
              <w:rPr>
                <w:color w:val="auto"/>
              </w:rPr>
            </w:pPr>
            <w:r>
              <w:rPr>
                <w:color w:val="auto"/>
              </w:rPr>
              <w:t>产废周期</w:t>
            </w:r>
          </w:p>
          <w:p w14:paraId="3416A606">
            <w:pPr>
              <w:pStyle w:val="5"/>
              <w:bidi w:val="0"/>
              <w:rPr>
                <w:color w:val="auto"/>
              </w:rPr>
            </w:pPr>
            <w:r>
              <w:rPr>
                <w:color w:val="auto"/>
              </w:rPr>
              <w:t>本项目废包装材料产生与生产活动同步，项目为常年连续化生产，原辅材料拆包、倒料工序随生产投料持续开展，因此属于连续产废：生产期间每日均会产生废包装材料，全年稳定产生，年度产生总量约3.5t，按月估算平均月产生量约为0.29t，产废速率随生产负荷变化小幅波动，生产旺季投料量提升，废包装产生量相应增加，生产淡季投料量减少，废包装产生量相应降低。</w:t>
            </w:r>
          </w:p>
          <w:p w14:paraId="546FA3EF">
            <w:pPr>
              <w:pStyle w:val="4"/>
              <w:bidi w:val="0"/>
              <w:rPr>
                <w:rFonts w:hint="eastAsia"/>
                <w:color w:val="auto"/>
                <w:lang w:val="en-US" w:eastAsia="zh-CN"/>
              </w:rPr>
            </w:pPr>
            <w:r>
              <w:rPr>
                <w:rFonts w:hint="eastAsia"/>
                <w:color w:val="auto"/>
                <w:lang w:val="en-US" w:eastAsia="zh-CN"/>
              </w:rPr>
              <w:t>危险废物</w:t>
            </w:r>
          </w:p>
          <w:p w14:paraId="75942B47">
            <w:pPr>
              <w:pStyle w:val="5"/>
              <w:rPr>
                <w:rFonts w:hint="eastAsia"/>
                <w:color w:val="auto"/>
                <w:lang w:val="en-US" w:eastAsia="zh-CN"/>
              </w:rPr>
            </w:pPr>
            <w:r>
              <w:rPr>
                <w:rFonts w:hint="eastAsia"/>
                <w:color w:val="auto"/>
                <w:lang w:val="en-US" w:eastAsia="zh-CN"/>
              </w:rPr>
              <w:t>本项目运营过程中不涉及机械润滑、液压传动等需使用矿物油类机油的环节，设备维护、检修作业不涉及机油的添加、更换，因此本项目不会产生废机油。</w:t>
            </w:r>
          </w:p>
          <w:p w14:paraId="39713F93">
            <w:pPr>
              <w:pStyle w:val="5"/>
              <w:rPr>
                <w:rFonts w:hint="eastAsia"/>
                <w:color w:val="auto"/>
                <w:lang w:val="en-US" w:eastAsia="zh-CN"/>
              </w:rPr>
            </w:pPr>
            <w:r>
              <w:rPr>
                <w:rFonts w:hint="eastAsia"/>
                <w:color w:val="auto"/>
                <w:lang w:val="en-US" w:eastAsia="zh-CN"/>
              </w:rPr>
              <w:t>本项目的危险废物为废活性炭，由于活性炭在吸附一定量废气后会达到饱和状态，因此需定期更换，依据《吸附法工业有机废气治理工程技术规范》（HJ 2026-2013）及本项配套工程分析如下。</w:t>
            </w:r>
          </w:p>
          <w:p w14:paraId="23CEF2E9">
            <w:pPr>
              <w:pStyle w:val="5"/>
              <w:rPr>
                <w:rFonts w:hint="eastAsia"/>
                <w:color w:val="auto"/>
                <w:lang w:val="en-US" w:eastAsia="zh-CN"/>
              </w:rPr>
            </w:pPr>
            <w:r>
              <w:rPr>
                <w:rFonts w:hint="eastAsia"/>
                <w:color w:val="auto"/>
                <w:lang w:val="en-US" w:eastAsia="zh-CN"/>
              </w:rPr>
              <w:t>由于本项目使用活性炭的吸附的主要为“</w:t>
            </w:r>
            <w:r>
              <w:rPr>
                <w:rFonts w:hint="default" w:eastAsia="宋体"/>
                <w:color w:val="auto"/>
                <w:lang w:val="en-US" w:eastAsia="zh-CN"/>
              </w:rPr>
              <w:t>复合</w:t>
            </w:r>
            <w:r>
              <w:rPr>
                <w:rFonts w:hint="eastAsia" w:eastAsia="宋体"/>
                <w:color w:val="auto"/>
                <w:lang w:val="en-US" w:eastAsia="zh-CN"/>
              </w:rPr>
              <w:t>制板</w:t>
            </w:r>
            <w:r>
              <w:rPr>
                <w:rFonts w:hint="default" w:eastAsia="宋体"/>
                <w:color w:val="auto"/>
                <w:lang w:val="en-US" w:eastAsia="zh-CN"/>
              </w:rPr>
              <w:t>及养护废气</w:t>
            </w:r>
            <w:r>
              <w:rPr>
                <w:rFonts w:hint="eastAsia"/>
                <w:color w:val="auto"/>
                <w:lang w:val="en-US" w:eastAsia="zh-CN"/>
              </w:rPr>
              <w:t>”工段中的NMHC（非甲烷总烃，主要为残留单体及助剂挥发），总产生量：1.0 t/a（其中有组织产生量0.95 t/a、无组织0.05 t/a）。按设计要求集气罩收集率为95%，活性炭吸附效率≥90%，则进入二级活性炭装置的NMHC的量为0.95 t/a。</w:t>
            </w:r>
          </w:p>
          <w:p w14:paraId="428F7D57">
            <w:pPr>
              <w:pStyle w:val="5"/>
              <w:rPr>
                <w:rFonts w:hint="eastAsia"/>
                <w:color w:val="auto"/>
                <w:lang w:val="en-US" w:eastAsia="zh-CN"/>
              </w:rPr>
            </w:pPr>
            <w:r>
              <w:rPr>
                <w:rFonts w:hint="eastAsia"/>
                <w:color w:val="auto"/>
                <w:lang w:val="en-US" w:eastAsia="zh-CN"/>
              </w:rPr>
              <w:t>综上：</w:t>
            </w:r>
          </w:p>
          <w:p w14:paraId="65163E7D">
            <w:pPr>
              <w:pStyle w:val="5"/>
              <w:jc w:val="both"/>
              <w:rPr>
                <w:rFonts w:hint="eastAsia"/>
                <w:color w:val="auto"/>
                <w:lang w:val="en-US" w:eastAsia="zh-CN"/>
              </w:rPr>
            </w:pPr>
            <w:r>
              <w:rPr>
                <w:rFonts w:hint="eastAsia"/>
                <w:color w:val="auto"/>
                <w:lang w:val="en-US" w:eastAsia="zh-CN"/>
              </w:rPr>
              <w:t>活性炭实际吸附（削减）的NMHC量：0.95t/a×90%=0.855t/a=855kg/a</w:t>
            </w:r>
          </w:p>
          <w:p w14:paraId="51E12B9E">
            <w:pPr>
              <w:pStyle w:val="5"/>
              <w:jc w:val="both"/>
              <w:rPr>
                <w:rFonts w:hint="default"/>
                <w:color w:val="auto"/>
                <w:lang w:val="en-US" w:eastAsia="zh-CN"/>
              </w:rPr>
            </w:pPr>
            <w:r>
              <w:rPr>
                <w:rFonts w:hint="default"/>
                <w:color w:val="auto"/>
                <w:lang w:val="en-US" w:eastAsia="zh-CN"/>
              </w:rPr>
              <w:t>有组织排放量：0.95×10%=0.095t/a</w:t>
            </w:r>
          </w:p>
          <w:p w14:paraId="10161A25">
            <w:pPr>
              <w:pStyle w:val="5"/>
              <w:jc w:val="both"/>
              <w:rPr>
                <w:rFonts w:hint="default"/>
                <w:color w:val="auto"/>
                <w:lang w:val="en-US" w:eastAsia="zh-CN"/>
              </w:rPr>
            </w:pPr>
            <w:r>
              <w:rPr>
                <w:rFonts w:hint="default"/>
                <w:color w:val="auto"/>
                <w:lang w:val="en-US" w:eastAsia="zh-CN"/>
              </w:rPr>
              <w:t>无组织部分</w:t>
            </w:r>
            <w:r>
              <w:rPr>
                <w:rFonts w:hint="eastAsia"/>
                <w:color w:val="auto"/>
                <w:lang w:val="en-US" w:eastAsia="zh-CN"/>
              </w:rPr>
              <w:t>：</w:t>
            </w:r>
            <w:r>
              <w:rPr>
                <w:rFonts w:hint="default"/>
                <w:color w:val="auto"/>
                <w:lang w:val="en-US" w:eastAsia="zh-CN"/>
              </w:rPr>
              <w:t>0.05 t/a</w:t>
            </w:r>
            <w:r>
              <w:rPr>
                <w:rFonts w:hint="eastAsia"/>
                <w:color w:val="auto"/>
                <w:lang w:val="en-US" w:eastAsia="zh-CN"/>
              </w:rPr>
              <w:t>（未进入活性炭装置，不计入吸附量）</w:t>
            </w:r>
          </w:p>
          <w:p w14:paraId="23DC354E">
            <w:pPr>
              <w:pStyle w:val="5"/>
              <w:jc w:val="both"/>
              <w:rPr>
                <w:rFonts w:hint="default"/>
                <w:color w:val="auto"/>
                <w:lang w:val="en-US" w:eastAsia="zh-CN"/>
              </w:rPr>
            </w:pPr>
            <w:r>
              <w:rPr>
                <w:rFonts w:hint="default"/>
                <w:color w:val="auto"/>
                <w:lang w:val="en-US" w:eastAsia="zh-CN"/>
              </w:rPr>
              <w:t>活性炭年消耗量（需更换量）=吸附的</w:t>
            </w:r>
            <w:r>
              <w:rPr>
                <w:rFonts w:hint="eastAsia"/>
                <w:color w:val="auto"/>
                <w:lang w:val="en-US" w:eastAsia="zh-CN"/>
              </w:rPr>
              <w:t>NMHC</w:t>
            </w:r>
            <w:r>
              <w:rPr>
                <w:rFonts w:hint="default"/>
                <w:color w:val="auto"/>
                <w:lang w:val="en-US" w:eastAsia="zh-CN"/>
              </w:rPr>
              <w:t>量按二级共填2.85t、每3个月更换一次、年更换4次计=2.85×4=11.4t/a（工作吸附率=0.855÷11.4≈0.075）</w:t>
            </w:r>
          </w:p>
          <w:p w14:paraId="351CE271">
            <w:pPr>
              <w:pStyle w:val="5"/>
              <w:jc w:val="both"/>
              <w:rPr>
                <w:rFonts w:hint="default"/>
                <w:color w:val="auto"/>
                <w:lang w:val="en-US" w:eastAsia="zh-CN"/>
              </w:rPr>
            </w:pPr>
            <w:r>
              <w:rPr>
                <w:rFonts w:hint="default"/>
                <w:color w:val="auto"/>
                <w:lang w:val="en-US" w:eastAsia="zh-CN"/>
              </w:rPr>
              <w:t>废活性炭总生成量=11.4t/a（活性炭）+0.855t/a（吸附有机物）=12.255t/a</w:t>
            </w:r>
          </w:p>
          <w:p w14:paraId="38F40804">
            <w:pPr>
              <w:pStyle w:val="5"/>
              <w:jc w:val="both"/>
              <w:rPr>
                <w:color w:val="auto"/>
              </w:rPr>
            </w:pPr>
            <w:r>
              <w:rPr>
                <w:rFonts w:hint="eastAsia"/>
                <w:color w:val="auto"/>
                <w:lang w:val="en-US" w:eastAsia="zh-CN"/>
              </w:rPr>
              <w:t>则，本项目的废活性炭产生量为12.255t/a，其属于危险废物，对照《国家危险废物名录》（2025年版），废活性炭属于HW49其他废物，非特定行业，废物代码900-039-49，危险特性T。</w:t>
            </w:r>
            <w:r>
              <w:rPr>
                <w:color w:val="auto"/>
              </w:rPr>
              <w:t>毒性具体体现为：废活性炭吸附的非甲烷总烃包含残留有机单体、挥发性有机助剂，多数组分为烃类、酯类等有毒挥发性有机物，有机物可通过呼吸道、皮肤接触侵入人体，损害神经系统、造血功能与脏器功能，部分组分还具有慢性致畸、致癌风险，当废活性炭存储、转运过程中发生密封破损，有毒组分会持续向外释放，若泄漏进入土壤、地下水环境，还会造成生态毒性，污染周边水土环境，危害生态系统安全，符合危险毒性危险废物的判定特征。</w:t>
            </w:r>
          </w:p>
          <w:p w14:paraId="70744054">
            <w:pPr>
              <w:pStyle w:val="5"/>
              <w:bidi w:val="0"/>
              <w:rPr>
                <w:color w:val="auto"/>
              </w:rPr>
            </w:pPr>
            <w:r>
              <w:rPr>
                <w:color w:val="auto"/>
              </w:rPr>
              <w:t>本项目配套二级活性炭吸附装置，采用“定期整体更换饱和炭、补充新炭”的运维方式，结合本项目有机废气排放浓度、活性炭填充量与吸附效率设计，单套装置单次填充活性炭量为1.425t，共设置二级装置总填充量为2.85t，按照本项目年吸附有机污染物量与动态吸附容量计算，每</w:t>
            </w:r>
            <w:r>
              <w:rPr>
                <w:rFonts w:hint="eastAsia"/>
                <w:color w:val="auto"/>
                <w:lang w:val="en-US" w:eastAsia="zh-CN"/>
              </w:rPr>
              <w:t>3</w:t>
            </w:r>
            <w:r>
              <w:rPr>
                <w:color w:val="auto"/>
              </w:rPr>
              <w:t>个月即达到饱和吸附状态，因此产污周期为每</w:t>
            </w:r>
            <w:r>
              <w:rPr>
                <w:rFonts w:hint="eastAsia"/>
                <w:color w:val="auto"/>
                <w:lang w:val="en-US" w:eastAsia="zh-CN"/>
              </w:rPr>
              <w:t>3</w:t>
            </w:r>
            <w:r>
              <w:rPr>
                <w:color w:val="auto"/>
              </w:rPr>
              <w:t>个月更换一次，全年共更换</w:t>
            </w:r>
            <w:r>
              <w:rPr>
                <w:rFonts w:hint="eastAsia"/>
                <w:color w:val="auto"/>
                <w:lang w:val="en-US" w:eastAsia="zh-CN"/>
              </w:rPr>
              <w:t>4</w:t>
            </w:r>
            <w:r>
              <w:rPr>
                <w:color w:val="auto"/>
              </w:rPr>
              <w:t>次，属于连续稳定产生的危险废物，全年累计产生废活性炭</w:t>
            </w:r>
            <w:r>
              <w:rPr>
                <w:rFonts w:hint="default"/>
                <w:color w:val="auto"/>
                <w:lang w:val="en-US" w:eastAsia="zh-CN"/>
              </w:rPr>
              <w:t>12.255</w:t>
            </w:r>
            <w:r>
              <w:rPr>
                <w:color w:val="auto"/>
              </w:rPr>
              <w:t>t，产生量稳定，不存在季节性大幅波动。</w:t>
            </w:r>
          </w:p>
          <w:p w14:paraId="78675EAF">
            <w:pPr>
              <w:pStyle w:val="5"/>
              <w:bidi w:val="0"/>
              <w:rPr>
                <w:color w:val="auto"/>
              </w:rPr>
            </w:pPr>
            <w:r>
              <w:rPr>
                <w:color w:val="auto"/>
              </w:rPr>
              <w:t>废活性炭更换后经危废间暂存，定期交由有资质单位处置。</w:t>
            </w:r>
          </w:p>
          <w:p w14:paraId="344668C6">
            <w:pPr>
              <w:pStyle w:val="5"/>
              <w:rPr>
                <w:rFonts w:hint="eastAsia"/>
                <w:color w:val="auto"/>
                <w:lang w:val="en-US" w:eastAsia="zh-CN"/>
              </w:rPr>
            </w:pPr>
            <w:r>
              <w:rPr>
                <w:rFonts w:hint="eastAsia"/>
                <w:color w:val="auto"/>
                <w:lang w:val="en-US" w:eastAsia="zh-CN"/>
              </w:rPr>
              <w:t>本项目运营期危险废物产生及处置情况见下表。</w:t>
            </w:r>
          </w:p>
          <w:p w14:paraId="5C3DFDF2">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36</w:t>
            </w:r>
            <w:r>
              <w:rPr>
                <w:color w:val="auto"/>
              </w:rPr>
              <w:fldChar w:fldCharType="end"/>
            </w:r>
            <w:r>
              <w:rPr>
                <w:rFonts w:hint="eastAsia"/>
                <w:color w:val="auto"/>
                <w:lang w:val="en-US" w:eastAsia="zh-CN"/>
              </w:rPr>
              <w:t xml:space="preserve">   危险废物汇总一览表</w:t>
            </w:r>
          </w:p>
          <w:tbl>
            <w:tblPr>
              <w:tblStyle w:val="16"/>
              <w:tblW w:w="7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56"/>
              <w:gridCol w:w="757"/>
              <w:gridCol w:w="757"/>
              <w:gridCol w:w="758"/>
              <w:gridCol w:w="758"/>
              <w:gridCol w:w="758"/>
              <w:gridCol w:w="758"/>
              <w:gridCol w:w="758"/>
              <w:gridCol w:w="758"/>
            </w:tblGrid>
            <w:tr w14:paraId="2AEA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4147E755">
                  <w:pPr>
                    <w:pStyle w:val="19"/>
                    <w:bidi w:val="0"/>
                    <w:jc w:val="center"/>
                    <w:rPr>
                      <w:rFonts w:hint="default"/>
                      <w:color w:val="auto"/>
                      <w:lang w:val="en-US" w:eastAsia="zh-CN"/>
                    </w:rPr>
                  </w:pPr>
                  <w:r>
                    <w:rPr>
                      <w:rFonts w:hint="eastAsia"/>
                      <w:color w:val="auto"/>
                      <w:lang w:val="en-US" w:eastAsia="zh-CN"/>
                    </w:rPr>
                    <w:t>序号</w:t>
                  </w:r>
                </w:p>
              </w:tc>
              <w:tc>
                <w:tcPr>
                  <w:tcW w:w="756" w:type="dxa"/>
                  <w:vAlign w:val="center"/>
                </w:tcPr>
                <w:p w14:paraId="3DDCCA62">
                  <w:pPr>
                    <w:pStyle w:val="19"/>
                    <w:bidi w:val="0"/>
                    <w:jc w:val="center"/>
                    <w:rPr>
                      <w:rFonts w:hint="default"/>
                      <w:color w:val="auto"/>
                      <w:lang w:val="en-US" w:eastAsia="zh-CN"/>
                    </w:rPr>
                  </w:pPr>
                  <w:r>
                    <w:rPr>
                      <w:rFonts w:hint="eastAsia"/>
                      <w:color w:val="auto"/>
                      <w:lang w:val="en-US" w:eastAsia="zh-CN"/>
                    </w:rPr>
                    <w:t>危废名称</w:t>
                  </w:r>
                </w:p>
              </w:tc>
              <w:tc>
                <w:tcPr>
                  <w:tcW w:w="757" w:type="dxa"/>
                  <w:vAlign w:val="center"/>
                </w:tcPr>
                <w:p w14:paraId="2E65E005">
                  <w:pPr>
                    <w:pStyle w:val="19"/>
                    <w:bidi w:val="0"/>
                    <w:jc w:val="center"/>
                    <w:rPr>
                      <w:rFonts w:hint="default"/>
                      <w:color w:val="auto"/>
                      <w:lang w:val="en-US" w:eastAsia="zh-CN"/>
                    </w:rPr>
                  </w:pPr>
                  <w:r>
                    <w:rPr>
                      <w:rFonts w:hint="eastAsia"/>
                      <w:color w:val="auto"/>
                      <w:lang w:val="en-US" w:eastAsia="zh-CN"/>
                    </w:rPr>
                    <w:t>危废类别</w:t>
                  </w:r>
                </w:p>
              </w:tc>
              <w:tc>
                <w:tcPr>
                  <w:tcW w:w="757" w:type="dxa"/>
                  <w:vAlign w:val="center"/>
                </w:tcPr>
                <w:p w14:paraId="149C102E">
                  <w:pPr>
                    <w:pStyle w:val="19"/>
                    <w:bidi w:val="0"/>
                    <w:jc w:val="center"/>
                    <w:rPr>
                      <w:rFonts w:hint="default"/>
                      <w:color w:val="auto"/>
                      <w:lang w:val="en-US" w:eastAsia="zh-CN"/>
                    </w:rPr>
                  </w:pPr>
                  <w:r>
                    <w:rPr>
                      <w:rFonts w:hint="eastAsia"/>
                      <w:color w:val="auto"/>
                      <w:lang w:val="en-US" w:eastAsia="zh-CN"/>
                    </w:rPr>
                    <w:t>危废代码</w:t>
                  </w:r>
                </w:p>
              </w:tc>
              <w:tc>
                <w:tcPr>
                  <w:tcW w:w="758" w:type="dxa"/>
                  <w:vAlign w:val="center"/>
                </w:tcPr>
                <w:p w14:paraId="78EEAADA">
                  <w:pPr>
                    <w:pStyle w:val="19"/>
                    <w:bidi w:val="0"/>
                    <w:jc w:val="center"/>
                    <w:rPr>
                      <w:rFonts w:hint="default"/>
                      <w:color w:val="auto"/>
                      <w:lang w:val="en-US" w:eastAsia="zh-CN"/>
                    </w:rPr>
                  </w:pPr>
                  <w:r>
                    <w:rPr>
                      <w:rFonts w:hint="eastAsia"/>
                      <w:color w:val="auto"/>
                      <w:lang w:val="en-US" w:eastAsia="zh-CN"/>
                    </w:rPr>
                    <w:t>产生量</w:t>
                  </w:r>
                </w:p>
              </w:tc>
              <w:tc>
                <w:tcPr>
                  <w:tcW w:w="758" w:type="dxa"/>
                  <w:vAlign w:val="center"/>
                </w:tcPr>
                <w:p w14:paraId="407B0509">
                  <w:pPr>
                    <w:pStyle w:val="19"/>
                    <w:bidi w:val="0"/>
                    <w:jc w:val="center"/>
                    <w:rPr>
                      <w:rFonts w:hint="default"/>
                      <w:color w:val="auto"/>
                      <w:lang w:val="en-US" w:eastAsia="zh-CN"/>
                    </w:rPr>
                  </w:pPr>
                  <w:r>
                    <w:rPr>
                      <w:rFonts w:hint="eastAsia"/>
                      <w:color w:val="auto"/>
                      <w:lang w:val="en-US" w:eastAsia="zh-CN"/>
                    </w:rPr>
                    <w:t>产生工序</w:t>
                  </w:r>
                </w:p>
              </w:tc>
              <w:tc>
                <w:tcPr>
                  <w:tcW w:w="758" w:type="dxa"/>
                  <w:vAlign w:val="center"/>
                </w:tcPr>
                <w:p w14:paraId="7B101C39">
                  <w:pPr>
                    <w:pStyle w:val="19"/>
                    <w:bidi w:val="0"/>
                    <w:jc w:val="center"/>
                    <w:rPr>
                      <w:rFonts w:hint="default"/>
                      <w:color w:val="auto"/>
                      <w:lang w:val="en-US" w:eastAsia="zh-CN"/>
                    </w:rPr>
                  </w:pPr>
                  <w:r>
                    <w:rPr>
                      <w:rFonts w:hint="eastAsia"/>
                      <w:color w:val="auto"/>
                      <w:lang w:val="en-US" w:eastAsia="zh-CN"/>
                    </w:rPr>
                    <w:t>形态</w:t>
                  </w:r>
                </w:p>
              </w:tc>
              <w:tc>
                <w:tcPr>
                  <w:tcW w:w="758" w:type="dxa"/>
                  <w:vAlign w:val="center"/>
                </w:tcPr>
                <w:p w14:paraId="092A97C7">
                  <w:pPr>
                    <w:pStyle w:val="19"/>
                    <w:bidi w:val="0"/>
                    <w:jc w:val="center"/>
                    <w:rPr>
                      <w:rFonts w:hint="default"/>
                      <w:color w:val="auto"/>
                      <w:lang w:val="en-US" w:eastAsia="zh-CN"/>
                    </w:rPr>
                  </w:pPr>
                  <w:r>
                    <w:rPr>
                      <w:rFonts w:hint="eastAsia"/>
                      <w:color w:val="auto"/>
                      <w:lang w:val="en-US" w:eastAsia="zh-CN"/>
                    </w:rPr>
                    <w:t>主要成分</w:t>
                  </w:r>
                </w:p>
              </w:tc>
              <w:tc>
                <w:tcPr>
                  <w:tcW w:w="758" w:type="dxa"/>
                  <w:vAlign w:val="center"/>
                </w:tcPr>
                <w:p w14:paraId="2970E39F">
                  <w:pPr>
                    <w:pStyle w:val="19"/>
                    <w:bidi w:val="0"/>
                    <w:jc w:val="center"/>
                    <w:rPr>
                      <w:rFonts w:hint="default"/>
                      <w:color w:val="auto"/>
                      <w:lang w:val="en-US" w:eastAsia="zh-CN"/>
                    </w:rPr>
                  </w:pPr>
                  <w:r>
                    <w:rPr>
                      <w:rFonts w:hint="eastAsia"/>
                      <w:color w:val="auto"/>
                      <w:lang w:val="en-US" w:eastAsia="zh-CN"/>
                    </w:rPr>
                    <w:t>主要有害成分</w:t>
                  </w:r>
                </w:p>
              </w:tc>
              <w:tc>
                <w:tcPr>
                  <w:tcW w:w="758" w:type="dxa"/>
                  <w:vAlign w:val="center"/>
                </w:tcPr>
                <w:p w14:paraId="7EB7A26E">
                  <w:pPr>
                    <w:pStyle w:val="19"/>
                    <w:bidi w:val="0"/>
                    <w:jc w:val="center"/>
                    <w:rPr>
                      <w:rFonts w:hint="default"/>
                      <w:color w:val="auto"/>
                      <w:lang w:val="en-US" w:eastAsia="zh-CN"/>
                    </w:rPr>
                  </w:pPr>
                  <w:r>
                    <w:rPr>
                      <w:rFonts w:hint="eastAsia"/>
                      <w:color w:val="auto"/>
                      <w:lang w:val="en-US" w:eastAsia="zh-CN"/>
                    </w:rPr>
                    <w:t>污染防治措施</w:t>
                  </w:r>
                </w:p>
              </w:tc>
            </w:tr>
            <w:tr w14:paraId="17E7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 w:type="dxa"/>
                  <w:vAlign w:val="center"/>
                </w:tcPr>
                <w:p w14:paraId="6B7E3AC5">
                  <w:pPr>
                    <w:pStyle w:val="19"/>
                    <w:bidi w:val="0"/>
                    <w:rPr>
                      <w:rFonts w:hint="default"/>
                      <w:color w:val="auto"/>
                      <w:lang w:val="en-US" w:eastAsia="zh-CN"/>
                    </w:rPr>
                  </w:pPr>
                  <w:r>
                    <w:rPr>
                      <w:rFonts w:hint="eastAsia"/>
                      <w:color w:val="auto"/>
                      <w:lang w:val="en-US" w:eastAsia="zh-CN"/>
                    </w:rPr>
                    <w:t>1</w:t>
                  </w:r>
                </w:p>
              </w:tc>
              <w:tc>
                <w:tcPr>
                  <w:tcW w:w="756" w:type="dxa"/>
                  <w:vAlign w:val="center"/>
                </w:tcPr>
                <w:p w14:paraId="43CF4030">
                  <w:pPr>
                    <w:pStyle w:val="19"/>
                    <w:bidi w:val="0"/>
                    <w:rPr>
                      <w:rFonts w:hint="default"/>
                      <w:color w:val="auto"/>
                      <w:lang w:val="en-US" w:eastAsia="zh-CN"/>
                    </w:rPr>
                  </w:pPr>
                  <w:r>
                    <w:rPr>
                      <w:rFonts w:hint="eastAsia"/>
                      <w:color w:val="auto"/>
                      <w:lang w:val="en-US" w:eastAsia="zh-CN"/>
                    </w:rPr>
                    <w:t>废活性炭</w:t>
                  </w:r>
                </w:p>
              </w:tc>
              <w:tc>
                <w:tcPr>
                  <w:tcW w:w="757" w:type="dxa"/>
                  <w:vAlign w:val="center"/>
                </w:tcPr>
                <w:p w14:paraId="021B8B6F">
                  <w:pPr>
                    <w:pStyle w:val="19"/>
                    <w:bidi w:val="0"/>
                    <w:rPr>
                      <w:rFonts w:hint="default"/>
                      <w:color w:val="auto"/>
                      <w:lang w:val="en-US" w:eastAsia="zh-CN"/>
                    </w:rPr>
                  </w:pPr>
                  <w:r>
                    <w:rPr>
                      <w:rFonts w:hint="eastAsia"/>
                      <w:color w:val="auto"/>
                      <w:lang w:val="en-US" w:eastAsia="zh-CN"/>
                    </w:rPr>
                    <w:t>HW49其他废物</w:t>
                  </w:r>
                </w:p>
              </w:tc>
              <w:tc>
                <w:tcPr>
                  <w:tcW w:w="757" w:type="dxa"/>
                  <w:vAlign w:val="center"/>
                </w:tcPr>
                <w:p w14:paraId="621217C8">
                  <w:pPr>
                    <w:pStyle w:val="19"/>
                    <w:bidi w:val="0"/>
                    <w:rPr>
                      <w:rFonts w:hint="default"/>
                      <w:color w:val="auto"/>
                      <w:lang w:val="en-US" w:eastAsia="zh-CN"/>
                    </w:rPr>
                  </w:pPr>
                  <w:r>
                    <w:rPr>
                      <w:rFonts w:hint="eastAsia"/>
                      <w:color w:val="auto"/>
                      <w:lang w:val="en-US" w:eastAsia="zh-CN"/>
                    </w:rPr>
                    <w:t>900-039-49</w:t>
                  </w:r>
                </w:p>
              </w:tc>
              <w:tc>
                <w:tcPr>
                  <w:tcW w:w="758" w:type="dxa"/>
                  <w:vAlign w:val="center"/>
                </w:tcPr>
                <w:p w14:paraId="530DC51C">
                  <w:pPr>
                    <w:pStyle w:val="19"/>
                    <w:bidi w:val="0"/>
                    <w:rPr>
                      <w:rFonts w:hint="default"/>
                      <w:color w:val="auto"/>
                      <w:lang w:val="en-US" w:eastAsia="zh-CN"/>
                    </w:rPr>
                  </w:pPr>
                  <w:r>
                    <w:rPr>
                      <w:rFonts w:hint="default"/>
                      <w:color w:val="auto"/>
                      <w:lang w:val="en-US" w:eastAsia="zh-CN"/>
                    </w:rPr>
                    <w:t>12.255</w:t>
                  </w:r>
                  <w:r>
                    <w:rPr>
                      <w:rFonts w:hint="eastAsia"/>
                      <w:color w:val="auto"/>
                      <w:lang w:val="en-US" w:eastAsia="zh-CN"/>
                    </w:rPr>
                    <w:t>t/a</w:t>
                  </w:r>
                </w:p>
              </w:tc>
              <w:tc>
                <w:tcPr>
                  <w:tcW w:w="758" w:type="dxa"/>
                  <w:vAlign w:val="center"/>
                </w:tcPr>
                <w:p w14:paraId="35510FAA">
                  <w:pPr>
                    <w:pStyle w:val="19"/>
                    <w:bidi w:val="0"/>
                    <w:rPr>
                      <w:rFonts w:hint="default"/>
                      <w:color w:val="auto"/>
                      <w:lang w:val="en-US" w:eastAsia="zh-CN"/>
                    </w:rPr>
                  </w:pPr>
                  <w:r>
                    <w:rPr>
                      <w:rFonts w:hint="default" w:eastAsia="宋体"/>
                      <w:color w:val="auto"/>
                      <w:lang w:val="en-US" w:eastAsia="zh-CN"/>
                    </w:rPr>
                    <w:t>复合</w:t>
                  </w:r>
                  <w:r>
                    <w:rPr>
                      <w:rFonts w:hint="eastAsia"/>
                      <w:color w:val="auto"/>
                      <w:lang w:val="en-US" w:eastAsia="zh-CN"/>
                    </w:rPr>
                    <w:t>制板</w:t>
                  </w:r>
                  <w:r>
                    <w:rPr>
                      <w:rFonts w:hint="default" w:eastAsia="宋体"/>
                      <w:color w:val="auto"/>
                      <w:lang w:val="en-US" w:eastAsia="zh-CN"/>
                    </w:rPr>
                    <w:t>及养护废气</w:t>
                  </w:r>
                </w:p>
              </w:tc>
              <w:tc>
                <w:tcPr>
                  <w:tcW w:w="758" w:type="dxa"/>
                  <w:vAlign w:val="center"/>
                </w:tcPr>
                <w:p w14:paraId="20DFA374">
                  <w:pPr>
                    <w:pStyle w:val="19"/>
                    <w:bidi w:val="0"/>
                    <w:rPr>
                      <w:rFonts w:hint="default"/>
                      <w:color w:val="auto"/>
                      <w:lang w:val="en-US" w:eastAsia="zh-CN"/>
                    </w:rPr>
                  </w:pPr>
                  <w:r>
                    <w:rPr>
                      <w:rFonts w:hint="eastAsia"/>
                      <w:color w:val="auto"/>
                      <w:lang w:val="en-US" w:eastAsia="zh-CN"/>
                    </w:rPr>
                    <w:t>固态</w:t>
                  </w:r>
                </w:p>
              </w:tc>
              <w:tc>
                <w:tcPr>
                  <w:tcW w:w="758" w:type="dxa"/>
                  <w:vAlign w:val="center"/>
                </w:tcPr>
                <w:p w14:paraId="6B77374F">
                  <w:pPr>
                    <w:pStyle w:val="19"/>
                    <w:bidi w:val="0"/>
                    <w:rPr>
                      <w:rFonts w:hint="default"/>
                      <w:color w:val="auto"/>
                      <w:lang w:val="en-US" w:eastAsia="zh-CN"/>
                    </w:rPr>
                  </w:pPr>
                  <w:r>
                    <w:rPr>
                      <w:rFonts w:hint="eastAsia"/>
                      <w:color w:val="auto"/>
                      <w:lang w:val="en-US" w:eastAsia="zh-CN"/>
                    </w:rPr>
                    <w:t>NMHC</w:t>
                  </w:r>
                </w:p>
              </w:tc>
              <w:tc>
                <w:tcPr>
                  <w:tcW w:w="758" w:type="dxa"/>
                  <w:vAlign w:val="center"/>
                </w:tcPr>
                <w:p w14:paraId="1926D6E3">
                  <w:pPr>
                    <w:pStyle w:val="19"/>
                    <w:bidi w:val="0"/>
                    <w:rPr>
                      <w:rFonts w:hint="default"/>
                      <w:color w:val="auto"/>
                      <w:lang w:val="en-US" w:eastAsia="zh-CN"/>
                    </w:rPr>
                  </w:pPr>
                  <w:r>
                    <w:rPr>
                      <w:rFonts w:hint="eastAsia"/>
                      <w:color w:val="auto"/>
                      <w:lang w:val="en-US" w:eastAsia="zh-CN"/>
                    </w:rPr>
                    <w:t>NMHC</w:t>
                  </w:r>
                </w:p>
              </w:tc>
              <w:tc>
                <w:tcPr>
                  <w:tcW w:w="758" w:type="dxa"/>
                  <w:vAlign w:val="center"/>
                </w:tcPr>
                <w:p w14:paraId="743DBDA7">
                  <w:pPr>
                    <w:pStyle w:val="19"/>
                    <w:bidi w:val="0"/>
                    <w:rPr>
                      <w:rFonts w:hint="default"/>
                      <w:color w:val="auto"/>
                      <w:lang w:val="en-US" w:eastAsia="zh-CN"/>
                    </w:rPr>
                  </w:pPr>
                  <w:r>
                    <w:rPr>
                      <w:rFonts w:hint="default"/>
                      <w:color w:val="auto"/>
                      <w:lang w:val="en-US" w:eastAsia="zh-CN"/>
                    </w:rPr>
                    <w:t>经危废间暂存，定期交由有资质单位处置</w:t>
                  </w:r>
                </w:p>
              </w:tc>
            </w:tr>
          </w:tbl>
          <w:p w14:paraId="06F20A3F">
            <w:pPr>
              <w:pStyle w:val="20"/>
              <w:bidi w:val="0"/>
              <w:rPr>
                <w:rFonts w:hint="default"/>
                <w:color w:val="auto"/>
                <w:lang w:val="en-US" w:eastAsia="zh-CN"/>
              </w:rPr>
            </w:pPr>
          </w:p>
          <w:p w14:paraId="17C1229B">
            <w:pPr>
              <w:pStyle w:val="5"/>
              <w:rPr>
                <w:rFonts w:hint="default"/>
                <w:color w:val="auto"/>
                <w:lang w:val="en-US" w:eastAsia="zh-CN"/>
              </w:rPr>
            </w:pPr>
            <w:r>
              <w:rPr>
                <w:rFonts w:hint="eastAsia"/>
                <w:color w:val="auto"/>
                <w:lang w:val="en-US" w:eastAsia="zh-CN"/>
              </w:rPr>
              <w:t>本</w:t>
            </w:r>
            <w:r>
              <w:rPr>
                <w:rFonts w:hint="default"/>
                <w:color w:val="auto"/>
                <w:lang w:val="en-US" w:eastAsia="zh-CN"/>
              </w:rPr>
              <w:t>项目实施后，厂区危废间暂存设施情况详见下表</w:t>
            </w:r>
          </w:p>
          <w:p w14:paraId="29057BF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37</w:t>
            </w:r>
            <w:r>
              <w:rPr>
                <w:color w:val="auto"/>
              </w:rPr>
              <w:fldChar w:fldCharType="end"/>
            </w:r>
            <w:r>
              <w:rPr>
                <w:rFonts w:hint="eastAsia"/>
                <w:color w:val="auto"/>
                <w:lang w:val="en-US" w:eastAsia="zh-CN"/>
              </w:rPr>
              <w:t xml:space="preserve">  危险废物贮存场所基本情况表</w:t>
            </w:r>
          </w:p>
          <w:tbl>
            <w:tblPr>
              <w:tblStyle w:val="16"/>
              <w:tblW w:w="7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1513"/>
              <w:gridCol w:w="1515"/>
              <w:gridCol w:w="1515"/>
              <w:gridCol w:w="1515"/>
            </w:tblGrid>
            <w:tr w14:paraId="25B9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3" w:type="dxa"/>
                  <w:vAlign w:val="center"/>
                </w:tcPr>
                <w:p w14:paraId="06ABA4B2">
                  <w:pPr>
                    <w:pStyle w:val="19"/>
                    <w:bidi w:val="0"/>
                    <w:jc w:val="center"/>
                    <w:rPr>
                      <w:rFonts w:hint="default"/>
                      <w:color w:val="auto"/>
                      <w:lang w:val="en-US" w:eastAsia="zh-CN"/>
                    </w:rPr>
                  </w:pPr>
                  <w:r>
                    <w:rPr>
                      <w:rFonts w:hint="eastAsia"/>
                      <w:color w:val="auto"/>
                      <w:lang w:val="en-US" w:eastAsia="zh-CN"/>
                    </w:rPr>
                    <w:t>贮存场所</w:t>
                  </w:r>
                </w:p>
              </w:tc>
              <w:tc>
                <w:tcPr>
                  <w:tcW w:w="1513" w:type="dxa"/>
                  <w:vAlign w:val="center"/>
                </w:tcPr>
                <w:p w14:paraId="19DE72F8">
                  <w:pPr>
                    <w:pStyle w:val="19"/>
                    <w:bidi w:val="0"/>
                    <w:jc w:val="center"/>
                    <w:rPr>
                      <w:rFonts w:hint="default"/>
                      <w:color w:val="auto"/>
                      <w:lang w:val="en-US" w:eastAsia="zh-CN"/>
                    </w:rPr>
                  </w:pPr>
                  <w:r>
                    <w:rPr>
                      <w:rFonts w:hint="eastAsia"/>
                      <w:color w:val="auto"/>
                      <w:lang w:val="en-US" w:eastAsia="zh-CN"/>
                    </w:rPr>
                    <w:t>名称</w:t>
                  </w:r>
                </w:p>
              </w:tc>
              <w:tc>
                <w:tcPr>
                  <w:tcW w:w="1515" w:type="dxa"/>
                  <w:vAlign w:val="center"/>
                </w:tcPr>
                <w:p w14:paraId="4CF0522F">
                  <w:pPr>
                    <w:pStyle w:val="19"/>
                    <w:bidi w:val="0"/>
                    <w:jc w:val="center"/>
                    <w:rPr>
                      <w:rFonts w:hint="default"/>
                      <w:color w:val="auto"/>
                      <w:lang w:val="en-US" w:eastAsia="zh-CN"/>
                    </w:rPr>
                  </w:pPr>
                  <w:r>
                    <w:rPr>
                      <w:rFonts w:hint="eastAsia"/>
                      <w:color w:val="auto"/>
                      <w:lang w:val="en-US" w:eastAsia="zh-CN"/>
                    </w:rPr>
                    <w:t>类别</w:t>
                  </w:r>
                </w:p>
              </w:tc>
              <w:tc>
                <w:tcPr>
                  <w:tcW w:w="1515" w:type="dxa"/>
                  <w:vAlign w:val="center"/>
                </w:tcPr>
                <w:p w14:paraId="636C1455">
                  <w:pPr>
                    <w:pStyle w:val="19"/>
                    <w:bidi w:val="0"/>
                    <w:jc w:val="center"/>
                    <w:rPr>
                      <w:rFonts w:hint="default"/>
                      <w:color w:val="auto"/>
                      <w:lang w:val="en-US" w:eastAsia="zh-CN"/>
                    </w:rPr>
                  </w:pPr>
                  <w:r>
                    <w:rPr>
                      <w:rFonts w:hint="eastAsia"/>
                      <w:color w:val="auto"/>
                      <w:lang w:val="en-US" w:eastAsia="zh-CN"/>
                    </w:rPr>
                    <w:t>代码</w:t>
                  </w:r>
                </w:p>
              </w:tc>
              <w:tc>
                <w:tcPr>
                  <w:tcW w:w="1515" w:type="dxa"/>
                  <w:vAlign w:val="center"/>
                </w:tcPr>
                <w:p w14:paraId="1B2E9292">
                  <w:pPr>
                    <w:pStyle w:val="19"/>
                    <w:bidi w:val="0"/>
                    <w:jc w:val="center"/>
                    <w:rPr>
                      <w:rFonts w:hint="default"/>
                      <w:color w:val="auto"/>
                      <w:lang w:val="en-US" w:eastAsia="zh-CN"/>
                    </w:rPr>
                  </w:pPr>
                  <w:r>
                    <w:rPr>
                      <w:rFonts w:hint="eastAsia"/>
                      <w:color w:val="auto"/>
                      <w:lang w:val="en-US" w:eastAsia="zh-CN"/>
                    </w:rPr>
                    <w:t>贮存场所占地面积</w:t>
                  </w:r>
                </w:p>
              </w:tc>
            </w:tr>
            <w:tr w14:paraId="6322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3" w:type="dxa"/>
                  <w:vAlign w:val="center"/>
                </w:tcPr>
                <w:p w14:paraId="26ADCAF0">
                  <w:pPr>
                    <w:pStyle w:val="19"/>
                    <w:bidi w:val="0"/>
                    <w:jc w:val="center"/>
                    <w:rPr>
                      <w:rFonts w:hint="default"/>
                      <w:color w:val="auto"/>
                      <w:lang w:val="en-US" w:eastAsia="zh-CN"/>
                    </w:rPr>
                  </w:pPr>
                  <w:r>
                    <w:rPr>
                      <w:rFonts w:hint="eastAsia"/>
                      <w:color w:val="auto"/>
                      <w:lang w:val="en-US" w:eastAsia="zh-CN"/>
                    </w:rPr>
                    <w:t>危废暂存库</w:t>
                  </w:r>
                </w:p>
              </w:tc>
              <w:tc>
                <w:tcPr>
                  <w:tcW w:w="1513" w:type="dxa"/>
                  <w:vAlign w:val="center"/>
                </w:tcPr>
                <w:p w14:paraId="481652DB">
                  <w:pPr>
                    <w:pStyle w:val="19"/>
                    <w:bidi w:val="0"/>
                    <w:jc w:val="center"/>
                    <w:rPr>
                      <w:rFonts w:hint="eastAsia"/>
                      <w:color w:val="auto"/>
                      <w:lang w:val="en-US" w:eastAsia="zh-CN"/>
                    </w:rPr>
                  </w:pPr>
                  <w:r>
                    <w:rPr>
                      <w:rFonts w:hint="eastAsia"/>
                      <w:color w:val="auto"/>
                      <w:lang w:val="en-US" w:eastAsia="zh-CN"/>
                    </w:rPr>
                    <w:t>废活性炭</w:t>
                  </w:r>
                </w:p>
              </w:tc>
              <w:tc>
                <w:tcPr>
                  <w:tcW w:w="1515" w:type="dxa"/>
                  <w:vAlign w:val="center"/>
                </w:tcPr>
                <w:p w14:paraId="06D31FB9">
                  <w:pPr>
                    <w:pStyle w:val="19"/>
                    <w:bidi w:val="0"/>
                    <w:jc w:val="center"/>
                    <w:rPr>
                      <w:rFonts w:hint="eastAsia"/>
                      <w:color w:val="auto"/>
                      <w:lang w:val="en-US" w:eastAsia="zh-CN"/>
                    </w:rPr>
                  </w:pPr>
                  <w:r>
                    <w:rPr>
                      <w:rFonts w:hint="eastAsia"/>
                      <w:color w:val="auto"/>
                      <w:lang w:val="en-US" w:eastAsia="zh-CN"/>
                    </w:rPr>
                    <w:t>HW49其他废物</w:t>
                  </w:r>
                </w:p>
              </w:tc>
              <w:tc>
                <w:tcPr>
                  <w:tcW w:w="1515" w:type="dxa"/>
                  <w:shd w:val="clear" w:color="auto" w:fill="auto"/>
                  <w:vAlign w:val="center"/>
                </w:tcPr>
                <w:p w14:paraId="69303ADD">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900-039-49</w:t>
                  </w:r>
                </w:p>
              </w:tc>
              <w:tc>
                <w:tcPr>
                  <w:tcW w:w="1515" w:type="dxa"/>
                  <w:vAlign w:val="center"/>
                </w:tcPr>
                <w:p w14:paraId="2D6557F9">
                  <w:pPr>
                    <w:pStyle w:val="19"/>
                    <w:bidi w:val="0"/>
                    <w:jc w:val="center"/>
                    <w:rPr>
                      <w:rFonts w:hint="default"/>
                      <w:color w:val="auto"/>
                      <w:lang w:val="en-US" w:eastAsia="zh-CN"/>
                    </w:rPr>
                  </w:pPr>
                  <w:r>
                    <w:rPr>
                      <w:rFonts w:hint="eastAsia"/>
                      <w:color w:val="auto"/>
                      <w:lang w:val="en-US" w:eastAsia="zh-CN"/>
                    </w:rPr>
                    <w:t>50m</w:t>
                  </w:r>
                  <w:r>
                    <w:rPr>
                      <w:rFonts w:hint="eastAsia"/>
                      <w:color w:val="auto"/>
                      <w:vertAlign w:val="superscript"/>
                      <w:lang w:val="en-US" w:eastAsia="zh-CN"/>
                    </w:rPr>
                    <w:t>2</w:t>
                  </w:r>
                </w:p>
              </w:tc>
            </w:tr>
          </w:tbl>
          <w:p w14:paraId="56F84EE3">
            <w:pPr>
              <w:pStyle w:val="20"/>
              <w:bidi w:val="0"/>
              <w:rPr>
                <w:rFonts w:hint="eastAsia"/>
                <w:color w:val="auto"/>
                <w:lang w:val="en-US" w:eastAsia="zh-CN"/>
              </w:rPr>
            </w:pPr>
          </w:p>
          <w:p w14:paraId="2B1A7ADD">
            <w:pPr>
              <w:pStyle w:val="4"/>
              <w:bidi w:val="0"/>
              <w:rPr>
                <w:rFonts w:hint="eastAsia"/>
                <w:color w:val="auto"/>
                <w:lang w:val="en-US" w:eastAsia="zh-CN"/>
              </w:rPr>
            </w:pPr>
            <w:r>
              <w:rPr>
                <w:rFonts w:hint="eastAsia"/>
                <w:color w:val="auto"/>
                <w:lang w:val="en-US" w:eastAsia="zh-CN"/>
              </w:rPr>
              <w:t>危险废物管理要求</w:t>
            </w:r>
          </w:p>
          <w:p w14:paraId="26D21337">
            <w:pPr>
              <w:pStyle w:val="5"/>
              <w:ind w:firstLine="480"/>
              <w:rPr>
                <w:color w:val="auto"/>
              </w:rPr>
            </w:pPr>
            <w:r>
              <w:rPr>
                <w:rFonts w:hint="eastAsia"/>
                <w:color w:val="auto"/>
                <w:lang w:val="en-US" w:eastAsia="zh-CN"/>
              </w:rPr>
              <w:t>本项目涉及危废的</w:t>
            </w:r>
            <w:r>
              <w:rPr>
                <w:rFonts w:hint="eastAsia"/>
                <w:color w:val="auto"/>
              </w:rPr>
              <w:t>，在收集环节需使用符合《危险废物贮存污染控制标准》（GB18597-2023）和</w:t>
            </w:r>
            <w:r>
              <w:rPr>
                <w:color w:val="auto"/>
              </w:rPr>
              <w:t>《危险废物收集贮存运输技术规范》（HJ 2025-2012）</w:t>
            </w:r>
            <w:r>
              <w:rPr>
                <w:rFonts w:hint="eastAsia"/>
                <w:color w:val="auto"/>
              </w:rPr>
              <w:t>要求的专用容器，容器材质应与废物性质相适应，且需张贴由生态环境部规定的危险废物识别标志，标志内容清晰标明废物类别、危害特性及产生单位等信息。暂存场所需设置在防渗性能良好的区域，地面采用至少20cm厚的混凝土防渗层，渗透系数应小于</w:t>
            </w:r>
            <w:r>
              <w:rPr>
                <w:rFonts w:hint="eastAsia"/>
                <w:color w:val="auto"/>
                <w:lang w:val="en-US" w:eastAsia="zh-CN"/>
              </w:rPr>
              <w:t>10</w:t>
            </w:r>
            <w:r>
              <w:rPr>
                <w:rFonts w:hint="eastAsia"/>
                <w:color w:val="auto"/>
                <w:vertAlign w:val="superscript"/>
                <w:lang w:val="en-US" w:eastAsia="zh-CN"/>
              </w:rPr>
              <w:t>-7</w:t>
            </w:r>
            <w:r>
              <w:rPr>
                <w:rFonts w:hint="eastAsia"/>
                <w:color w:val="auto"/>
              </w:rPr>
              <w:t>cm/s，同时配备泄漏液体收集系统和气体导排装置，防止废物泄漏对土壤和大气造成污染。运输过程中要采取有效的密封措施，防止废物遗撒和挥发。</w:t>
            </w:r>
          </w:p>
          <w:p w14:paraId="6437FD05">
            <w:pPr>
              <w:pStyle w:val="5"/>
              <w:ind w:firstLine="480"/>
              <w:rPr>
                <w:color w:val="auto"/>
              </w:rPr>
            </w:pPr>
            <w:r>
              <w:rPr>
                <w:rFonts w:hint="eastAsia"/>
                <w:color w:val="auto"/>
              </w:rPr>
              <w:t>此外，还需建立完善的危险废物管理台账，详细记录废物的产生量、收集量、暂存量、运输量及处置去向等信息，台账保存期限不少于5年，并定期向所在地生态环境部门报送危险废物管理计划和转移联单等资料，接受环保部门的监督检查。</w:t>
            </w:r>
          </w:p>
          <w:p w14:paraId="52F29310">
            <w:pPr>
              <w:pStyle w:val="5"/>
              <w:ind w:firstLine="480"/>
              <w:rPr>
                <w:color w:val="auto"/>
              </w:rPr>
            </w:pPr>
            <w:r>
              <w:rPr>
                <w:rFonts w:hint="eastAsia"/>
                <w:color w:val="auto"/>
              </w:rPr>
              <w:t>②危险废物管理和暂存要求</w:t>
            </w:r>
          </w:p>
          <w:p w14:paraId="3F00BC62">
            <w:pPr>
              <w:pStyle w:val="5"/>
              <w:ind w:firstLine="480"/>
              <w:rPr>
                <w:color w:val="auto"/>
              </w:rPr>
            </w:pPr>
            <w:r>
              <w:rPr>
                <w:color w:val="auto"/>
              </w:rPr>
              <w:t>危险废物收集储存过程需按下列要求进行管理</w:t>
            </w:r>
            <w:r>
              <w:rPr>
                <w:rFonts w:hint="eastAsia"/>
                <w:color w:val="auto"/>
              </w:rPr>
              <w:t>：</w:t>
            </w:r>
          </w:p>
          <w:p w14:paraId="1A47C0D7">
            <w:pPr>
              <w:pStyle w:val="5"/>
              <w:numPr>
                <w:ilvl w:val="0"/>
                <w:numId w:val="11"/>
              </w:numPr>
              <w:ind w:firstLine="480"/>
              <w:rPr>
                <w:color w:val="auto"/>
              </w:rPr>
            </w:pPr>
            <w:r>
              <w:rPr>
                <w:rFonts w:hint="eastAsia"/>
                <w:color w:val="auto"/>
              </w:rPr>
              <w:t>危险废物的收集包装</w:t>
            </w:r>
          </w:p>
          <w:p w14:paraId="4DBDA549">
            <w:pPr>
              <w:pStyle w:val="5"/>
              <w:ind w:firstLine="480"/>
              <w:rPr>
                <w:color w:val="auto"/>
              </w:rPr>
            </w:pPr>
            <w:r>
              <w:rPr>
                <w:rFonts w:hint="eastAsia"/>
                <w:color w:val="auto"/>
              </w:rPr>
              <w:t>a.有符合要求的包装容器，收集人员的个人防护设备；</w:t>
            </w:r>
          </w:p>
          <w:p w14:paraId="7F7ACFA9">
            <w:pPr>
              <w:pStyle w:val="5"/>
              <w:ind w:firstLine="480"/>
              <w:rPr>
                <w:color w:val="auto"/>
              </w:rPr>
            </w:pPr>
            <w:r>
              <w:rPr>
                <w:rFonts w:hint="eastAsia"/>
                <w:color w:val="auto"/>
              </w:rPr>
              <w:t>b.危险废物的收集容器应在醒目位置贴有危险废物标签，在收集场所醒目的地方设置危险废物警告标识；</w:t>
            </w:r>
          </w:p>
          <w:p w14:paraId="257D870C">
            <w:pPr>
              <w:pStyle w:val="5"/>
              <w:ind w:firstLine="480"/>
              <w:rPr>
                <w:color w:val="auto"/>
              </w:rPr>
            </w:pPr>
            <w:r>
              <w:rPr>
                <w:rFonts w:hint="eastAsia"/>
                <w:color w:val="auto"/>
              </w:rPr>
              <w:t>c.危险废物标签应标明以下信息：主要化学成分或危险废物名称、数量、物理形态、危险类别、安全措施以及危险废物产生单位名称、地址、联系人及电话；</w:t>
            </w:r>
          </w:p>
          <w:p w14:paraId="5BB2AC8D">
            <w:pPr>
              <w:pStyle w:val="5"/>
              <w:ind w:firstLine="480"/>
              <w:rPr>
                <w:color w:val="auto"/>
              </w:rPr>
            </w:pPr>
            <w:r>
              <w:rPr>
                <w:rFonts w:hint="eastAsia"/>
                <w:color w:val="auto"/>
              </w:rPr>
              <w:t>d.不得与不相容的废物混合或合并存放，也不得将非危险废物混入危险废物中贮存。</w:t>
            </w:r>
          </w:p>
          <w:p w14:paraId="70928B37">
            <w:pPr>
              <w:pStyle w:val="5"/>
              <w:numPr>
                <w:ilvl w:val="0"/>
                <w:numId w:val="11"/>
              </w:numPr>
              <w:ind w:firstLine="480"/>
              <w:rPr>
                <w:color w:val="auto"/>
              </w:rPr>
            </w:pPr>
            <w:r>
              <w:rPr>
                <w:color w:val="auto"/>
              </w:rPr>
              <w:t>危险废物的暂存要求</w:t>
            </w:r>
          </w:p>
          <w:p w14:paraId="40F3AFB2">
            <w:pPr>
              <w:pStyle w:val="5"/>
              <w:ind w:firstLine="480"/>
              <w:rPr>
                <w:color w:val="auto"/>
              </w:rPr>
            </w:pPr>
            <w:r>
              <w:rPr>
                <w:color w:val="auto"/>
              </w:rPr>
              <w:t>危废暂存地面、裙角均进行防渗处理，</w:t>
            </w:r>
            <w:r>
              <w:rPr>
                <w:rFonts w:hint="eastAsia"/>
                <w:color w:val="auto"/>
                <w:lang w:eastAsia="zh-CN"/>
              </w:rPr>
              <w:t>危废暂存库</w:t>
            </w:r>
            <w:r>
              <w:rPr>
                <w:color w:val="auto"/>
              </w:rPr>
              <w:t>危险废物识别标识设置规范，配备了消防设施，内部设立台账、秤等设施用于记录危险废物进出种类、数量、时间、责任人等信息，同时张贴危险废物管理制度。暂存间的建设满足各种危险废物分类分区存放要求，其要求均符合《危险废物贮存污染控制标准》</w:t>
            </w:r>
            <w:r>
              <w:rPr>
                <w:rFonts w:hint="eastAsia"/>
                <w:color w:val="auto"/>
              </w:rPr>
              <w:t>（</w:t>
            </w:r>
            <w:r>
              <w:rPr>
                <w:color w:val="auto"/>
              </w:rPr>
              <w:t>GB18597-2023</w:t>
            </w:r>
            <w:r>
              <w:rPr>
                <w:rFonts w:hint="eastAsia"/>
                <w:color w:val="auto"/>
              </w:rPr>
              <w:t>）</w:t>
            </w:r>
            <w:r>
              <w:rPr>
                <w:color w:val="auto"/>
              </w:rPr>
              <w:t>标准要求。</w:t>
            </w:r>
          </w:p>
          <w:p w14:paraId="5FA81D19">
            <w:pPr>
              <w:pStyle w:val="5"/>
              <w:numPr>
                <w:ilvl w:val="0"/>
                <w:numId w:val="11"/>
              </w:numPr>
              <w:ind w:firstLine="480"/>
              <w:rPr>
                <w:color w:val="auto"/>
              </w:rPr>
            </w:pPr>
            <w:r>
              <w:rPr>
                <w:rFonts w:hint="eastAsia"/>
                <w:color w:val="auto"/>
              </w:rPr>
              <w:t>危险废物的转移</w:t>
            </w:r>
          </w:p>
          <w:p w14:paraId="4F713554">
            <w:pPr>
              <w:pStyle w:val="5"/>
              <w:ind w:firstLine="480"/>
              <w:rPr>
                <w:color w:val="auto"/>
              </w:rPr>
            </w:pPr>
            <w:r>
              <w:rPr>
                <w:color w:val="auto"/>
              </w:rPr>
              <w:t>危险废物的转移严格按照《危险废物转移管理办法</w:t>
            </w:r>
            <w:r>
              <w:rPr>
                <w:rFonts w:hint="eastAsia"/>
                <w:color w:val="auto"/>
              </w:rPr>
              <w:t>》</w:t>
            </w:r>
            <w:r>
              <w:rPr>
                <w:color w:val="auto"/>
              </w:rPr>
              <w:t>的规定执行，保证运输安全，防止非法转移和非法处理，保证危险废物的安全监控，防止危险废物污染事故发生。</w:t>
            </w:r>
          </w:p>
          <w:p w14:paraId="4517AAE9">
            <w:pPr>
              <w:pStyle w:val="5"/>
              <w:numPr>
                <w:ilvl w:val="0"/>
                <w:numId w:val="11"/>
              </w:numPr>
              <w:ind w:firstLine="480"/>
              <w:rPr>
                <w:color w:val="auto"/>
              </w:rPr>
            </w:pPr>
            <w:r>
              <w:rPr>
                <w:rFonts w:hint="eastAsia"/>
                <w:color w:val="auto"/>
              </w:rPr>
              <w:t>厂内危险废物管理要求</w:t>
            </w:r>
          </w:p>
          <w:p w14:paraId="38048CDA">
            <w:pPr>
              <w:pStyle w:val="5"/>
              <w:ind w:firstLine="480"/>
              <w:rPr>
                <w:color w:val="auto"/>
              </w:rPr>
            </w:pPr>
            <w:r>
              <w:rPr>
                <w:color w:val="auto"/>
              </w:rPr>
              <w:t>a管理部门要有专人负责厂内危险废物的收集、存放、运输和对外相关部门联络等工作并对危险废物管理工作进行每日定期监督检查一次</w:t>
            </w:r>
          </w:p>
          <w:p w14:paraId="219C69BA">
            <w:pPr>
              <w:pStyle w:val="5"/>
              <w:ind w:firstLine="480"/>
              <w:rPr>
                <w:color w:val="auto"/>
              </w:rPr>
            </w:pPr>
            <w:r>
              <w:rPr>
                <w:color w:val="auto"/>
              </w:rPr>
              <w:t>b建立危险废物管理资料档案，包括台账、联单，管理制度</w:t>
            </w:r>
            <w:r>
              <w:rPr>
                <w:rFonts w:hint="eastAsia"/>
                <w:color w:val="auto"/>
              </w:rPr>
              <w:t>等</w:t>
            </w:r>
            <w:r>
              <w:rPr>
                <w:color w:val="auto"/>
              </w:rPr>
              <w:t>，记录危险废物的名称、来源、数量、特性和包装容器的类别、入库日期、存放库位、废物出库日期及接收单位名称，保存10年。</w:t>
            </w:r>
          </w:p>
          <w:p w14:paraId="0890D8F1">
            <w:pPr>
              <w:pStyle w:val="5"/>
              <w:ind w:firstLine="480"/>
              <w:rPr>
                <w:color w:val="auto"/>
              </w:rPr>
            </w:pPr>
            <w:r>
              <w:rPr>
                <w:color w:val="auto"/>
              </w:rPr>
              <w:t>c收集危险废物的工作人员将危险废物按内部指定路线运送到危废暂存柜，并对运输工具污染物进行清理。</w:t>
            </w:r>
          </w:p>
          <w:p w14:paraId="6E0BE4F0">
            <w:pPr>
              <w:pStyle w:val="4"/>
              <w:bidi w:val="0"/>
              <w:rPr>
                <w:rFonts w:hint="default"/>
                <w:color w:val="auto"/>
                <w:lang w:val="en-US" w:eastAsia="zh-CN"/>
              </w:rPr>
            </w:pPr>
            <w:r>
              <w:rPr>
                <w:rFonts w:hint="eastAsia"/>
                <w:color w:val="auto"/>
                <w:lang w:val="en-US" w:eastAsia="zh-CN"/>
              </w:rPr>
              <w:t>一般</w:t>
            </w:r>
            <w:r>
              <w:rPr>
                <w:rFonts w:hint="default"/>
                <w:color w:val="auto"/>
                <w:lang w:val="en-US" w:eastAsia="zh-CN"/>
              </w:rPr>
              <w:t>固体废物管理要求</w:t>
            </w:r>
            <w:r>
              <w:rPr>
                <w:rFonts w:hint="eastAsia"/>
                <w:color w:val="auto"/>
                <w:lang w:val="en-US" w:eastAsia="zh-CN"/>
              </w:rPr>
              <w:tab/>
            </w:r>
          </w:p>
          <w:p w14:paraId="6A5735D2">
            <w:pPr>
              <w:pStyle w:val="5"/>
              <w:bidi w:val="0"/>
              <w:rPr>
                <w:rFonts w:hint="default"/>
                <w:color w:val="auto"/>
                <w:lang w:val="en-US" w:eastAsia="zh-CN"/>
              </w:rPr>
            </w:pPr>
            <w:r>
              <w:rPr>
                <w:rFonts w:hint="default"/>
                <w:color w:val="auto"/>
                <w:lang w:val="en-US" w:eastAsia="zh-CN"/>
              </w:rPr>
              <w:t>本项目一般工业固废应按照相关要求分类收集贮存，暂存场所应满足《</w:t>
            </w:r>
            <w:r>
              <w:rPr>
                <w:rFonts w:hint="eastAsia"/>
                <w:color w:val="auto"/>
                <w:lang w:val="en-US" w:eastAsia="zh-CN"/>
              </w:rPr>
              <w:t>一般工业固体废物贮存和填埋污染控制标准</w:t>
            </w:r>
            <w:r>
              <w:rPr>
                <w:rFonts w:hint="default"/>
                <w:color w:val="auto"/>
                <w:lang w:val="en-US" w:eastAsia="zh-CN"/>
              </w:rPr>
              <w:t>》（GB18599-2020）、《一般工业固体废物环境管理工作指南》</w:t>
            </w:r>
            <w:r>
              <w:rPr>
                <w:rFonts w:hint="eastAsia"/>
                <w:color w:val="auto"/>
                <w:lang w:val="en-US" w:eastAsia="zh-CN"/>
              </w:rPr>
              <w:t>（环办固体函〔2026〕18号）、</w:t>
            </w:r>
            <w:r>
              <w:rPr>
                <w:rFonts w:hint="default"/>
                <w:color w:val="auto"/>
                <w:lang w:val="en-US" w:eastAsia="zh-CN"/>
              </w:rPr>
              <w:t>《</w:t>
            </w:r>
            <w:r>
              <w:rPr>
                <w:rFonts w:hint="eastAsia"/>
                <w:color w:val="auto"/>
                <w:lang w:val="en-US" w:eastAsia="zh-CN"/>
              </w:rPr>
              <w:t>环境保护图形标志 固体废物贮存（处置）场</w:t>
            </w:r>
            <w:r>
              <w:rPr>
                <w:rFonts w:hint="default"/>
                <w:color w:val="auto"/>
                <w:lang w:val="en-US" w:eastAsia="zh-CN"/>
              </w:rPr>
              <w:t>》（GB15562.2-1995）及修改单等规定要求。</w:t>
            </w:r>
          </w:p>
          <w:p w14:paraId="66EB98B7">
            <w:pPr>
              <w:pStyle w:val="5"/>
              <w:bidi w:val="0"/>
              <w:rPr>
                <w:color w:val="auto"/>
              </w:rPr>
            </w:pPr>
            <w:r>
              <w:rPr>
                <w:color w:val="auto"/>
              </w:rPr>
              <w:t>①不相容的一般工业固体废物应设置不同的分区进行贮存和消纳作业，分区边界应设置清晰可辨识的隔离标识，明确分区内固体废物的种类、特性及来源信息，不同分区之间应设置满足防渗漏、防扩散要求的间隔屏障，防止不同特性固体废物相互反应产生污染。</w:t>
            </w:r>
          </w:p>
          <w:p w14:paraId="48C997A8">
            <w:pPr>
              <w:pStyle w:val="5"/>
              <w:bidi w:val="0"/>
              <w:rPr>
                <w:color w:val="auto"/>
              </w:rPr>
            </w:pPr>
            <w:r>
              <w:rPr>
                <w:color w:val="auto"/>
              </w:rPr>
              <w:t>②危险废物和生活垃圾不得进入一般工业固体废物贮存场，贮存场入场环节应设置固废分类核验制度，对每一批入场固体废物的种类、属性进行核查登记，发现违规混入的危险废物、生活垃圾应当立即清运至对应合规处置设施，并将违规情况记录存档，同时上报属地生态环境主管部门。</w:t>
            </w:r>
          </w:p>
          <w:p w14:paraId="4C0F8880">
            <w:pPr>
              <w:pStyle w:val="5"/>
              <w:bidi w:val="0"/>
              <w:rPr>
                <w:color w:val="auto"/>
              </w:rPr>
            </w:pPr>
            <w:r>
              <w:rPr>
                <w:color w:val="auto"/>
              </w:rPr>
              <w:t>③贮存场的环境保护图形标志应符合《环境保护图形标志 固体废物贮存（处置）场》（GB15562.2-1995）及修改单的规定，标志应设置在贮存场出入口醒目位置，标志样式、尺寸、设置方式应符合标准要求，并应定期检查和维护，出现褪色、破损、变形等情况时应及时更换。</w:t>
            </w:r>
          </w:p>
          <w:p w14:paraId="618A14C6">
            <w:pPr>
              <w:pStyle w:val="5"/>
              <w:bidi w:val="0"/>
              <w:rPr>
                <w:color w:val="auto"/>
              </w:rPr>
            </w:pPr>
            <w:r>
              <w:rPr>
                <w:color w:val="auto"/>
              </w:rPr>
              <w:t>④易产生扬尘的贮存或消纳场应采取分区作业、覆盖、洒水等有效抑尘措施防止扬尘污染，贮存场边界应按照要求设置防风抑尘设施，作业过程中应落实分段开挖、分段作业要求，对暂不作业的堆体应采用抑尘网或者土工膜全覆盖，大风天气应当停止易扬尘作业并强化抑尘措施。</w:t>
            </w:r>
          </w:p>
          <w:p w14:paraId="0185EB90">
            <w:pPr>
              <w:pStyle w:val="5"/>
              <w:bidi w:val="0"/>
              <w:rPr>
                <w:color w:val="auto"/>
              </w:rPr>
            </w:pPr>
            <w:r>
              <w:rPr>
                <w:color w:val="auto"/>
              </w:rPr>
              <w:t>⑤贮存场投入运行之前，企业应制定突发环境事件应急预案或在突发事件应急预案中制定环境应急预案专章，按照《一般工业固体废物环境管理工作指南》（环办固体函〔2026〕18号）要求，说明渗漏、滑坡、扩散等各种可能发生的突发环境事件情景及对应应急处置措施，按规定完成环境应急预案备案，并定期组织开展应急演练。</w:t>
            </w:r>
          </w:p>
          <w:p w14:paraId="148FAF7B">
            <w:pPr>
              <w:pStyle w:val="5"/>
              <w:bidi w:val="0"/>
              <w:rPr>
                <w:color w:val="auto"/>
              </w:rPr>
            </w:pPr>
            <w:r>
              <w:rPr>
                <w:color w:val="auto"/>
              </w:rPr>
              <w:t>⑥贮存场应按照《一般工业固体废物贮存和填埋污染控制标准》（GB18599-2020）要求制定运行计划，明确入场核验、分区贮存、渗滤液导排处理、环境监测等各环节运行管理要求，运行管理人员应定期参加企业的岗位培训及生态环境部门组织的固废环境管理培训，考核合格后方可上岗。</w:t>
            </w:r>
          </w:p>
          <w:p w14:paraId="40B82F23">
            <w:pPr>
              <w:pStyle w:val="5"/>
              <w:bidi w:val="0"/>
              <w:rPr>
                <w:color w:val="auto"/>
              </w:rPr>
            </w:pPr>
            <w:r>
              <w:rPr>
                <w:color w:val="auto"/>
              </w:rPr>
              <w:t>⑦贮存场运行企业应建立档案管理制度，档案内容应当涵盖入场固体废物登记、环境监测、设施维护、应急预案演练等全运行周期信息，按照国家档案管理等法律法规以及《一般工业固体废物环境管理工作指南》（环办固体函〔2026〕18号）要求进行整理与归档，永久保存。</w:t>
            </w:r>
          </w:p>
          <w:p w14:paraId="56984BED">
            <w:pPr>
              <w:pStyle w:val="4"/>
              <w:bidi w:val="0"/>
              <w:rPr>
                <w:rFonts w:hint="default"/>
                <w:color w:val="auto"/>
                <w:lang w:val="en-US" w:eastAsia="zh-CN"/>
              </w:rPr>
            </w:pPr>
            <w:r>
              <w:rPr>
                <w:rFonts w:hint="eastAsia"/>
                <w:color w:val="auto"/>
                <w:lang w:val="en-US" w:eastAsia="zh-CN"/>
              </w:rPr>
              <w:t>固废监测计划</w:t>
            </w:r>
          </w:p>
          <w:p w14:paraId="5DD8B77B">
            <w:pPr>
              <w:pStyle w:val="5"/>
              <w:ind w:firstLine="480"/>
              <w:rPr>
                <w:rFonts w:hint="eastAsia"/>
                <w:color w:val="auto"/>
                <w:lang w:eastAsia="zh-CN"/>
              </w:rPr>
            </w:pPr>
            <w:r>
              <w:rPr>
                <w:color w:val="auto"/>
              </w:rPr>
              <w:t>本项目固废</w:t>
            </w:r>
            <w:r>
              <w:rPr>
                <w:rFonts w:hint="eastAsia"/>
                <w:color w:val="auto"/>
                <w:lang w:val="en-US" w:eastAsia="zh-CN"/>
              </w:rPr>
              <w:t>管理</w:t>
            </w:r>
            <w:r>
              <w:rPr>
                <w:color w:val="auto"/>
              </w:rPr>
              <w:t>计划按照《危险废物管理计划和管理台账制定技术导则》（HJ 1259-2022）、《危险废物贮存污染控制标准》（GB 18597-2023）和《一般工业固体废物贮存和填埋污染控制标准》（GB 18599-2020）等规范制定</w:t>
            </w:r>
            <w:r>
              <w:rPr>
                <w:rFonts w:hint="eastAsia"/>
                <w:color w:val="auto"/>
              </w:rPr>
              <w:t>，</w:t>
            </w:r>
            <w:r>
              <w:rPr>
                <w:color w:val="auto"/>
              </w:rPr>
              <w:t>确保固废（包括一般工业固废和危险废物）的全过程监控。监测覆盖生成、储存、转运、利用、处置等环节，由专人负责，结合电子系统和纸质档案，确保数据准确性和可追溯性。监测结果上报地方生态环境部门，异常触发应急响应</w:t>
            </w:r>
            <w:r>
              <w:rPr>
                <w:rFonts w:hint="eastAsia"/>
                <w:color w:val="auto"/>
                <w:lang w:eastAsia="zh-CN"/>
              </w:rPr>
              <w:t>。</w:t>
            </w:r>
          </w:p>
          <w:p w14:paraId="6A6E1464">
            <w:pPr>
              <w:pStyle w:val="3"/>
              <w:bidi w:val="0"/>
              <w:rPr>
                <w:rFonts w:hint="default"/>
                <w:color w:val="auto"/>
                <w:lang w:val="en-US" w:eastAsia="zh-CN"/>
              </w:rPr>
            </w:pPr>
            <w:r>
              <w:rPr>
                <w:rFonts w:hint="eastAsia"/>
                <w:color w:val="auto"/>
                <w:lang w:val="en-US" w:eastAsia="zh-CN"/>
              </w:rPr>
              <w:t>运营期地下水、土壤环境影响分析</w:t>
            </w:r>
          </w:p>
          <w:p w14:paraId="565604F7">
            <w:pPr>
              <w:pStyle w:val="4"/>
              <w:bidi w:val="0"/>
              <w:rPr>
                <w:color w:val="auto"/>
              </w:rPr>
            </w:pPr>
            <w:r>
              <w:rPr>
                <w:rFonts w:hint="eastAsia"/>
                <w:color w:val="auto"/>
              </w:rPr>
              <w:t>污染途径分析</w:t>
            </w:r>
          </w:p>
          <w:p w14:paraId="3D09576A">
            <w:pPr>
              <w:pStyle w:val="5"/>
              <w:ind w:firstLine="480"/>
              <w:rPr>
                <w:color w:val="auto"/>
              </w:rPr>
            </w:pPr>
            <w:r>
              <w:rPr>
                <w:color w:val="auto"/>
              </w:rPr>
              <w:t>运营期地下水和土壤环境影响主要来源于潜在的污染物渗漏，尤其是危险废物的不当贮存、转运或处置不当，可能导致有机污染物</w:t>
            </w:r>
            <w:r>
              <w:rPr>
                <w:rFonts w:hint="eastAsia"/>
                <w:color w:val="auto"/>
              </w:rPr>
              <w:t>等其他</w:t>
            </w:r>
            <w:r>
              <w:rPr>
                <w:color w:val="auto"/>
              </w:rPr>
              <w:t>物质渗入土壤和地下水，造成长期累积污染。</w:t>
            </w:r>
          </w:p>
          <w:p w14:paraId="6E13D5A3">
            <w:pPr>
              <w:pStyle w:val="5"/>
              <w:ind w:firstLine="480"/>
              <w:rPr>
                <w:rFonts w:hint="eastAsia"/>
                <w:color w:val="auto"/>
                <w:lang w:eastAsia="zh-CN"/>
              </w:rPr>
            </w:pPr>
            <w:r>
              <w:rPr>
                <w:rFonts w:hint="eastAsia"/>
                <w:color w:val="auto"/>
                <w:lang w:eastAsia="zh-CN"/>
              </w:rPr>
              <w:t>此外，生产车间地面若未采取有效的防渗措施，在原辅材料泄漏、设备冲洗废水排放等情况下，废水中含有的有机物、重金属等污染物可能通过渗透作用进入土壤，进而污染地下水。同时，一般固废贮存间若防渗措施不到位，其渗滤液也可能对周边土壤和地下水环境产生不利影响。</w:t>
            </w:r>
          </w:p>
          <w:p w14:paraId="300ADED8">
            <w:pPr>
              <w:pStyle w:val="4"/>
              <w:bidi w:val="0"/>
              <w:rPr>
                <w:rFonts w:hint="eastAsia"/>
                <w:color w:val="auto"/>
                <w:lang w:eastAsia="zh-CN"/>
              </w:rPr>
            </w:pPr>
            <w:r>
              <w:rPr>
                <w:rFonts w:hint="eastAsia"/>
                <w:color w:val="auto"/>
                <w:lang w:eastAsia="zh-CN"/>
              </w:rPr>
              <w:t>防治措施</w:t>
            </w:r>
          </w:p>
          <w:p w14:paraId="63F7ECFD">
            <w:pPr>
              <w:pStyle w:val="5"/>
              <w:ind w:firstLine="480"/>
              <w:rPr>
                <w:rFonts w:hint="eastAsia"/>
                <w:color w:val="auto"/>
                <w:lang w:eastAsia="zh-CN"/>
              </w:rPr>
            </w:pPr>
            <w:r>
              <w:rPr>
                <w:rFonts w:hint="eastAsia"/>
                <w:color w:val="auto"/>
                <w:lang w:eastAsia="zh-CN"/>
              </w:rPr>
              <w:t>为有效控制运营期对地下水和土壤环境的影响，本项目将采取源头控制、过程阻断和末端监控相结合的综合防治措施。</w:t>
            </w:r>
          </w:p>
          <w:p w14:paraId="3B9F9508">
            <w:pPr>
              <w:pStyle w:val="5"/>
              <w:ind w:firstLine="480"/>
              <w:rPr>
                <w:rFonts w:hint="eastAsia"/>
                <w:color w:val="auto"/>
                <w:lang w:eastAsia="zh-CN"/>
              </w:rPr>
            </w:pPr>
            <w:r>
              <w:rPr>
                <w:rFonts w:hint="eastAsia"/>
                <w:color w:val="auto"/>
              </w:rPr>
              <w:t>加强操作管理，确保处理设备正常稳定运行，采取分区防渗，</w:t>
            </w:r>
            <w:r>
              <w:rPr>
                <w:rFonts w:hint="eastAsia"/>
                <w:color w:val="auto"/>
                <w:lang w:eastAsia="zh-CN"/>
              </w:rPr>
              <w:t>自动化筒仓</w:t>
            </w:r>
            <w:r>
              <w:rPr>
                <w:rFonts w:hint="eastAsia"/>
                <w:color w:val="auto"/>
              </w:rPr>
              <w:t>、</w:t>
            </w:r>
            <w:r>
              <w:rPr>
                <w:rFonts w:hint="eastAsia"/>
                <w:color w:val="auto"/>
                <w:lang w:eastAsia="zh-CN"/>
              </w:rPr>
              <w:t>危废暂存库</w:t>
            </w:r>
            <w:r>
              <w:rPr>
                <w:rFonts w:hint="eastAsia"/>
                <w:color w:val="auto"/>
              </w:rPr>
              <w:t>为重点防渗区，等效粘土防渗层Mb≥6m，K≤1×10-</w:t>
            </w:r>
            <w:r>
              <w:rPr>
                <w:rFonts w:hint="eastAsia"/>
                <w:color w:val="auto"/>
                <w:vertAlign w:val="superscript"/>
              </w:rPr>
              <w:t>7</w:t>
            </w:r>
            <w:r>
              <w:rPr>
                <w:rFonts w:hint="eastAsia"/>
                <w:color w:val="auto"/>
              </w:rPr>
              <w:t>cm/s；生产区域、一般固废间为一般防渗区，等效黏土防渗层Mb≥1.5m，K≤1×10</w:t>
            </w:r>
            <w:r>
              <w:rPr>
                <w:rFonts w:hint="eastAsia"/>
                <w:color w:val="auto"/>
                <w:vertAlign w:val="superscript"/>
              </w:rPr>
              <w:t>-7</w:t>
            </w:r>
            <w:r>
              <w:rPr>
                <w:rFonts w:hint="eastAsia"/>
                <w:color w:val="auto"/>
              </w:rPr>
              <w:t>cm/s；车间其他区域为简单防渗区，进行一般地面硬化</w:t>
            </w:r>
          </w:p>
          <w:p w14:paraId="53EFD36D">
            <w:pPr>
              <w:pStyle w:val="5"/>
              <w:ind w:firstLine="480"/>
              <w:jc w:val="both"/>
              <w:rPr>
                <w:rFonts w:hint="eastAsia"/>
                <w:color w:val="auto"/>
                <w:lang w:eastAsia="zh-CN"/>
              </w:rPr>
            </w:pPr>
            <w:r>
              <w:rPr>
                <w:rFonts w:hint="eastAsia"/>
                <w:color w:val="auto"/>
                <w:lang w:eastAsia="zh-CN"/>
              </w:rPr>
              <w:t>源头控制方面，严格管理危险废物和一般固废的贮存与转运。危废暂存库地面采用至少20cm厚的混凝土防渗层，渗透系数小于10</w:t>
            </w:r>
            <w:r>
              <w:rPr>
                <w:rFonts w:hint="eastAsia"/>
                <w:color w:val="auto"/>
                <w:vertAlign w:val="superscript"/>
                <w:lang w:val="en-US" w:eastAsia="zh-CN"/>
              </w:rPr>
              <w:t>-7</w:t>
            </w:r>
            <w:r>
              <w:rPr>
                <w:rFonts w:hint="eastAsia"/>
                <w:color w:val="auto"/>
                <w:lang w:eastAsia="zh-CN"/>
              </w:rPr>
              <w:t>cm/s，并设置泄漏液体收集系统，确保危险废物泄漏后不会直接渗入土壤和地下水。一般固废贮存间地面同样进行硬化和防渗处理，防止渗滤液下渗。对于生产车间，地面采用环氧树脂等防腐防渗材料铺设，对可能产生泄漏的设备下方设置围堰和集液槽，收集泄漏的原辅材料和冲洗废水，避免其直接接触土壤。</w:t>
            </w:r>
          </w:p>
          <w:p w14:paraId="754608AF">
            <w:pPr>
              <w:pStyle w:val="5"/>
              <w:ind w:firstLine="480"/>
              <w:rPr>
                <w:rFonts w:hint="eastAsia"/>
                <w:color w:val="auto"/>
                <w:lang w:eastAsia="zh-CN"/>
              </w:rPr>
            </w:pPr>
            <w:r>
              <w:rPr>
                <w:rFonts w:hint="eastAsia"/>
                <w:color w:val="auto"/>
                <w:lang w:eastAsia="zh-CN"/>
              </w:rPr>
              <w:t>过程阻断方面，加强对生产过程中物料输送、储存设备的维护保养，定期检查管道、阀门、储罐等是否存在泄漏情况，及时更换老化破损的设备，从根本上减少污染物泄漏的可能性。同时，在厂区内设置地下水污染监控井，定期对地下水水质进行监测，一旦发现污染物超标，立即采取应急措施，防止污染扩散。</w:t>
            </w:r>
          </w:p>
          <w:p w14:paraId="508DBF0E">
            <w:pPr>
              <w:pStyle w:val="5"/>
              <w:ind w:firstLine="480"/>
              <w:rPr>
                <w:rFonts w:hint="eastAsia"/>
                <w:color w:val="auto"/>
                <w:lang w:eastAsia="zh-CN"/>
              </w:rPr>
            </w:pPr>
            <w:r>
              <w:rPr>
                <w:rFonts w:hint="eastAsia"/>
                <w:color w:val="auto"/>
                <w:lang w:eastAsia="zh-CN"/>
              </w:rPr>
              <w:t>末端监控方面，制定详细的地下水和土壤环境监测计划。按照《地下水环境监测技术规范》（HJ 164-2020）要求，在厂区及周边敏感区域设置地下水监测点位，监测项目包括pH值、耗氧量、氨氮、重金属（如铅、镉、铬等）及特征有机污染物等，监测频次为每半年1次。土壤监测则结合厂区平面布局和潜在污染区域，在危废暂存库、一般固废贮存间、生产车间等重点区域周边设置土壤监测点，监测项目包括pH值、重金属及特征有机污染物，监测频次为每年1次。通过长期、系统的监测，及时掌握地下水和土壤环境质量状况，确保各项防治措施的有效性。</w:t>
            </w:r>
          </w:p>
          <w:p w14:paraId="5C2C669D">
            <w:pPr>
              <w:pStyle w:val="5"/>
              <w:ind w:firstLine="480"/>
              <w:rPr>
                <w:rFonts w:hint="eastAsia"/>
                <w:color w:val="auto"/>
                <w:lang w:eastAsia="zh-CN"/>
              </w:rPr>
            </w:pPr>
            <w:r>
              <w:rPr>
                <w:rFonts w:hint="eastAsia"/>
                <w:color w:val="auto"/>
                <w:lang w:eastAsia="zh-CN"/>
              </w:rPr>
              <w:t>通过上述措施的落实，可有效防范运营期对地下水和土壤环境的污染风险，保障区域环境安全。</w:t>
            </w:r>
          </w:p>
          <w:p w14:paraId="04A8193B">
            <w:pPr>
              <w:pStyle w:val="3"/>
              <w:bidi w:val="0"/>
              <w:rPr>
                <w:color w:val="auto"/>
              </w:rPr>
            </w:pPr>
            <w:r>
              <w:rPr>
                <w:rFonts w:hint="eastAsia"/>
                <w:color w:val="auto"/>
                <w:lang w:val="en-US" w:eastAsia="zh-CN"/>
              </w:rPr>
              <w:t>环境风险</w:t>
            </w:r>
          </w:p>
          <w:p w14:paraId="465182D8">
            <w:pPr>
              <w:pStyle w:val="5"/>
              <w:rPr>
                <w:rFonts w:hint="eastAsia"/>
                <w:color w:val="auto"/>
                <w:lang w:eastAsia="zh-CN"/>
              </w:rPr>
            </w:pPr>
            <w:r>
              <w:rPr>
                <w:rFonts w:hint="eastAsia"/>
                <w:color w:val="auto"/>
              </w:rPr>
              <w:t>依据《建设项目环境风险评价技术导则》(（HJ169-2018），对风险物质逐一判定是否属于健康危险急性毒性物质，根据《化学品分类和标签规范 第18部分：急性毒性》（GB30000.18-2013），巴斯夫乳液（水性醋酸乙烯酯一乙烯共聚物乳液）</w:t>
            </w:r>
            <w:r>
              <w:rPr>
                <w:rFonts w:hint="eastAsia"/>
                <w:color w:val="auto"/>
                <w:lang w:eastAsia="zh-CN"/>
              </w:rPr>
              <w:t>的急性毒性分级为低毒，其主要成分醋酸乙烯酯的半数致死量（LD50）经口大鼠为2900 mg/kg，经皮兔为3900 mg/kg，吸入（4小时）大鼠LC50为16000 mg/m³，均不属于急性毒性物质。本项目涉及的其他原辅材料，根据《危险化学品安全技术全书》及相关毒性数据，其急性毒性分级亦为低毒或微毒，未被列入《建设项目环境风险评价技术导则》（HJ169-2018）附录B中的“突发环境事件风险物质及临界量清单”。因此，本项目不涉及重大危险源，环境风险潜势为Ⅰ级。</w:t>
            </w:r>
          </w:p>
          <w:p w14:paraId="0234E4FB">
            <w:pPr>
              <w:pStyle w:val="5"/>
              <w:ind w:firstLine="480"/>
              <w:rPr>
                <w:color w:val="auto"/>
              </w:rPr>
            </w:pPr>
            <w:r>
              <w:rPr>
                <w:rFonts w:hint="eastAsia"/>
                <w:color w:val="auto"/>
              </w:rPr>
              <w:t>根据《建设项目环境风险评价技术导则》（HJ169-2018）规定：“环境风险评价工作是依据建设项目涉及的物质及工艺系统危险性和所在地的环境敏感性确定环境风险潜势进行分级，环境影响评价工作等级划分为一级、二级、三级”，其具体分级判据见下表。</w:t>
            </w:r>
          </w:p>
          <w:p w14:paraId="0B69E2D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38</w:t>
            </w:r>
            <w:r>
              <w:rPr>
                <w:color w:val="auto"/>
              </w:rPr>
              <w:fldChar w:fldCharType="end"/>
            </w:r>
            <w:r>
              <w:rPr>
                <w:rFonts w:hint="eastAsia"/>
                <w:color w:val="auto"/>
                <w:lang w:val="en-US" w:eastAsia="zh-CN"/>
              </w:rPr>
              <w:t xml:space="preserve">  项目环境影响评价等级判据一览表</w:t>
            </w:r>
          </w:p>
          <w:tbl>
            <w:tblPr>
              <w:tblStyle w:val="15"/>
              <w:tblW w:w="5200"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623"/>
              <w:gridCol w:w="1402"/>
              <w:gridCol w:w="1515"/>
              <w:gridCol w:w="1515"/>
              <w:gridCol w:w="1515"/>
            </w:tblGrid>
            <w:tr w14:paraId="72A86D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072" w:type="pct"/>
                  <w:vAlign w:val="center"/>
                </w:tcPr>
                <w:p w14:paraId="57BDDDDA">
                  <w:pPr>
                    <w:pStyle w:val="19"/>
                    <w:bidi w:val="0"/>
                    <w:rPr>
                      <w:b/>
                      <w:bCs/>
                      <w:color w:val="auto"/>
                      <w:szCs w:val="21"/>
                    </w:rPr>
                  </w:pPr>
                  <w:r>
                    <w:rPr>
                      <w:rFonts w:hint="eastAsia"/>
                      <w:color w:val="auto"/>
                    </w:rPr>
                    <w:t>环境风险潜势</w:t>
                  </w:r>
                </w:p>
              </w:tc>
              <w:tc>
                <w:tcPr>
                  <w:tcW w:w="925" w:type="pct"/>
                  <w:vAlign w:val="center"/>
                </w:tcPr>
                <w:p w14:paraId="29F4E39E">
                  <w:pPr>
                    <w:pStyle w:val="19"/>
                    <w:bidi w:val="0"/>
                    <w:rPr>
                      <w:rFonts w:cs="Times New Roman"/>
                      <w:b/>
                      <w:bCs/>
                      <w:color w:val="auto"/>
                      <w:szCs w:val="21"/>
                    </w:rPr>
                  </w:pPr>
                  <w:r>
                    <w:rPr>
                      <w:color w:val="auto"/>
                    </w:rPr>
                    <w:t>VI、VI+</w:t>
                  </w:r>
                </w:p>
              </w:tc>
              <w:tc>
                <w:tcPr>
                  <w:tcW w:w="1000" w:type="pct"/>
                  <w:vAlign w:val="center"/>
                </w:tcPr>
                <w:p w14:paraId="32CCDBB2">
                  <w:pPr>
                    <w:pStyle w:val="19"/>
                    <w:bidi w:val="0"/>
                    <w:rPr>
                      <w:rFonts w:cs="Times New Roman"/>
                      <w:b/>
                      <w:bCs/>
                      <w:color w:val="auto"/>
                      <w:szCs w:val="21"/>
                    </w:rPr>
                  </w:pPr>
                  <w:r>
                    <w:rPr>
                      <w:color w:val="auto"/>
                    </w:rPr>
                    <w:t>Ⅲ</w:t>
                  </w:r>
                </w:p>
              </w:tc>
              <w:tc>
                <w:tcPr>
                  <w:tcW w:w="1000" w:type="pct"/>
                  <w:vAlign w:val="center"/>
                </w:tcPr>
                <w:p w14:paraId="78151773">
                  <w:pPr>
                    <w:pStyle w:val="19"/>
                    <w:bidi w:val="0"/>
                    <w:rPr>
                      <w:rFonts w:cs="Times New Roman"/>
                      <w:b/>
                      <w:bCs/>
                      <w:color w:val="auto"/>
                      <w:szCs w:val="21"/>
                    </w:rPr>
                  </w:pPr>
                  <w:r>
                    <w:rPr>
                      <w:color w:val="auto"/>
                    </w:rPr>
                    <w:t>Ⅱ</w:t>
                  </w:r>
                </w:p>
              </w:tc>
              <w:tc>
                <w:tcPr>
                  <w:tcW w:w="1000" w:type="pct"/>
                  <w:vAlign w:val="center"/>
                </w:tcPr>
                <w:p w14:paraId="5C31842C">
                  <w:pPr>
                    <w:pStyle w:val="19"/>
                    <w:bidi w:val="0"/>
                    <w:rPr>
                      <w:b/>
                      <w:bCs/>
                      <w:color w:val="auto"/>
                      <w:szCs w:val="21"/>
                    </w:rPr>
                  </w:pPr>
                  <w:r>
                    <w:rPr>
                      <w:rFonts w:hint="eastAsia"/>
                      <w:color w:val="auto"/>
                    </w:rPr>
                    <w:t>I</w:t>
                  </w:r>
                </w:p>
              </w:tc>
            </w:tr>
            <w:tr w14:paraId="5CFC280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2" w:type="pct"/>
                  <w:vAlign w:val="center"/>
                </w:tcPr>
                <w:p w14:paraId="42769464">
                  <w:pPr>
                    <w:pStyle w:val="19"/>
                    <w:bidi w:val="0"/>
                    <w:rPr>
                      <w:color w:val="auto"/>
                      <w:szCs w:val="21"/>
                    </w:rPr>
                  </w:pPr>
                  <w:r>
                    <w:rPr>
                      <w:rFonts w:hint="eastAsia"/>
                      <w:color w:val="auto"/>
                    </w:rPr>
                    <w:t>环境风险评价等级</w:t>
                  </w:r>
                </w:p>
              </w:tc>
              <w:tc>
                <w:tcPr>
                  <w:tcW w:w="925" w:type="pct"/>
                  <w:vAlign w:val="center"/>
                </w:tcPr>
                <w:p w14:paraId="5A27A3C2">
                  <w:pPr>
                    <w:pStyle w:val="19"/>
                    <w:bidi w:val="0"/>
                    <w:rPr>
                      <w:rFonts w:cs="Times New Roman"/>
                      <w:color w:val="auto"/>
                      <w:szCs w:val="21"/>
                    </w:rPr>
                  </w:pPr>
                  <w:r>
                    <w:rPr>
                      <w:color w:val="auto"/>
                    </w:rPr>
                    <w:t>一</w:t>
                  </w:r>
                </w:p>
              </w:tc>
              <w:tc>
                <w:tcPr>
                  <w:tcW w:w="1000" w:type="pct"/>
                  <w:vAlign w:val="center"/>
                </w:tcPr>
                <w:p w14:paraId="3DC224BD">
                  <w:pPr>
                    <w:pStyle w:val="19"/>
                    <w:bidi w:val="0"/>
                    <w:rPr>
                      <w:rFonts w:cs="Times New Roman"/>
                      <w:color w:val="auto"/>
                      <w:szCs w:val="21"/>
                    </w:rPr>
                  </w:pPr>
                  <w:r>
                    <w:rPr>
                      <w:color w:val="auto"/>
                    </w:rPr>
                    <w:t>二</w:t>
                  </w:r>
                </w:p>
              </w:tc>
              <w:tc>
                <w:tcPr>
                  <w:tcW w:w="1000" w:type="pct"/>
                  <w:vAlign w:val="center"/>
                </w:tcPr>
                <w:p w14:paraId="5C0849A4">
                  <w:pPr>
                    <w:pStyle w:val="19"/>
                    <w:bidi w:val="0"/>
                    <w:rPr>
                      <w:rFonts w:cs="Times New Roman"/>
                      <w:color w:val="auto"/>
                      <w:szCs w:val="21"/>
                    </w:rPr>
                  </w:pPr>
                  <w:r>
                    <w:rPr>
                      <w:color w:val="auto"/>
                    </w:rPr>
                    <w:t>三</w:t>
                  </w:r>
                </w:p>
              </w:tc>
              <w:tc>
                <w:tcPr>
                  <w:tcW w:w="1000" w:type="pct"/>
                  <w:vAlign w:val="center"/>
                </w:tcPr>
                <w:p w14:paraId="44FDF065">
                  <w:pPr>
                    <w:pStyle w:val="19"/>
                    <w:bidi w:val="0"/>
                    <w:rPr>
                      <w:color w:val="auto"/>
                      <w:szCs w:val="21"/>
                    </w:rPr>
                  </w:pPr>
                  <w:r>
                    <w:rPr>
                      <w:rFonts w:hint="eastAsia"/>
                      <w:color w:val="auto"/>
                    </w:rPr>
                    <w:t>简单分析</w:t>
                  </w:r>
                </w:p>
              </w:tc>
            </w:tr>
          </w:tbl>
          <w:p w14:paraId="3F08A891">
            <w:pPr>
              <w:pStyle w:val="20"/>
              <w:bidi w:val="0"/>
              <w:rPr>
                <w:rFonts w:hint="eastAsia"/>
                <w:color w:val="auto"/>
                <w:lang w:eastAsia="zh-CN"/>
              </w:rPr>
            </w:pPr>
          </w:p>
          <w:p w14:paraId="56B3C086">
            <w:pPr>
              <w:pStyle w:val="5"/>
              <w:ind w:firstLine="480"/>
              <w:rPr>
                <w:color w:val="auto"/>
              </w:rPr>
            </w:pPr>
            <w:r>
              <w:rPr>
                <w:rFonts w:hint="eastAsia"/>
                <w:color w:val="auto"/>
              </w:rPr>
              <w:t>根据“</w:t>
            </w:r>
            <w:r>
              <w:rPr>
                <w:rFonts w:hint="eastAsia"/>
                <w:b/>
                <w:bCs/>
                <w:color w:val="auto"/>
              </w:rPr>
              <w:t>环境风险潜势判断</w:t>
            </w:r>
            <w:r>
              <w:rPr>
                <w:rFonts w:hint="eastAsia"/>
                <w:color w:val="auto"/>
              </w:rPr>
              <w:t>”可知，本项目的环境风险潜势为I级，因此，本项目的环境风险评价需要按照</w:t>
            </w:r>
            <w:r>
              <w:rPr>
                <w:color w:val="auto"/>
              </w:rPr>
              <w:t>《建设项目环境风险评价技术导则》（HJ169-2018）</w:t>
            </w:r>
            <w:r>
              <w:rPr>
                <w:rFonts w:hint="eastAsia"/>
                <w:b/>
                <w:bCs/>
                <w:color w:val="auto"/>
              </w:rPr>
              <w:t>附录A</w:t>
            </w:r>
            <w:r>
              <w:rPr>
                <w:rFonts w:hint="eastAsia"/>
                <w:color w:val="auto"/>
              </w:rPr>
              <w:t>进行简单分析。</w:t>
            </w:r>
          </w:p>
          <w:p w14:paraId="7C671717">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39</w:t>
            </w:r>
            <w:r>
              <w:rPr>
                <w:color w:val="auto"/>
              </w:rPr>
              <w:fldChar w:fldCharType="end"/>
            </w:r>
            <w:r>
              <w:rPr>
                <w:rFonts w:hint="eastAsia"/>
                <w:color w:val="auto"/>
                <w:lang w:val="en-US" w:eastAsia="zh-CN"/>
              </w:rPr>
              <w:t xml:space="preserve">  环境风险简单分析内容表</w:t>
            </w:r>
          </w:p>
          <w:tbl>
            <w:tblPr>
              <w:tblStyle w:val="16"/>
              <w:tblW w:w="7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1633"/>
              <w:gridCol w:w="1537"/>
              <w:gridCol w:w="1383"/>
              <w:gridCol w:w="1516"/>
            </w:tblGrid>
            <w:tr w14:paraId="2EF7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1" w:type="dxa"/>
                  <w:vAlign w:val="center"/>
                </w:tcPr>
                <w:p w14:paraId="74A3F915">
                  <w:pPr>
                    <w:pStyle w:val="19"/>
                    <w:bidi w:val="0"/>
                    <w:rPr>
                      <w:rFonts w:hint="eastAsia" w:eastAsia="宋体"/>
                      <w:color w:val="auto"/>
                      <w:lang w:val="en-US" w:eastAsia="zh-CN"/>
                    </w:rPr>
                  </w:pPr>
                  <w:r>
                    <w:rPr>
                      <w:rFonts w:hint="eastAsia"/>
                      <w:color w:val="auto"/>
                      <w:lang w:val="en-US" w:eastAsia="zh-CN"/>
                    </w:rPr>
                    <w:t>项目名称</w:t>
                  </w:r>
                </w:p>
              </w:tc>
              <w:tc>
                <w:tcPr>
                  <w:tcW w:w="6069" w:type="dxa"/>
                  <w:gridSpan w:val="4"/>
                  <w:vAlign w:val="center"/>
                </w:tcPr>
                <w:p w14:paraId="4E6FB821">
                  <w:pPr>
                    <w:pStyle w:val="19"/>
                    <w:bidi w:val="0"/>
                    <w:rPr>
                      <w:color w:val="auto"/>
                    </w:rPr>
                  </w:pPr>
                  <w:r>
                    <w:rPr>
                      <w:rFonts w:hint="eastAsia"/>
                      <w:color w:val="auto"/>
                    </w:rPr>
                    <w:t>新疆乾昌业新型建材有限公司新型环保防水背衬板项目</w:t>
                  </w:r>
                </w:p>
              </w:tc>
            </w:tr>
            <w:tr w14:paraId="1BE0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501" w:type="dxa"/>
                  <w:vAlign w:val="center"/>
                </w:tcPr>
                <w:p w14:paraId="6F09BA07">
                  <w:pPr>
                    <w:pStyle w:val="19"/>
                    <w:bidi w:val="0"/>
                    <w:rPr>
                      <w:color w:val="auto"/>
                    </w:rPr>
                  </w:pPr>
                  <w:r>
                    <w:rPr>
                      <w:rFonts w:hint="eastAsia"/>
                      <w:color w:val="auto"/>
                    </w:rPr>
                    <w:t>建设地点</w:t>
                  </w:r>
                </w:p>
              </w:tc>
              <w:tc>
                <w:tcPr>
                  <w:tcW w:w="1633" w:type="dxa"/>
                  <w:vAlign w:val="center"/>
                </w:tcPr>
                <w:p w14:paraId="633291B5">
                  <w:pPr>
                    <w:pStyle w:val="19"/>
                    <w:bidi w:val="0"/>
                    <w:rPr>
                      <w:color w:val="auto"/>
                    </w:rPr>
                  </w:pPr>
                  <w:r>
                    <w:rPr>
                      <w:rFonts w:hint="eastAsia"/>
                      <w:color w:val="auto"/>
                    </w:rPr>
                    <w:t>新疆维吾尔自治区</w:t>
                  </w:r>
                </w:p>
              </w:tc>
              <w:tc>
                <w:tcPr>
                  <w:tcW w:w="1537" w:type="dxa"/>
                  <w:vAlign w:val="center"/>
                </w:tcPr>
                <w:p w14:paraId="260CADA3">
                  <w:pPr>
                    <w:pStyle w:val="19"/>
                    <w:bidi w:val="0"/>
                    <w:rPr>
                      <w:color w:val="auto"/>
                    </w:rPr>
                  </w:pPr>
                  <w:r>
                    <w:rPr>
                      <w:rFonts w:hint="eastAsia"/>
                      <w:color w:val="auto"/>
                    </w:rPr>
                    <w:t>巴音郭楞蒙古自治州</w:t>
                  </w:r>
                </w:p>
              </w:tc>
              <w:tc>
                <w:tcPr>
                  <w:tcW w:w="1383" w:type="dxa"/>
                  <w:vAlign w:val="center"/>
                </w:tcPr>
                <w:p w14:paraId="4F6E1ABC">
                  <w:pPr>
                    <w:pStyle w:val="19"/>
                    <w:bidi w:val="0"/>
                    <w:rPr>
                      <w:rFonts w:hint="eastAsia" w:eastAsia="宋体"/>
                      <w:color w:val="auto"/>
                      <w:lang w:val="en-US" w:eastAsia="zh-CN"/>
                    </w:rPr>
                  </w:pPr>
                  <w:r>
                    <w:rPr>
                      <w:rFonts w:hint="eastAsia"/>
                      <w:color w:val="auto"/>
                      <w:lang w:val="en-US" w:eastAsia="zh-CN"/>
                    </w:rPr>
                    <w:t>库尔勒市</w:t>
                  </w:r>
                </w:p>
              </w:tc>
              <w:tc>
                <w:tcPr>
                  <w:tcW w:w="1516" w:type="dxa"/>
                  <w:vAlign w:val="center"/>
                </w:tcPr>
                <w:p w14:paraId="4E0473F0">
                  <w:pPr>
                    <w:pStyle w:val="19"/>
                    <w:bidi w:val="0"/>
                    <w:rPr>
                      <w:color w:val="auto"/>
                    </w:rPr>
                  </w:pPr>
                  <w:r>
                    <w:rPr>
                      <w:rFonts w:hint="eastAsia"/>
                      <w:color w:val="auto"/>
                    </w:rPr>
                    <w:t>库尔勒经济技术开发区</w:t>
                  </w:r>
                </w:p>
              </w:tc>
            </w:tr>
            <w:tr w14:paraId="1424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1" w:type="dxa"/>
                  <w:vAlign w:val="center"/>
                </w:tcPr>
                <w:p w14:paraId="15BE8D7B">
                  <w:pPr>
                    <w:pStyle w:val="19"/>
                    <w:bidi w:val="0"/>
                    <w:rPr>
                      <w:color w:val="auto"/>
                    </w:rPr>
                  </w:pPr>
                  <w:r>
                    <w:rPr>
                      <w:rFonts w:hint="eastAsia"/>
                      <w:color w:val="auto"/>
                    </w:rPr>
                    <w:t>地理坐标</w:t>
                  </w:r>
                </w:p>
              </w:tc>
              <w:tc>
                <w:tcPr>
                  <w:tcW w:w="3170" w:type="dxa"/>
                  <w:gridSpan w:val="2"/>
                  <w:vAlign w:val="center"/>
                </w:tcPr>
                <w:p w14:paraId="4A4660EE">
                  <w:pPr>
                    <w:pStyle w:val="19"/>
                    <w:bidi w:val="0"/>
                    <w:rPr>
                      <w:color w:val="auto"/>
                    </w:rPr>
                  </w:pPr>
                  <w:r>
                    <w:rPr>
                      <w:rFonts w:hint="eastAsia"/>
                      <w:color w:val="auto"/>
                    </w:rPr>
                    <w:t>经度：8</w:t>
                  </w:r>
                  <w:r>
                    <w:rPr>
                      <w:rFonts w:hint="eastAsia"/>
                      <w:color w:val="auto"/>
                      <w:lang w:val="en-US" w:eastAsia="zh-CN"/>
                    </w:rPr>
                    <w:t>6</w:t>
                  </w:r>
                  <w:r>
                    <w:rPr>
                      <w:rFonts w:hint="eastAsia"/>
                      <w:color w:val="auto"/>
                    </w:rPr>
                    <w:t>度</w:t>
                  </w:r>
                  <w:r>
                    <w:rPr>
                      <w:rFonts w:hint="eastAsia"/>
                      <w:color w:val="auto"/>
                      <w:lang w:val="en-US" w:eastAsia="zh-CN"/>
                    </w:rPr>
                    <w:t>13</w:t>
                  </w:r>
                  <w:r>
                    <w:rPr>
                      <w:rFonts w:hint="eastAsia"/>
                      <w:color w:val="auto"/>
                    </w:rPr>
                    <w:t>分18.0302秒</w:t>
                  </w:r>
                </w:p>
              </w:tc>
              <w:tc>
                <w:tcPr>
                  <w:tcW w:w="2899" w:type="dxa"/>
                  <w:gridSpan w:val="2"/>
                  <w:vAlign w:val="center"/>
                </w:tcPr>
                <w:p w14:paraId="09015B9D">
                  <w:pPr>
                    <w:pStyle w:val="19"/>
                    <w:bidi w:val="0"/>
                    <w:rPr>
                      <w:color w:val="auto"/>
                    </w:rPr>
                  </w:pPr>
                  <w:r>
                    <w:rPr>
                      <w:rFonts w:hint="eastAsia"/>
                      <w:color w:val="auto"/>
                    </w:rPr>
                    <w:t>纬度：</w:t>
                  </w:r>
                  <w:r>
                    <w:rPr>
                      <w:rFonts w:hint="eastAsia"/>
                      <w:color w:val="auto"/>
                      <w:lang w:val="en-US" w:eastAsia="zh-CN"/>
                    </w:rPr>
                    <w:t>41</w:t>
                  </w:r>
                  <w:r>
                    <w:rPr>
                      <w:rFonts w:hint="eastAsia"/>
                      <w:color w:val="auto"/>
                    </w:rPr>
                    <w:t>度</w:t>
                  </w:r>
                  <w:r>
                    <w:rPr>
                      <w:rFonts w:hint="eastAsia"/>
                      <w:color w:val="auto"/>
                      <w:lang w:val="en-US" w:eastAsia="zh-CN"/>
                    </w:rPr>
                    <w:t>40</w:t>
                  </w:r>
                  <w:r>
                    <w:rPr>
                      <w:rFonts w:hint="eastAsia"/>
                      <w:color w:val="auto"/>
                    </w:rPr>
                    <w:t>分19.9255秒</w:t>
                  </w:r>
                </w:p>
              </w:tc>
            </w:tr>
            <w:tr w14:paraId="7110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1" w:type="dxa"/>
                  <w:vAlign w:val="center"/>
                </w:tcPr>
                <w:p w14:paraId="4D842B03">
                  <w:pPr>
                    <w:pStyle w:val="19"/>
                    <w:bidi w:val="0"/>
                    <w:rPr>
                      <w:color w:val="auto"/>
                    </w:rPr>
                  </w:pPr>
                  <w:r>
                    <w:rPr>
                      <w:rFonts w:hint="eastAsia"/>
                      <w:color w:val="auto"/>
                    </w:rPr>
                    <w:t>主要危险物质及分布</w:t>
                  </w:r>
                </w:p>
              </w:tc>
              <w:tc>
                <w:tcPr>
                  <w:tcW w:w="6069" w:type="dxa"/>
                  <w:gridSpan w:val="4"/>
                  <w:vAlign w:val="center"/>
                </w:tcPr>
                <w:p w14:paraId="62730195">
                  <w:pPr>
                    <w:pStyle w:val="19"/>
                    <w:bidi w:val="0"/>
                    <w:jc w:val="both"/>
                    <w:rPr>
                      <w:color w:val="auto"/>
                    </w:rPr>
                  </w:pPr>
                  <w:r>
                    <w:rPr>
                      <w:color w:val="auto"/>
                    </w:rPr>
                    <w:t>本项目运营过程中涉及的风险物质为</w:t>
                  </w:r>
                  <w:r>
                    <w:rPr>
                      <w:rFonts w:hint="eastAsia"/>
                      <w:color w:val="auto"/>
                    </w:rPr>
                    <w:t>巴斯夫乳液（水性醋酸乙烯酯一乙烯共聚物乳液）</w:t>
                  </w:r>
                  <w:r>
                    <w:rPr>
                      <w:rFonts w:hint="eastAsia"/>
                      <w:color w:val="auto"/>
                      <w:lang w:eastAsia="zh-CN"/>
                    </w:rPr>
                    <w:t>，其主要成分为醋酸乙烯酯和乙烯，主要分布于原料仓库的储罐及生产车间的配料区域。该乳液为水性，常温下相对稳定，但具有易燃性，其蒸气与空气可形成爆炸性混合物，遇明火、高热能引起燃烧爆炸。此外，醋酸乙烯酯具有一定的刺激性，若发生泄漏，可能对周边大气环境及人员健康造成短期影响。</w:t>
                  </w:r>
                </w:p>
              </w:tc>
            </w:tr>
            <w:tr w14:paraId="7D6C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1" w:type="dxa"/>
                  <w:vAlign w:val="center"/>
                </w:tcPr>
                <w:p w14:paraId="244E0B25">
                  <w:pPr>
                    <w:pStyle w:val="19"/>
                    <w:bidi w:val="0"/>
                    <w:rPr>
                      <w:color w:val="auto"/>
                    </w:rPr>
                  </w:pPr>
                  <w:r>
                    <w:rPr>
                      <w:rFonts w:hint="eastAsia"/>
                      <w:color w:val="auto"/>
                    </w:rPr>
                    <w:t>环境影响途径及危害后果（大气、地表水、地下水等）</w:t>
                  </w:r>
                </w:p>
              </w:tc>
              <w:tc>
                <w:tcPr>
                  <w:tcW w:w="6069" w:type="dxa"/>
                  <w:gridSpan w:val="4"/>
                  <w:vAlign w:val="center"/>
                </w:tcPr>
                <w:p w14:paraId="610E51FF">
                  <w:pPr>
                    <w:pStyle w:val="19"/>
                    <w:bidi w:val="0"/>
                    <w:jc w:val="both"/>
                    <w:rPr>
                      <w:color w:val="auto"/>
                    </w:rPr>
                  </w:pPr>
                  <w:r>
                    <w:rPr>
                      <w:color w:val="auto"/>
                    </w:rPr>
                    <w:t>项目涉及的风险物质对环境的影响</w:t>
                  </w:r>
                  <w:r>
                    <w:rPr>
                      <w:rFonts w:hint="eastAsia"/>
                      <w:color w:val="auto"/>
                      <w:lang w:eastAsia="zh-CN"/>
                    </w:rPr>
                    <w:t>途径主要为泄漏后挥发进入大气环境，或泄漏后渗入土壤进而污染地下水。若巴斯夫乳液在原料仓库储罐或生产车间配料区域发生泄漏，泄漏的乳液可能因挥发释放出醋酸乙烯酯蒸气，醋酸乙烯酯具有刺激性气味，若在短时间内大量泄漏，其蒸气在局部区域浓度升高，可能对周边大气环境造成污染，对附近操作人员及周边敏感人群的眼、鼻、呼吸道等产生刺激作用。同时，若泄漏的乳液未能及时收集处理，可能通过地面渗透进入土壤，进而污染土壤环境，并在雨水淋溶等作用下，可能进一步下渗对地下水水质造成潜在影响，导致地下水中出现特征有机污染物超标。</w:t>
                  </w:r>
                </w:p>
              </w:tc>
            </w:tr>
            <w:tr w14:paraId="4197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1" w:type="dxa"/>
                  <w:vAlign w:val="center"/>
                </w:tcPr>
                <w:p w14:paraId="48C58415">
                  <w:pPr>
                    <w:pStyle w:val="19"/>
                    <w:bidi w:val="0"/>
                    <w:rPr>
                      <w:color w:val="auto"/>
                    </w:rPr>
                  </w:pPr>
                  <w:r>
                    <w:rPr>
                      <w:rFonts w:hint="eastAsia"/>
                      <w:color w:val="auto"/>
                    </w:rPr>
                    <w:t>风险防范措施要求</w:t>
                  </w:r>
                </w:p>
              </w:tc>
              <w:tc>
                <w:tcPr>
                  <w:tcW w:w="6069" w:type="dxa"/>
                  <w:gridSpan w:val="4"/>
                  <w:vAlign w:val="center"/>
                </w:tcPr>
                <w:p w14:paraId="78F2A3A7">
                  <w:pPr>
                    <w:pStyle w:val="19"/>
                    <w:bidi w:val="0"/>
                    <w:jc w:val="both"/>
                    <w:rPr>
                      <w:rFonts w:hint="eastAsia"/>
                      <w:color w:val="auto"/>
                    </w:rPr>
                  </w:pPr>
                  <w:r>
                    <w:rPr>
                      <w:color w:val="auto"/>
                    </w:rPr>
                    <w:t>针对</w:t>
                  </w:r>
                  <w:r>
                    <w:rPr>
                      <w:rFonts w:hint="eastAsia"/>
                      <w:color w:val="auto"/>
                    </w:rPr>
                    <w:t>巴斯夫乳液（水性醋酸乙烯酯一乙烯共聚物乳液）</w:t>
                  </w:r>
                </w:p>
                <w:p w14:paraId="0F16831B">
                  <w:pPr>
                    <w:pStyle w:val="19"/>
                    <w:bidi w:val="0"/>
                    <w:jc w:val="both"/>
                    <w:rPr>
                      <w:color w:val="auto"/>
                    </w:rPr>
                  </w:pPr>
                  <w:r>
                    <w:rPr>
                      <w:color w:val="auto"/>
                    </w:rPr>
                    <w:t>产品应存放于阴凉、干燥、通风良好的室内，远离火源、热源（如暖气、明火、阳光直射），环境温度控制在5-35℃，避免温度剧烈波动导致产品稳定性下降或容器膨胀破裂。</w:t>
                  </w:r>
                </w:p>
                <w:p w14:paraId="17F6A1C3">
                  <w:pPr>
                    <w:pStyle w:val="19"/>
                    <w:bidi w:val="0"/>
                    <w:jc w:val="both"/>
                    <w:rPr>
                      <w:color w:val="auto"/>
                    </w:rPr>
                  </w:pPr>
                  <w:r>
                    <w:rPr>
                      <w:color w:val="auto"/>
                    </w:rPr>
                    <w:t>使用原装密封容器，开启后应及时盖紧盖子，防止水分蒸发导致乳液变稠、结皮或杂质混入。搬运时轻拿轻放，避免容器碰撞、跌落造成泄漏。在进行乳液搅拌、输送等操作时，设备应接地，操作人员需穿戴防静电工作服和防静电鞋，防止静电积聚引发火花。在通风不良的作业场所，操作人员必须佩戴符合国家标准的防尘口罩或防毒面具，以减少乳液雾滴或挥发物（如残留单体）的吸入。若出现咳嗽、胸闷等呼吸道不适症状，应立即转移至空气新鲜处休息，并及时就医。</w:t>
                  </w:r>
                </w:p>
                <w:p w14:paraId="68C0A571">
                  <w:pPr>
                    <w:pStyle w:val="19"/>
                    <w:bidi w:val="0"/>
                    <w:jc w:val="both"/>
                    <w:rPr>
                      <w:color w:val="auto"/>
                    </w:rPr>
                  </w:pPr>
                  <w:r>
                    <w:rPr>
                      <w:color w:val="auto"/>
                    </w:rPr>
                    <w:t>高度重视安全生产工作，设置专门的安全员，并建立严格的安全生产规章制度。定期进行工业场地和运行设备安全检查，发现问题及时处理。操作人员应按规定进行培训，熟练掌握正常与非正常生产情况下的岗位工作要求与职责</w:t>
                  </w:r>
                  <w:r>
                    <w:rPr>
                      <w:rFonts w:hint="eastAsia"/>
                      <w:color w:val="auto"/>
                    </w:rPr>
                    <w:t>；</w:t>
                  </w:r>
                  <w:r>
                    <w:rPr>
                      <w:color w:val="auto"/>
                    </w:rPr>
                    <w:t>将本项目环境管理及监测纳入全厂，修改突发环境风险事件应急预案，定期进行应急演练。</w:t>
                  </w:r>
                </w:p>
              </w:tc>
            </w:tr>
          </w:tbl>
          <w:p w14:paraId="3B3220C6">
            <w:pPr>
              <w:pStyle w:val="20"/>
              <w:bidi w:val="0"/>
              <w:rPr>
                <w:rFonts w:hint="eastAsia"/>
                <w:color w:val="auto"/>
                <w:lang w:eastAsia="zh-CN"/>
              </w:rPr>
            </w:pPr>
          </w:p>
          <w:p w14:paraId="75AB99F3">
            <w:pPr>
              <w:pStyle w:val="3"/>
              <w:bidi w:val="0"/>
              <w:rPr>
                <w:rFonts w:hint="eastAsia"/>
                <w:color w:val="auto"/>
                <w:lang w:eastAsia="zh-CN"/>
              </w:rPr>
            </w:pPr>
            <w:r>
              <w:rPr>
                <w:rFonts w:hint="eastAsia"/>
                <w:color w:val="auto"/>
                <w:lang w:eastAsia="zh-CN"/>
              </w:rPr>
              <w:t>突发环境事件</w:t>
            </w:r>
          </w:p>
          <w:p w14:paraId="758DC824">
            <w:pPr>
              <w:pStyle w:val="5"/>
              <w:rPr>
                <w:rFonts w:hint="eastAsia"/>
                <w:color w:val="auto"/>
                <w:lang w:val="en-US" w:eastAsia="zh-CN"/>
              </w:rPr>
            </w:pPr>
            <w:r>
              <w:rPr>
                <w:rFonts w:hint="default"/>
                <w:color w:val="auto"/>
                <w:lang w:val="en-US" w:eastAsia="zh-CN"/>
              </w:rPr>
              <w:t>根据《企业突发环境事件风险评估指南（试行）》（环办</w:t>
            </w:r>
            <w:r>
              <w:rPr>
                <w:rFonts w:hint="eastAsia"/>
                <w:color w:val="auto"/>
                <w:lang w:val="en-US" w:eastAsia="zh-CN"/>
              </w:rPr>
              <w:t>〔2014〕34号</w:t>
            </w:r>
            <w:r>
              <w:rPr>
                <w:rFonts w:hint="default"/>
                <w:color w:val="auto"/>
                <w:lang w:val="en-US" w:eastAsia="zh-CN"/>
              </w:rPr>
              <w:t>）</w:t>
            </w:r>
            <w:r>
              <w:rPr>
                <w:rFonts w:hint="eastAsia"/>
                <w:color w:val="auto"/>
                <w:lang w:val="en-US" w:eastAsia="zh-CN"/>
              </w:rPr>
              <w:t>和《企业事业单位突发环境事件应急预案备案管理办法（试行）》（环发〔2015〕4号）的相关要求，并结合本项目实际情况判定，本项目环境风险潜势为Ⅰ级，不涉及重大危险源的实际情况，本项目突发环境事件风险等级判定为一般环境风险。为有效应对可能发生的突发环境事件，企业已委托相关资质单位编制《突发环境事件应急预案》。预案明确了组织机构与职责、预防与预警、应急响应、后期处置等内容，针对巴斯夫乳液泄漏等可能发生的突发环境事件，制定了详细的应急处置流程。同时，利用泄漏液体收集系统收集泄漏物，对于少量泄漏可采用沙土或吸附材料吸收，对于大量泄漏则需使用防爆泵转移至专用收集容器，并对污染地面进行清洗和中和处理。</w:t>
            </w:r>
          </w:p>
          <w:p w14:paraId="65D57B81">
            <w:pPr>
              <w:pStyle w:val="5"/>
              <w:rPr>
                <w:rFonts w:hint="eastAsia"/>
                <w:color w:val="auto"/>
                <w:lang w:val="en-US" w:eastAsia="zh-CN"/>
              </w:rPr>
            </w:pPr>
            <w:r>
              <w:rPr>
                <w:rFonts w:hint="eastAsia"/>
                <w:color w:val="auto"/>
                <w:lang w:val="en-US" w:eastAsia="zh-CN"/>
              </w:rPr>
              <w:t>应急预案还规定了应急物资的储备要求，包括防护手套、防毒面具、吸附棉、沙土、消防器材等，并定期组织员工进行应急演练，提高员工的应急处置能力和协同配合能力，确保在突发环境事件发生时能够迅速、有效地进行处置，最大限度减少对环境的影响。</w:t>
            </w:r>
          </w:p>
          <w:p w14:paraId="1E27854E">
            <w:pPr>
              <w:pStyle w:val="3"/>
              <w:bidi w:val="0"/>
              <w:rPr>
                <w:rFonts w:hint="eastAsia"/>
                <w:color w:val="auto"/>
                <w:lang w:val="en-US" w:eastAsia="zh-CN"/>
              </w:rPr>
            </w:pPr>
            <w:r>
              <w:rPr>
                <w:rFonts w:hint="eastAsia"/>
                <w:color w:val="auto"/>
                <w:lang w:val="en-US" w:eastAsia="zh-CN"/>
              </w:rPr>
              <w:t>排污口规范化</w:t>
            </w:r>
          </w:p>
          <w:p w14:paraId="549DB8CD">
            <w:pPr>
              <w:pStyle w:val="5"/>
              <w:bidi w:val="0"/>
              <w:rPr>
                <w:rFonts w:hint="eastAsia"/>
                <w:color w:val="auto"/>
                <w:lang w:val="en-US" w:eastAsia="zh-CN"/>
              </w:rPr>
            </w:pPr>
            <w:r>
              <w:rPr>
                <w:rFonts w:hint="eastAsia"/>
                <w:color w:val="auto"/>
                <w:lang w:val="en-US" w:eastAsia="zh-CN"/>
              </w:rPr>
              <w:t>本项目严格按照《排污口规范化整治技术要求（试行）》（环监〔1996〕470号）及地方生态环境部门的相关规定，对各类排污口进行规范化建设和管理。废气排放口设置永久性采样监测平台和便于采样的采样孔，平台应具备安全采样条件，并设置明显、规范的环境保护图形标志。废水排放口设置规范的排放口标志，安装流量计、在线监测设备，确保废水稳定达标排放。固体废物（危险废物、一般工业固体废物）贮存场所设置符合《环境保护图形标志 固体废物贮存（处置）场》（GB 15562.2-1995）规定的图形标志，并在醒目位置张贴管理制度和警示标识。所有排污口的设置位置、数量、类型等信息均向当地生态环境部门备案，并接受其监督检查。通过排污口的规范化建设，确保污染物排放行为可监测、可监管，为环境管理提供准确依据。</w:t>
            </w:r>
          </w:p>
          <w:p w14:paraId="024E35E2">
            <w:pPr>
              <w:pStyle w:val="3"/>
              <w:bidi w:val="0"/>
              <w:rPr>
                <w:rFonts w:hint="eastAsia"/>
                <w:color w:val="auto"/>
                <w:lang w:val="en-US" w:eastAsia="zh-CN"/>
              </w:rPr>
            </w:pPr>
            <w:r>
              <w:rPr>
                <w:rFonts w:hint="eastAsia"/>
                <w:color w:val="auto"/>
                <w:lang w:val="en-US" w:eastAsia="zh-CN"/>
              </w:rPr>
              <w:t>环境管理与排污许可</w:t>
            </w:r>
          </w:p>
          <w:p w14:paraId="59E6384E">
            <w:pPr>
              <w:pStyle w:val="5"/>
              <w:bidi w:val="0"/>
              <w:rPr>
                <w:rFonts w:hint="eastAsia"/>
                <w:color w:val="auto"/>
                <w:lang w:val="en-US" w:eastAsia="zh-CN"/>
              </w:rPr>
            </w:pPr>
            <w:r>
              <w:rPr>
                <w:rFonts w:hint="eastAsia"/>
                <w:color w:val="auto"/>
                <w:lang w:val="en-US" w:eastAsia="zh-CN"/>
              </w:rPr>
              <w:t>本项目将严格遵守国家及地方关于环境管理的各项法律法规，建立健全环境管理体系，明确各部门及人员的环境管理职责。企业设立专门的环保管理部门，配备专职环保管理人员，负责日常环境管理工作，包括污染治理设施的运行维护、污染物排放监测、环境风险防控、环保档案管理等。制定完善的环境管理制度，如环境保护责任制、污染治理设施操作规程、环境监测计划、应急预案演练制度等，并将环境管理纳入企业日常生产管理体系，确保各项环保措施落到实处。</w:t>
            </w:r>
          </w:p>
          <w:p w14:paraId="0D783000">
            <w:pPr>
              <w:pStyle w:val="5"/>
              <w:bidi w:val="0"/>
              <w:rPr>
                <w:rFonts w:hint="eastAsia"/>
                <w:color w:val="auto"/>
                <w:lang w:val="en-US" w:eastAsia="zh-CN"/>
              </w:rPr>
            </w:pPr>
            <w:r>
              <w:rPr>
                <w:rFonts w:hint="eastAsia"/>
                <w:color w:val="auto"/>
                <w:lang w:val="en-US" w:eastAsia="zh-CN"/>
              </w:rPr>
              <w:t>根据《固定污染源排污许可分类管理名录》的要求，本项目在投入生产运营前，将向当地生态环境部门申请并取得排污许可证。在排污许可证有效期内，严格按照许可内容排放污染物，不得超许可浓度、超许可总量排放。如实记录污染物排放情况，建立环境管理台账，并按照规定的频次和要求向生态环境部门提交排污许可证执行报告。同时，积极配合生态环境部门的监督检查，对检查中发现的问题及时进行整改，确保排污许可制度的有效执行。通过有效的环境管理和严格的排污许可执行，保障项目运营过程中的污染物稳定达标排放，促进企业可持续发展。</w:t>
            </w:r>
          </w:p>
          <w:p w14:paraId="33F0AA5A">
            <w:pPr>
              <w:pStyle w:val="3"/>
              <w:bidi w:val="0"/>
              <w:rPr>
                <w:rFonts w:eastAsia="宋体"/>
                <w:color w:val="auto"/>
              </w:rPr>
            </w:pPr>
            <w:r>
              <w:rPr>
                <w:rFonts w:hint="eastAsia"/>
                <w:color w:val="auto"/>
                <w:lang w:val="en-US" w:eastAsia="zh-CN"/>
              </w:rPr>
              <w:t>监测计划</w:t>
            </w:r>
          </w:p>
          <w:p w14:paraId="429EB9FB">
            <w:pPr>
              <w:ind w:firstLine="480"/>
              <w:rPr>
                <w:rFonts w:hint="eastAsia" w:eastAsia="宋体"/>
                <w:color w:val="auto"/>
              </w:rPr>
            </w:pPr>
            <w:r>
              <w:rPr>
                <w:rFonts w:hint="eastAsia" w:eastAsia="宋体"/>
                <w:color w:val="auto"/>
              </w:rPr>
              <w:t>为全面掌握本项目建设及运营期污染物排放情况和周边环境质量变化，落实排污单位主体责任，根据《中华人民共和国生态环境法典》排污许可管理规定及《排污单位自行监测技术指南 总则》（HJ 819-2017）、《中华人民共和国生态环境法典》第一编第五章及建设项目生态环境影响报告表编制技术指南（污染影响类）等相关技术规范，结合本项目污染源分布特征、生态环境影响评价结论</w:t>
            </w:r>
            <w:r>
              <w:rPr>
                <w:rFonts w:hint="eastAsia"/>
                <w:color w:val="auto"/>
                <w:lang w:val="en-US" w:eastAsia="zh-CN"/>
              </w:rPr>
              <w:t>等</w:t>
            </w:r>
            <w:r>
              <w:rPr>
                <w:rFonts w:hint="eastAsia" w:eastAsia="宋体"/>
                <w:color w:val="auto"/>
              </w:rPr>
              <w:t>，制定本自行监测计划。本计划涵盖废气、废水、噪声、土壤及地下水五个要素，监测数据将作为排污许可证执行报告的重要依据，按要求及时向生态环境主管部门报送，并纳入企业环境管理台账。</w:t>
            </w:r>
          </w:p>
          <w:p w14:paraId="74412D48">
            <w:pPr>
              <w:pStyle w:val="4"/>
              <w:bidi w:val="0"/>
              <w:rPr>
                <w:rFonts w:hint="eastAsia"/>
                <w:color w:val="auto"/>
              </w:rPr>
            </w:pPr>
            <w:r>
              <w:rPr>
                <w:rFonts w:hint="eastAsia"/>
                <w:color w:val="auto"/>
              </w:rPr>
              <w:t>废气自行监测计划</w:t>
            </w:r>
          </w:p>
          <w:p w14:paraId="55EEF00E">
            <w:pPr>
              <w:ind w:firstLine="480"/>
              <w:rPr>
                <w:rFonts w:hint="eastAsia" w:eastAsia="宋体"/>
                <w:color w:val="auto"/>
              </w:rPr>
            </w:pPr>
            <w:r>
              <w:rPr>
                <w:rFonts w:hint="eastAsia" w:eastAsia="宋体"/>
                <w:color w:val="auto"/>
              </w:rPr>
              <w:t>本项目废气主要来源于干粉入仓（颗粒物）、复合制板及养护（NMHC）、修边切割与雕刻（颗粒物）三个有组织排放口，以及生产过程无组织排放。监测点位设置、因子、频次及执行标准见下表。</w:t>
            </w:r>
          </w:p>
          <w:p w14:paraId="3590646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40</w:t>
            </w:r>
            <w:r>
              <w:rPr>
                <w:color w:val="auto"/>
              </w:rPr>
              <w:fldChar w:fldCharType="end"/>
            </w:r>
            <w:r>
              <w:rPr>
                <w:rFonts w:hint="eastAsia"/>
                <w:color w:val="auto"/>
                <w:lang w:val="en-US" w:eastAsia="zh-CN"/>
              </w:rPr>
              <w:t xml:space="preserve">  废气监测计划</w:t>
            </w:r>
          </w:p>
          <w:tbl>
            <w:tblPr>
              <w:tblStyle w:val="15"/>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52"/>
              <w:gridCol w:w="1866"/>
              <w:gridCol w:w="1257"/>
              <w:gridCol w:w="1105"/>
              <w:gridCol w:w="1409"/>
              <w:gridCol w:w="982"/>
            </w:tblGrid>
            <w:tr w14:paraId="339F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tcBorders>
                    <w:tl2br w:val="nil"/>
                  </w:tcBorders>
                  <w:shd w:val="clear" w:color="auto" w:fill="FFFFFF"/>
                  <w:tcMar>
                    <w:top w:w="60" w:type="dxa"/>
                    <w:left w:w="80" w:type="dxa"/>
                    <w:bottom w:w="60" w:type="dxa"/>
                    <w:right w:w="80" w:type="dxa"/>
                  </w:tcMar>
                  <w:vAlign w:val="center"/>
                </w:tcPr>
                <w:p w14:paraId="62498107">
                  <w:pPr>
                    <w:pStyle w:val="21"/>
                    <w:bidi w:val="0"/>
                    <w:rPr>
                      <w:b w:val="0"/>
                      <w:color w:val="auto"/>
                    </w:rPr>
                  </w:pPr>
                  <w:r>
                    <w:rPr>
                      <w:b w:val="0"/>
                      <w:color w:val="auto"/>
                    </w:rPr>
                    <w:t>监测类型</w:t>
                  </w:r>
                </w:p>
              </w:tc>
              <w:tc>
                <w:tcPr>
                  <w:tcW w:w="2400" w:type="dxa"/>
                  <w:shd w:val="clear" w:color="auto" w:fill="FFFFFF"/>
                  <w:tcMar>
                    <w:top w:w="60" w:type="dxa"/>
                    <w:left w:w="80" w:type="dxa"/>
                    <w:bottom w:w="60" w:type="dxa"/>
                    <w:right w:w="80" w:type="dxa"/>
                  </w:tcMar>
                  <w:vAlign w:val="center"/>
                </w:tcPr>
                <w:p w14:paraId="33D26083">
                  <w:pPr>
                    <w:pStyle w:val="21"/>
                    <w:bidi w:val="0"/>
                    <w:rPr>
                      <w:b w:val="0"/>
                      <w:color w:val="auto"/>
                    </w:rPr>
                  </w:pPr>
                  <w:r>
                    <w:rPr>
                      <w:b w:val="0"/>
                      <w:color w:val="auto"/>
                    </w:rPr>
                    <w:t>监测点位</w:t>
                  </w:r>
                </w:p>
              </w:tc>
              <w:tc>
                <w:tcPr>
                  <w:tcW w:w="1600" w:type="dxa"/>
                  <w:shd w:val="clear" w:color="auto" w:fill="FFFFFF"/>
                  <w:tcMar>
                    <w:top w:w="60" w:type="dxa"/>
                    <w:left w:w="80" w:type="dxa"/>
                    <w:bottom w:w="60" w:type="dxa"/>
                    <w:right w:w="80" w:type="dxa"/>
                  </w:tcMar>
                  <w:vAlign w:val="center"/>
                </w:tcPr>
                <w:p w14:paraId="52FE0E4A">
                  <w:pPr>
                    <w:pStyle w:val="21"/>
                    <w:bidi w:val="0"/>
                    <w:rPr>
                      <w:b w:val="0"/>
                      <w:color w:val="auto"/>
                    </w:rPr>
                  </w:pPr>
                  <w:r>
                    <w:rPr>
                      <w:b w:val="0"/>
                      <w:color w:val="auto"/>
                    </w:rPr>
                    <w:t>监测因子</w:t>
                  </w:r>
                </w:p>
              </w:tc>
              <w:tc>
                <w:tcPr>
                  <w:tcW w:w="1400" w:type="dxa"/>
                  <w:shd w:val="clear" w:color="auto" w:fill="FFFFFF"/>
                  <w:tcMar>
                    <w:top w:w="60" w:type="dxa"/>
                    <w:left w:w="80" w:type="dxa"/>
                    <w:bottom w:w="60" w:type="dxa"/>
                    <w:right w:w="80" w:type="dxa"/>
                  </w:tcMar>
                  <w:vAlign w:val="center"/>
                </w:tcPr>
                <w:p w14:paraId="04A122F9">
                  <w:pPr>
                    <w:pStyle w:val="21"/>
                    <w:bidi w:val="0"/>
                    <w:rPr>
                      <w:b w:val="0"/>
                      <w:color w:val="auto"/>
                    </w:rPr>
                  </w:pPr>
                  <w:r>
                    <w:rPr>
                      <w:b w:val="0"/>
                      <w:color w:val="auto"/>
                    </w:rPr>
                    <w:t>监测频次</w:t>
                  </w:r>
                </w:p>
              </w:tc>
              <w:tc>
                <w:tcPr>
                  <w:tcW w:w="1800" w:type="dxa"/>
                  <w:shd w:val="clear" w:color="auto" w:fill="FFFFFF"/>
                  <w:tcMar>
                    <w:top w:w="60" w:type="dxa"/>
                    <w:left w:w="80" w:type="dxa"/>
                    <w:bottom w:w="60" w:type="dxa"/>
                    <w:right w:w="80" w:type="dxa"/>
                  </w:tcMar>
                  <w:vAlign w:val="center"/>
                </w:tcPr>
                <w:p w14:paraId="3D614BDD">
                  <w:pPr>
                    <w:pStyle w:val="21"/>
                    <w:bidi w:val="0"/>
                    <w:rPr>
                      <w:b w:val="0"/>
                      <w:color w:val="auto"/>
                    </w:rPr>
                  </w:pPr>
                  <w:r>
                    <w:rPr>
                      <w:b w:val="0"/>
                      <w:color w:val="auto"/>
                    </w:rPr>
                    <w:t>执行标准</w:t>
                  </w:r>
                </w:p>
              </w:tc>
              <w:tc>
                <w:tcPr>
                  <w:tcW w:w="1238" w:type="dxa"/>
                  <w:shd w:val="clear" w:color="auto" w:fill="FFFFFF"/>
                  <w:tcMar>
                    <w:top w:w="60" w:type="dxa"/>
                    <w:left w:w="80" w:type="dxa"/>
                    <w:bottom w:w="60" w:type="dxa"/>
                    <w:right w:w="80" w:type="dxa"/>
                  </w:tcMar>
                  <w:vAlign w:val="center"/>
                </w:tcPr>
                <w:p w14:paraId="1905A249">
                  <w:pPr>
                    <w:pStyle w:val="21"/>
                    <w:bidi w:val="0"/>
                    <w:rPr>
                      <w:b w:val="0"/>
                      <w:color w:val="auto"/>
                    </w:rPr>
                  </w:pPr>
                  <w:r>
                    <w:rPr>
                      <w:b w:val="0"/>
                      <w:color w:val="auto"/>
                    </w:rPr>
                    <w:t>备注</w:t>
                  </w:r>
                </w:p>
              </w:tc>
            </w:tr>
            <w:tr w14:paraId="2251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shd w:val="clear" w:color="auto" w:fill="FFFFFF"/>
                  <w:tcMar>
                    <w:top w:w="60" w:type="dxa"/>
                    <w:left w:w="80" w:type="dxa"/>
                    <w:bottom w:w="60" w:type="dxa"/>
                    <w:right w:w="80" w:type="dxa"/>
                  </w:tcMar>
                  <w:vAlign w:val="center"/>
                </w:tcPr>
                <w:p w14:paraId="3A3932DE">
                  <w:pPr>
                    <w:pStyle w:val="21"/>
                    <w:bidi w:val="0"/>
                    <w:rPr>
                      <w:b w:val="0"/>
                      <w:color w:val="auto"/>
                    </w:rPr>
                  </w:pPr>
                  <w:r>
                    <w:rPr>
                      <w:b w:val="0"/>
                      <w:color w:val="auto"/>
                    </w:rPr>
                    <w:t>有组织</w:t>
                  </w:r>
                </w:p>
              </w:tc>
              <w:tc>
                <w:tcPr>
                  <w:tcW w:w="2400" w:type="dxa"/>
                  <w:shd w:val="clear" w:color="auto" w:fill="FFFFFF"/>
                  <w:tcMar>
                    <w:top w:w="60" w:type="dxa"/>
                    <w:left w:w="80" w:type="dxa"/>
                    <w:bottom w:w="60" w:type="dxa"/>
                    <w:right w:w="80" w:type="dxa"/>
                  </w:tcMar>
                  <w:vAlign w:val="center"/>
                </w:tcPr>
                <w:p w14:paraId="73BD3413">
                  <w:pPr>
                    <w:pStyle w:val="21"/>
                    <w:bidi w:val="0"/>
                    <w:rPr>
                      <w:b w:val="0"/>
                      <w:color w:val="auto"/>
                    </w:rPr>
                  </w:pPr>
                  <w:r>
                    <w:rPr>
                      <w:b w:val="0"/>
                      <w:color w:val="auto"/>
                    </w:rPr>
                    <w:t>干粉入仓粉尘排气筒DA001（袋式除尘器后）</w:t>
                  </w:r>
                </w:p>
              </w:tc>
              <w:tc>
                <w:tcPr>
                  <w:tcW w:w="1600" w:type="dxa"/>
                  <w:shd w:val="clear" w:color="auto" w:fill="FFFFFF"/>
                  <w:tcMar>
                    <w:top w:w="60" w:type="dxa"/>
                    <w:left w:w="80" w:type="dxa"/>
                    <w:bottom w:w="60" w:type="dxa"/>
                    <w:right w:w="80" w:type="dxa"/>
                  </w:tcMar>
                  <w:vAlign w:val="center"/>
                </w:tcPr>
                <w:p w14:paraId="43953898">
                  <w:pPr>
                    <w:pStyle w:val="21"/>
                    <w:bidi w:val="0"/>
                    <w:rPr>
                      <w:b w:val="0"/>
                      <w:color w:val="auto"/>
                    </w:rPr>
                  </w:pPr>
                  <w:r>
                    <w:rPr>
                      <w:b w:val="0"/>
                      <w:color w:val="auto"/>
                    </w:rPr>
                    <w:t>颗粒物、烟气参数（温度、流速、流量、湿度、含氧量）</w:t>
                  </w:r>
                </w:p>
              </w:tc>
              <w:tc>
                <w:tcPr>
                  <w:tcW w:w="1400" w:type="dxa"/>
                  <w:shd w:val="clear" w:color="auto" w:fill="FFFFFF"/>
                  <w:tcMar>
                    <w:top w:w="60" w:type="dxa"/>
                    <w:left w:w="80" w:type="dxa"/>
                    <w:bottom w:w="60" w:type="dxa"/>
                    <w:right w:w="80" w:type="dxa"/>
                  </w:tcMar>
                  <w:vAlign w:val="center"/>
                </w:tcPr>
                <w:p w14:paraId="19BD5B69">
                  <w:pPr>
                    <w:pStyle w:val="21"/>
                    <w:bidi w:val="0"/>
                    <w:rPr>
                      <w:b w:val="0"/>
                      <w:color w:val="auto"/>
                    </w:rPr>
                  </w:pPr>
                  <w:r>
                    <w:rPr>
                      <w:b w:val="0"/>
                      <w:color w:val="auto"/>
                    </w:rPr>
                    <w:t>每年1次</w:t>
                  </w:r>
                </w:p>
              </w:tc>
              <w:tc>
                <w:tcPr>
                  <w:tcW w:w="1800" w:type="dxa"/>
                  <w:shd w:val="clear" w:color="auto" w:fill="FFFFFF"/>
                  <w:tcMar>
                    <w:top w:w="60" w:type="dxa"/>
                    <w:left w:w="80" w:type="dxa"/>
                    <w:bottom w:w="60" w:type="dxa"/>
                    <w:right w:w="80" w:type="dxa"/>
                  </w:tcMar>
                  <w:vAlign w:val="center"/>
                </w:tcPr>
                <w:p w14:paraId="119017F6">
                  <w:pPr>
                    <w:pStyle w:val="21"/>
                    <w:bidi w:val="0"/>
                    <w:rPr>
                      <w:b w:val="0"/>
                      <w:color w:val="auto"/>
                    </w:rPr>
                  </w:pPr>
                  <w:r>
                    <w:rPr>
                      <w:b w:val="0"/>
                      <w:color w:val="auto"/>
                    </w:rPr>
                    <w:t>《水泥工业大气污染物排放标准》（GB4915-2013，含2025年修改单）表1</w:t>
                  </w:r>
                </w:p>
              </w:tc>
              <w:tc>
                <w:tcPr>
                  <w:tcW w:w="1238" w:type="dxa"/>
                  <w:shd w:val="clear" w:color="auto" w:fill="FFFFFF"/>
                  <w:tcMar>
                    <w:top w:w="60" w:type="dxa"/>
                    <w:left w:w="80" w:type="dxa"/>
                    <w:bottom w:w="60" w:type="dxa"/>
                    <w:right w:w="80" w:type="dxa"/>
                  </w:tcMar>
                  <w:vAlign w:val="center"/>
                </w:tcPr>
                <w:p w14:paraId="25E7B1FE">
                  <w:pPr>
                    <w:pStyle w:val="21"/>
                    <w:bidi w:val="0"/>
                    <w:rPr>
                      <w:b w:val="0"/>
                      <w:color w:val="auto"/>
                    </w:rPr>
                  </w:pPr>
                  <w:r>
                    <w:rPr>
                      <w:b w:val="0"/>
                      <w:color w:val="auto"/>
                    </w:rPr>
                    <w:t>监测排放浓度及速率；核算收集效率98%</w:t>
                  </w:r>
                </w:p>
              </w:tc>
            </w:tr>
            <w:tr w14:paraId="1E5A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shd w:val="clear" w:color="auto" w:fill="FFFFFF"/>
                  <w:tcMar>
                    <w:top w:w="60" w:type="dxa"/>
                    <w:left w:w="80" w:type="dxa"/>
                    <w:bottom w:w="60" w:type="dxa"/>
                    <w:right w:w="80" w:type="dxa"/>
                  </w:tcMar>
                  <w:vAlign w:val="center"/>
                </w:tcPr>
                <w:p w14:paraId="707532A6">
                  <w:pPr>
                    <w:pStyle w:val="21"/>
                    <w:bidi w:val="0"/>
                    <w:rPr>
                      <w:b w:val="0"/>
                      <w:color w:val="auto"/>
                    </w:rPr>
                  </w:pPr>
                  <w:r>
                    <w:rPr>
                      <w:b w:val="0"/>
                      <w:color w:val="auto"/>
                    </w:rPr>
                    <w:t>有组织</w:t>
                  </w:r>
                </w:p>
              </w:tc>
              <w:tc>
                <w:tcPr>
                  <w:tcW w:w="2400" w:type="dxa"/>
                  <w:shd w:val="clear" w:color="auto" w:fill="FFFFFF"/>
                  <w:tcMar>
                    <w:top w:w="60" w:type="dxa"/>
                    <w:left w:w="80" w:type="dxa"/>
                    <w:bottom w:w="60" w:type="dxa"/>
                    <w:right w:w="80" w:type="dxa"/>
                  </w:tcMar>
                  <w:vAlign w:val="center"/>
                </w:tcPr>
                <w:p w14:paraId="60703652">
                  <w:pPr>
                    <w:pStyle w:val="21"/>
                    <w:bidi w:val="0"/>
                    <w:rPr>
                      <w:b w:val="0"/>
                      <w:color w:val="auto"/>
                    </w:rPr>
                  </w:pPr>
                  <w:r>
                    <w:rPr>
                      <w:b w:val="0"/>
                      <w:color w:val="auto"/>
                    </w:rPr>
                    <w:t>复合制板、养护排气筒DA002（二级活性炭后）</w:t>
                  </w:r>
                </w:p>
              </w:tc>
              <w:tc>
                <w:tcPr>
                  <w:tcW w:w="1600" w:type="dxa"/>
                  <w:shd w:val="clear" w:color="auto" w:fill="FFFFFF"/>
                  <w:tcMar>
                    <w:top w:w="60" w:type="dxa"/>
                    <w:left w:w="80" w:type="dxa"/>
                    <w:bottom w:w="60" w:type="dxa"/>
                    <w:right w:w="80" w:type="dxa"/>
                  </w:tcMar>
                  <w:vAlign w:val="center"/>
                </w:tcPr>
                <w:p w14:paraId="18C00237">
                  <w:pPr>
                    <w:pStyle w:val="21"/>
                    <w:bidi w:val="0"/>
                    <w:rPr>
                      <w:b w:val="0"/>
                      <w:color w:val="auto"/>
                    </w:rPr>
                  </w:pPr>
                  <w:r>
                    <w:rPr>
                      <w:b w:val="0"/>
                      <w:color w:val="auto"/>
                    </w:rPr>
                    <w:t>非甲烷总烃（NMHC）、烟气参数</w:t>
                  </w:r>
                </w:p>
              </w:tc>
              <w:tc>
                <w:tcPr>
                  <w:tcW w:w="1400" w:type="dxa"/>
                  <w:shd w:val="clear" w:color="auto" w:fill="FFFFFF"/>
                  <w:tcMar>
                    <w:top w:w="60" w:type="dxa"/>
                    <w:left w:w="80" w:type="dxa"/>
                    <w:bottom w:w="60" w:type="dxa"/>
                    <w:right w:w="80" w:type="dxa"/>
                  </w:tcMar>
                  <w:vAlign w:val="center"/>
                </w:tcPr>
                <w:p w14:paraId="62CFC606">
                  <w:pPr>
                    <w:pStyle w:val="21"/>
                    <w:bidi w:val="0"/>
                    <w:rPr>
                      <w:b w:val="0"/>
                      <w:color w:val="auto"/>
                    </w:rPr>
                  </w:pPr>
                  <w:r>
                    <w:rPr>
                      <w:b w:val="0"/>
                      <w:color w:val="auto"/>
                    </w:rPr>
                    <w:t>每年1次；建议增设在线监测</w:t>
                  </w:r>
                </w:p>
              </w:tc>
              <w:tc>
                <w:tcPr>
                  <w:tcW w:w="1800" w:type="dxa"/>
                  <w:shd w:val="clear" w:color="auto" w:fill="FFFFFF"/>
                  <w:tcMar>
                    <w:top w:w="60" w:type="dxa"/>
                    <w:left w:w="80" w:type="dxa"/>
                    <w:bottom w:w="60" w:type="dxa"/>
                    <w:right w:w="80" w:type="dxa"/>
                  </w:tcMar>
                  <w:vAlign w:val="center"/>
                </w:tcPr>
                <w:p w14:paraId="53075CF8">
                  <w:pPr>
                    <w:pStyle w:val="21"/>
                    <w:bidi w:val="0"/>
                    <w:rPr>
                      <w:b w:val="0"/>
                      <w:color w:val="auto"/>
                    </w:rPr>
                  </w:pPr>
                  <w:r>
                    <w:rPr>
                      <w:b w:val="0"/>
                      <w:color w:val="auto"/>
                    </w:rPr>
                    <w:t>《大气污染物综合排放标准》（GB16297-1996）表2二级</w:t>
                  </w:r>
                </w:p>
              </w:tc>
              <w:tc>
                <w:tcPr>
                  <w:tcW w:w="1238" w:type="dxa"/>
                  <w:shd w:val="clear" w:color="auto" w:fill="FFFFFF"/>
                  <w:tcMar>
                    <w:top w:w="60" w:type="dxa"/>
                    <w:left w:w="80" w:type="dxa"/>
                    <w:bottom w:w="60" w:type="dxa"/>
                    <w:right w:w="80" w:type="dxa"/>
                  </w:tcMar>
                  <w:vAlign w:val="center"/>
                </w:tcPr>
                <w:p w14:paraId="19728286">
                  <w:pPr>
                    <w:pStyle w:val="21"/>
                    <w:bidi w:val="0"/>
                    <w:rPr>
                      <w:b w:val="0"/>
                      <w:color w:val="auto"/>
                    </w:rPr>
                  </w:pPr>
                  <w:r>
                    <w:rPr>
                      <w:b w:val="0"/>
                      <w:color w:val="auto"/>
                    </w:rPr>
                    <w:t>监测吸附装置进出口浓度；若排污许可要求，设置CEMS</w:t>
                  </w:r>
                </w:p>
              </w:tc>
            </w:tr>
            <w:tr w14:paraId="6EDB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shd w:val="clear" w:color="auto" w:fill="FFFFFF"/>
                  <w:tcMar>
                    <w:top w:w="60" w:type="dxa"/>
                    <w:left w:w="80" w:type="dxa"/>
                    <w:bottom w:w="60" w:type="dxa"/>
                    <w:right w:w="80" w:type="dxa"/>
                  </w:tcMar>
                  <w:vAlign w:val="center"/>
                </w:tcPr>
                <w:p w14:paraId="151AA0A8">
                  <w:pPr>
                    <w:pStyle w:val="21"/>
                    <w:bidi w:val="0"/>
                    <w:rPr>
                      <w:b w:val="0"/>
                      <w:color w:val="auto"/>
                    </w:rPr>
                  </w:pPr>
                  <w:r>
                    <w:rPr>
                      <w:b w:val="0"/>
                      <w:color w:val="auto"/>
                    </w:rPr>
                    <w:t>有组织</w:t>
                  </w:r>
                </w:p>
              </w:tc>
              <w:tc>
                <w:tcPr>
                  <w:tcW w:w="2400" w:type="dxa"/>
                  <w:shd w:val="clear" w:color="auto" w:fill="FFFFFF"/>
                  <w:tcMar>
                    <w:top w:w="60" w:type="dxa"/>
                    <w:left w:w="80" w:type="dxa"/>
                    <w:bottom w:w="60" w:type="dxa"/>
                    <w:right w:w="80" w:type="dxa"/>
                  </w:tcMar>
                  <w:vAlign w:val="center"/>
                </w:tcPr>
                <w:p w14:paraId="2C697F38">
                  <w:pPr>
                    <w:pStyle w:val="21"/>
                    <w:bidi w:val="0"/>
                    <w:rPr>
                      <w:b w:val="0"/>
                      <w:color w:val="auto"/>
                    </w:rPr>
                  </w:pPr>
                  <w:r>
                    <w:rPr>
                      <w:b w:val="0"/>
                      <w:color w:val="auto"/>
                    </w:rPr>
                    <w:t>修边切割、雕刻粉尘排气筒DA003（袋式除尘器后）</w:t>
                  </w:r>
                </w:p>
              </w:tc>
              <w:tc>
                <w:tcPr>
                  <w:tcW w:w="1600" w:type="dxa"/>
                  <w:shd w:val="clear" w:color="auto" w:fill="FFFFFF"/>
                  <w:tcMar>
                    <w:top w:w="60" w:type="dxa"/>
                    <w:left w:w="80" w:type="dxa"/>
                    <w:bottom w:w="60" w:type="dxa"/>
                    <w:right w:w="80" w:type="dxa"/>
                  </w:tcMar>
                  <w:vAlign w:val="center"/>
                </w:tcPr>
                <w:p w14:paraId="5D56E230">
                  <w:pPr>
                    <w:pStyle w:val="21"/>
                    <w:bidi w:val="0"/>
                    <w:rPr>
                      <w:b w:val="0"/>
                      <w:color w:val="auto"/>
                    </w:rPr>
                  </w:pPr>
                  <w:r>
                    <w:rPr>
                      <w:b w:val="0"/>
                      <w:color w:val="auto"/>
                    </w:rPr>
                    <w:t>颗粒物、烟气参数</w:t>
                  </w:r>
                </w:p>
              </w:tc>
              <w:tc>
                <w:tcPr>
                  <w:tcW w:w="1400" w:type="dxa"/>
                  <w:shd w:val="clear" w:color="auto" w:fill="FFFFFF"/>
                  <w:tcMar>
                    <w:top w:w="60" w:type="dxa"/>
                    <w:left w:w="80" w:type="dxa"/>
                    <w:bottom w:w="60" w:type="dxa"/>
                    <w:right w:w="80" w:type="dxa"/>
                  </w:tcMar>
                  <w:vAlign w:val="center"/>
                </w:tcPr>
                <w:p w14:paraId="537EC805">
                  <w:pPr>
                    <w:pStyle w:val="21"/>
                    <w:bidi w:val="0"/>
                    <w:rPr>
                      <w:b w:val="0"/>
                      <w:color w:val="auto"/>
                    </w:rPr>
                  </w:pPr>
                  <w:r>
                    <w:rPr>
                      <w:b w:val="0"/>
                      <w:color w:val="auto"/>
                    </w:rPr>
                    <w:t>每年1次</w:t>
                  </w:r>
                </w:p>
              </w:tc>
              <w:tc>
                <w:tcPr>
                  <w:tcW w:w="1800" w:type="dxa"/>
                  <w:shd w:val="clear" w:color="auto" w:fill="FFFFFF"/>
                  <w:tcMar>
                    <w:top w:w="60" w:type="dxa"/>
                    <w:left w:w="80" w:type="dxa"/>
                    <w:bottom w:w="60" w:type="dxa"/>
                    <w:right w:w="80" w:type="dxa"/>
                  </w:tcMar>
                  <w:vAlign w:val="center"/>
                </w:tcPr>
                <w:p w14:paraId="6A2252FC">
                  <w:pPr>
                    <w:pStyle w:val="21"/>
                    <w:bidi w:val="0"/>
                    <w:rPr>
                      <w:b w:val="0"/>
                      <w:color w:val="auto"/>
                    </w:rPr>
                  </w:pPr>
                  <w:r>
                    <w:rPr>
                      <w:b w:val="0"/>
                      <w:color w:val="auto"/>
                    </w:rPr>
                    <w:t>《水泥工业大气污染物排放标准》（GB4915-2013，含2025年修改单）表1</w:t>
                  </w:r>
                </w:p>
              </w:tc>
              <w:tc>
                <w:tcPr>
                  <w:tcW w:w="1238" w:type="dxa"/>
                  <w:shd w:val="clear" w:color="auto" w:fill="FFFFFF"/>
                  <w:tcMar>
                    <w:top w:w="60" w:type="dxa"/>
                    <w:left w:w="80" w:type="dxa"/>
                    <w:bottom w:w="60" w:type="dxa"/>
                    <w:right w:w="80" w:type="dxa"/>
                  </w:tcMar>
                  <w:vAlign w:val="center"/>
                </w:tcPr>
                <w:p w14:paraId="7BBC25C5">
                  <w:pPr>
                    <w:pStyle w:val="21"/>
                    <w:bidi w:val="0"/>
                    <w:rPr>
                      <w:b w:val="0"/>
                      <w:color w:val="auto"/>
                    </w:rPr>
                  </w:pPr>
                  <w:r>
                    <w:rPr>
                      <w:b w:val="0"/>
                      <w:color w:val="auto"/>
                    </w:rPr>
                    <w:t>监测排放浓度及速率；核算收集效率</w:t>
                  </w:r>
                </w:p>
              </w:tc>
            </w:tr>
            <w:tr w14:paraId="072D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shd w:val="clear" w:color="auto" w:fill="FFFFFF"/>
                  <w:tcMar>
                    <w:top w:w="60" w:type="dxa"/>
                    <w:left w:w="80" w:type="dxa"/>
                    <w:bottom w:w="60" w:type="dxa"/>
                    <w:right w:w="80" w:type="dxa"/>
                  </w:tcMar>
                  <w:vAlign w:val="center"/>
                </w:tcPr>
                <w:p w14:paraId="08EEC4C5">
                  <w:pPr>
                    <w:pStyle w:val="21"/>
                    <w:bidi w:val="0"/>
                    <w:rPr>
                      <w:b w:val="0"/>
                      <w:color w:val="auto"/>
                    </w:rPr>
                  </w:pPr>
                  <w:r>
                    <w:rPr>
                      <w:b w:val="0"/>
                      <w:color w:val="auto"/>
                    </w:rPr>
                    <w:t>无组织</w:t>
                  </w:r>
                </w:p>
              </w:tc>
              <w:tc>
                <w:tcPr>
                  <w:tcW w:w="2400" w:type="dxa"/>
                  <w:shd w:val="clear" w:color="auto" w:fill="FFFFFF"/>
                  <w:tcMar>
                    <w:top w:w="60" w:type="dxa"/>
                    <w:left w:w="80" w:type="dxa"/>
                    <w:bottom w:w="60" w:type="dxa"/>
                    <w:right w:w="80" w:type="dxa"/>
                  </w:tcMar>
                  <w:vAlign w:val="center"/>
                </w:tcPr>
                <w:p w14:paraId="346EEE58">
                  <w:pPr>
                    <w:pStyle w:val="21"/>
                    <w:bidi w:val="0"/>
                    <w:rPr>
                      <w:b w:val="0"/>
                      <w:color w:val="auto"/>
                    </w:rPr>
                  </w:pPr>
                  <w:r>
                    <w:rPr>
                      <w:b w:val="0"/>
                      <w:color w:val="auto"/>
                    </w:rPr>
                    <w:t>生产车间门窗、通风口外1m处监控点</w:t>
                  </w:r>
                </w:p>
              </w:tc>
              <w:tc>
                <w:tcPr>
                  <w:tcW w:w="1600" w:type="dxa"/>
                  <w:shd w:val="clear" w:color="auto" w:fill="FFFFFF"/>
                  <w:tcMar>
                    <w:top w:w="60" w:type="dxa"/>
                    <w:left w:w="80" w:type="dxa"/>
                    <w:bottom w:w="60" w:type="dxa"/>
                    <w:right w:w="80" w:type="dxa"/>
                  </w:tcMar>
                  <w:vAlign w:val="center"/>
                </w:tcPr>
                <w:p w14:paraId="3DCB1BAE">
                  <w:pPr>
                    <w:pStyle w:val="21"/>
                    <w:bidi w:val="0"/>
                    <w:rPr>
                      <w:b w:val="0"/>
                      <w:color w:val="auto"/>
                    </w:rPr>
                  </w:pPr>
                  <w:r>
                    <w:rPr>
                      <w:b w:val="0"/>
                      <w:color w:val="auto"/>
                    </w:rPr>
                    <w:t>颗粒物、NMHC</w:t>
                  </w:r>
                </w:p>
              </w:tc>
              <w:tc>
                <w:tcPr>
                  <w:tcW w:w="1400" w:type="dxa"/>
                  <w:shd w:val="clear" w:color="auto" w:fill="FFFFFF"/>
                  <w:tcMar>
                    <w:top w:w="60" w:type="dxa"/>
                    <w:left w:w="80" w:type="dxa"/>
                    <w:bottom w:w="60" w:type="dxa"/>
                    <w:right w:w="80" w:type="dxa"/>
                  </w:tcMar>
                  <w:vAlign w:val="center"/>
                </w:tcPr>
                <w:p w14:paraId="0355EEBF">
                  <w:pPr>
                    <w:pStyle w:val="21"/>
                    <w:bidi w:val="0"/>
                    <w:rPr>
                      <w:b w:val="0"/>
                      <w:color w:val="auto"/>
                    </w:rPr>
                  </w:pPr>
                  <w:r>
                    <w:rPr>
                      <w:b w:val="0"/>
                      <w:color w:val="auto"/>
                    </w:rPr>
                    <w:t>每年1次</w:t>
                  </w:r>
                </w:p>
              </w:tc>
              <w:tc>
                <w:tcPr>
                  <w:tcW w:w="1800" w:type="dxa"/>
                  <w:shd w:val="clear" w:color="auto" w:fill="FFFFFF"/>
                  <w:tcMar>
                    <w:top w:w="60" w:type="dxa"/>
                    <w:left w:w="80" w:type="dxa"/>
                    <w:bottom w:w="60" w:type="dxa"/>
                    <w:right w:w="80" w:type="dxa"/>
                  </w:tcMar>
                  <w:vAlign w:val="center"/>
                </w:tcPr>
                <w:p w14:paraId="1F699766">
                  <w:pPr>
                    <w:pStyle w:val="21"/>
                    <w:bidi w:val="0"/>
                    <w:rPr>
                      <w:b w:val="0"/>
                      <w:color w:val="auto"/>
                    </w:rPr>
                  </w:pPr>
                  <w:r>
                    <w:rPr>
                      <w:b w:val="0"/>
                      <w:color w:val="auto"/>
                    </w:rPr>
                    <w:t>《挥发性有机物无组织排放控制标准》（GB37822-2019）表A.1及《水泥工业大气污染物排放标准》无组织限值</w:t>
                  </w:r>
                </w:p>
              </w:tc>
              <w:tc>
                <w:tcPr>
                  <w:tcW w:w="1238" w:type="dxa"/>
                  <w:shd w:val="clear" w:color="auto" w:fill="FFFFFF"/>
                  <w:tcMar>
                    <w:top w:w="60" w:type="dxa"/>
                    <w:left w:w="80" w:type="dxa"/>
                    <w:bottom w:w="60" w:type="dxa"/>
                    <w:right w:w="80" w:type="dxa"/>
                  </w:tcMar>
                  <w:vAlign w:val="center"/>
                </w:tcPr>
                <w:p w14:paraId="6D8F5D93">
                  <w:pPr>
                    <w:pStyle w:val="21"/>
                    <w:bidi w:val="0"/>
                    <w:rPr>
                      <w:b w:val="0"/>
                      <w:color w:val="auto"/>
                    </w:rPr>
                  </w:pPr>
                  <w:r>
                    <w:rPr>
                      <w:b w:val="0"/>
                      <w:color w:val="auto"/>
                    </w:rPr>
                    <w:t>监控点1h平均及任意一次浓度</w:t>
                  </w:r>
                </w:p>
              </w:tc>
            </w:tr>
            <w:tr w14:paraId="52AB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00" w:type="dxa"/>
                  <w:shd w:val="clear" w:color="auto" w:fill="FFFFFF"/>
                  <w:tcMar>
                    <w:top w:w="60" w:type="dxa"/>
                    <w:left w:w="80" w:type="dxa"/>
                    <w:bottom w:w="60" w:type="dxa"/>
                    <w:right w:w="80" w:type="dxa"/>
                  </w:tcMar>
                  <w:vAlign w:val="center"/>
                </w:tcPr>
                <w:p w14:paraId="1D7C871B">
                  <w:pPr>
                    <w:pStyle w:val="21"/>
                    <w:bidi w:val="0"/>
                    <w:rPr>
                      <w:b w:val="0"/>
                      <w:color w:val="auto"/>
                    </w:rPr>
                  </w:pPr>
                  <w:r>
                    <w:rPr>
                      <w:b w:val="0"/>
                      <w:color w:val="auto"/>
                    </w:rPr>
                    <w:t>无组织</w:t>
                  </w:r>
                </w:p>
              </w:tc>
              <w:tc>
                <w:tcPr>
                  <w:tcW w:w="2400" w:type="dxa"/>
                  <w:shd w:val="clear" w:color="auto" w:fill="FFFFFF"/>
                  <w:tcMar>
                    <w:top w:w="60" w:type="dxa"/>
                    <w:left w:w="80" w:type="dxa"/>
                    <w:bottom w:w="60" w:type="dxa"/>
                    <w:right w:w="80" w:type="dxa"/>
                  </w:tcMar>
                  <w:vAlign w:val="center"/>
                </w:tcPr>
                <w:p w14:paraId="1D8319B4">
                  <w:pPr>
                    <w:pStyle w:val="21"/>
                    <w:bidi w:val="0"/>
                    <w:rPr>
                      <w:b w:val="0"/>
                      <w:color w:val="auto"/>
                    </w:rPr>
                  </w:pPr>
                  <w:r>
                    <w:rPr>
                      <w:b w:val="0"/>
                      <w:color w:val="auto"/>
                    </w:rPr>
                    <w:t>厂界上风向参照点（1个）及下风向监控点（3个）</w:t>
                  </w:r>
                </w:p>
              </w:tc>
              <w:tc>
                <w:tcPr>
                  <w:tcW w:w="1600" w:type="dxa"/>
                  <w:shd w:val="clear" w:color="auto" w:fill="FFFFFF"/>
                  <w:tcMar>
                    <w:top w:w="60" w:type="dxa"/>
                    <w:left w:w="80" w:type="dxa"/>
                    <w:bottom w:w="60" w:type="dxa"/>
                    <w:right w:w="80" w:type="dxa"/>
                  </w:tcMar>
                  <w:vAlign w:val="center"/>
                </w:tcPr>
                <w:p w14:paraId="03CDE553">
                  <w:pPr>
                    <w:pStyle w:val="21"/>
                    <w:bidi w:val="0"/>
                    <w:rPr>
                      <w:b w:val="0"/>
                      <w:color w:val="auto"/>
                    </w:rPr>
                  </w:pPr>
                  <w:r>
                    <w:rPr>
                      <w:b w:val="0"/>
                      <w:color w:val="auto"/>
                    </w:rPr>
                    <w:t>颗粒物、NMHC</w:t>
                  </w:r>
                </w:p>
              </w:tc>
              <w:tc>
                <w:tcPr>
                  <w:tcW w:w="1400" w:type="dxa"/>
                  <w:shd w:val="clear" w:color="auto" w:fill="FFFFFF"/>
                  <w:tcMar>
                    <w:top w:w="60" w:type="dxa"/>
                    <w:left w:w="80" w:type="dxa"/>
                    <w:bottom w:w="60" w:type="dxa"/>
                    <w:right w:w="80" w:type="dxa"/>
                  </w:tcMar>
                  <w:vAlign w:val="center"/>
                </w:tcPr>
                <w:p w14:paraId="52EAFB43">
                  <w:pPr>
                    <w:pStyle w:val="21"/>
                    <w:bidi w:val="0"/>
                    <w:rPr>
                      <w:b w:val="0"/>
                      <w:color w:val="auto"/>
                    </w:rPr>
                  </w:pPr>
                  <w:r>
                    <w:rPr>
                      <w:b w:val="0"/>
                      <w:color w:val="auto"/>
                    </w:rPr>
                    <w:t>每年1次</w:t>
                  </w:r>
                </w:p>
              </w:tc>
              <w:tc>
                <w:tcPr>
                  <w:tcW w:w="1800" w:type="dxa"/>
                  <w:shd w:val="clear" w:color="auto" w:fill="FFFFFF"/>
                  <w:tcMar>
                    <w:top w:w="60" w:type="dxa"/>
                    <w:left w:w="80" w:type="dxa"/>
                    <w:bottom w:w="60" w:type="dxa"/>
                    <w:right w:w="80" w:type="dxa"/>
                  </w:tcMar>
                  <w:vAlign w:val="center"/>
                </w:tcPr>
                <w:p w14:paraId="4EAD1008">
                  <w:pPr>
                    <w:pStyle w:val="21"/>
                    <w:bidi w:val="0"/>
                    <w:rPr>
                      <w:b w:val="0"/>
                      <w:color w:val="auto"/>
                    </w:rPr>
                  </w:pPr>
                  <w:r>
                    <w:rPr>
                      <w:b w:val="0"/>
                      <w:color w:val="auto"/>
                    </w:rPr>
                    <w:t>同上 + 周界外浓度限值（颗粒物监控点与参照点TSP 1h浓度差≤0.5mg/m³）</w:t>
                  </w:r>
                </w:p>
              </w:tc>
              <w:tc>
                <w:tcPr>
                  <w:tcW w:w="1238" w:type="dxa"/>
                  <w:shd w:val="clear" w:color="auto" w:fill="FFFFFF"/>
                  <w:tcMar>
                    <w:top w:w="60" w:type="dxa"/>
                    <w:left w:w="80" w:type="dxa"/>
                    <w:bottom w:w="60" w:type="dxa"/>
                    <w:right w:w="80" w:type="dxa"/>
                  </w:tcMar>
                  <w:vAlign w:val="center"/>
                </w:tcPr>
                <w:p w14:paraId="39EA8A27">
                  <w:pPr>
                    <w:pStyle w:val="21"/>
                    <w:bidi w:val="0"/>
                    <w:rPr>
                      <w:b w:val="0"/>
                      <w:color w:val="auto"/>
                    </w:rPr>
                  </w:pPr>
                  <w:r>
                    <w:rPr>
                      <w:b w:val="0"/>
                      <w:color w:val="auto"/>
                    </w:rPr>
                    <w:t>用于厂界无组织排放达标判断</w:t>
                  </w:r>
                </w:p>
              </w:tc>
            </w:tr>
          </w:tbl>
          <w:p w14:paraId="248D7194">
            <w:pPr>
              <w:pStyle w:val="20"/>
              <w:bidi w:val="0"/>
              <w:rPr>
                <w:rFonts w:hint="eastAsia"/>
                <w:color w:val="auto"/>
              </w:rPr>
            </w:pPr>
          </w:p>
          <w:p w14:paraId="20EDFC56">
            <w:pPr>
              <w:pStyle w:val="4"/>
              <w:bidi w:val="0"/>
              <w:rPr>
                <w:rFonts w:hint="eastAsia"/>
                <w:color w:val="auto"/>
              </w:rPr>
            </w:pPr>
            <w:r>
              <w:rPr>
                <w:rFonts w:hint="eastAsia"/>
                <w:color w:val="auto"/>
              </w:rPr>
              <w:t>废水自行监测计划</w:t>
            </w:r>
          </w:p>
          <w:p w14:paraId="64E633C6">
            <w:pPr>
              <w:ind w:firstLine="480"/>
              <w:rPr>
                <w:rFonts w:hint="eastAsia" w:eastAsia="宋体"/>
                <w:color w:val="auto"/>
              </w:rPr>
            </w:pPr>
            <w:r>
              <w:rPr>
                <w:rFonts w:hint="eastAsia" w:eastAsia="宋体"/>
                <w:color w:val="auto"/>
              </w:rPr>
              <w:t>项目不产生生产废水（养护冷凝水全回用），仅产生生活污水，经预处理后依托库尔勒经济技术开发区污水处理厂处理。监测点位为生活污水预处理后接入市政污水管网的排放口。</w:t>
            </w:r>
          </w:p>
          <w:p w14:paraId="7E706E3C">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41</w:t>
            </w:r>
            <w:r>
              <w:rPr>
                <w:color w:val="auto"/>
              </w:rPr>
              <w:fldChar w:fldCharType="end"/>
            </w:r>
            <w:r>
              <w:rPr>
                <w:rFonts w:hint="eastAsia"/>
                <w:color w:val="auto"/>
                <w:lang w:val="en-US" w:eastAsia="zh-CN"/>
              </w:rPr>
              <w:t xml:space="preserve">  废水监测计划</w:t>
            </w:r>
          </w:p>
          <w:tbl>
            <w:tblPr>
              <w:tblStyle w:val="15"/>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3"/>
              <w:gridCol w:w="1723"/>
              <w:gridCol w:w="1263"/>
              <w:gridCol w:w="1723"/>
              <w:gridCol w:w="1139"/>
            </w:tblGrid>
            <w:tr w14:paraId="15B2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200" w:type="dxa"/>
                  <w:tcBorders>
                    <w:tl2br w:val="nil"/>
                  </w:tcBorders>
                  <w:shd w:val="clear" w:color="auto" w:fill="FFFFFF"/>
                  <w:tcMar>
                    <w:top w:w="60" w:type="dxa"/>
                    <w:left w:w="80" w:type="dxa"/>
                    <w:bottom w:w="60" w:type="dxa"/>
                    <w:right w:w="80" w:type="dxa"/>
                  </w:tcMar>
                  <w:vAlign w:val="center"/>
                </w:tcPr>
                <w:p w14:paraId="08E2644F">
                  <w:pPr>
                    <w:pStyle w:val="21"/>
                    <w:bidi w:val="0"/>
                    <w:rPr>
                      <w:color w:val="auto"/>
                    </w:rPr>
                  </w:pPr>
                  <w:r>
                    <w:rPr>
                      <w:color w:val="auto"/>
                    </w:rPr>
                    <w:t>监测点位</w:t>
                  </w:r>
                </w:p>
              </w:tc>
              <w:tc>
                <w:tcPr>
                  <w:tcW w:w="2200" w:type="dxa"/>
                  <w:shd w:val="clear" w:color="auto" w:fill="FFFFFF"/>
                  <w:tcMar>
                    <w:top w:w="60" w:type="dxa"/>
                    <w:left w:w="80" w:type="dxa"/>
                    <w:bottom w:w="60" w:type="dxa"/>
                    <w:right w:w="80" w:type="dxa"/>
                  </w:tcMar>
                  <w:vAlign w:val="center"/>
                </w:tcPr>
                <w:p w14:paraId="41B5393D">
                  <w:pPr>
                    <w:pStyle w:val="21"/>
                    <w:bidi w:val="0"/>
                    <w:rPr>
                      <w:color w:val="auto"/>
                    </w:rPr>
                  </w:pPr>
                  <w:r>
                    <w:rPr>
                      <w:color w:val="auto"/>
                    </w:rPr>
                    <w:t>监测因子</w:t>
                  </w:r>
                </w:p>
              </w:tc>
              <w:tc>
                <w:tcPr>
                  <w:tcW w:w="1600" w:type="dxa"/>
                  <w:shd w:val="clear" w:color="auto" w:fill="FFFFFF"/>
                  <w:tcMar>
                    <w:top w:w="60" w:type="dxa"/>
                    <w:left w:w="80" w:type="dxa"/>
                    <w:bottom w:w="60" w:type="dxa"/>
                    <w:right w:w="80" w:type="dxa"/>
                  </w:tcMar>
                  <w:vAlign w:val="center"/>
                </w:tcPr>
                <w:p w14:paraId="57D32AA2">
                  <w:pPr>
                    <w:pStyle w:val="21"/>
                    <w:bidi w:val="0"/>
                    <w:rPr>
                      <w:color w:val="auto"/>
                    </w:rPr>
                  </w:pPr>
                  <w:r>
                    <w:rPr>
                      <w:color w:val="auto"/>
                    </w:rPr>
                    <w:t>监测频次</w:t>
                  </w:r>
                </w:p>
              </w:tc>
              <w:tc>
                <w:tcPr>
                  <w:tcW w:w="2200" w:type="dxa"/>
                  <w:shd w:val="clear" w:color="auto" w:fill="FFFFFF"/>
                  <w:tcMar>
                    <w:top w:w="60" w:type="dxa"/>
                    <w:left w:w="80" w:type="dxa"/>
                    <w:bottom w:w="60" w:type="dxa"/>
                    <w:right w:w="80" w:type="dxa"/>
                  </w:tcMar>
                  <w:vAlign w:val="center"/>
                </w:tcPr>
                <w:p w14:paraId="5D231DA0">
                  <w:pPr>
                    <w:pStyle w:val="21"/>
                    <w:bidi w:val="0"/>
                    <w:rPr>
                      <w:color w:val="auto"/>
                    </w:rPr>
                  </w:pPr>
                  <w:r>
                    <w:rPr>
                      <w:color w:val="auto"/>
                    </w:rPr>
                    <w:t>执行标准</w:t>
                  </w:r>
                </w:p>
              </w:tc>
              <w:tc>
                <w:tcPr>
                  <w:tcW w:w="1438" w:type="dxa"/>
                  <w:shd w:val="clear" w:color="auto" w:fill="FFFFFF"/>
                  <w:tcMar>
                    <w:top w:w="60" w:type="dxa"/>
                    <w:left w:w="80" w:type="dxa"/>
                    <w:bottom w:w="60" w:type="dxa"/>
                    <w:right w:w="80" w:type="dxa"/>
                  </w:tcMar>
                  <w:vAlign w:val="center"/>
                </w:tcPr>
                <w:p w14:paraId="320997DF">
                  <w:pPr>
                    <w:pStyle w:val="21"/>
                    <w:bidi w:val="0"/>
                    <w:rPr>
                      <w:color w:val="auto"/>
                    </w:rPr>
                  </w:pPr>
                  <w:r>
                    <w:rPr>
                      <w:color w:val="auto"/>
                    </w:rPr>
                    <w:t>备注</w:t>
                  </w:r>
                </w:p>
              </w:tc>
            </w:tr>
            <w:tr w14:paraId="1E5A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200" w:type="dxa"/>
                  <w:shd w:val="clear" w:color="auto" w:fill="FFFFFF"/>
                  <w:tcMar>
                    <w:top w:w="60" w:type="dxa"/>
                    <w:left w:w="80" w:type="dxa"/>
                    <w:bottom w:w="60" w:type="dxa"/>
                    <w:right w:w="80" w:type="dxa"/>
                  </w:tcMar>
                  <w:vAlign w:val="center"/>
                </w:tcPr>
                <w:p w14:paraId="6E7FC15E">
                  <w:pPr>
                    <w:pStyle w:val="21"/>
                    <w:bidi w:val="0"/>
                    <w:rPr>
                      <w:color w:val="auto"/>
                    </w:rPr>
                  </w:pPr>
                  <w:r>
                    <w:rPr>
                      <w:color w:val="auto"/>
                    </w:rPr>
                    <w:t>生活污水预处理排放口（</w:t>
                  </w:r>
                </w:p>
              </w:tc>
              <w:tc>
                <w:tcPr>
                  <w:tcW w:w="2200" w:type="dxa"/>
                  <w:shd w:val="clear" w:color="auto" w:fill="FFFFFF"/>
                  <w:tcMar>
                    <w:top w:w="60" w:type="dxa"/>
                    <w:left w:w="80" w:type="dxa"/>
                    <w:bottom w:w="60" w:type="dxa"/>
                    <w:right w:w="80" w:type="dxa"/>
                  </w:tcMar>
                  <w:vAlign w:val="center"/>
                </w:tcPr>
                <w:p w14:paraId="1E2B0060">
                  <w:pPr>
                    <w:pStyle w:val="21"/>
                    <w:bidi w:val="0"/>
                    <w:rPr>
                      <w:color w:val="auto"/>
                    </w:rPr>
                  </w:pPr>
                  <w:r>
                    <w:rPr>
                      <w:color w:val="auto"/>
                    </w:rPr>
                    <w:t>pH、CODcr、BOD5、SS、氨氮</w:t>
                  </w:r>
                </w:p>
              </w:tc>
              <w:tc>
                <w:tcPr>
                  <w:tcW w:w="1600" w:type="dxa"/>
                  <w:shd w:val="clear" w:color="auto" w:fill="FFFFFF"/>
                  <w:tcMar>
                    <w:top w:w="60" w:type="dxa"/>
                    <w:left w:w="80" w:type="dxa"/>
                    <w:bottom w:w="60" w:type="dxa"/>
                    <w:right w:w="80" w:type="dxa"/>
                  </w:tcMar>
                  <w:vAlign w:val="center"/>
                </w:tcPr>
                <w:p w14:paraId="112A0717">
                  <w:pPr>
                    <w:pStyle w:val="21"/>
                    <w:bidi w:val="0"/>
                    <w:rPr>
                      <w:color w:val="auto"/>
                    </w:rPr>
                  </w:pPr>
                  <w:r>
                    <w:rPr>
                      <w:color w:val="auto"/>
                    </w:rPr>
                    <w:t>每季度1次</w:t>
                  </w:r>
                </w:p>
              </w:tc>
              <w:tc>
                <w:tcPr>
                  <w:tcW w:w="2200" w:type="dxa"/>
                  <w:shd w:val="clear" w:color="auto" w:fill="FFFFFF"/>
                  <w:tcMar>
                    <w:top w:w="60" w:type="dxa"/>
                    <w:left w:w="80" w:type="dxa"/>
                    <w:bottom w:w="60" w:type="dxa"/>
                    <w:right w:w="80" w:type="dxa"/>
                  </w:tcMar>
                  <w:vAlign w:val="center"/>
                </w:tcPr>
                <w:p w14:paraId="0FBDE321">
                  <w:pPr>
                    <w:pStyle w:val="21"/>
                    <w:bidi w:val="0"/>
                    <w:rPr>
                      <w:color w:val="auto"/>
                    </w:rPr>
                  </w:pPr>
                  <w:r>
                    <w:rPr>
                      <w:color w:val="auto"/>
                    </w:rPr>
                    <w:t>《污水综合排放标准》（GB8978-1996）表4三级标准及园区污水处理厂接管要求</w:t>
                  </w:r>
                </w:p>
              </w:tc>
              <w:tc>
                <w:tcPr>
                  <w:tcW w:w="1438" w:type="dxa"/>
                  <w:shd w:val="clear" w:color="auto" w:fill="FFFFFF"/>
                  <w:tcMar>
                    <w:top w:w="60" w:type="dxa"/>
                    <w:left w:w="80" w:type="dxa"/>
                    <w:bottom w:w="60" w:type="dxa"/>
                    <w:right w:w="80" w:type="dxa"/>
                  </w:tcMar>
                  <w:vAlign w:val="center"/>
                </w:tcPr>
                <w:p w14:paraId="1555E3EE">
                  <w:pPr>
                    <w:pStyle w:val="21"/>
                    <w:bidi w:val="0"/>
                    <w:rPr>
                      <w:color w:val="auto"/>
                    </w:rPr>
                  </w:pPr>
                  <w:r>
                    <w:rPr>
                      <w:color w:val="auto"/>
                    </w:rPr>
                    <w:t>同步记录排放水量；建议安装在线流量计或水质在线监测设备</w:t>
                  </w:r>
                </w:p>
              </w:tc>
            </w:tr>
          </w:tbl>
          <w:p w14:paraId="417D19F9">
            <w:pPr>
              <w:pStyle w:val="4"/>
              <w:bidi w:val="0"/>
              <w:rPr>
                <w:rFonts w:hint="eastAsia"/>
                <w:color w:val="auto"/>
              </w:rPr>
            </w:pPr>
            <w:r>
              <w:rPr>
                <w:rFonts w:hint="eastAsia"/>
                <w:color w:val="auto"/>
              </w:rPr>
              <w:t>噪声自行监测计划</w:t>
            </w:r>
          </w:p>
          <w:p w14:paraId="1CA74AC6">
            <w:pPr>
              <w:ind w:firstLine="480"/>
              <w:rPr>
                <w:rFonts w:hint="eastAsia" w:eastAsia="宋体"/>
                <w:color w:val="auto"/>
              </w:rPr>
            </w:pPr>
            <w:r>
              <w:rPr>
                <w:rFonts w:hint="eastAsia" w:eastAsia="宋体"/>
                <w:color w:val="auto"/>
              </w:rPr>
              <w:t>厂界噪声监测点位布设于东、南、西、北四个厂界方向（具体位置与声环境影响预测点位一致）。监测方法执行《声环境质量标准》（GB3096-2008）及相关监测技术规范，避开雨天、大风（风速&gt;5m/s）、雷电等异常气象条件，记录主要噪声源运行工况。</w:t>
            </w:r>
          </w:p>
          <w:p w14:paraId="45322B86">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42</w:t>
            </w:r>
            <w:r>
              <w:rPr>
                <w:color w:val="auto"/>
              </w:rPr>
              <w:fldChar w:fldCharType="end"/>
            </w:r>
            <w:r>
              <w:rPr>
                <w:rFonts w:hint="eastAsia"/>
                <w:color w:val="auto"/>
                <w:lang w:val="en-US" w:eastAsia="zh-CN"/>
              </w:rPr>
              <w:t xml:space="preserve">  噪声监测计划</w:t>
            </w:r>
          </w:p>
          <w:tbl>
            <w:tblPr>
              <w:tblStyle w:val="15"/>
              <w:tblW w:w="7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24"/>
              <w:gridCol w:w="2068"/>
              <w:gridCol w:w="1282"/>
              <w:gridCol w:w="2011"/>
              <w:gridCol w:w="986"/>
            </w:tblGrid>
            <w:tr w14:paraId="6F9A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24" w:type="dxa"/>
                  <w:tcBorders>
                    <w:tl2br w:val="nil"/>
                  </w:tcBorders>
                  <w:shd w:val="clear" w:color="auto" w:fill="FFFFFF"/>
                  <w:tcMar>
                    <w:top w:w="60" w:type="dxa"/>
                    <w:left w:w="80" w:type="dxa"/>
                    <w:bottom w:w="60" w:type="dxa"/>
                    <w:right w:w="80" w:type="dxa"/>
                  </w:tcMar>
                  <w:vAlign w:val="center"/>
                </w:tcPr>
                <w:p w14:paraId="0CEB73BB">
                  <w:pPr>
                    <w:pStyle w:val="21"/>
                    <w:bidi w:val="0"/>
                    <w:rPr>
                      <w:color w:val="auto"/>
                    </w:rPr>
                  </w:pPr>
                  <w:r>
                    <w:rPr>
                      <w:color w:val="auto"/>
                    </w:rPr>
                    <w:t>监测点位</w:t>
                  </w:r>
                </w:p>
              </w:tc>
              <w:tc>
                <w:tcPr>
                  <w:tcW w:w="2068" w:type="dxa"/>
                  <w:shd w:val="clear" w:color="auto" w:fill="FFFFFF"/>
                  <w:tcMar>
                    <w:top w:w="60" w:type="dxa"/>
                    <w:left w:w="80" w:type="dxa"/>
                    <w:bottom w:w="60" w:type="dxa"/>
                    <w:right w:w="80" w:type="dxa"/>
                  </w:tcMar>
                  <w:vAlign w:val="center"/>
                </w:tcPr>
                <w:p w14:paraId="714003DD">
                  <w:pPr>
                    <w:pStyle w:val="21"/>
                    <w:bidi w:val="0"/>
                    <w:rPr>
                      <w:color w:val="auto"/>
                    </w:rPr>
                  </w:pPr>
                  <w:r>
                    <w:rPr>
                      <w:color w:val="auto"/>
                    </w:rPr>
                    <w:t>监测因子</w:t>
                  </w:r>
                </w:p>
              </w:tc>
              <w:tc>
                <w:tcPr>
                  <w:tcW w:w="1282" w:type="dxa"/>
                  <w:shd w:val="clear" w:color="auto" w:fill="FFFFFF"/>
                  <w:tcMar>
                    <w:top w:w="60" w:type="dxa"/>
                    <w:left w:w="80" w:type="dxa"/>
                    <w:bottom w:w="60" w:type="dxa"/>
                    <w:right w:w="80" w:type="dxa"/>
                  </w:tcMar>
                  <w:vAlign w:val="center"/>
                </w:tcPr>
                <w:p w14:paraId="1483E34A">
                  <w:pPr>
                    <w:pStyle w:val="21"/>
                    <w:bidi w:val="0"/>
                    <w:rPr>
                      <w:color w:val="auto"/>
                    </w:rPr>
                  </w:pPr>
                  <w:r>
                    <w:rPr>
                      <w:color w:val="auto"/>
                    </w:rPr>
                    <w:t>监测频次</w:t>
                  </w:r>
                </w:p>
              </w:tc>
              <w:tc>
                <w:tcPr>
                  <w:tcW w:w="2011" w:type="dxa"/>
                  <w:shd w:val="clear" w:color="auto" w:fill="FFFFFF"/>
                  <w:tcMar>
                    <w:top w:w="60" w:type="dxa"/>
                    <w:left w:w="80" w:type="dxa"/>
                    <w:bottom w:w="60" w:type="dxa"/>
                    <w:right w:w="80" w:type="dxa"/>
                  </w:tcMar>
                  <w:vAlign w:val="center"/>
                </w:tcPr>
                <w:p w14:paraId="25288C7C">
                  <w:pPr>
                    <w:pStyle w:val="21"/>
                    <w:bidi w:val="0"/>
                    <w:rPr>
                      <w:color w:val="auto"/>
                    </w:rPr>
                  </w:pPr>
                  <w:r>
                    <w:rPr>
                      <w:color w:val="auto"/>
                    </w:rPr>
                    <w:t>执行标准</w:t>
                  </w:r>
                </w:p>
              </w:tc>
              <w:tc>
                <w:tcPr>
                  <w:tcW w:w="986" w:type="dxa"/>
                  <w:shd w:val="clear" w:color="auto" w:fill="FFFFFF"/>
                  <w:tcMar>
                    <w:top w:w="60" w:type="dxa"/>
                    <w:left w:w="80" w:type="dxa"/>
                    <w:bottom w:w="60" w:type="dxa"/>
                    <w:right w:w="80" w:type="dxa"/>
                  </w:tcMar>
                  <w:vAlign w:val="center"/>
                </w:tcPr>
                <w:p w14:paraId="306146CB">
                  <w:pPr>
                    <w:pStyle w:val="21"/>
                    <w:bidi w:val="0"/>
                    <w:rPr>
                      <w:color w:val="auto"/>
                    </w:rPr>
                  </w:pPr>
                  <w:r>
                    <w:rPr>
                      <w:color w:val="auto"/>
                    </w:rPr>
                    <w:t>备注</w:t>
                  </w:r>
                </w:p>
              </w:tc>
            </w:tr>
            <w:tr w14:paraId="4D7E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24" w:type="dxa"/>
                  <w:shd w:val="clear" w:color="auto" w:fill="FFFFFF"/>
                  <w:tcMar>
                    <w:top w:w="60" w:type="dxa"/>
                    <w:left w:w="80" w:type="dxa"/>
                    <w:bottom w:w="60" w:type="dxa"/>
                    <w:right w:w="80" w:type="dxa"/>
                  </w:tcMar>
                  <w:vAlign w:val="center"/>
                </w:tcPr>
                <w:p w14:paraId="16847FF2">
                  <w:pPr>
                    <w:pStyle w:val="21"/>
                    <w:bidi w:val="0"/>
                    <w:rPr>
                      <w:color w:val="auto"/>
                    </w:rPr>
                  </w:pPr>
                  <w:r>
                    <w:rPr>
                      <w:color w:val="auto"/>
                    </w:rPr>
                    <w:t>厂界东厂界监测点</w:t>
                  </w:r>
                </w:p>
              </w:tc>
              <w:tc>
                <w:tcPr>
                  <w:tcW w:w="2068" w:type="dxa"/>
                  <w:shd w:val="clear" w:color="auto" w:fill="FFFFFF"/>
                  <w:tcMar>
                    <w:top w:w="60" w:type="dxa"/>
                    <w:left w:w="80" w:type="dxa"/>
                    <w:bottom w:w="60" w:type="dxa"/>
                    <w:right w:w="80" w:type="dxa"/>
                  </w:tcMar>
                  <w:vAlign w:val="center"/>
                </w:tcPr>
                <w:p w14:paraId="58D9BC84">
                  <w:pPr>
                    <w:pStyle w:val="21"/>
                    <w:bidi w:val="0"/>
                    <w:rPr>
                      <w:color w:val="auto"/>
                    </w:rPr>
                  </w:pPr>
                  <w:r>
                    <w:rPr>
                      <w:color w:val="auto"/>
                    </w:rPr>
                    <w:t>等效连续A声级 Leq(A)</w:t>
                  </w:r>
                </w:p>
              </w:tc>
              <w:tc>
                <w:tcPr>
                  <w:tcW w:w="1282" w:type="dxa"/>
                  <w:shd w:val="clear" w:color="auto" w:fill="FFFFFF"/>
                  <w:tcMar>
                    <w:top w:w="60" w:type="dxa"/>
                    <w:left w:w="80" w:type="dxa"/>
                    <w:bottom w:w="60" w:type="dxa"/>
                    <w:right w:w="80" w:type="dxa"/>
                  </w:tcMar>
                  <w:vAlign w:val="center"/>
                </w:tcPr>
                <w:p w14:paraId="48D2C2B7">
                  <w:pPr>
                    <w:pStyle w:val="21"/>
                    <w:bidi w:val="0"/>
                    <w:rPr>
                      <w:color w:val="auto"/>
                    </w:rPr>
                  </w:pPr>
                  <w:r>
                    <w:rPr>
                      <w:color w:val="auto"/>
                    </w:rPr>
                    <w:t>每季度1次（昼间、夜间各监测1次）</w:t>
                  </w:r>
                </w:p>
              </w:tc>
              <w:tc>
                <w:tcPr>
                  <w:tcW w:w="2011" w:type="dxa"/>
                  <w:shd w:val="clear" w:color="auto" w:fill="FFFFFF"/>
                  <w:tcMar>
                    <w:top w:w="60" w:type="dxa"/>
                    <w:left w:w="80" w:type="dxa"/>
                    <w:bottom w:w="60" w:type="dxa"/>
                    <w:right w:w="80" w:type="dxa"/>
                  </w:tcMar>
                  <w:vAlign w:val="center"/>
                </w:tcPr>
                <w:p w14:paraId="779B4313">
                  <w:pPr>
                    <w:pStyle w:val="21"/>
                    <w:bidi w:val="0"/>
                    <w:rPr>
                      <w:color w:val="auto"/>
                    </w:rPr>
                  </w:pPr>
                  <w:r>
                    <w:rPr>
                      <w:color w:val="auto"/>
                    </w:rPr>
                    <w:t>《工业企业厂界环境噪声排放标准》（GB12348-2008）3类标准（昼间≤65dB(A)，夜间≤55dB(A)）</w:t>
                  </w:r>
                </w:p>
              </w:tc>
              <w:tc>
                <w:tcPr>
                  <w:tcW w:w="986" w:type="dxa"/>
                  <w:shd w:val="clear" w:color="auto" w:fill="FFFFFF"/>
                  <w:tcMar>
                    <w:top w:w="60" w:type="dxa"/>
                    <w:left w:w="80" w:type="dxa"/>
                    <w:bottom w:w="60" w:type="dxa"/>
                    <w:right w:w="80" w:type="dxa"/>
                  </w:tcMar>
                  <w:vAlign w:val="center"/>
                </w:tcPr>
                <w:p w14:paraId="21EEF233">
                  <w:pPr>
                    <w:pStyle w:val="21"/>
                    <w:bidi w:val="0"/>
                    <w:rPr>
                      <w:color w:val="auto"/>
                    </w:rPr>
                  </w:pPr>
                  <w:r>
                    <w:rPr>
                      <w:color w:val="auto"/>
                    </w:rPr>
                    <w:t>与预测点一致</w:t>
                  </w:r>
                </w:p>
              </w:tc>
            </w:tr>
            <w:tr w14:paraId="35DC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24" w:type="dxa"/>
                  <w:shd w:val="clear" w:color="auto" w:fill="FFFFFF"/>
                  <w:tcMar>
                    <w:top w:w="60" w:type="dxa"/>
                    <w:left w:w="80" w:type="dxa"/>
                    <w:bottom w:w="60" w:type="dxa"/>
                    <w:right w:w="80" w:type="dxa"/>
                  </w:tcMar>
                  <w:vAlign w:val="center"/>
                </w:tcPr>
                <w:p w14:paraId="669B48F4">
                  <w:pPr>
                    <w:pStyle w:val="21"/>
                    <w:bidi w:val="0"/>
                    <w:rPr>
                      <w:color w:val="auto"/>
                    </w:rPr>
                  </w:pPr>
                  <w:r>
                    <w:rPr>
                      <w:color w:val="auto"/>
                    </w:rPr>
                    <w:t>厂界南厂界监测点</w:t>
                  </w:r>
                </w:p>
              </w:tc>
              <w:tc>
                <w:tcPr>
                  <w:tcW w:w="2068" w:type="dxa"/>
                  <w:shd w:val="clear" w:color="auto" w:fill="FFFFFF"/>
                  <w:tcMar>
                    <w:top w:w="60" w:type="dxa"/>
                    <w:left w:w="80" w:type="dxa"/>
                    <w:bottom w:w="60" w:type="dxa"/>
                    <w:right w:w="80" w:type="dxa"/>
                  </w:tcMar>
                  <w:vAlign w:val="center"/>
                </w:tcPr>
                <w:p w14:paraId="10A316EA">
                  <w:pPr>
                    <w:pStyle w:val="21"/>
                    <w:bidi w:val="0"/>
                    <w:rPr>
                      <w:color w:val="auto"/>
                    </w:rPr>
                  </w:pPr>
                  <w:r>
                    <w:rPr>
                      <w:color w:val="auto"/>
                    </w:rPr>
                    <w:t>等效连续A声级 Leq(A)</w:t>
                  </w:r>
                </w:p>
              </w:tc>
              <w:tc>
                <w:tcPr>
                  <w:tcW w:w="1282" w:type="dxa"/>
                  <w:shd w:val="clear" w:color="auto" w:fill="FFFFFF"/>
                  <w:tcMar>
                    <w:top w:w="60" w:type="dxa"/>
                    <w:left w:w="80" w:type="dxa"/>
                    <w:bottom w:w="60" w:type="dxa"/>
                    <w:right w:w="80" w:type="dxa"/>
                  </w:tcMar>
                  <w:vAlign w:val="center"/>
                </w:tcPr>
                <w:p w14:paraId="08ED023F">
                  <w:pPr>
                    <w:pStyle w:val="21"/>
                    <w:bidi w:val="0"/>
                    <w:rPr>
                      <w:color w:val="auto"/>
                    </w:rPr>
                  </w:pPr>
                  <w:r>
                    <w:rPr>
                      <w:color w:val="auto"/>
                    </w:rPr>
                    <w:t>每季度1次（昼间、夜间各监测1次）</w:t>
                  </w:r>
                </w:p>
              </w:tc>
              <w:tc>
                <w:tcPr>
                  <w:tcW w:w="2011" w:type="dxa"/>
                  <w:shd w:val="clear" w:color="auto" w:fill="FFFFFF"/>
                  <w:tcMar>
                    <w:top w:w="60" w:type="dxa"/>
                    <w:left w:w="80" w:type="dxa"/>
                    <w:bottom w:w="60" w:type="dxa"/>
                    <w:right w:w="80" w:type="dxa"/>
                  </w:tcMar>
                  <w:vAlign w:val="center"/>
                </w:tcPr>
                <w:p w14:paraId="57CE3559">
                  <w:pPr>
                    <w:pStyle w:val="21"/>
                    <w:bidi w:val="0"/>
                    <w:rPr>
                      <w:color w:val="auto"/>
                    </w:rPr>
                  </w:pPr>
                  <w:r>
                    <w:rPr>
                      <w:color w:val="auto"/>
                    </w:rPr>
                    <w:t>《工业企业厂界环境噪声排放标准》（GB12348-2008）3类标准（昼间≤65dB(A)，夜间≤55dB(A)）</w:t>
                  </w:r>
                </w:p>
              </w:tc>
              <w:tc>
                <w:tcPr>
                  <w:tcW w:w="986" w:type="dxa"/>
                  <w:shd w:val="clear" w:color="auto" w:fill="FFFFFF"/>
                  <w:tcMar>
                    <w:top w:w="60" w:type="dxa"/>
                    <w:left w:w="80" w:type="dxa"/>
                    <w:bottom w:w="60" w:type="dxa"/>
                    <w:right w:w="80" w:type="dxa"/>
                  </w:tcMar>
                  <w:vAlign w:val="center"/>
                </w:tcPr>
                <w:p w14:paraId="7CF687BC">
                  <w:pPr>
                    <w:pStyle w:val="21"/>
                    <w:bidi w:val="0"/>
                    <w:rPr>
                      <w:color w:val="auto"/>
                    </w:rPr>
                  </w:pPr>
                  <w:r>
                    <w:rPr>
                      <w:color w:val="auto"/>
                    </w:rPr>
                    <w:t>与预测点一致</w:t>
                  </w:r>
                </w:p>
              </w:tc>
            </w:tr>
            <w:tr w14:paraId="36E7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24" w:type="dxa"/>
                  <w:shd w:val="clear" w:color="auto" w:fill="FFFFFF"/>
                  <w:tcMar>
                    <w:top w:w="60" w:type="dxa"/>
                    <w:left w:w="80" w:type="dxa"/>
                    <w:bottom w:w="60" w:type="dxa"/>
                    <w:right w:w="80" w:type="dxa"/>
                  </w:tcMar>
                  <w:vAlign w:val="center"/>
                </w:tcPr>
                <w:p w14:paraId="313D6A0D">
                  <w:pPr>
                    <w:pStyle w:val="21"/>
                    <w:bidi w:val="0"/>
                    <w:rPr>
                      <w:color w:val="auto"/>
                    </w:rPr>
                  </w:pPr>
                  <w:r>
                    <w:rPr>
                      <w:color w:val="auto"/>
                    </w:rPr>
                    <w:t>厂界西厂界监测点</w:t>
                  </w:r>
                </w:p>
              </w:tc>
              <w:tc>
                <w:tcPr>
                  <w:tcW w:w="2068" w:type="dxa"/>
                  <w:shd w:val="clear" w:color="auto" w:fill="FFFFFF"/>
                  <w:tcMar>
                    <w:top w:w="60" w:type="dxa"/>
                    <w:left w:w="80" w:type="dxa"/>
                    <w:bottom w:w="60" w:type="dxa"/>
                    <w:right w:w="80" w:type="dxa"/>
                  </w:tcMar>
                  <w:vAlign w:val="center"/>
                </w:tcPr>
                <w:p w14:paraId="69F1F0D7">
                  <w:pPr>
                    <w:pStyle w:val="21"/>
                    <w:bidi w:val="0"/>
                    <w:rPr>
                      <w:color w:val="auto"/>
                    </w:rPr>
                  </w:pPr>
                  <w:r>
                    <w:rPr>
                      <w:color w:val="auto"/>
                    </w:rPr>
                    <w:t>等效连续A声级 Leq(A)</w:t>
                  </w:r>
                </w:p>
              </w:tc>
              <w:tc>
                <w:tcPr>
                  <w:tcW w:w="1282" w:type="dxa"/>
                  <w:shd w:val="clear" w:color="auto" w:fill="FFFFFF"/>
                  <w:tcMar>
                    <w:top w:w="60" w:type="dxa"/>
                    <w:left w:w="80" w:type="dxa"/>
                    <w:bottom w:w="60" w:type="dxa"/>
                    <w:right w:w="80" w:type="dxa"/>
                  </w:tcMar>
                  <w:vAlign w:val="center"/>
                </w:tcPr>
                <w:p w14:paraId="2FFF151E">
                  <w:pPr>
                    <w:pStyle w:val="21"/>
                    <w:bidi w:val="0"/>
                    <w:rPr>
                      <w:color w:val="auto"/>
                    </w:rPr>
                  </w:pPr>
                  <w:r>
                    <w:rPr>
                      <w:color w:val="auto"/>
                    </w:rPr>
                    <w:t>每季度1次（昼间、夜间各监测1次）</w:t>
                  </w:r>
                </w:p>
              </w:tc>
              <w:tc>
                <w:tcPr>
                  <w:tcW w:w="2011" w:type="dxa"/>
                  <w:shd w:val="clear" w:color="auto" w:fill="FFFFFF"/>
                  <w:tcMar>
                    <w:top w:w="60" w:type="dxa"/>
                    <w:left w:w="80" w:type="dxa"/>
                    <w:bottom w:w="60" w:type="dxa"/>
                    <w:right w:w="80" w:type="dxa"/>
                  </w:tcMar>
                  <w:vAlign w:val="center"/>
                </w:tcPr>
                <w:p w14:paraId="651181DE">
                  <w:pPr>
                    <w:pStyle w:val="21"/>
                    <w:bidi w:val="0"/>
                    <w:rPr>
                      <w:color w:val="auto"/>
                    </w:rPr>
                  </w:pPr>
                  <w:r>
                    <w:rPr>
                      <w:color w:val="auto"/>
                    </w:rPr>
                    <w:t>《工业企业厂界环境噪声排放标准》（GB12348-2008）3类标准（昼间≤65dB(A)，夜间≤55dB(A)）</w:t>
                  </w:r>
                </w:p>
              </w:tc>
              <w:tc>
                <w:tcPr>
                  <w:tcW w:w="986" w:type="dxa"/>
                  <w:shd w:val="clear" w:color="auto" w:fill="FFFFFF"/>
                  <w:tcMar>
                    <w:top w:w="60" w:type="dxa"/>
                    <w:left w:w="80" w:type="dxa"/>
                    <w:bottom w:w="60" w:type="dxa"/>
                    <w:right w:w="80" w:type="dxa"/>
                  </w:tcMar>
                  <w:vAlign w:val="center"/>
                </w:tcPr>
                <w:p w14:paraId="73A3FDDA">
                  <w:pPr>
                    <w:pStyle w:val="21"/>
                    <w:bidi w:val="0"/>
                    <w:rPr>
                      <w:color w:val="auto"/>
                    </w:rPr>
                  </w:pPr>
                  <w:r>
                    <w:rPr>
                      <w:color w:val="auto"/>
                    </w:rPr>
                    <w:t>与预测点一致</w:t>
                  </w:r>
                </w:p>
              </w:tc>
            </w:tr>
            <w:tr w14:paraId="7125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24" w:type="dxa"/>
                  <w:shd w:val="clear" w:color="auto" w:fill="FFFFFF"/>
                  <w:tcMar>
                    <w:top w:w="60" w:type="dxa"/>
                    <w:left w:w="80" w:type="dxa"/>
                    <w:bottom w:w="60" w:type="dxa"/>
                    <w:right w:w="80" w:type="dxa"/>
                  </w:tcMar>
                  <w:vAlign w:val="center"/>
                </w:tcPr>
                <w:p w14:paraId="66C00A3A">
                  <w:pPr>
                    <w:pStyle w:val="21"/>
                    <w:bidi w:val="0"/>
                    <w:rPr>
                      <w:color w:val="auto"/>
                    </w:rPr>
                  </w:pPr>
                  <w:r>
                    <w:rPr>
                      <w:color w:val="auto"/>
                    </w:rPr>
                    <w:t>厂界北厂界监测点</w:t>
                  </w:r>
                </w:p>
              </w:tc>
              <w:tc>
                <w:tcPr>
                  <w:tcW w:w="2068" w:type="dxa"/>
                  <w:shd w:val="clear" w:color="auto" w:fill="FFFFFF"/>
                  <w:tcMar>
                    <w:top w:w="60" w:type="dxa"/>
                    <w:left w:w="80" w:type="dxa"/>
                    <w:bottom w:w="60" w:type="dxa"/>
                    <w:right w:w="80" w:type="dxa"/>
                  </w:tcMar>
                  <w:vAlign w:val="center"/>
                </w:tcPr>
                <w:p w14:paraId="0660307F">
                  <w:pPr>
                    <w:pStyle w:val="21"/>
                    <w:bidi w:val="0"/>
                    <w:rPr>
                      <w:color w:val="auto"/>
                    </w:rPr>
                  </w:pPr>
                  <w:r>
                    <w:rPr>
                      <w:color w:val="auto"/>
                    </w:rPr>
                    <w:t>等效连续A声级 Leq(A)</w:t>
                  </w:r>
                </w:p>
              </w:tc>
              <w:tc>
                <w:tcPr>
                  <w:tcW w:w="1282" w:type="dxa"/>
                  <w:shd w:val="clear" w:color="auto" w:fill="FFFFFF"/>
                  <w:tcMar>
                    <w:top w:w="60" w:type="dxa"/>
                    <w:left w:w="80" w:type="dxa"/>
                    <w:bottom w:w="60" w:type="dxa"/>
                    <w:right w:w="80" w:type="dxa"/>
                  </w:tcMar>
                  <w:vAlign w:val="center"/>
                </w:tcPr>
                <w:p w14:paraId="1C4F92A7">
                  <w:pPr>
                    <w:pStyle w:val="21"/>
                    <w:bidi w:val="0"/>
                    <w:rPr>
                      <w:color w:val="auto"/>
                    </w:rPr>
                  </w:pPr>
                  <w:r>
                    <w:rPr>
                      <w:color w:val="auto"/>
                    </w:rPr>
                    <w:t>每季度1次（昼间、夜间各监测1次）</w:t>
                  </w:r>
                </w:p>
              </w:tc>
              <w:tc>
                <w:tcPr>
                  <w:tcW w:w="2011" w:type="dxa"/>
                  <w:shd w:val="clear" w:color="auto" w:fill="FFFFFF"/>
                  <w:tcMar>
                    <w:top w:w="60" w:type="dxa"/>
                    <w:left w:w="80" w:type="dxa"/>
                    <w:bottom w:w="60" w:type="dxa"/>
                    <w:right w:w="80" w:type="dxa"/>
                  </w:tcMar>
                  <w:vAlign w:val="center"/>
                </w:tcPr>
                <w:p w14:paraId="4B09FBB7">
                  <w:pPr>
                    <w:pStyle w:val="21"/>
                    <w:bidi w:val="0"/>
                    <w:rPr>
                      <w:color w:val="auto"/>
                    </w:rPr>
                  </w:pPr>
                  <w:r>
                    <w:rPr>
                      <w:color w:val="auto"/>
                    </w:rPr>
                    <w:t>《工业企业厂界环境噪声排放标准》（GB12348-2008）3类标准（昼间≤65dB(A)，夜间≤55dB(A)）</w:t>
                  </w:r>
                </w:p>
              </w:tc>
              <w:tc>
                <w:tcPr>
                  <w:tcW w:w="986" w:type="dxa"/>
                  <w:shd w:val="clear" w:color="auto" w:fill="FFFFFF"/>
                  <w:tcMar>
                    <w:top w:w="60" w:type="dxa"/>
                    <w:left w:w="80" w:type="dxa"/>
                    <w:bottom w:w="60" w:type="dxa"/>
                    <w:right w:w="80" w:type="dxa"/>
                  </w:tcMar>
                  <w:vAlign w:val="center"/>
                </w:tcPr>
                <w:p w14:paraId="02FB7069">
                  <w:pPr>
                    <w:pStyle w:val="21"/>
                    <w:bidi w:val="0"/>
                    <w:rPr>
                      <w:color w:val="auto"/>
                    </w:rPr>
                  </w:pPr>
                  <w:r>
                    <w:rPr>
                      <w:color w:val="auto"/>
                    </w:rPr>
                    <w:t>与预测点一致</w:t>
                  </w:r>
                </w:p>
              </w:tc>
            </w:tr>
          </w:tbl>
          <w:p w14:paraId="416AC04F">
            <w:pPr>
              <w:pStyle w:val="20"/>
              <w:bidi w:val="0"/>
              <w:rPr>
                <w:rFonts w:hint="eastAsia"/>
                <w:color w:val="auto"/>
              </w:rPr>
            </w:pPr>
          </w:p>
          <w:p w14:paraId="5A83F5C3">
            <w:pPr>
              <w:pStyle w:val="4"/>
              <w:bidi w:val="0"/>
              <w:rPr>
                <w:rFonts w:hint="eastAsia"/>
                <w:color w:val="auto"/>
              </w:rPr>
            </w:pPr>
            <w:r>
              <w:rPr>
                <w:rFonts w:hint="eastAsia"/>
                <w:color w:val="auto"/>
                <w:lang w:val="en-US" w:eastAsia="zh-CN"/>
              </w:rPr>
              <w:t>土壤自行监测计划</w:t>
            </w:r>
          </w:p>
          <w:p w14:paraId="5886538D">
            <w:pPr>
              <w:pStyle w:val="5"/>
              <w:rPr>
                <w:rFonts w:hint="eastAsia"/>
                <w:color w:val="auto"/>
              </w:rPr>
            </w:pPr>
            <w:r>
              <w:rPr>
                <w:rFonts w:hint="eastAsia"/>
                <w:color w:val="auto"/>
              </w:rPr>
              <w:t>为及时发现潜在土壤污染风险（主要来自危废暂存、一般固废贮存、生产过程物料泄漏及VAE乳液</w:t>
            </w:r>
            <w:r>
              <w:rPr>
                <w:rFonts w:hint="eastAsia"/>
                <w:color w:val="auto"/>
                <w:lang w:val="en-US" w:eastAsia="zh-CN"/>
              </w:rPr>
              <w:t>储罐区</w:t>
            </w:r>
            <w:r>
              <w:rPr>
                <w:rFonts w:hint="eastAsia"/>
                <w:color w:val="auto"/>
              </w:rPr>
              <w:t>），在厂区设置土壤监测点位。监测深度0-20cm表层及20-40cm亚表层分层采样，首次监测建立本底数据库，后续以趋势分析为主。执行《土壤环境监测技术规范》（</w:t>
            </w:r>
            <w:r>
              <w:rPr>
                <w:rFonts w:hint="eastAsia"/>
                <w:color w:val="auto"/>
                <w:lang w:eastAsia="zh-CN"/>
              </w:rPr>
              <w:t>HJ 166-2026</w:t>
            </w:r>
            <w:r>
              <w:rPr>
                <w:rFonts w:hint="eastAsia"/>
                <w:color w:val="auto"/>
              </w:rPr>
              <w:t>）。若发现异常，立即加密监测频次并启动详细调查与风险评估。</w:t>
            </w:r>
          </w:p>
          <w:p w14:paraId="205B35AD">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43</w:t>
            </w:r>
            <w:r>
              <w:rPr>
                <w:color w:val="auto"/>
              </w:rPr>
              <w:fldChar w:fldCharType="end"/>
            </w:r>
            <w:r>
              <w:rPr>
                <w:rFonts w:hint="eastAsia"/>
                <w:color w:val="auto"/>
                <w:lang w:val="en-US" w:eastAsia="zh-CN"/>
              </w:rPr>
              <w:t xml:space="preserve">  土壤监测计划</w:t>
            </w:r>
          </w:p>
          <w:tbl>
            <w:tblPr>
              <w:tblStyle w:val="15"/>
              <w:tblW w:w="7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29"/>
              <w:gridCol w:w="1876"/>
              <w:gridCol w:w="1110"/>
              <w:gridCol w:w="1570"/>
              <w:gridCol w:w="986"/>
            </w:tblGrid>
            <w:tr w14:paraId="45B7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tcBorders>
                    <w:tl2br w:val="nil"/>
                  </w:tcBorders>
                  <w:shd w:val="clear" w:color="auto" w:fill="FFFFFF"/>
                  <w:tcMar>
                    <w:top w:w="60" w:type="dxa"/>
                    <w:left w:w="80" w:type="dxa"/>
                    <w:bottom w:w="60" w:type="dxa"/>
                    <w:right w:w="80" w:type="dxa"/>
                  </w:tcMar>
                  <w:vAlign w:val="center"/>
                </w:tcPr>
                <w:p w14:paraId="471C8A4E">
                  <w:pPr>
                    <w:pStyle w:val="21"/>
                    <w:bidi w:val="0"/>
                    <w:rPr>
                      <w:color w:val="auto"/>
                    </w:rPr>
                  </w:pPr>
                  <w:r>
                    <w:rPr>
                      <w:color w:val="auto"/>
                    </w:rPr>
                    <w:t>监测点位</w:t>
                  </w:r>
                </w:p>
              </w:tc>
              <w:tc>
                <w:tcPr>
                  <w:tcW w:w="1876" w:type="dxa"/>
                  <w:shd w:val="clear" w:color="auto" w:fill="FFFFFF"/>
                  <w:tcMar>
                    <w:top w:w="60" w:type="dxa"/>
                    <w:left w:w="80" w:type="dxa"/>
                    <w:bottom w:w="60" w:type="dxa"/>
                    <w:right w:w="80" w:type="dxa"/>
                  </w:tcMar>
                  <w:vAlign w:val="center"/>
                </w:tcPr>
                <w:p w14:paraId="11DF4C06">
                  <w:pPr>
                    <w:pStyle w:val="21"/>
                    <w:bidi w:val="0"/>
                    <w:rPr>
                      <w:color w:val="auto"/>
                    </w:rPr>
                  </w:pPr>
                  <w:r>
                    <w:rPr>
                      <w:color w:val="auto"/>
                    </w:rPr>
                    <w:t>监测因子</w:t>
                  </w:r>
                </w:p>
              </w:tc>
              <w:tc>
                <w:tcPr>
                  <w:tcW w:w="1110" w:type="dxa"/>
                  <w:shd w:val="clear" w:color="auto" w:fill="FFFFFF"/>
                  <w:tcMar>
                    <w:top w:w="60" w:type="dxa"/>
                    <w:left w:w="80" w:type="dxa"/>
                    <w:bottom w:w="60" w:type="dxa"/>
                    <w:right w:w="80" w:type="dxa"/>
                  </w:tcMar>
                  <w:vAlign w:val="center"/>
                </w:tcPr>
                <w:p w14:paraId="5FB81F6B">
                  <w:pPr>
                    <w:pStyle w:val="21"/>
                    <w:bidi w:val="0"/>
                    <w:rPr>
                      <w:color w:val="auto"/>
                    </w:rPr>
                  </w:pPr>
                  <w:r>
                    <w:rPr>
                      <w:color w:val="auto"/>
                    </w:rPr>
                    <w:t>监测频次</w:t>
                  </w:r>
                </w:p>
              </w:tc>
              <w:tc>
                <w:tcPr>
                  <w:tcW w:w="1570" w:type="dxa"/>
                  <w:shd w:val="clear" w:color="auto" w:fill="FFFFFF"/>
                  <w:tcMar>
                    <w:top w:w="60" w:type="dxa"/>
                    <w:left w:w="80" w:type="dxa"/>
                    <w:bottom w:w="60" w:type="dxa"/>
                    <w:right w:w="80" w:type="dxa"/>
                  </w:tcMar>
                  <w:vAlign w:val="center"/>
                </w:tcPr>
                <w:p w14:paraId="0CE84DA5">
                  <w:pPr>
                    <w:pStyle w:val="21"/>
                    <w:bidi w:val="0"/>
                    <w:rPr>
                      <w:color w:val="auto"/>
                    </w:rPr>
                  </w:pPr>
                  <w:r>
                    <w:rPr>
                      <w:color w:val="auto"/>
                    </w:rPr>
                    <w:t>执行标准/参考值</w:t>
                  </w:r>
                </w:p>
              </w:tc>
              <w:tc>
                <w:tcPr>
                  <w:tcW w:w="986" w:type="dxa"/>
                  <w:shd w:val="clear" w:color="auto" w:fill="FFFFFF"/>
                  <w:tcMar>
                    <w:top w:w="60" w:type="dxa"/>
                    <w:left w:w="80" w:type="dxa"/>
                    <w:bottom w:w="60" w:type="dxa"/>
                    <w:right w:w="80" w:type="dxa"/>
                  </w:tcMar>
                  <w:vAlign w:val="center"/>
                </w:tcPr>
                <w:p w14:paraId="4553232B">
                  <w:pPr>
                    <w:pStyle w:val="21"/>
                    <w:bidi w:val="0"/>
                    <w:rPr>
                      <w:color w:val="auto"/>
                    </w:rPr>
                  </w:pPr>
                  <w:r>
                    <w:rPr>
                      <w:color w:val="auto"/>
                    </w:rPr>
                    <w:t>备注</w:t>
                  </w:r>
                </w:p>
              </w:tc>
            </w:tr>
            <w:tr w14:paraId="526D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shd w:val="clear" w:color="auto" w:fill="FFFFFF"/>
                  <w:tcMar>
                    <w:top w:w="60" w:type="dxa"/>
                    <w:left w:w="80" w:type="dxa"/>
                    <w:bottom w:w="60" w:type="dxa"/>
                    <w:right w:w="80" w:type="dxa"/>
                  </w:tcMar>
                  <w:vAlign w:val="center"/>
                </w:tcPr>
                <w:p w14:paraId="5ED4398F">
                  <w:pPr>
                    <w:pStyle w:val="21"/>
                    <w:bidi w:val="0"/>
                    <w:rPr>
                      <w:color w:val="auto"/>
                    </w:rPr>
                  </w:pPr>
                  <w:r>
                    <w:rPr>
                      <w:rFonts w:hint="eastAsia"/>
                      <w:color w:val="auto"/>
                      <w:lang w:eastAsia="zh-CN"/>
                    </w:rPr>
                    <w:t>危废暂存库</w:t>
                  </w:r>
                  <w:r>
                    <w:rPr>
                      <w:color w:val="auto"/>
                    </w:rPr>
                    <w:t>周边（重点防渗区）</w:t>
                  </w:r>
                </w:p>
              </w:tc>
              <w:tc>
                <w:tcPr>
                  <w:tcW w:w="1876" w:type="dxa"/>
                  <w:shd w:val="clear" w:color="auto" w:fill="FFFFFF"/>
                  <w:tcMar>
                    <w:top w:w="60" w:type="dxa"/>
                    <w:left w:w="80" w:type="dxa"/>
                    <w:bottom w:w="60" w:type="dxa"/>
                    <w:right w:w="80" w:type="dxa"/>
                  </w:tcMar>
                  <w:vAlign w:val="center"/>
                </w:tcPr>
                <w:p w14:paraId="2F3325C6">
                  <w:pPr>
                    <w:pStyle w:val="21"/>
                    <w:bidi w:val="0"/>
                    <w:rPr>
                      <w:color w:val="auto"/>
                    </w:rPr>
                  </w:pPr>
                  <w:r>
                    <w:rPr>
                      <w:color w:val="auto"/>
                    </w:rPr>
                    <w:t>pH、重金属（Pb、Cd、Cr、As、Hg、Ni）、石油类、TOC</w:t>
                  </w:r>
                </w:p>
              </w:tc>
              <w:tc>
                <w:tcPr>
                  <w:tcW w:w="1110" w:type="dxa"/>
                  <w:shd w:val="clear" w:color="auto" w:fill="FFFFFF"/>
                  <w:tcMar>
                    <w:top w:w="60" w:type="dxa"/>
                    <w:left w:w="80" w:type="dxa"/>
                    <w:bottom w:w="60" w:type="dxa"/>
                    <w:right w:w="80" w:type="dxa"/>
                  </w:tcMar>
                  <w:vAlign w:val="center"/>
                </w:tcPr>
                <w:p w14:paraId="7D5708F6">
                  <w:pPr>
                    <w:pStyle w:val="21"/>
                    <w:bidi w:val="0"/>
                    <w:rPr>
                      <w:color w:val="auto"/>
                    </w:rPr>
                  </w:pPr>
                  <w:r>
                    <w:rPr>
                      <w:color w:val="auto"/>
                    </w:rPr>
                    <w:t>每年1次</w:t>
                  </w:r>
                </w:p>
              </w:tc>
              <w:tc>
                <w:tcPr>
                  <w:tcW w:w="1570" w:type="dxa"/>
                  <w:shd w:val="clear" w:color="auto" w:fill="FFFFFF"/>
                  <w:tcMar>
                    <w:top w:w="60" w:type="dxa"/>
                    <w:left w:w="80" w:type="dxa"/>
                    <w:bottom w:w="60" w:type="dxa"/>
                    <w:right w:w="80" w:type="dxa"/>
                  </w:tcMar>
                  <w:vAlign w:val="center"/>
                </w:tcPr>
                <w:p w14:paraId="003CA303">
                  <w:pPr>
                    <w:pStyle w:val="21"/>
                    <w:bidi w:val="0"/>
                    <w:rPr>
                      <w:color w:val="auto"/>
                    </w:rPr>
                  </w:pPr>
                  <w:r>
                    <w:rPr>
                      <w:color w:val="auto"/>
                    </w:rPr>
                    <w:t>《土壤环境质量 建设用地土壤污染风险管控标准（试行）》（GB36600-2018）第二类用地筛选值</w:t>
                  </w:r>
                </w:p>
              </w:tc>
              <w:tc>
                <w:tcPr>
                  <w:tcW w:w="986" w:type="dxa"/>
                  <w:shd w:val="clear" w:color="auto" w:fill="FFFFFF"/>
                  <w:tcMar>
                    <w:top w:w="60" w:type="dxa"/>
                    <w:left w:w="80" w:type="dxa"/>
                    <w:bottom w:w="60" w:type="dxa"/>
                    <w:right w:w="80" w:type="dxa"/>
                  </w:tcMar>
                  <w:vAlign w:val="center"/>
                </w:tcPr>
                <w:p w14:paraId="3E041678">
                  <w:pPr>
                    <w:pStyle w:val="21"/>
                    <w:bidi w:val="0"/>
                    <w:rPr>
                      <w:color w:val="auto"/>
                    </w:rPr>
                  </w:pPr>
                  <w:r>
                    <w:rPr>
                      <w:color w:val="auto"/>
                    </w:rPr>
                    <w:t>重点监控危险废物渗漏</w:t>
                  </w:r>
                </w:p>
              </w:tc>
            </w:tr>
            <w:tr w14:paraId="0143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shd w:val="clear" w:color="auto" w:fill="FFFFFF"/>
                  <w:tcMar>
                    <w:top w:w="60" w:type="dxa"/>
                    <w:left w:w="80" w:type="dxa"/>
                    <w:bottom w:w="60" w:type="dxa"/>
                    <w:right w:w="80" w:type="dxa"/>
                  </w:tcMar>
                  <w:vAlign w:val="center"/>
                </w:tcPr>
                <w:p w14:paraId="0E0FEA2F">
                  <w:pPr>
                    <w:pStyle w:val="21"/>
                    <w:bidi w:val="0"/>
                    <w:rPr>
                      <w:color w:val="auto"/>
                    </w:rPr>
                  </w:pPr>
                  <w:r>
                    <w:rPr>
                      <w:color w:val="auto"/>
                    </w:rPr>
                    <w:t>一般固废贮存间周边</w:t>
                  </w:r>
                </w:p>
              </w:tc>
              <w:tc>
                <w:tcPr>
                  <w:tcW w:w="1876" w:type="dxa"/>
                  <w:shd w:val="clear" w:color="auto" w:fill="FFFFFF"/>
                  <w:tcMar>
                    <w:top w:w="60" w:type="dxa"/>
                    <w:left w:w="80" w:type="dxa"/>
                    <w:bottom w:w="60" w:type="dxa"/>
                    <w:right w:w="80" w:type="dxa"/>
                  </w:tcMar>
                  <w:vAlign w:val="center"/>
                </w:tcPr>
                <w:p w14:paraId="08631D5C">
                  <w:pPr>
                    <w:pStyle w:val="21"/>
                    <w:bidi w:val="0"/>
                    <w:rPr>
                      <w:color w:val="auto"/>
                    </w:rPr>
                  </w:pPr>
                  <w:r>
                    <w:rPr>
                      <w:color w:val="auto"/>
                    </w:rPr>
                    <w:t>pH、重金属（Pb、Cd、Cr、As、Hg、Ni）、石油类、TOC</w:t>
                  </w:r>
                </w:p>
              </w:tc>
              <w:tc>
                <w:tcPr>
                  <w:tcW w:w="1110" w:type="dxa"/>
                  <w:shd w:val="clear" w:color="auto" w:fill="FFFFFF"/>
                  <w:tcMar>
                    <w:top w:w="60" w:type="dxa"/>
                    <w:left w:w="80" w:type="dxa"/>
                    <w:bottom w:w="60" w:type="dxa"/>
                    <w:right w:w="80" w:type="dxa"/>
                  </w:tcMar>
                  <w:vAlign w:val="center"/>
                </w:tcPr>
                <w:p w14:paraId="5F301E1B">
                  <w:pPr>
                    <w:pStyle w:val="21"/>
                    <w:bidi w:val="0"/>
                    <w:rPr>
                      <w:color w:val="auto"/>
                    </w:rPr>
                  </w:pPr>
                  <w:r>
                    <w:rPr>
                      <w:color w:val="auto"/>
                    </w:rPr>
                    <w:t>每年1次</w:t>
                  </w:r>
                </w:p>
              </w:tc>
              <w:tc>
                <w:tcPr>
                  <w:tcW w:w="1570" w:type="dxa"/>
                  <w:shd w:val="clear" w:color="auto" w:fill="FFFFFF"/>
                  <w:tcMar>
                    <w:top w:w="60" w:type="dxa"/>
                    <w:left w:w="80" w:type="dxa"/>
                    <w:bottom w:w="60" w:type="dxa"/>
                    <w:right w:w="80" w:type="dxa"/>
                  </w:tcMar>
                  <w:vAlign w:val="center"/>
                </w:tcPr>
                <w:p w14:paraId="7D68E54B">
                  <w:pPr>
                    <w:pStyle w:val="21"/>
                    <w:bidi w:val="0"/>
                    <w:rPr>
                      <w:color w:val="auto"/>
                    </w:rPr>
                  </w:pPr>
                  <w:r>
                    <w:rPr>
                      <w:color w:val="auto"/>
                    </w:rPr>
                    <w:t>《土壤环境质量 建设用地土壤污染风险管控标准（试行）》（GB36600-2018）第二类用地筛选值</w:t>
                  </w:r>
                </w:p>
              </w:tc>
              <w:tc>
                <w:tcPr>
                  <w:tcW w:w="986" w:type="dxa"/>
                  <w:shd w:val="clear" w:color="auto" w:fill="FFFFFF"/>
                  <w:tcMar>
                    <w:top w:w="60" w:type="dxa"/>
                    <w:left w:w="80" w:type="dxa"/>
                    <w:bottom w:w="60" w:type="dxa"/>
                    <w:right w:w="80" w:type="dxa"/>
                  </w:tcMar>
                  <w:vAlign w:val="center"/>
                </w:tcPr>
                <w:p w14:paraId="274E2176">
                  <w:pPr>
                    <w:pStyle w:val="21"/>
                    <w:bidi w:val="0"/>
                    <w:rPr>
                      <w:color w:val="auto"/>
                    </w:rPr>
                  </w:pPr>
                  <w:r>
                    <w:rPr>
                      <w:color w:val="auto"/>
                    </w:rPr>
                    <w:t>监控固废渗滤液影响</w:t>
                  </w:r>
                </w:p>
              </w:tc>
            </w:tr>
            <w:tr w14:paraId="6778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shd w:val="clear" w:color="auto" w:fill="FFFFFF"/>
                  <w:tcMar>
                    <w:top w:w="60" w:type="dxa"/>
                    <w:left w:w="80" w:type="dxa"/>
                    <w:bottom w:w="60" w:type="dxa"/>
                    <w:right w:w="80" w:type="dxa"/>
                  </w:tcMar>
                  <w:vAlign w:val="center"/>
                </w:tcPr>
                <w:p w14:paraId="7C8463B0">
                  <w:pPr>
                    <w:pStyle w:val="21"/>
                    <w:bidi w:val="0"/>
                    <w:rPr>
                      <w:color w:val="auto"/>
                    </w:rPr>
                  </w:pPr>
                  <w:r>
                    <w:rPr>
                      <w:color w:val="auto"/>
                    </w:rPr>
                    <w:t>生产车间周边（复合制板、养护、修边切割区）</w:t>
                  </w:r>
                </w:p>
              </w:tc>
              <w:tc>
                <w:tcPr>
                  <w:tcW w:w="1876" w:type="dxa"/>
                  <w:shd w:val="clear" w:color="auto" w:fill="FFFFFF"/>
                  <w:tcMar>
                    <w:top w:w="60" w:type="dxa"/>
                    <w:left w:w="80" w:type="dxa"/>
                    <w:bottom w:w="60" w:type="dxa"/>
                    <w:right w:w="80" w:type="dxa"/>
                  </w:tcMar>
                  <w:vAlign w:val="center"/>
                </w:tcPr>
                <w:p w14:paraId="34525217">
                  <w:pPr>
                    <w:pStyle w:val="21"/>
                    <w:bidi w:val="0"/>
                    <w:rPr>
                      <w:color w:val="auto"/>
                    </w:rPr>
                  </w:pPr>
                  <w:r>
                    <w:rPr>
                      <w:color w:val="auto"/>
                    </w:rPr>
                    <w:t>pH、重金属、石油类、TOC + 必要时特征有机物</w:t>
                  </w:r>
                </w:p>
              </w:tc>
              <w:tc>
                <w:tcPr>
                  <w:tcW w:w="1110" w:type="dxa"/>
                  <w:shd w:val="clear" w:color="auto" w:fill="FFFFFF"/>
                  <w:tcMar>
                    <w:top w:w="60" w:type="dxa"/>
                    <w:left w:w="80" w:type="dxa"/>
                    <w:bottom w:w="60" w:type="dxa"/>
                    <w:right w:w="80" w:type="dxa"/>
                  </w:tcMar>
                  <w:vAlign w:val="center"/>
                </w:tcPr>
                <w:p w14:paraId="552A9303">
                  <w:pPr>
                    <w:pStyle w:val="21"/>
                    <w:bidi w:val="0"/>
                    <w:rPr>
                      <w:color w:val="auto"/>
                    </w:rPr>
                  </w:pPr>
                  <w:r>
                    <w:rPr>
                      <w:color w:val="auto"/>
                    </w:rPr>
                    <w:t>每年1次</w:t>
                  </w:r>
                </w:p>
              </w:tc>
              <w:tc>
                <w:tcPr>
                  <w:tcW w:w="1570" w:type="dxa"/>
                  <w:shd w:val="clear" w:color="auto" w:fill="FFFFFF"/>
                  <w:tcMar>
                    <w:top w:w="60" w:type="dxa"/>
                    <w:left w:w="80" w:type="dxa"/>
                    <w:bottom w:w="60" w:type="dxa"/>
                    <w:right w:w="80" w:type="dxa"/>
                  </w:tcMar>
                  <w:vAlign w:val="center"/>
                </w:tcPr>
                <w:p w14:paraId="256CAD07">
                  <w:pPr>
                    <w:pStyle w:val="21"/>
                    <w:bidi w:val="0"/>
                    <w:rPr>
                      <w:color w:val="auto"/>
                    </w:rPr>
                  </w:pPr>
                  <w:r>
                    <w:rPr>
                      <w:color w:val="auto"/>
                    </w:rPr>
                    <w:t>《土壤环境质量 建设用地土壤污染风险管控标准（试行）》（GB36600-2018）第二类用地筛选值</w:t>
                  </w:r>
                </w:p>
              </w:tc>
              <w:tc>
                <w:tcPr>
                  <w:tcW w:w="986" w:type="dxa"/>
                  <w:shd w:val="clear" w:color="auto" w:fill="FFFFFF"/>
                  <w:tcMar>
                    <w:top w:w="60" w:type="dxa"/>
                    <w:left w:w="80" w:type="dxa"/>
                    <w:bottom w:w="60" w:type="dxa"/>
                    <w:right w:w="80" w:type="dxa"/>
                  </w:tcMar>
                  <w:vAlign w:val="center"/>
                </w:tcPr>
                <w:p w14:paraId="60108903">
                  <w:pPr>
                    <w:pStyle w:val="21"/>
                    <w:bidi w:val="0"/>
                    <w:rPr>
                      <w:color w:val="auto"/>
                    </w:rPr>
                  </w:pPr>
                  <w:r>
                    <w:rPr>
                      <w:color w:val="auto"/>
                    </w:rPr>
                    <w:t>监控生产过程潜在渗漏</w:t>
                  </w:r>
                </w:p>
              </w:tc>
            </w:tr>
            <w:tr w14:paraId="546E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shd w:val="clear" w:color="auto" w:fill="FFFFFF"/>
                  <w:tcMar>
                    <w:top w:w="60" w:type="dxa"/>
                    <w:left w:w="80" w:type="dxa"/>
                    <w:bottom w:w="60" w:type="dxa"/>
                    <w:right w:w="80" w:type="dxa"/>
                  </w:tcMar>
                  <w:vAlign w:val="center"/>
                </w:tcPr>
                <w:p w14:paraId="55373423">
                  <w:pPr>
                    <w:pStyle w:val="21"/>
                    <w:bidi w:val="0"/>
                    <w:rPr>
                      <w:color w:val="auto"/>
                    </w:rPr>
                  </w:pPr>
                  <w:r>
                    <w:rPr>
                      <w:color w:val="auto"/>
                    </w:rPr>
                    <w:t>巴斯夫乳液自动化筒仓周边</w:t>
                  </w:r>
                </w:p>
              </w:tc>
              <w:tc>
                <w:tcPr>
                  <w:tcW w:w="1876" w:type="dxa"/>
                  <w:shd w:val="clear" w:color="auto" w:fill="FFFFFF"/>
                  <w:tcMar>
                    <w:top w:w="60" w:type="dxa"/>
                    <w:left w:w="80" w:type="dxa"/>
                    <w:bottom w:w="60" w:type="dxa"/>
                    <w:right w:w="80" w:type="dxa"/>
                  </w:tcMar>
                  <w:vAlign w:val="center"/>
                </w:tcPr>
                <w:p w14:paraId="66592308">
                  <w:pPr>
                    <w:pStyle w:val="21"/>
                    <w:bidi w:val="0"/>
                    <w:rPr>
                      <w:color w:val="auto"/>
                    </w:rPr>
                  </w:pPr>
                  <w:r>
                    <w:rPr>
                      <w:color w:val="auto"/>
                    </w:rPr>
                    <w:t>pH、重金属、石油类、TOC + 特征有机物（VOCs相关）</w:t>
                  </w:r>
                </w:p>
              </w:tc>
              <w:tc>
                <w:tcPr>
                  <w:tcW w:w="1110" w:type="dxa"/>
                  <w:shd w:val="clear" w:color="auto" w:fill="FFFFFF"/>
                  <w:tcMar>
                    <w:top w:w="60" w:type="dxa"/>
                    <w:left w:w="80" w:type="dxa"/>
                    <w:bottom w:w="60" w:type="dxa"/>
                    <w:right w:w="80" w:type="dxa"/>
                  </w:tcMar>
                  <w:vAlign w:val="center"/>
                </w:tcPr>
                <w:p w14:paraId="22EB752C">
                  <w:pPr>
                    <w:pStyle w:val="21"/>
                    <w:bidi w:val="0"/>
                    <w:rPr>
                      <w:color w:val="auto"/>
                    </w:rPr>
                  </w:pPr>
                  <w:r>
                    <w:rPr>
                      <w:color w:val="auto"/>
                    </w:rPr>
                    <w:t>每年1次</w:t>
                  </w:r>
                </w:p>
              </w:tc>
              <w:tc>
                <w:tcPr>
                  <w:tcW w:w="1570" w:type="dxa"/>
                  <w:shd w:val="clear" w:color="auto" w:fill="FFFFFF"/>
                  <w:tcMar>
                    <w:top w:w="60" w:type="dxa"/>
                    <w:left w:w="80" w:type="dxa"/>
                    <w:bottom w:w="60" w:type="dxa"/>
                    <w:right w:w="80" w:type="dxa"/>
                  </w:tcMar>
                  <w:vAlign w:val="center"/>
                </w:tcPr>
                <w:p w14:paraId="499974D3">
                  <w:pPr>
                    <w:pStyle w:val="21"/>
                    <w:bidi w:val="0"/>
                    <w:rPr>
                      <w:color w:val="auto"/>
                    </w:rPr>
                  </w:pPr>
                  <w:r>
                    <w:rPr>
                      <w:color w:val="auto"/>
                    </w:rPr>
                    <w:t>《土壤环境质量 建设用地土壤污染风险管控标准（试行）》（GB36600-2018）第二类用地筛选值</w:t>
                  </w:r>
                </w:p>
              </w:tc>
              <w:tc>
                <w:tcPr>
                  <w:tcW w:w="986" w:type="dxa"/>
                  <w:shd w:val="clear" w:color="auto" w:fill="FFFFFF"/>
                  <w:tcMar>
                    <w:top w:w="60" w:type="dxa"/>
                    <w:left w:w="80" w:type="dxa"/>
                    <w:bottom w:w="60" w:type="dxa"/>
                    <w:right w:w="80" w:type="dxa"/>
                  </w:tcMar>
                  <w:vAlign w:val="center"/>
                </w:tcPr>
                <w:p w14:paraId="591D7238">
                  <w:pPr>
                    <w:pStyle w:val="21"/>
                    <w:bidi w:val="0"/>
                    <w:rPr>
                      <w:color w:val="auto"/>
                    </w:rPr>
                  </w:pPr>
                  <w:r>
                    <w:rPr>
                      <w:color w:val="auto"/>
                    </w:rPr>
                    <w:t>重点关注VAE乳液有机物渗漏风险</w:t>
                  </w:r>
                </w:p>
              </w:tc>
            </w:tr>
            <w:tr w14:paraId="6DE5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29" w:type="dxa"/>
                  <w:shd w:val="clear" w:color="auto" w:fill="FFFFFF"/>
                  <w:tcMar>
                    <w:top w:w="60" w:type="dxa"/>
                    <w:left w:w="80" w:type="dxa"/>
                    <w:bottom w:w="60" w:type="dxa"/>
                    <w:right w:w="80" w:type="dxa"/>
                  </w:tcMar>
                  <w:vAlign w:val="center"/>
                </w:tcPr>
                <w:p w14:paraId="273D6D7C">
                  <w:pPr>
                    <w:pStyle w:val="21"/>
                    <w:bidi w:val="0"/>
                    <w:rPr>
                      <w:color w:val="auto"/>
                    </w:rPr>
                  </w:pPr>
                  <w:r>
                    <w:rPr>
                      <w:color w:val="auto"/>
                    </w:rPr>
                    <w:t>厂区背景对照点（上风向或未扰动区，1个）</w:t>
                  </w:r>
                </w:p>
              </w:tc>
              <w:tc>
                <w:tcPr>
                  <w:tcW w:w="1876" w:type="dxa"/>
                  <w:shd w:val="clear" w:color="auto" w:fill="FFFFFF"/>
                  <w:tcMar>
                    <w:top w:w="60" w:type="dxa"/>
                    <w:left w:w="80" w:type="dxa"/>
                    <w:bottom w:w="60" w:type="dxa"/>
                    <w:right w:w="80" w:type="dxa"/>
                  </w:tcMar>
                  <w:vAlign w:val="center"/>
                </w:tcPr>
                <w:p w14:paraId="597E36A0">
                  <w:pPr>
                    <w:pStyle w:val="21"/>
                    <w:bidi w:val="0"/>
                    <w:rPr>
                      <w:color w:val="auto"/>
                    </w:rPr>
                  </w:pPr>
                  <w:r>
                    <w:rPr>
                      <w:color w:val="auto"/>
                    </w:rPr>
                    <w:t>同上全因子</w:t>
                  </w:r>
                </w:p>
              </w:tc>
              <w:tc>
                <w:tcPr>
                  <w:tcW w:w="1110" w:type="dxa"/>
                  <w:shd w:val="clear" w:color="auto" w:fill="FFFFFF"/>
                  <w:tcMar>
                    <w:top w:w="60" w:type="dxa"/>
                    <w:left w:w="80" w:type="dxa"/>
                    <w:bottom w:w="60" w:type="dxa"/>
                    <w:right w:w="80" w:type="dxa"/>
                  </w:tcMar>
                  <w:vAlign w:val="center"/>
                </w:tcPr>
                <w:p w14:paraId="02B8004A">
                  <w:pPr>
                    <w:pStyle w:val="21"/>
                    <w:bidi w:val="0"/>
                    <w:rPr>
                      <w:color w:val="auto"/>
                    </w:rPr>
                  </w:pPr>
                  <w:r>
                    <w:rPr>
                      <w:color w:val="auto"/>
                    </w:rPr>
                    <w:t>每年1次</w:t>
                  </w:r>
                </w:p>
              </w:tc>
              <w:tc>
                <w:tcPr>
                  <w:tcW w:w="1570" w:type="dxa"/>
                  <w:shd w:val="clear" w:color="auto" w:fill="FFFFFF"/>
                  <w:tcMar>
                    <w:top w:w="60" w:type="dxa"/>
                    <w:left w:w="80" w:type="dxa"/>
                    <w:bottom w:w="60" w:type="dxa"/>
                    <w:right w:w="80" w:type="dxa"/>
                  </w:tcMar>
                  <w:vAlign w:val="center"/>
                </w:tcPr>
                <w:p w14:paraId="266DAF79">
                  <w:pPr>
                    <w:pStyle w:val="21"/>
                    <w:bidi w:val="0"/>
                    <w:rPr>
                      <w:color w:val="auto"/>
                    </w:rPr>
                  </w:pPr>
                  <w:r>
                    <w:rPr>
                      <w:color w:val="auto"/>
                    </w:rPr>
                    <w:t>《土壤环境质量 建设用地土壤污染风险管控标准（试行）》（GB36600-2018）第二类用地筛选值</w:t>
                  </w:r>
                </w:p>
              </w:tc>
              <w:tc>
                <w:tcPr>
                  <w:tcW w:w="986" w:type="dxa"/>
                  <w:shd w:val="clear" w:color="auto" w:fill="FFFFFF"/>
                  <w:tcMar>
                    <w:top w:w="60" w:type="dxa"/>
                    <w:left w:w="80" w:type="dxa"/>
                    <w:bottom w:w="60" w:type="dxa"/>
                    <w:right w:w="80" w:type="dxa"/>
                  </w:tcMar>
                  <w:vAlign w:val="center"/>
                </w:tcPr>
                <w:p w14:paraId="12D7EC49">
                  <w:pPr>
                    <w:pStyle w:val="21"/>
                    <w:bidi w:val="0"/>
                    <w:rPr>
                      <w:color w:val="auto"/>
                    </w:rPr>
                  </w:pPr>
                  <w:r>
                    <w:rPr>
                      <w:color w:val="auto"/>
                    </w:rPr>
                    <w:t>用于本底对比与趋势分析</w:t>
                  </w:r>
                </w:p>
              </w:tc>
            </w:tr>
          </w:tbl>
          <w:p w14:paraId="361BE45B">
            <w:pPr>
              <w:pStyle w:val="20"/>
              <w:bidi w:val="0"/>
              <w:rPr>
                <w:rFonts w:hint="eastAsia"/>
                <w:color w:val="auto"/>
              </w:rPr>
            </w:pPr>
          </w:p>
          <w:p w14:paraId="52DE0831">
            <w:pPr>
              <w:pStyle w:val="4"/>
              <w:bidi w:val="0"/>
              <w:rPr>
                <w:rFonts w:hint="eastAsia"/>
                <w:color w:val="auto"/>
              </w:rPr>
            </w:pPr>
            <w:r>
              <w:rPr>
                <w:rFonts w:hint="eastAsia"/>
                <w:color w:val="auto"/>
                <w:lang w:val="en-US" w:eastAsia="zh-CN"/>
              </w:rPr>
              <w:t>其他要求</w:t>
            </w:r>
          </w:p>
          <w:p w14:paraId="7554176A">
            <w:pPr>
              <w:pStyle w:val="5"/>
              <w:rPr>
                <w:rFonts w:hint="eastAsia"/>
                <w:color w:val="auto"/>
              </w:rPr>
            </w:pPr>
            <w:r>
              <w:rPr>
                <w:rFonts w:hint="eastAsia"/>
                <w:color w:val="auto"/>
              </w:rPr>
              <w:t>1. 本监测计划将根据排污许可证核发具体内容、实际排放特征变化及生态环境部门监督检查要求适时修订完善，并报原审批部门备案。</w:t>
            </w:r>
          </w:p>
          <w:p w14:paraId="44240318">
            <w:pPr>
              <w:pStyle w:val="5"/>
              <w:rPr>
                <w:rFonts w:hint="eastAsia"/>
                <w:color w:val="auto"/>
              </w:rPr>
            </w:pPr>
            <w:r>
              <w:rPr>
                <w:rFonts w:hint="eastAsia"/>
                <w:color w:val="auto"/>
              </w:rPr>
              <w:t>2. 监测结果应及时通过全国排污许可证管理信息平台或地方生态环境部门指定系统上报，并向社会公开（涉密信息除外）。</w:t>
            </w:r>
          </w:p>
          <w:p w14:paraId="230E3178">
            <w:pPr>
              <w:pStyle w:val="5"/>
              <w:rPr>
                <w:rFonts w:hint="eastAsia"/>
                <w:color w:val="auto"/>
              </w:rPr>
            </w:pPr>
            <w:r>
              <w:rPr>
                <w:rFonts w:hint="eastAsia"/>
                <w:color w:val="auto"/>
              </w:rPr>
              <w:t>3. 企业应建立完善的自行监测质量保证体系，定期开展内部审核与设备校准，确保数据真实、准确、完整。</w:t>
            </w:r>
          </w:p>
          <w:p w14:paraId="4BFC73F7">
            <w:pPr>
              <w:pStyle w:val="3"/>
              <w:bidi w:val="0"/>
              <w:rPr>
                <w:rFonts w:hint="eastAsia"/>
                <w:color w:val="auto"/>
                <w:lang w:eastAsia="zh-CN"/>
              </w:rPr>
            </w:pPr>
            <w:r>
              <w:rPr>
                <w:rFonts w:hint="eastAsia"/>
                <w:color w:val="auto"/>
                <w:lang w:val="en-US" w:eastAsia="zh-CN"/>
              </w:rPr>
              <w:t>环保投资估算</w:t>
            </w:r>
          </w:p>
          <w:p w14:paraId="26A83C62">
            <w:pPr>
              <w:pStyle w:val="5"/>
              <w:rPr>
                <w:rFonts w:hint="eastAsia"/>
                <w:color w:val="auto"/>
                <w:lang w:val="en-US" w:eastAsia="zh-CN"/>
              </w:rPr>
            </w:pPr>
            <w:r>
              <w:rPr>
                <w:rFonts w:hint="eastAsia"/>
                <w:color w:val="auto"/>
                <w:lang w:val="en-US" w:eastAsia="zh-CN"/>
              </w:rPr>
              <w:t>项目总投资3900万元，其中环保投资为112万元，占项目总投资的2.87%。环保投资情况见下表。</w:t>
            </w:r>
          </w:p>
          <w:p w14:paraId="70556D38">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44</w:t>
            </w:r>
            <w:r>
              <w:rPr>
                <w:color w:val="auto"/>
              </w:rPr>
              <w:fldChar w:fldCharType="end"/>
            </w:r>
            <w:r>
              <w:rPr>
                <w:rFonts w:hint="eastAsia"/>
                <w:color w:val="auto"/>
                <w:lang w:val="en-US" w:eastAsia="zh-CN"/>
              </w:rPr>
              <w:t xml:space="preserve">  环保投资估算表</w:t>
            </w:r>
          </w:p>
          <w:tbl>
            <w:tblPr>
              <w:tblStyle w:val="16"/>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1452"/>
              <w:gridCol w:w="2966"/>
              <w:gridCol w:w="1811"/>
            </w:tblGrid>
            <w:tr w14:paraId="6427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25" w:type="dxa"/>
                  <w:vAlign w:val="center"/>
                </w:tcPr>
                <w:p w14:paraId="651535D4">
                  <w:pPr>
                    <w:pStyle w:val="19"/>
                    <w:bidi w:val="0"/>
                    <w:rPr>
                      <w:b/>
                      <w:bCs/>
                      <w:color w:val="auto"/>
                    </w:rPr>
                  </w:pPr>
                  <w:r>
                    <w:rPr>
                      <w:rFonts w:hint="eastAsia"/>
                      <w:color w:val="auto"/>
                    </w:rPr>
                    <w:t>类型</w:t>
                  </w:r>
                </w:p>
              </w:tc>
              <w:tc>
                <w:tcPr>
                  <w:tcW w:w="1434" w:type="dxa"/>
                  <w:vAlign w:val="center"/>
                </w:tcPr>
                <w:p w14:paraId="79BF017F">
                  <w:pPr>
                    <w:pStyle w:val="19"/>
                    <w:bidi w:val="0"/>
                    <w:rPr>
                      <w:b/>
                      <w:bCs/>
                      <w:color w:val="auto"/>
                    </w:rPr>
                  </w:pPr>
                  <w:r>
                    <w:rPr>
                      <w:rFonts w:hint="eastAsia"/>
                      <w:color w:val="auto"/>
                    </w:rPr>
                    <w:t>污染物</w:t>
                  </w:r>
                </w:p>
              </w:tc>
              <w:tc>
                <w:tcPr>
                  <w:tcW w:w="2929" w:type="dxa"/>
                  <w:vAlign w:val="center"/>
                </w:tcPr>
                <w:p w14:paraId="2FA94C2A">
                  <w:pPr>
                    <w:pStyle w:val="19"/>
                    <w:bidi w:val="0"/>
                    <w:rPr>
                      <w:b/>
                      <w:bCs/>
                      <w:color w:val="auto"/>
                    </w:rPr>
                  </w:pPr>
                  <w:r>
                    <w:rPr>
                      <w:rFonts w:hint="eastAsia"/>
                      <w:color w:val="auto"/>
                    </w:rPr>
                    <w:t>治理措施</w:t>
                  </w:r>
                </w:p>
              </w:tc>
              <w:tc>
                <w:tcPr>
                  <w:tcW w:w="1788" w:type="dxa"/>
                  <w:vAlign w:val="center"/>
                </w:tcPr>
                <w:p w14:paraId="0CDBB7CF">
                  <w:pPr>
                    <w:pStyle w:val="19"/>
                    <w:bidi w:val="0"/>
                    <w:rPr>
                      <w:b/>
                      <w:bCs/>
                      <w:color w:val="auto"/>
                    </w:rPr>
                  </w:pPr>
                  <w:r>
                    <w:rPr>
                      <w:rFonts w:hint="eastAsia"/>
                      <w:color w:val="auto"/>
                    </w:rPr>
                    <w:t>费用（万元）</w:t>
                  </w:r>
                </w:p>
              </w:tc>
            </w:tr>
            <w:tr w14:paraId="1A20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Merge w:val="restart"/>
                  <w:vAlign w:val="center"/>
                </w:tcPr>
                <w:p w14:paraId="507A540F">
                  <w:pPr>
                    <w:pStyle w:val="19"/>
                    <w:bidi w:val="0"/>
                    <w:rPr>
                      <w:rFonts w:hint="eastAsia" w:eastAsia="宋体"/>
                      <w:color w:val="auto"/>
                      <w:lang w:val="en-US" w:eastAsia="zh-CN"/>
                    </w:rPr>
                  </w:pPr>
                  <w:r>
                    <w:rPr>
                      <w:rFonts w:hint="eastAsia"/>
                      <w:color w:val="auto"/>
                      <w:lang w:val="en-US" w:eastAsia="zh-CN"/>
                    </w:rPr>
                    <w:t>废气</w:t>
                  </w:r>
                </w:p>
              </w:tc>
              <w:tc>
                <w:tcPr>
                  <w:tcW w:w="1434" w:type="dxa"/>
                  <w:vAlign w:val="center"/>
                </w:tcPr>
                <w:p w14:paraId="7FF7AFF1">
                  <w:pPr>
                    <w:pStyle w:val="19"/>
                    <w:bidi w:val="0"/>
                    <w:rPr>
                      <w:rFonts w:hint="eastAsia" w:eastAsia="宋体"/>
                      <w:color w:val="auto"/>
                      <w:lang w:val="en-US" w:eastAsia="zh-CN"/>
                    </w:rPr>
                  </w:pPr>
                  <w:r>
                    <w:rPr>
                      <w:rFonts w:hint="eastAsia"/>
                      <w:color w:val="auto"/>
                      <w:lang w:val="en-US" w:eastAsia="zh-CN"/>
                    </w:rPr>
                    <w:t>颗粒物</w:t>
                  </w:r>
                </w:p>
              </w:tc>
              <w:tc>
                <w:tcPr>
                  <w:tcW w:w="2929" w:type="dxa"/>
                  <w:vAlign w:val="center"/>
                </w:tcPr>
                <w:p w14:paraId="5C25B15A">
                  <w:pPr>
                    <w:pStyle w:val="19"/>
                    <w:bidi w:val="0"/>
                    <w:rPr>
                      <w:color w:val="auto"/>
                    </w:rPr>
                  </w:pPr>
                  <w:r>
                    <w:rPr>
                      <w:rFonts w:hint="eastAsia"/>
                      <w:color w:val="auto"/>
                      <w:lang w:val="en-US" w:eastAsia="zh-CN"/>
                    </w:rPr>
                    <w:t>袋式除尘器处理+20m高排气筒排放</w:t>
                  </w:r>
                </w:p>
              </w:tc>
              <w:tc>
                <w:tcPr>
                  <w:tcW w:w="1788" w:type="dxa"/>
                  <w:vAlign w:val="center"/>
                </w:tcPr>
                <w:p w14:paraId="2D11ACD4">
                  <w:pPr>
                    <w:pStyle w:val="19"/>
                    <w:bidi w:val="0"/>
                    <w:rPr>
                      <w:rFonts w:hint="default" w:eastAsia="宋体"/>
                      <w:color w:val="auto"/>
                      <w:lang w:val="en-US" w:eastAsia="zh-CN"/>
                    </w:rPr>
                  </w:pPr>
                  <w:r>
                    <w:rPr>
                      <w:rFonts w:hint="eastAsia"/>
                      <w:color w:val="auto"/>
                      <w:lang w:val="en-US" w:eastAsia="zh-CN"/>
                    </w:rPr>
                    <w:t>28</w:t>
                  </w:r>
                </w:p>
              </w:tc>
            </w:tr>
            <w:tr w14:paraId="4F72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Merge w:val="continue"/>
                  <w:vAlign w:val="center"/>
                </w:tcPr>
                <w:p w14:paraId="5C263AB2">
                  <w:pPr>
                    <w:pStyle w:val="21"/>
                    <w:widowControl w:val="0"/>
                    <w:spacing w:line="360" w:lineRule="exact"/>
                    <w:rPr>
                      <w:rFonts w:hint="eastAsia"/>
                      <w:color w:val="auto"/>
                    </w:rPr>
                  </w:pPr>
                </w:p>
              </w:tc>
              <w:tc>
                <w:tcPr>
                  <w:tcW w:w="1434" w:type="dxa"/>
                  <w:vAlign w:val="center"/>
                </w:tcPr>
                <w:p w14:paraId="0A9622AB">
                  <w:pPr>
                    <w:pStyle w:val="19"/>
                    <w:bidi w:val="0"/>
                    <w:rPr>
                      <w:rFonts w:hint="default" w:eastAsia="宋体"/>
                      <w:color w:val="auto"/>
                      <w:lang w:val="en-US" w:eastAsia="zh-CN"/>
                    </w:rPr>
                  </w:pPr>
                  <w:r>
                    <w:rPr>
                      <w:rFonts w:hint="eastAsia"/>
                      <w:color w:val="auto"/>
                      <w:lang w:val="en-US" w:eastAsia="zh-CN"/>
                    </w:rPr>
                    <w:t>NMHC</w:t>
                  </w:r>
                </w:p>
              </w:tc>
              <w:tc>
                <w:tcPr>
                  <w:tcW w:w="2929" w:type="dxa"/>
                  <w:vAlign w:val="center"/>
                </w:tcPr>
                <w:p w14:paraId="282F2B05">
                  <w:pPr>
                    <w:pStyle w:val="19"/>
                    <w:bidi w:val="0"/>
                    <w:rPr>
                      <w:rFonts w:hint="eastAsia"/>
                      <w:color w:val="auto"/>
                    </w:rPr>
                  </w:pPr>
                  <w:r>
                    <w:rPr>
                      <w:rFonts w:hint="eastAsia"/>
                      <w:color w:val="auto"/>
                      <w:lang w:val="en-US" w:eastAsia="zh-CN"/>
                    </w:rPr>
                    <w:t>集气罩+二级</w:t>
                  </w:r>
                  <w:r>
                    <w:rPr>
                      <w:rFonts w:hint="eastAsia"/>
                      <w:color w:val="auto"/>
                    </w:rPr>
                    <w:t>活性炭装置处理后经</w:t>
                  </w:r>
                  <w:r>
                    <w:rPr>
                      <w:rFonts w:hint="eastAsia"/>
                      <w:color w:val="auto"/>
                      <w:lang w:val="en-US" w:eastAsia="zh-CN"/>
                    </w:rPr>
                    <w:t>20</w:t>
                  </w:r>
                  <w:r>
                    <w:rPr>
                      <w:rFonts w:hint="eastAsia"/>
                      <w:color w:val="auto"/>
                    </w:rPr>
                    <w:t>m高排气筒</w:t>
                  </w:r>
                  <w:r>
                    <w:rPr>
                      <w:rFonts w:hint="eastAsia"/>
                      <w:color w:val="auto"/>
                      <w:lang w:val="en-US" w:eastAsia="zh-CN"/>
                    </w:rPr>
                    <w:t>有组织</w:t>
                  </w:r>
                  <w:r>
                    <w:rPr>
                      <w:rFonts w:hint="eastAsia"/>
                      <w:color w:val="auto"/>
                    </w:rPr>
                    <w:t>排放</w:t>
                  </w:r>
                </w:p>
              </w:tc>
              <w:tc>
                <w:tcPr>
                  <w:tcW w:w="1788" w:type="dxa"/>
                  <w:vAlign w:val="center"/>
                </w:tcPr>
                <w:p w14:paraId="31176BA5">
                  <w:pPr>
                    <w:pStyle w:val="19"/>
                    <w:bidi w:val="0"/>
                    <w:rPr>
                      <w:rFonts w:hint="default" w:eastAsia="宋体"/>
                      <w:color w:val="auto"/>
                      <w:lang w:val="en-US" w:eastAsia="zh-CN"/>
                    </w:rPr>
                  </w:pPr>
                  <w:r>
                    <w:rPr>
                      <w:rFonts w:hint="eastAsia"/>
                      <w:color w:val="auto"/>
                      <w:lang w:val="en-US" w:eastAsia="zh-CN"/>
                    </w:rPr>
                    <w:t>33</w:t>
                  </w:r>
                </w:p>
              </w:tc>
            </w:tr>
            <w:tr w14:paraId="71D9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Merge w:val="continue"/>
                  <w:vAlign w:val="center"/>
                </w:tcPr>
                <w:p w14:paraId="0A9376DE">
                  <w:pPr>
                    <w:pStyle w:val="21"/>
                    <w:widowControl w:val="0"/>
                    <w:spacing w:line="360" w:lineRule="exact"/>
                    <w:rPr>
                      <w:rFonts w:hint="default" w:eastAsia="宋体"/>
                      <w:color w:val="auto"/>
                      <w:lang w:val="en-US" w:eastAsia="zh-CN"/>
                    </w:rPr>
                  </w:pPr>
                </w:p>
              </w:tc>
              <w:tc>
                <w:tcPr>
                  <w:tcW w:w="1434" w:type="dxa"/>
                  <w:vAlign w:val="center"/>
                </w:tcPr>
                <w:p w14:paraId="50769AE6">
                  <w:pPr>
                    <w:pStyle w:val="19"/>
                    <w:bidi w:val="0"/>
                    <w:rPr>
                      <w:rFonts w:hint="default"/>
                      <w:color w:val="auto"/>
                      <w:lang w:val="en-US" w:eastAsia="zh-CN"/>
                    </w:rPr>
                  </w:pPr>
                  <w:r>
                    <w:rPr>
                      <w:rFonts w:hint="eastAsia"/>
                      <w:color w:val="auto"/>
                      <w:lang w:val="en-US" w:eastAsia="zh-CN"/>
                    </w:rPr>
                    <w:t>颗粒物</w:t>
                  </w:r>
                </w:p>
              </w:tc>
              <w:tc>
                <w:tcPr>
                  <w:tcW w:w="2929" w:type="dxa"/>
                  <w:vAlign w:val="center"/>
                </w:tcPr>
                <w:p w14:paraId="07642F95">
                  <w:pPr>
                    <w:pStyle w:val="19"/>
                    <w:bidi w:val="0"/>
                    <w:rPr>
                      <w:rFonts w:hint="eastAsia" w:eastAsia="宋体"/>
                      <w:color w:val="auto"/>
                      <w:lang w:val="en-US" w:eastAsia="zh-CN"/>
                    </w:rPr>
                  </w:pPr>
                  <w:r>
                    <w:rPr>
                      <w:rFonts w:hint="eastAsia"/>
                      <w:color w:val="auto"/>
                      <w:lang w:val="en-US" w:eastAsia="zh-CN"/>
                    </w:rPr>
                    <w:t>集气罩+袋式除尘器处理后经20m高排气筒有组织排放</w:t>
                  </w:r>
                </w:p>
              </w:tc>
              <w:tc>
                <w:tcPr>
                  <w:tcW w:w="1788" w:type="dxa"/>
                  <w:vAlign w:val="center"/>
                </w:tcPr>
                <w:p w14:paraId="6F86ECB1">
                  <w:pPr>
                    <w:pStyle w:val="19"/>
                    <w:bidi w:val="0"/>
                    <w:rPr>
                      <w:rFonts w:hint="default"/>
                      <w:color w:val="auto"/>
                      <w:lang w:val="en-US" w:eastAsia="zh-CN"/>
                    </w:rPr>
                  </w:pPr>
                  <w:r>
                    <w:rPr>
                      <w:rFonts w:hint="eastAsia"/>
                      <w:color w:val="auto"/>
                      <w:lang w:val="en-US" w:eastAsia="zh-CN"/>
                    </w:rPr>
                    <w:t>22</w:t>
                  </w:r>
                </w:p>
              </w:tc>
            </w:tr>
            <w:tr w14:paraId="5D02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Align w:val="center"/>
                </w:tcPr>
                <w:p w14:paraId="4601F85A">
                  <w:pPr>
                    <w:pStyle w:val="19"/>
                    <w:bidi w:val="0"/>
                    <w:rPr>
                      <w:rFonts w:hint="eastAsia" w:eastAsia="宋体"/>
                      <w:color w:val="auto"/>
                      <w:lang w:val="en-US" w:eastAsia="zh-CN"/>
                    </w:rPr>
                  </w:pPr>
                  <w:r>
                    <w:rPr>
                      <w:rFonts w:hint="eastAsia"/>
                      <w:color w:val="auto"/>
                      <w:lang w:val="en-US" w:eastAsia="zh-CN"/>
                    </w:rPr>
                    <w:t>噪声</w:t>
                  </w:r>
                </w:p>
              </w:tc>
              <w:tc>
                <w:tcPr>
                  <w:tcW w:w="1434" w:type="dxa"/>
                  <w:vAlign w:val="center"/>
                </w:tcPr>
                <w:p w14:paraId="00DEB3A5">
                  <w:pPr>
                    <w:pStyle w:val="19"/>
                    <w:bidi w:val="0"/>
                    <w:rPr>
                      <w:rFonts w:hint="default"/>
                      <w:color w:val="auto"/>
                      <w:lang w:val="en-US" w:eastAsia="zh-CN"/>
                    </w:rPr>
                  </w:pPr>
                  <w:r>
                    <w:rPr>
                      <w:rFonts w:hint="eastAsia"/>
                      <w:color w:val="auto"/>
                      <w:lang w:val="en-US" w:eastAsia="zh-CN"/>
                    </w:rPr>
                    <w:t>噪声</w:t>
                  </w:r>
                </w:p>
              </w:tc>
              <w:tc>
                <w:tcPr>
                  <w:tcW w:w="2929" w:type="dxa"/>
                  <w:vAlign w:val="center"/>
                </w:tcPr>
                <w:p w14:paraId="5FAFE6F2">
                  <w:pPr>
                    <w:pStyle w:val="19"/>
                    <w:bidi w:val="0"/>
                    <w:rPr>
                      <w:rFonts w:hint="eastAsia"/>
                      <w:color w:val="auto"/>
                    </w:rPr>
                  </w:pPr>
                  <w:r>
                    <w:rPr>
                      <w:rFonts w:hint="eastAsia"/>
                      <w:color w:val="auto"/>
                    </w:rPr>
                    <w:t>基础减振、消声</w:t>
                  </w:r>
                </w:p>
              </w:tc>
              <w:tc>
                <w:tcPr>
                  <w:tcW w:w="1788" w:type="dxa"/>
                  <w:vAlign w:val="center"/>
                </w:tcPr>
                <w:p w14:paraId="768771F2">
                  <w:pPr>
                    <w:pStyle w:val="19"/>
                    <w:bidi w:val="0"/>
                    <w:rPr>
                      <w:rFonts w:hint="default"/>
                      <w:color w:val="auto"/>
                      <w:lang w:val="en-US" w:eastAsia="zh-CN"/>
                    </w:rPr>
                  </w:pPr>
                  <w:r>
                    <w:rPr>
                      <w:rFonts w:hint="eastAsia"/>
                      <w:color w:val="auto"/>
                      <w:lang w:val="en-US" w:eastAsia="zh-CN"/>
                    </w:rPr>
                    <w:t>5</w:t>
                  </w:r>
                </w:p>
              </w:tc>
            </w:tr>
            <w:tr w14:paraId="60F9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Merge w:val="restart"/>
                  <w:vAlign w:val="center"/>
                </w:tcPr>
                <w:p w14:paraId="7A6E05CE">
                  <w:pPr>
                    <w:pStyle w:val="19"/>
                    <w:bidi w:val="0"/>
                    <w:rPr>
                      <w:rFonts w:hint="default" w:eastAsia="宋体"/>
                      <w:color w:val="auto"/>
                      <w:lang w:val="en-US" w:eastAsia="zh-CN"/>
                    </w:rPr>
                  </w:pPr>
                  <w:r>
                    <w:rPr>
                      <w:rFonts w:hint="eastAsia"/>
                      <w:color w:val="auto"/>
                      <w:lang w:val="en-US" w:eastAsia="zh-CN"/>
                    </w:rPr>
                    <w:t>一般固废</w:t>
                  </w:r>
                </w:p>
              </w:tc>
              <w:tc>
                <w:tcPr>
                  <w:tcW w:w="1434" w:type="dxa"/>
                  <w:vAlign w:val="center"/>
                </w:tcPr>
                <w:p w14:paraId="7D4A9415">
                  <w:pPr>
                    <w:pStyle w:val="19"/>
                    <w:bidi w:val="0"/>
                    <w:rPr>
                      <w:rFonts w:hint="eastAsia" w:eastAsia="宋体"/>
                      <w:color w:val="auto"/>
                      <w:lang w:val="en-US" w:eastAsia="zh-CN"/>
                    </w:rPr>
                  </w:pPr>
                  <w:r>
                    <w:rPr>
                      <w:rFonts w:hint="eastAsia"/>
                      <w:color w:val="auto"/>
                      <w:lang w:val="en-US" w:eastAsia="zh-CN"/>
                    </w:rPr>
                    <w:t>废边角料及不合格品</w:t>
                  </w:r>
                </w:p>
              </w:tc>
              <w:tc>
                <w:tcPr>
                  <w:tcW w:w="2929" w:type="dxa"/>
                  <w:vAlign w:val="center"/>
                </w:tcPr>
                <w:p w14:paraId="676A8750">
                  <w:pPr>
                    <w:pStyle w:val="19"/>
                    <w:bidi w:val="0"/>
                    <w:rPr>
                      <w:rFonts w:hint="default" w:eastAsia="宋体"/>
                      <w:color w:val="auto"/>
                      <w:lang w:val="en-US" w:eastAsia="zh-CN"/>
                    </w:rPr>
                  </w:pPr>
                  <w:r>
                    <w:rPr>
                      <w:rFonts w:hint="eastAsia"/>
                      <w:color w:val="auto"/>
                      <w:lang w:val="en-US" w:eastAsia="zh-CN"/>
                    </w:rPr>
                    <w:t>定期出售给具有资质的再生资源回收单位进行综合利用</w:t>
                  </w:r>
                </w:p>
              </w:tc>
              <w:tc>
                <w:tcPr>
                  <w:tcW w:w="1788" w:type="dxa"/>
                  <w:vAlign w:val="center"/>
                </w:tcPr>
                <w:p w14:paraId="5801AA5A">
                  <w:pPr>
                    <w:pStyle w:val="19"/>
                    <w:bidi w:val="0"/>
                    <w:rPr>
                      <w:rFonts w:hint="default" w:eastAsia="宋体"/>
                      <w:color w:val="auto"/>
                      <w:lang w:val="en-US" w:eastAsia="zh-CN"/>
                    </w:rPr>
                  </w:pPr>
                  <w:r>
                    <w:rPr>
                      <w:rFonts w:hint="eastAsia"/>
                      <w:color w:val="auto"/>
                      <w:lang w:val="en-US" w:eastAsia="zh-CN"/>
                    </w:rPr>
                    <w:t>8</w:t>
                  </w:r>
                </w:p>
              </w:tc>
            </w:tr>
            <w:tr w14:paraId="7FDD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Merge w:val="continue"/>
                  <w:vAlign w:val="center"/>
                </w:tcPr>
                <w:p w14:paraId="29026EA7">
                  <w:pPr>
                    <w:pStyle w:val="21"/>
                    <w:widowControl w:val="0"/>
                    <w:spacing w:line="360" w:lineRule="exact"/>
                    <w:rPr>
                      <w:rFonts w:hint="eastAsia" w:eastAsia="宋体"/>
                      <w:color w:val="auto"/>
                      <w:lang w:val="en-US" w:eastAsia="zh-CN"/>
                    </w:rPr>
                  </w:pPr>
                </w:p>
              </w:tc>
              <w:tc>
                <w:tcPr>
                  <w:tcW w:w="1434" w:type="dxa"/>
                  <w:vAlign w:val="center"/>
                </w:tcPr>
                <w:p w14:paraId="62A363CF">
                  <w:pPr>
                    <w:pStyle w:val="19"/>
                    <w:bidi w:val="0"/>
                    <w:rPr>
                      <w:rFonts w:hint="eastAsia" w:eastAsia="宋体"/>
                      <w:color w:val="auto"/>
                      <w:lang w:val="en-US" w:eastAsia="zh-CN"/>
                    </w:rPr>
                  </w:pPr>
                  <w:r>
                    <w:rPr>
                      <w:rFonts w:hint="eastAsia"/>
                      <w:color w:val="auto"/>
                      <w:lang w:val="en-US" w:eastAsia="zh-CN"/>
                    </w:rPr>
                    <w:t>废包装材料</w:t>
                  </w:r>
                </w:p>
              </w:tc>
              <w:tc>
                <w:tcPr>
                  <w:tcW w:w="2929" w:type="dxa"/>
                  <w:vAlign w:val="center"/>
                </w:tcPr>
                <w:p w14:paraId="0843784C">
                  <w:pPr>
                    <w:pStyle w:val="19"/>
                    <w:bidi w:val="0"/>
                    <w:rPr>
                      <w:rFonts w:hint="default" w:eastAsia="宋体"/>
                      <w:color w:val="auto"/>
                      <w:lang w:val="en-US" w:eastAsia="zh-CN"/>
                    </w:rPr>
                  </w:pPr>
                  <w:r>
                    <w:rPr>
                      <w:rFonts w:hint="eastAsia"/>
                      <w:color w:val="auto"/>
                      <w:lang w:val="en-US" w:eastAsia="zh-CN"/>
                    </w:rPr>
                    <w:t>收集后外售给再生资源回收单位</w:t>
                  </w:r>
                </w:p>
              </w:tc>
              <w:tc>
                <w:tcPr>
                  <w:tcW w:w="1788" w:type="dxa"/>
                  <w:vAlign w:val="center"/>
                </w:tcPr>
                <w:p w14:paraId="44E83D7B">
                  <w:pPr>
                    <w:pStyle w:val="19"/>
                    <w:bidi w:val="0"/>
                    <w:rPr>
                      <w:rFonts w:hint="default" w:eastAsia="宋体"/>
                      <w:color w:val="auto"/>
                      <w:lang w:val="en-US" w:eastAsia="zh-CN"/>
                    </w:rPr>
                  </w:pPr>
                  <w:r>
                    <w:rPr>
                      <w:rFonts w:hint="eastAsia"/>
                      <w:color w:val="auto"/>
                      <w:lang w:val="en-US" w:eastAsia="zh-CN"/>
                    </w:rPr>
                    <w:t>6</w:t>
                  </w:r>
                </w:p>
              </w:tc>
            </w:tr>
            <w:tr w14:paraId="1079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Align w:val="center"/>
                </w:tcPr>
                <w:p w14:paraId="75CF0B41">
                  <w:pPr>
                    <w:pStyle w:val="19"/>
                    <w:bidi w:val="0"/>
                    <w:rPr>
                      <w:rFonts w:hint="default" w:eastAsia="宋体"/>
                      <w:color w:val="auto"/>
                      <w:lang w:val="en-US" w:eastAsia="zh-CN"/>
                    </w:rPr>
                  </w:pPr>
                  <w:r>
                    <w:rPr>
                      <w:rFonts w:hint="eastAsia"/>
                      <w:color w:val="auto"/>
                      <w:lang w:val="en-US" w:eastAsia="zh-CN"/>
                    </w:rPr>
                    <w:t>危险废物</w:t>
                  </w:r>
                </w:p>
              </w:tc>
              <w:tc>
                <w:tcPr>
                  <w:tcW w:w="1434" w:type="dxa"/>
                  <w:vAlign w:val="center"/>
                </w:tcPr>
                <w:p w14:paraId="7F253921">
                  <w:pPr>
                    <w:pStyle w:val="19"/>
                    <w:bidi w:val="0"/>
                    <w:rPr>
                      <w:rFonts w:hint="default" w:eastAsia="宋体"/>
                      <w:color w:val="auto"/>
                      <w:lang w:val="en-US" w:eastAsia="zh-CN"/>
                    </w:rPr>
                  </w:pPr>
                  <w:r>
                    <w:rPr>
                      <w:rFonts w:hint="eastAsia"/>
                      <w:color w:val="auto"/>
                      <w:lang w:val="en-US" w:eastAsia="zh-CN"/>
                    </w:rPr>
                    <w:t>废活性炭</w:t>
                  </w:r>
                </w:p>
              </w:tc>
              <w:tc>
                <w:tcPr>
                  <w:tcW w:w="2929" w:type="dxa"/>
                  <w:vAlign w:val="center"/>
                </w:tcPr>
                <w:p w14:paraId="18E4DFCA">
                  <w:pPr>
                    <w:pStyle w:val="19"/>
                    <w:bidi w:val="0"/>
                    <w:rPr>
                      <w:rFonts w:hint="default" w:eastAsia="宋体"/>
                      <w:color w:val="auto"/>
                      <w:lang w:val="en-US" w:eastAsia="zh-CN"/>
                    </w:rPr>
                  </w:pPr>
                  <w:r>
                    <w:rPr>
                      <w:rFonts w:hint="eastAsia"/>
                      <w:color w:val="auto"/>
                      <w:lang w:val="en-US" w:eastAsia="zh-CN"/>
                    </w:rPr>
                    <w:t>经危废间暂存，定期交由有资质单位处置</w:t>
                  </w:r>
                </w:p>
              </w:tc>
              <w:tc>
                <w:tcPr>
                  <w:tcW w:w="1788" w:type="dxa"/>
                  <w:vAlign w:val="center"/>
                </w:tcPr>
                <w:p w14:paraId="7820FF6C">
                  <w:pPr>
                    <w:pStyle w:val="19"/>
                    <w:bidi w:val="0"/>
                    <w:rPr>
                      <w:rFonts w:hint="default" w:eastAsia="宋体"/>
                      <w:color w:val="auto"/>
                      <w:lang w:val="en-US" w:eastAsia="zh-CN"/>
                    </w:rPr>
                  </w:pPr>
                  <w:r>
                    <w:rPr>
                      <w:rFonts w:hint="eastAsia"/>
                      <w:color w:val="auto"/>
                      <w:lang w:val="en-US" w:eastAsia="zh-CN"/>
                    </w:rPr>
                    <w:t>8</w:t>
                  </w:r>
                </w:p>
              </w:tc>
            </w:tr>
            <w:tr w14:paraId="08CC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5" w:type="dxa"/>
                  <w:vAlign w:val="center"/>
                </w:tcPr>
                <w:p w14:paraId="3EC6C042">
                  <w:pPr>
                    <w:pStyle w:val="19"/>
                    <w:bidi w:val="0"/>
                    <w:rPr>
                      <w:rFonts w:hint="default"/>
                      <w:color w:val="auto"/>
                      <w:lang w:val="en-US" w:eastAsia="zh-CN"/>
                    </w:rPr>
                  </w:pPr>
                  <w:r>
                    <w:rPr>
                      <w:rFonts w:hint="eastAsia"/>
                      <w:color w:val="auto"/>
                      <w:lang w:val="en-US" w:eastAsia="zh-CN"/>
                    </w:rPr>
                    <w:t>生活垃圾</w:t>
                  </w:r>
                </w:p>
              </w:tc>
              <w:tc>
                <w:tcPr>
                  <w:tcW w:w="1434" w:type="dxa"/>
                  <w:vAlign w:val="center"/>
                </w:tcPr>
                <w:p w14:paraId="3F84596C">
                  <w:pPr>
                    <w:pStyle w:val="19"/>
                    <w:bidi w:val="0"/>
                    <w:rPr>
                      <w:rFonts w:hint="default" w:eastAsia="宋体"/>
                      <w:color w:val="auto"/>
                      <w:lang w:val="en-US" w:eastAsia="zh-CN"/>
                    </w:rPr>
                  </w:pPr>
                  <w:r>
                    <w:rPr>
                      <w:rFonts w:hint="eastAsia"/>
                      <w:color w:val="auto"/>
                      <w:lang w:val="en-US" w:eastAsia="zh-CN"/>
                    </w:rPr>
                    <w:t>生活垃圾</w:t>
                  </w:r>
                </w:p>
              </w:tc>
              <w:tc>
                <w:tcPr>
                  <w:tcW w:w="2929" w:type="dxa"/>
                  <w:vAlign w:val="center"/>
                </w:tcPr>
                <w:p w14:paraId="3BF94D9E">
                  <w:pPr>
                    <w:pStyle w:val="19"/>
                    <w:bidi w:val="0"/>
                    <w:rPr>
                      <w:rFonts w:hint="default" w:eastAsia="宋体"/>
                      <w:color w:val="auto"/>
                      <w:lang w:val="en-US" w:eastAsia="zh-CN"/>
                    </w:rPr>
                  </w:pPr>
                  <w:r>
                    <w:rPr>
                      <w:rFonts w:hint="eastAsia"/>
                      <w:color w:val="auto"/>
                      <w:lang w:val="en-US" w:eastAsia="zh-CN"/>
                    </w:rPr>
                    <w:t>交由环卫部门处理</w:t>
                  </w:r>
                </w:p>
              </w:tc>
              <w:tc>
                <w:tcPr>
                  <w:tcW w:w="1788" w:type="dxa"/>
                  <w:vAlign w:val="center"/>
                </w:tcPr>
                <w:p w14:paraId="21501AEB">
                  <w:pPr>
                    <w:pStyle w:val="19"/>
                    <w:bidi w:val="0"/>
                    <w:rPr>
                      <w:rFonts w:hint="default" w:eastAsia="宋体"/>
                      <w:color w:val="auto"/>
                      <w:lang w:val="en-US" w:eastAsia="zh-CN"/>
                    </w:rPr>
                  </w:pPr>
                  <w:r>
                    <w:rPr>
                      <w:rFonts w:hint="eastAsia"/>
                      <w:color w:val="auto"/>
                      <w:lang w:val="en-US" w:eastAsia="zh-CN"/>
                    </w:rPr>
                    <w:t>2</w:t>
                  </w:r>
                </w:p>
              </w:tc>
            </w:tr>
            <w:tr w14:paraId="480F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8" w:type="dxa"/>
                  <w:gridSpan w:val="3"/>
                  <w:vAlign w:val="center"/>
                </w:tcPr>
                <w:p w14:paraId="58BC62E2">
                  <w:pPr>
                    <w:pStyle w:val="19"/>
                    <w:bidi w:val="0"/>
                    <w:rPr>
                      <w:color w:val="auto"/>
                    </w:rPr>
                  </w:pPr>
                  <w:r>
                    <w:rPr>
                      <w:rFonts w:hint="eastAsia"/>
                      <w:color w:val="auto"/>
                    </w:rPr>
                    <w:t>合计</w:t>
                  </w:r>
                </w:p>
              </w:tc>
              <w:tc>
                <w:tcPr>
                  <w:tcW w:w="1788" w:type="dxa"/>
                  <w:vAlign w:val="center"/>
                </w:tcPr>
                <w:p w14:paraId="4E2A4E6B">
                  <w:pPr>
                    <w:pStyle w:val="19"/>
                    <w:bidi w:val="0"/>
                    <w:rPr>
                      <w:rFonts w:hint="default" w:eastAsia="宋体"/>
                      <w:color w:val="auto"/>
                      <w:lang w:val="en-US" w:eastAsia="zh-CN"/>
                    </w:rPr>
                  </w:pPr>
                  <w:r>
                    <w:rPr>
                      <w:rFonts w:hint="eastAsia"/>
                      <w:color w:val="auto"/>
                      <w:lang w:val="en-US" w:eastAsia="zh-CN"/>
                    </w:rPr>
                    <w:t>112</w:t>
                  </w:r>
                </w:p>
              </w:tc>
            </w:tr>
          </w:tbl>
          <w:p w14:paraId="43B6F06C">
            <w:pPr>
              <w:pStyle w:val="20"/>
              <w:bidi w:val="0"/>
              <w:rPr>
                <w:rFonts w:hint="default"/>
                <w:color w:val="auto"/>
                <w:lang w:val="en-US" w:eastAsia="zh-CN"/>
              </w:rPr>
            </w:pPr>
          </w:p>
          <w:p w14:paraId="7C7688DD">
            <w:pPr>
              <w:pStyle w:val="3"/>
              <w:bidi w:val="0"/>
              <w:rPr>
                <w:rFonts w:hint="eastAsia"/>
                <w:color w:val="auto"/>
                <w:lang w:eastAsia="zh-CN"/>
              </w:rPr>
            </w:pPr>
            <w:r>
              <w:rPr>
                <w:rFonts w:hint="eastAsia"/>
                <w:color w:val="auto"/>
                <w:lang w:eastAsia="zh-CN"/>
              </w:rPr>
              <w:t>环保验收管理</w:t>
            </w:r>
          </w:p>
          <w:p w14:paraId="0EF1A11D">
            <w:pPr>
              <w:pStyle w:val="5"/>
              <w:ind w:firstLine="480"/>
              <w:rPr>
                <w:color w:val="auto"/>
              </w:rPr>
            </w:pPr>
            <w:r>
              <w:rPr>
                <w:color w:val="auto"/>
              </w:rPr>
              <w:t>依据《中华人民共和国生态环境法典》关于建设项目生态环境影响评价及生态环境保护设施“三同时”和竣工验收的规定：需要配套建设的生态环境保护设施，必须与主体工程同时设计、同时施工、同时投产使用；编制生态环境影响报告书、生态环境影响报告表的建设项目竣工后，建设单位应当对配套建设的生态环境保护设施进行验收，编制验收报告并向社会公开；生态环境保护设施未经验收或者验收不合格的，建设项目不得投入生产或者使用。</w:t>
            </w:r>
          </w:p>
          <w:p w14:paraId="66BE8483">
            <w:pPr>
              <w:pStyle w:val="5"/>
              <w:ind w:firstLine="480"/>
              <w:rPr>
                <w:color w:val="auto"/>
              </w:rPr>
            </w:pPr>
            <w:r>
              <w:rPr>
                <w:color w:val="auto"/>
              </w:rPr>
              <w:t>根据建设项目环境管理的要求，建设项目在投入生产或者使用前，依据环评文件及其审批意见，自行或委托第三方机构编制建设项目生态环境保护设施竣工验收报告，向社会公开并向环保部门备案。</w:t>
            </w:r>
          </w:p>
          <w:p w14:paraId="35EE9186">
            <w:pPr>
              <w:pStyle w:val="5"/>
              <w:ind w:firstLine="480"/>
              <w:rPr>
                <w:color w:val="auto"/>
              </w:rPr>
            </w:pPr>
            <w:r>
              <w:rPr>
                <w:color w:val="auto"/>
              </w:rPr>
              <w:t>项目各项污染治理措施必须严格执行“三同时”制度，环保设施“三同时”竣工验收一览表见下表。</w:t>
            </w:r>
          </w:p>
          <w:p w14:paraId="4DD6D514">
            <w:pPr>
              <w:pStyle w:val="12"/>
              <w:rPr>
                <w:rFonts w:hint="default" w:eastAsia="黑体"/>
                <w:color w:val="auto"/>
                <w:lang w:val="en-US" w:eastAsia="zh-CN"/>
              </w:rPr>
            </w:pPr>
            <w:r>
              <w:rPr>
                <w:color w:val="auto"/>
              </w:rPr>
              <w:t xml:space="preserve">表 </w:t>
            </w:r>
            <w:r>
              <w:rPr>
                <w:color w:val="auto"/>
              </w:rPr>
              <w:fldChar w:fldCharType="begin"/>
            </w:r>
            <w:r>
              <w:rPr>
                <w:color w:val="auto"/>
              </w:rPr>
              <w:instrText xml:space="preserve"> SEQ 表 \* ARABIC </w:instrText>
            </w:r>
            <w:r>
              <w:rPr>
                <w:color w:val="auto"/>
              </w:rPr>
              <w:fldChar w:fldCharType="separate"/>
            </w:r>
            <w:r>
              <w:rPr>
                <w:color w:val="auto"/>
              </w:rPr>
              <w:t>45</w:t>
            </w:r>
            <w:r>
              <w:rPr>
                <w:color w:val="auto"/>
              </w:rPr>
              <w:fldChar w:fldCharType="end"/>
            </w:r>
            <w:r>
              <w:rPr>
                <w:rFonts w:hint="eastAsia"/>
                <w:color w:val="auto"/>
                <w:lang w:val="en-US" w:eastAsia="zh-CN"/>
              </w:rPr>
              <w:t xml:space="preserve">  本项目环境保护竣工验收一览表</w:t>
            </w:r>
          </w:p>
          <w:tbl>
            <w:tblPr>
              <w:tblStyle w:val="16"/>
              <w:tblW w:w="7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1135"/>
              <w:gridCol w:w="1136"/>
              <w:gridCol w:w="1136"/>
              <w:gridCol w:w="1140"/>
              <w:gridCol w:w="1893"/>
            </w:tblGrid>
            <w:tr w14:paraId="00F2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Align w:val="center"/>
                </w:tcPr>
                <w:p w14:paraId="20703568">
                  <w:pPr>
                    <w:pStyle w:val="19"/>
                    <w:bidi w:val="0"/>
                    <w:jc w:val="center"/>
                    <w:rPr>
                      <w:rFonts w:hint="default"/>
                      <w:color w:val="auto"/>
                      <w:lang w:val="en-US" w:eastAsia="zh-CN"/>
                    </w:rPr>
                  </w:pPr>
                  <w:r>
                    <w:rPr>
                      <w:rFonts w:hint="eastAsia"/>
                      <w:color w:val="auto"/>
                      <w:lang w:val="en-US" w:eastAsia="zh-CN"/>
                    </w:rPr>
                    <w:t>类别</w:t>
                  </w:r>
                </w:p>
              </w:tc>
              <w:tc>
                <w:tcPr>
                  <w:tcW w:w="749" w:type="pct"/>
                  <w:shd w:val="clear" w:color="auto" w:fill="auto"/>
                  <w:vAlign w:val="center"/>
                </w:tcPr>
                <w:p w14:paraId="0831CD0C">
                  <w:pPr>
                    <w:pStyle w:val="19"/>
                    <w:bidi w:val="0"/>
                    <w:rPr>
                      <w:rFonts w:hint="default" w:ascii="Times New Roman" w:hAnsi="Times New Roman" w:eastAsia="宋体" w:cstheme="minorBidi"/>
                      <w:color w:val="auto"/>
                      <w:kern w:val="2"/>
                      <w:szCs w:val="24"/>
                      <w:lang w:val="en-US" w:eastAsia="zh-CN" w:bidi="ar-SA"/>
                    </w:rPr>
                  </w:pPr>
                  <w:r>
                    <w:rPr>
                      <w:rFonts w:hint="eastAsia"/>
                      <w:color w:val="auto"/>
                    </w:rPr>
                    <w:t>排放口编号</w:t>
                  </w:r>
                </w:p>
              </w:tc>
              <w:tc>
                <w:tcPr>
                  <w:tcW w:w="750" w:type="pct"/>
                  <w:shd w:val="clear" w:color="auto" w:fill="auto"/>
                  <w:vAlign w:val="center"/>
                </w:tcPr>
                <w:p w14:paraId="6A470313">
                  <w:pPr>
                    <w:pStyle w:val="19"/>
                    <w:bidi w:val="0"/>
                    <w:rPr>
                      <w:rFonts w:hint="default" w:ascii="Times New Roman" w:hAnsi="Times New Roman" w:eastAsia="宋体" w:cstheme="minorBidi"/>
                      <w:color w:val="auto"/>
                      <w:kern w:val="2"/>
                      <w:szCs w:val="24"/>
                      <w:lang w:val="en-US" w:eastAsia="zh-CN" w:bidi="ar-SA"/>
                    </w:rPr>
                  </w:pPr>
                  <w:r>
                    <w:rPr>
                      <w:color w:val="auto"/>
                    </w:rPr>
                    <w:t>污染源</w:t>
                  </w:r>
                </w:p>
              </w:tc>
              <w:tc>
                <w:tcPr>
                  <w:tcW w:w="750" w:type="pct"/>
                  <w:shd w:val="clear" w:color="auto" w:fill="auto"/>
                  <w:vAlign w:val="center"/>
                </w:tcPr>
                <w:p w14:paraId="0FE9B441">
                  <w:pPr>
                    <w:pStyle w:val="19"/>
                    <w:bidi w:val="0"/>
                    <w:rPr>
                      <w:rFonts w:hint="eastAsia" w:eastAsia="宋体"/>
                      <w:color w:val="auto"/>
                      <w:lang w:val="en-US" w:eastAsia="zh-CN"/>
                    </w:rPr>
                  </w:pPr>
                  <w:r>
                    <w:rPr>
                      <w:rFonts w:hint="eastAsia"/>
                      <w:color w:val="auto"/>
                      <w:lang w:val="en-US" w:eastAsia="zh-CN"/>
                    </w:rPr>
                    <w:t>污染物</w:t>
                  </w:r>
                </w:p>
              </w:tc>
              <w:tc>
                <w:tcPr>
                  <w:tcW w:w="752" w:type="pct"/>
                  <w:shd w:val="clear" w:color="auto" w:fill="auto"/>
                  <w:vAlign w:val="center"/>
                </w:tcPr>
                <w:p w14:paraId="4B4FFF3D">
                  <w:pPr>
                    <w:pStyle w:val="19"/>
                    <w:bidi w:val="0"/>
                    <w:rPr>
                      <w:rFonts w:hint="default" w:ascii="Times New Roman" w:hAnsi="Times New Roman" w:eastAsia="宋体" w:cstheme="minorBidi"/>
                      <w:color w:val="auto"/>
                      <w:kern w:val="2"/>
                      <w:szCs w:val="24"/>
                      <w:lang w:val="en-US" w:eastAsia="zh-CN" w:bidi="ar-SA"/>
                    </w:rPr>
                  </w:pPr>
                  <w:r>
                    <w:rPr>
                      <w:color w:val="auto"/>
                    </w:rPr>
                    <w:t>治理措施</w:t>
                  </w:r>
                </w:p>
              </w:tc>
              <w:tc>
                <w:tcPr>
                  <w:tcW w:w="1250" w:type="pct"/>
                  <w:vAlign w:val="center"/>
                </w:tcPr>
                <w:p w14:paraId="65068DC6">
                  <w:pPr>
                    <w:pStyle w:val="19"/>
                    <w:bidi w:val="0"/>
                    <w:jc w:val="center"/>
                    <w:rPr>
                      <w:rFonts w:hint="eastAsia"/>
                      <w:color w:val="auto"/>
                      <w:lang w:eastAsia="zh-CN"/>
                    </w:rPr>
                  </w:pPr>
                  <w:r>
                    <w:rPr>
                      <w:rFonts w:hint="eastAsia"/>
                      <w:color w:val="auto"/>
                      <w:lang w:val="en-US" w:eastAsia="zh-CN"/>
                    </w:rPr>
                    <w:t>验收标准</w:t>
                  </w:r>
                </w:p>
              </w:tc>
            </w:tr>
            <w:tr w14:paraId="160B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restart"/>
                  <w:vAlign w:val="center"/>
                </w:tcPr>
                <w:p w14:paraId="54B9F0D2">
                  <w:pPr>
                    <w:pStyle w:val="19"/>
                    <w:bidi w:val="0"/>
                    <w:jc w:val="center"/>
                    <w:rPr>
                      <w:rFonts w:hint="default"/>
                      <w:color w:val="auto"/>
                      <w:lang w:val="en-US" w:eastAsia="zh-CN"/>
                    </w:rPr>
                  </w:pPr>
                  <w:r>
                    <w:rPr>
                      <w:rFonts w:hint="eastAsia"/>
                      <w:color w:val="auto"/>
                      <w:lang w:val="en-US" w:eastAsia="zh-CN"/>
                    </w:rPr>
                    <w:t>废气</w:t>
                  </w:r>
                </w:p>
              </w:tc>
              <w:tc>
                <w:tcPr>
                  <w:tcW w:w="749" w:type="pct"/>
                  <w:shd w:val="clear" w:color="auto" w:fill="auto"/>
                  <w:vAlign w:val="center"/>
                </w:tcPr>
                <w:p w14:paraId="0E5B1722">
                  <w:pPr>
                    <w:pStyle w:val="19"/>
                    <w:bidi w:val="0"/>
                    <w:rPr>
                      <w:rFonts w:hint="eastAsia"/>
                      <w:color w:val="auto"/>
                      <w:lang w:val="en-US" w:eastAsia="zh-CN"/>
                    </w:rPr>
                  </w:pPr>
                  <w:r>
                    <w:rPr>
                      <w:rFonts w:hint="eastAsia"/>
                      <w:color w:val="auto"/>
                    </w:rPr>
                    <w:t>DA001</w:t>
                  </w:r>
                </w:p>
              </w:tc>
              <w:tc>
                <w:tcPr>
                  <w:tcW w:w="750" w:type="pct"/>
                  <w:vAlign w:val="center"/>
                </w:tcPr>
                <w:p w14:paraId="5DAEBDE7">
                  <w:pPr>
                    <w:pStyle w:val="19"/>
                    <w:bidi w:val="0"/>
                    <w:jc w:val="center"/>
                    <w:rPr>
                      <w:rFonts w:hint="eastAsia"/>
                      <w:color w:val="auto"/>
                      <w:lang w:eastAsia="zh-CN"/>
                    </w:rPr>
                  </w:pPr>
                  <w:r>
                    <w:rPr>
                      <w:rFonts w:hint="eastAsia"/>
                      <w:color w:val="auto"/>
                    </w:rPr>
                    <w:t>干粉入仓粉尘排气</w:t>
                  </w:r>
                </w:p>
              </w:tc>
              <w:tc>
                <w:tcPr>
                  <w:tcW w:w="750" w:type="pct"/>
                  <w:vAlign w:val="center"/>
                </w:tcPr>
                <w:p w14:paraId="1A6D4624">
                  <w:pPr>
                    <w:pStyle w:val="19"/>
                    <w:bidi w:val="0"/>
                    <w:rPr>
                      <w:rFonts w:hint="eastAsia"/>
                      <w:color w:val="auto"/>
                      <w:lang w:val="en-US" w:eastAsia="zh-CN"/>
                    </w:rPr>
                  </w:pPr>
                  <w:r>
                    <w:rPr>
                      <w:rFonts w:hint="eastAsia"/>
                      <w:color w:val="auto"/>
                      <w:lang w:val="en-US" w:eastAsia="zh-CN"/>
                    </w:rPr>
                    <w:t>颗粒物</w:t>
                  </w:r>
                </w:p>
              </w:tc>
              <w:tc>
                <w:tcPr>
                  <w:tcW w:w="752" w:type="pct"/>
                  <w:vAlign w:val="center"/>
                </w:tcPr>
                <w:p w14:paraId="0C79C3C5">
                  <w:pPr>
                    <w:pStyle w:val="19"/>
                    <w:bidi w:val="0"/>
                    <w:rPr>
                      <w:rFonts w:hint="eastAsia"/>
                      <w:color w:val="auto"/>
                      <w:lang w:eastAsia="zh-CN"/>
                    </w:rPr>
                  </w:pPr>
                  <w:r>
                    <w:rPr>
                      <w:rFonts w:hint="eastAsia"/>
                      <w:color w:val="auto"/>
                      <w:lang w:val="en-US" w:eastAsia="zh-CN"/>
                    </w:rPr>
                    <w:t>袋式除尘器处理+20m高排气筒排放</w:t>
                  </w:r>
                </w:p>
              </w:tc>
              <w:tc>
                <w:tcPr>
                  <w:tcW w:w="1250" w:type="pct"/>
                  <w:vAlign w:val="center"/>
                </w:tcPr>
                <w:p w14:paraId="5657F44D">
                  <w:pPr>
                    <w:pStyle w:val="19"/>
                    <w:bidi w:val="0"/>
                    <w:rPr>
                      <w:rFonts w:hint="default"/>
                      <w:color w:val="auto"/>
                      <w:lang w:val="en-US" w:eastAsia="zh-CN"/>
                    </w:rPr>
                  </w:pPr>
                  <w:r>
                    <w:rPr>
                      <w:rFonts w:hint="eastAsia"/>
                      <w:color w:val="auto"/>
                      <w:lang w:val="en-US" w:eastAsia="zh-CN"/>
                    </w:rPr>
                    <w:t>《水泥工业大气污染物排放标准》（GB 4915-2013，含2025年修改单）表1水泥仓及其他通风生产设备颗粒物有组织最高允许排放浓度</w:t>
                  </w:r>
                </w:p>
              </w:tc>
            </w:tr>
            <w:tr w14:paraId="2871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1101753B">
                  <w:pPr>
                    <w:pStyle w:val="19"/>
                    <w:bidi w:val="0"/>
                    <w:jc w:val="center"/>
                    <w:rPr>
                      <w:rFonts w:hint="eastAsia"/>
                      <w:color w:val="auto"/>
                      <w:lang w:eastAsia="zh-CN"/>
                    </w:rPr>
                  </w:pPr>
                </w:p>
              </w:tc>
              <w:tc>
                <w:tcPr>
                  <w:tcW w:w="749" w:type="pct"/>
                  <w:shd w:val="clear" w:color="auto" w:fill="auto"/>
                  <w:vAlign w:val="center"/>
                </w:tcPr>
                <w:p w14:paraId="70B8C7FB">
                  <w:pPr>
                    <w:pStyle w:val="19"/>
                    <w:bidi w:val="0"/>
                    <w:rPr>
                      <w:rFonts w:hint="eastAsia"/>
                      <w:color w:val="auto"/>
                      <w:lang w:val="en-US" w:eastAsia="zh-CN"/>
                    </w:rPr>
                  </w:pPr>
                  <w:r>
                    <w:rPr>
                      <w:rFonts w:hint="eastAsia"/>
                      <w:color w:val="auto"/>
                    </w:rPr>
                    <w:t>DA002</w:t>
                  </w:r>
                </w:p>
              </w:tc>
              <w:tc>
                <w:tcPr>
                  <w:tcW w:w="750" w:type="pct"/>
                  <w:vAlign w:val="center"/>
                </w:tcPr>
                <w:p w14:paraId="48681BC6">
                  <w:pPr>
                    <w:pStyle w:val="19"/>
                    <w:bidi w:val="0"/>
                    <w:jc w:val="center"/>
                    <w:rPr>
                      <w:rFonts w:hint="eastAsia"/>
                      <w:color w:val="auto"/>
                      <w:lang w:eastAsia="zh-CN"/>
                    </w:rPr>
                  </w:pPr>
                  <w:r>
                    <w:rPr>
                      <w:rFonts w:hint="eastAsia"/>
                      <w:color w:val="auto"/>
                    </w:rPr>
                    <w:t>复合制板、养护</w:t>
                  </w:r>
                  <w:r>
                    <w:rPr>
                      <w:rFonts w:hint="eastAsia"/>
                      <w:color w:val="auto"/>
                      <w:lang w:val="en-US" w:eastAsia="zh-CN"/>
                    </w:rPr>
                    <w:t>排气</w:t>
                  </w:r>
                </w:p>
              </w:tc>
              <w:tc>
                <w:tcPr>
                  <w:tcW w:w="750" w:type="pct"/>
                  <w:vAlign w:val="center"/>
                </w:tcPr>
                <w:p w14:paraId="500D4D3E">
                  <w:pPr>
                    <w:pStyle w:val="19"/>
                    <w:bidi w:val="0"/>
                    <w:rPr>
                      <w:rFonts w:hint="eastAsia"/>
                      <w:color w:val="auto"/>
                      <w:lang w:val="en-US" w:eastAsia="zh-CN"/>
                    </w:rPr>
                  </w:pPr>
                  <w:r>
                    <w:rPr>
                      <w:rFonts w:hint="eastAsia"/>
                      <w:color w:val="auto"/>
                      <w:lang w:val="en-US" w:eastAsia="zh-CN"/>
                    </w:rPr>
                    <w:t>NMHC</w:t>
                  </w:r>
                </w:p>
              </w:tc>
              <w:tc>
                <w:tcPr>
                  <w:tcW w:w="752" w:type="pct"/>
                  <w:vAlign w:val="center"/>
                </w:tcPr>
                <w:p w14:paraId="37DE0DCB">
                  <w:pPr>
                    <w:pStyle w:val="19"/>
                    <w:bidi w:val="0"/>
                    <w:rPr>
                      <w:rFonts w:hint="eastAsia"/>
                      <w:color w:val="auto"/>
                      <w:lang w:eastAsia="zh-CN"/>
                    </w:rPr>
                  </w:pPr>
                  <w:r>
                    <w:rPr>
                      <w:rFonts w:hint="eastAsia"/>
                      <w:color w:val="auto"/>
                      <w:lang w:val="en-US" w:eastAsia="zh-CN"/>
                    </w:rPr>
                    <w:t>集气罩+活性炭装置处理后经20m高排气筒有组织排放</w:t>
                  </w:r>
                </w:p>
              </w:tc>
              <w:tc>
                <w:tcPr>
                  <w:tcW w:w="1250" w:type="pct"/>
                  <w:vAlign w:val="center"/>
                </w:tcPr>
                <w:p w14:paraId="02004DD5">
                  <w:pPr>
                    <w:pStyle w:val="19"/>
                    <w:bidi w:val="0"/>
                    <w:jc w:val="center"/>
                    <w:rPr>
                      <w:rFonts w:hint="default"/>
                      <w:color w:val="auto"/>
                      <w:lang w:val="en-US" w:eastAsia="zh-CN"/>
                    </w:rPr>
                  </w:pPr>
                  <w:r>
                    <w:rPr>
                      <w:rFonts w:hint="eastAsia"/>
                      <w:color w:val="auto"/>
                      <w:lang w:val="en-US" w:eastAsia="zh-CN"/>
                    </w:rPr>
                    <w:t>NMHC满足《大气污染物综合排放标准》（GB16297-1996）表2二级标准</w:t>
                  </w:r>
                </w:p>
              </w:tc>
            </w:tr>
            <w:tr w14:paraId="343B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0516F701">
                  <w:pPr>
                    <w:pStyle w:val="19"/>
                    <w:bidi w:val="0"/>
                    <w:jc w:val="center"/>
                    <w:rPr>
                      <w:rFonts w:hint="eastAsia"/>
                      <w:color w:val="auto"/>
                      <w:lang w:eastAsia="zh-CN"/>
                    </w:rPr>
                  </w:pPr>
                </w:p>
              </w:tc>
              <w:tc>
                <w:tcPr>
                  <w:tcW w:w="749" w:type="pct"/>
                  <w:shd w:val="clear" w:color="auto" w:fill="auto"/>
                  <w:vAlign w:val="center"/>
                </w:tcPr>
                <w:p w14:paraId="4451EDBB">
                  <w:pPr>
                    <w:pStyle w:val="19"/>
                    <w:bidi w:val="0"/>
                    <w:rPr>
                      <w:rFonts w:hint="eastAsia"/>
                      <w:color w:val="auto"/>
                      <w:lang w:val="en-US" w:eastAsia="zh-CN"/>
                    </w:rPr>
                  </w:pPr>
                  <w:r>
                    <w:rPr>
                      <w:rFonts w:hint="eastAsia"/>
                      <w:color w:val="auto"/>
                      <w:lang w:val="en-US" w:eastAsia="zh-CN"/>
                    </w:rPr>
                    <w:t>DA003</w:t>
                  </w:r>
                </w:p>
              </w:tc>
              <w:tc>
                <w:tcPr>
                  <w:tcW w:w="750" w:type="pct"/>
                  <w:vAlign w:val="center"/>
                </w:tcPr>
                <w:p w14:paraId="641E213F">
                  <w:pPr>
                    <w:pStyle w:val="19"/>
                    <w:bidi w:val="0"/>
                    <w:jc w:val="center"/>
                    <w:rPr>
                      <w:rFonts w:hint="eastAsia"/>
                      <w:color w:val="auto"/>
                      <w:lang w:eastAsia="zh-CN"/>
                    </w:rPr>
                  </w:pPr>
                  <w:r>
                    <w:rPr>
                      <w:rFonts w:hint="eastAsia"/>
                      <w:color w:val="auto"/>
                    </w:rPr>
                    <w:t>修边切割、雕刻粉尘排气</w:t>
                  </w:r>
                </w:p>
              </w:tc>
              <w:tc>
                <w:tcPr>
                  <w:tcW w:w="750" w:type="pct"/>
                  <w:vAlign w:val="center"/>
                </w:tcPr>
                <w:p w14:paraId="12F2C49E">
                  <w:pPr>
                    <w:pStyle w:val="19"/>
                    <w:bidi w:val="0"/>
                    <w:rPr>
                      <w:rFonts w:hint="eastAsia"/>
                      <w:color w:val="auto"/>
                      <w:lang w:val="en-US" w:eastAsia="zh-CN"/>
                    </w:rPr>
                  </w:pPr>
                  <w:r>
                    <w:rPr>
                      <w:rFonts w:hint="eastAsia"/>
                      <w:color w:val="auto"/>
                      <w:lang w:val="en-US" w:eastAsia="zh-CN"/>
                    </w:rPr>
                    <w:t>颗粒物</w:t>
                  </w:r>
                </w:p>
              </w:tc>
              <w:tc>
                <w:tcPr>
                  <w:tcW w:w="752" w:type="pct"/>
                  <w:vAlign w:val="center"/>
                </w:tcPr>
                <w:p w14:paraId="16FAC69B">
                  <w:pPr>
                    <w:pStyle w:val="19"/>
                    <w:bidi w:val="0"/>
                    <w:rPr>
                      <w:rFonts w:hint="eastAsia"/>
                      <w:color w:val="auto"/>
                      <w:lang w:eastAsia="zh-CN"/>
                    </w:rPr>
                  </w:pPr>
                  <w:r>
                    <w:rPr>
                      <w:rFonts w:hint="eastAsia"/>
                      <w:color w:val="auto"/>
                      <w:lang w:val="en-US" w:eastAsia="zh-CN"/>
                    </w:rPr>
                    <w:t>集气罩+袋式除尘器处理后经20m高排气筒有组织排放</w:t>
                  </w:r>
                </w:p>
              </w:tc>
              <w:tc>
                <w:tcPr>
                  <w:tcW w:w="1250" w:type="pct"/>
                  <w:vAlign w:val="center"/>
                </w:tcPr>
                <w:p w14:paraId="283E377A">
                  <w:pPr>
                    <w:pStyle w:val="19"/>
                    <w:bidi w:val="0"/>
                    <w:jc w:val="center"/>
                    <w:rPr>
                      <w:rFonts w:hint="default"/>
                      <w:color w:val="auto"/>
                      <w:lang w:val="en-US" w:eastAsia="zh-CN"/>
                    </w:rPr>
                  </w:pPr>
                  <w:r>
                    <w:rPr>
                      <w:rFonts w:hint="eastAsia"/>
                      <w:color w:val="auto"/>
                      <w:lang w:val="en-US" w:eastAsia="zh-CN"/>
                    </w:rPr>
                    <w:t>颗粒物满足《水泥工业大气污染物排放标准》（GB 4915-2013，含2025年修改单）表1水泥仓及其他通风生产设备颗粒物有组织最高允许排放浓度</w:t>
                  </w:r>
                </w:p>
              </w:tc>
            </w:tr>
            <w:tr w14:paraId="1351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6E94A30B">
                  <w:pPr>
                    <w:pStyle w:val="19"/>
                    <w:bidi w:val="0"/>
                    <w:jc w:val="center"/>
                    <w:rPr>
                      <w:rFonts w:hint="eastAsia"/>
                      <w:color w:val="auto"/>
                      <w:lang w:eastAsia="zh-CN"/>
                    </w:rPr>
                  </w:pPr>
                </w:p>
              </w:tc>
              <w:tc>
                <w:tcPr>
                  <w:tcW w:w="1499" w:type="pct"/>
                  <w:gridSpan w:val="2"/>
                  <w:shd w:val="clear" w:color="auto" w:fill="auto"/>
                  <w:vAlign w:val="center"/>
                </w:tcPr>
                <w:p w14:paraId="37123B66">
                  <w:pPr>
                    <w:pStyle w:val="19"/>
                    <w:bidi w:val="0"/>
                    <w:rPr>
                      <w:rFonts w:hint="default"/>
                      <w:color w:val="auto"/>
                      <w:lang w:val="en-US"/>
                    </w:rPr>
                  </w:pPr>
                  <w:r>
                    <w:rPr>
                      <w:rFonts w:hint="eastAsia"/>
                      <w:color w:val="auto"/>
                      <w:lang w:val="en-US" w:eastAsia="zh-CN"/>
                    </w:rPr>
                    <w:t>干粉入仓废气</w:t>
                  </w:r>
                </w:p>
              </w:tc>
              <w:tc>
                <w:tcPr>
                  <w:tcW w:w="750" w:type="pct"/>
                  <w:vAlign w:val="center"/>
                </w:tcPr>
                <w:p w14:paraId="362090CF">
                  <w:pPr>
                    <w:pStyle w:val="19"/>
                    <w:bidi w:val="0"/>
                    <w:rPr>
                      <w:rFonts w:hint="eastAsia"/>
                      <w:color w:val="auto"/>
                      <w:lang w:val="en-US" w:eastAsia="zh-CN"/>
                    </w:rPr>
                  </w:pPr>
                  <w:r>
                    <w:rPr>
                      <w:rFonts w:hint="eastAsia"/>
                      <w:color w:val="auto"/>
                      <w:lang w:val="en-US" w:eastAsia="zh-CN"/>
                    </w:rPr>
                    <w:t>颗粒物</w:t>
                  </w:r>
                </w:p>
              </w:tc>
              <w:tc>
                <w:tcPr>
                  <w:tcW w:w="752" w:type="pct"/>
                  <w:vAlign w:val="center"/>
                </w:tcPr>
                <w:p w14:paraId="779A6C9C">
                  <w:pPr>
                    <w:pStyle w:val="19"/>
                    <w:bidi w:val="0"/>
                    <w:rPr>
                      <w:rFonts w:hint="eastAsia"/>
                      <w:color w:val="auto"/>
                      <w:lang w:val="en-US" w:eastAsia="zh-CN"/>
                    </w:rPr>
                  </w:pPr>
                  <w:r>
                    <w:rPr>
                      <w:rFonts w:hint="eastAsia" w:cs="Times New Roman"/>
                      <w:color w:val="auto"/>
                      <w:kern w:val="0"/>
                      <w:sz w:val="21"/>
                      <w:szCs w:val="21"/>
                      <w:lang w:val="en-US" w:eastAsia="zh-CN" w:bidi="ar-SA"/>
                    </w:rPr>
                    <w:t>无组织排放</w:t>
                  </w:r>
                </w:p>
              </w:tc>
              <w:tc>
                <w:tcPr>
                  <w:tcW w:w="1250" w:type="pct"/>
                  <w:vAlign w:val="center"/>
                </w:tcPr>
                <w:p w14:paraId="3FD7F6E8">
                  <w:pPr>
                    <w:pStyle w:val="19"/>
                    <w:bidi w:val="0"/>
                    <w:rPr>
                      <w:rFonts w:hint="eastAsia"/>
                      <w:color w:val="auto"/>
                      <w:lang w:val="en-US" w:eastAsia="zh-CN"/>
                    </w:rPr>
                  </w:pPr>
                  <w:r>
                    <w:rPr>
                      <w:rFonts w:hint="eastAsia"/>
                      <w:color w:val="auto"/>
                      <w:lang w:val="en-US" w:eastAsia="zh-CN"/>
                    </w:rPr>
                    <w:t>《水泥工业大气污染物排放标准》（GB 4915-2013，含2025年修改单）无组织限值</w:t>
                  </w:r>
                </w:p>
              </w:tc>
            </w:tr>
            <w:tr w14:paraId="06CE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02A5E09D">
                  <w:pPr>
                    <w:pStyle w:val="19"/>
                    <w:bidi w:val="0"/>
                    <w:jc w:val="center"/>
                    <w:rPr>
                      <w:rFonts w:hint="eastAsia"/>
                      <w:color w:val="auto"/>
                      <w:lang w:eastAsia="zh-CN"/>
                    </w:rPr>
                  </w:pPr>
                </w:p>
              </w:tc>
              <w:tc>
                <w:tcPr>
                  <w:tcW w:w="1499" w:type="pct"/>
                  <w:gridSpan w:val="2"/>
                  <w:shd w:val="clear" w:color="auto" w:fill="auto"/>
                  <w:vAlign w:val="center"/>
                </w:tcPr>
                <w:p w14:paraId="59C1AEAD">
                  <w:pPr>
                    <w:pStyle w:val="19"/>
                    <w:bidi w:val="0"/>
                    <w:rPr>
                      <w:rFonts w:hint="eastAsia"/>
                      <w:color w:val="auto"/>
                    </w:rPr>
                  </w:pPr>
                  <w:r>
                    <w:rPr>
                      <w:rFonts w:hint="default"/>
                      <w:color w:val="auto"/>
                      <w:lang w:val="en-US" w:eastAsia="zh-CN"/>
                    </w:rPr>
                    <w:t>复合</w:t>
                  </w:r>
                  <w:r>
                    <w:rPr>
                      <w:rFonts w:hint="eastAsia"/>
                      <w:color w:val="auto"/>
                      <w:lang w:val="en-US" w:eastAsia="zh-CN"/>
                    </w:rPr>
                    <w:t>制板</w:t>
                  </w:r>
                  <w:r>
                    <w:rPr>
                      <w:rFonts w:hint="default"/>
                      <w:color w:val="auto"/>
                      <w:lang w:val="en-US" w:eastAsia="zh-CN"/>
                    </w:rPr>
                    <w:t>及养护废气</w:t>
                  </w:r>
                </w:p>
              </w:tc>
              <w:tc>
                <w:tcPr>
                  <w:tcW w:w="750" w:type="pct"/>
                  <w:vAlign w:val="center"/>
                </w:tcPr>
                <w:p w14:paraId="03E5B7CF">
                  <w:pPr>
                    <w:pStyle w:val="19"/>
                    <w:bidi w:val="0"/>
                    <w:rPr>
                      <w:rFonts w:hint="eastAsia"/>
                      <w:color w:val="auto"/>
                      <w:lang w:val="en-US" w:eastAsia="zh-CN"/>
                    </w:rPr>
                  </w:pPr>
                  <w:r>
                    <w:rPr>
                      <w:rFonts w:hint="eastAsia"/>
                      <w:color w:val="auto"/>
                      <w:lang w:val="en-US" w:eastAsia="zh-CN"/>
                    </w:rPr>
                    <w:t>NMHC</w:t>
                  </w:r>
                </w:p>
              </w:tc>
              <w:tc>
                <w:tcPr>
                  <w:tcW w:w="752" w:type="pct"/>
                  <w:vAlign w:val="center"/>
                </w:tcPr>
                <w:p w14:paraId="5A435110">
                  <w:pPr>
                    <w:pStyle w:val="19"/>
                    <w:bidi w:val="0"/>
                    <w:rPr>
                      <w:rFonts w:hint="eastAsia"/>
                      <w:color w:val="auto"/>
                      <w:lang w:val="en-US" w:eastAsia="zh-CN"/>
                    </w:rPr>
                  </w:pPr>
                  <w:r>
                    <w:rPr>
                      <w:rFonts w:hint="eastAsia"/>
                      <w:color w:val="auto"/>
                      <w:lang w:val="en-US" w:eastAsia="zh-CN"/>
                    </w:rPr>
                    <w:t>无组织排放</w:t>
                  </w:r>
                </w:p>
              </w:tc>
              <w:tc>
                <w:tcPr>
                  <w:tcW w:w="1250" w:type="pct"/>
                  <w:vAlign w:val="center"/>
                </w:tcPr>
                <w:p w14:paraId="37735B76">
                  <w:pPr>
                    <w:pStyle w:val="19"/>
                    <w:bidi w:val="0"/>
                    <w:rPr>
                      <w:rFonts w:hint="eastAsia"/>
                      <w:color w:val="auto"/>
                      <w:lang w:val="en-US" w:eastAsia="zh-CN"/>
                    </w:rPr>
                  </w:pPr>
                  <w:r>
                    <w:rPr>
                      <w:rFonts w:hint="eastAsia"/>
                      <w:color w:val="auto"/>
                      <w:lang w:val="en-US" w:eastAsia="zh-CN"/>
                    </w:rPr>
                    <w:t>《挥发性有机物无组织排放控制标准》（GB 37822-2019）</w:t>
                  </w:r>
                </w:p>
              </w:tc>
            </w:tr>
            <w:tr w14:paraId="6640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7" w:type="pct"/>
                  <w:vMerge w:val="continue"/>
                  <w:vAlign w:val="center"/>
                </w:tcPr>
                <w:p w14:paraId="2C6DE434">
                  <w:pPr>
                    <w:pStyle w:val="19"/>
                    <w:bidi w:val="0"/>
                    <w:jc w:val="center"/>
                    <w:rPr>
                      <w:rFonts w:hint="eastAsia"/>
                      <w:color w:val="auto"/>
                      <w:lang w:eastAsia="zh-CN"/>
                    </w:rPr>
                  </w:pPr>
                </w:p>
              </w:tc>
              <w:tc>
                <w:tcPr>
                  <w:tcW w:w="1499" w:type="pct"/>
                  <w:gridSpan w:val="2"/>
                  <w:shd w:val="clear" w:color="auto" w:fill="auto"/>
                  <w:vAlign w:val="center"/>
                </w:tcPr>
                <w:p w14:paraId="1625A84F">
                  <w:pPr>
                    <w:pStyle w:val="19"/>
                    <w:bidi w:val="0"/>
                    <w:rPr>
                      <w:rFonts w:hint="default"/>
                      <w:color w:val="auto"/>
                      <w:lang w:val="en-US"/>
                    </w:rPr>
                  </w:pPr>
                  <w:r>
                    <w:rPr>
                      <w:rFonts w:hint="eastAsia"/>
                      <w:color w:val="auto"/>
                      <w:lang w:val="en-US" w:eastAsia="zh-CN"/>
                    </w:rPr>
                    <w:t>修边切割废气</w:t>
                  </w:r>
                </w:p>
              </w:tc>
              <w:tc>
                <w:tcPr>
                  <w:tcW w:w="750" w:type="pct"/>
                  <w:vAlign w:val="center"/>
                </w:tcPr>
                <w:p w14:paraId="07118996">
                  <w:pPr>
                    <w:pStyle w:val="19"/>
                    <w:bidi w:val="0"/>
                    <w:rPr>
                      <w:rFonts w:hint="eastAsia"/>
                      <w:color w:val="auto"/>
                      <w:lang w:val="en-US" w:eastAsia="zh-CN"/>
                    </w:rPr>
                  </w:pPr>
                  <w:r>
                    <w:rPr>
                      <w:rFonts w:hint="eastAsia"/>
                      <w:color w:val="auto"/>
                      <w:lang w:val="en-US" w:eastAsia="zh-CN"/>
                    </w:rPr>
                    <w:t>颗粒物</w:t>
                  </w:r>
                </w:p>
              </w:tc>
              <w:tc>
                <w:tcPr>
                  <w:tcW w:w="752" w:type="pct"/>
                  <w:vAlign w:val="center"/>
                </w:tcPr>
                <w:p w14:paraId="05260BAA">
                  <w:pPr>
                    <w:pStyle w:val="19"/>
                    <w:bidi w:val="0"/>
                    <w:rPr>
                      <w:rFonts w:hint="eastAsia"/>
                      <w:color w:val="auto"/>
                      <w:lang w:val="en-US" w:eastAsia="zh-CN"/>
                    </w:rPr>
                  </w:pPr>
                  <w:r>
                    <w:rPr>
                      <w:rFonts w:hint="eastAsia"/>
                      <w:color w:val="auto"/>
                      <w:lang w:val="en-US" w:eastAsia="zh-CN"/>
                    </w:rPr>
                    <w:t>无组织排放</w:t>
                  </w:r>
                </w:p>
              </w:tc>
              <w:tc>
                <w:tcPr>
                  <w:tcW w:w="1250" w:type="pct"/>
                  <w:vMerge w:val="restart"/>
                  <w:shd w:val="clear" w:color="auto" w:fill="auto"/>
                  <w:vAlign w:val="center"/>
                </w:tcPr>
                <w:p w14:paraId="101EC74E">
                  <w:pPr>
                    <w:pStyle w:val="19"/>
                    <w:bidi w:val="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《水泥工业大气污染物排放标准》（GB 4915-2013，含2025年修改单）无组织限值</w:t>
                  </w:r>
                </w:p>
              </w:tc>
            </w:tr>
            <w:tr w14:paraId="524A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2572F7D7">
                  <w:pPr>
                    <w:pStyle w:val="19"/>
                    <w:bidi w:val="0"/>
                    <w:jc w:val="center"/>
                    <w:rPr>
                      <w:rFonts w:hint="eastAsia"/>
                      <w:color w:val="auto"/>
                      <w:lang w:eastAsia="zh-CN"/>
                    </w:rPr>
                  </w:pPr>
                </w:p>
              </w:tc>
              <w:tc>
                <w:tcPr>
                  <w:tcW w:w="1499" w:type="pct"/>
                  <w:gridSpan w:val="2"/>
                  <w:shd w:val="clear" w:color="auto" w:fill="auto"/>
                  <w:vAlign w:val="center"/>
                </w:tcPr>
                <w:p w14:paraId="5641AF93">
                  <w:pPr>
                    <w:pStyle w:val="19"/>
                    <w:bidi w:val="0"/>
                    <w:rPr>
                      <w:rFonts w:hint="default"/>
                      <w:color w:val="auto"/>
                      <w:lang w:val="en-US"/>
                    </w:rPr>
                  </w:pPr>
                  <w:r>
                    <w:rPr>
                      <w:rFonts w:hint="eastAsia"/>
                      <w:color w:val="auto"/>
                      <w:lang w:val="en-US" w:eastAsia="zh-CN"/>
                    </w:rPr>
                    <w:t>雕刻废气</w:t>
                  </w:r>
                </w:p>
              </w:tc>
              <w:tc>
                <w:tcPr>
                  <w:tcW w:w="750" w:type="pct"/>
                  <w:vAlign w:val="center"/>
                </w:tcPr>
                <w:p w14:paraId="2D7019DE">
                  <w:pPr>
                    <w:pStyle w:val="19"/>
                    <w:bidi w:val="0"/>
                    <w:rPr>
                      <w:rFonts w:hint="eastAsia"/>
                      <w:color w:val="auto"/>
                      <w:lang w:val="en-US" w:eastAsia="zh-CN"/>
                    </w:rPr>
                  </w:pPr>
                  <w:r>
                    <w:rPr>
                      <w:rFonts w:hint="eastAsia"/>
                      <w:color w:val="auto"/>
                      <w:lang w:val="en-US" w:eastAsia="zh-CN"/>
                    </w:rPr>
                    <w:t>颗粒物</w:t>
                  </w:r>
                </w:p>
              </w:tc>
              <w:tc>
                <w:tcPr>
                  <w:tcW w:w="752" w:type="pct"/>
                  <w:vAlign w:val="center"/>
                </w:tcPr>
                <w:p w14:paraId="70B80B3F">
                  <w:pPr>
                    <w:pStyle w:val="19"/>
                    <w:bidi w:val="0"/>
                    <w:rPr>
                      <w:rFonts w:hint="eastAsia"/>
                      <w:color w:val="auto"/>
                      <w:lang w:val="en-US" w:eastAsia="zh-CN"/>
                    </w:rPr>
                  </w:pPr>
                  <w:r>
                    <w:rPr>
                      <w:rFonts w:hint="eastAsia"/>
                      <w:color w:val="auto"/>
                      <w:lang w:val="en-US" w:eastAsia="zh-CN"/>
                    </w:rPr>
                    <w:t>无组织排放</w:t>
                  </w:r>
                </w:p>
              </w:tc>
              <w:tc>
                <w:tcPr>
                  <w:tcW w:w="1250" w:type="pct"/>
                  <w:vMerge w:val="continue"/>
                  <w:vAlign w:val="center"/>
                </w:tcPr>
                <w:p w14:paraId="6BAB0122">
                  <w:pPr>
                    <w:pStyle w:val="19"/>
                    <w:bidi w:val="0"/>
                    <w:jc w:val="center"/>
                    <w:rPr>
                      <w:rFonts w:hint="eastAsia"/>
                      <w:color w:val="auto"/>
                      <w:lang w:val="en-US" w:eastAsia="zh-CN"/>
                    </w:rPr>
                  </w:pPr>
                </w:p>
              </w:tc>
            </w:tr>
            <w:tr w14:paraId="3485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Align w:val="center"/>
                </w:tcPr>
                <w:p w14:paraId="034C1706">
                  <w:pPr>
                    <w:pStyle w:val="19"/>
                    <w:bidi w:val="0"/>
                    <w:jc w:val="center"/>
                    <w:rPr>
                      <w:rFonts w:hint="default"/>
                      <w:color w:val="auto"/>
                      <w:lang w:val="en-US" w:eastAsia="zh-CN"/>
                    </w:rPr>
                  </w:pPr>
                  <w:r>
                    <w:rPr>
                      <w:rFonts w:hint="eastAsia"/>
                      <w:color w:val="auto"/>
                      <w:lang w:val="en-US" w:eastAsia="zh-CN"/>
                    </w:rPr>
                    <w:t>噪声</w:t>
                  </w:r>
                </w:p>
              </w:tc>
              <w:tc>
                <w:tcPr>
                  <w:tcW w:w="1499" w:type="pct"/>
                  <w:gridSpan w:val="2"/>
                  <w:vAlign w:val="center"/>
                </w:tcPr>
                <w:p w14:paraId="7FDF549F">
                  <w:pPr>
                    <w:pStyle w:val="19"/>
                    <w:bidi w:val="0"/>
                    <w:jc w:val="center"/>
                    <w:rPr>
                      <w:rFonts w:hint="default"/>
                      <w:color w:val="auto"/>
                      <w:lang w:val="en-US" w:eastAsia="zh-CN"/>
                    </w:rPr>
                  </w:pPr>
                  <w:r>
                    <w:rPr>
                      <w:rFonts w:hint="eastAsia"/>
                      <w:color w:val="auto"/>
                      <w:lang w:val="en-US" w:eastAsia="zh-CN"/>
                    </w:rPr>
                    <w:t>设备噪声</w:t>
                  </w:r>
                </w:p>
              </w:tc>
              <w:tc>
                <w:tcPr>
                  <w:tcW w:w="750" w:type="pct"/>
                  <w:vAlign w:val="center"/>
                </w:tcPr>
                <w:p w14:paraId="70E35793">
                  <w:pPr>
                    <w:pStyle w:val="19"/>
                    <w:bidi w:val="0"/>
                    <w:rPr>
                      <w:rFonts w:hint="eastAsia" w:eastAsia="宋体"/>
                      <w:color w:val="auto"/>
                      <w:lang w:val="en-US" w:eastAsia="zh-CN"/>
                    </w:rPr>
                  </w:pPr>
                  <w:r>
                    <w:rPr>
                      <w:rFonts w:hint="eastAsia"/>
                      <w:color w:val="auto"/>
                      <w:lang w:val="en-US" w:eastAsia="zh-CN"/>
                    </w:rPr>
                    <w:t>噪声</w:t>
                  </w:r>
                </w:p>
              </w:tc>
              <w:tc>
                <w:tcPr>
                  <w:tcW w:w="752" w:type="pct"/>
                  <w:vAlign w:val="center"/>
                </w:tcPr>
                <w:p w14:paraId="50751C36">
                  <w:pPr>
                    <w:pStyle w:val="19"/>
                    <w:bidi w:val="0"/>
                    <w:rPr>
                      <w:rFonts w:hint="eastAsia"/>
                      <w:color w:val="auto"/>
                      <w:lang w:eastAsia="zh-CN"/>
                    </w:rPr>
                  </w:pPr>
                  <w:r>
                    <w:rPr>
                      <w:rFonts w:hint="eastAsia"/>
                      <w:color w:val="auto"/>
                    </w:rPr>
                    <w:t>基础减振、消声器</w:t>
                  </w:r>
                </w:p>
              </w:tc>
              <w:tc>
                <w:tcPr>
                  <w:tcW w:w="1250" w:type="pct"/>
                  <w:vAlign w:val="center"/>
                </w:tcPr>
                <w:p w14:paraId="2FCFF979">
                  <w:pPr>
                    <w:pStyle w:val="19"/>
                    <w:bidi w:val="0"/>
                    <w:rPr>
                      <w:rFonts w:hint="eastAsia"/>
                      <w:color w:val="auto"/>
                      <w:lang w:eastAsia="zh-CN"/>
                    </w:rPr>
                  </w:pPr>
                  <w:r>
                    <w:rPr>
                      <w:rFonts w:hint="eastAsia"/>
                      <w:color w:val="auto"/>
                    </w:rPr>
                    <w:t>《工业企业厂界环境噪声排放标</w:t>
                  </w:r>
                  <w:r>
                    <w:rPr>
                      <w:rFonts w:hint="eastAsia"/>
                      <w:color w:val="auto"/>
                      <w:lang w:val="en-US" w:eastAsia="zh-CN"/>
                    </w:rPr>
                    <w:t>准</w:t>
                  </w:r>
                  <w:r>
                    <w:rPr>
                      <w:rFonts w:hint="eastAsia"/>
                      <w:color w:val="auto"/>
                    </w:rPr>
                    <w:t>（GB 12348—2008）3类功能区标准要求</w:t>
                  </w:r>
                </w:p>
              </w:tc>
            </w:tr>
            <w:tr w14:paraId="2DA2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Align w:val="center"/>
                </w:tcPr>
                <w:p w14:paraId="70D31354">
                  <w:pPr>
                    <w:pStyle w:val="19"/>
                    <w:bidi w:val="0"/>
                    <w:jc w:val="center"/>
                    <w:rPr>
                      <w:rFonts w:hint="default"/>
                      <w:color w:val="auto"/>
                      <w:lang w:val="en-US" w:eastAsia="zh-CN"/>
                    </w:rPr>
                  </w:pPr>
                  <w:r>
                    <w:rPr>
                      <w:rFonts w:hint="eastAsia"/>
                      <w:color w:val="auto"/>
                      <w:lang w:val="en-US" w:eastAsia="zh-CN"/>
                    </w:rPr>
                    <w:t>废水</w:t>
                  </w:r>
                </w:p>
              </w:tc>
              <w:tc>
                <w:tcPr>
                  <w:tcW w:w="1499" w:type="pct"/>
                  <w:gridSpan w:val="2"/>
                  <w:vAlign w:val="center"/>
                </w:tcPr>
                <w:p w14:paraId="690D3E56">
                  <w:pPr>
                    <w:pStyle w:val="19"/>
                    <w:bidi w:val="0"/>
                    <w:jc w:val="center"/>
                    <w:rPr>
                      <w:rFonts w:hint="default"/>
                      <w:color w:val="auto"/>
                      <w:lang w:val="en-US" w:eastAsia="zh-CN"/>
                    </w:rPr>
                  </w:pPr>
                  <w:r>
                    <w:rPr>
                      <w:rFonts w:hint="eastAsia"/>
                      <w:color w:val="auto"/>
                      <w:lang w:val="en-US" w:eastAsia="zh-CN"/>
                    </w:rPr>
                    <w:t>生活废水</w:t>
                  </w:r>
                </w:p>
              </w:tc>
              <w:tc>
                <w:tcPr>
                  <w:tcW w:w="750" w:type="pct"/>
                  <w:vAlign w:val="center"/>
                </w:tcPr>
                <w:p w14:paraId="1E1A9CC2">
                  <w:pPr>
                    <w:pStyle w:val="19"/>
                    <w:bidi w:val="0"/>
                    <w:rPr>
                      <w:rFonts w:hint="eastAsia"/>
                      <w:color w:val="auto"/>
                      <w:lang w:val="en-US" w:eastAsia="zh-CN"/>
                    </w:rPr>
                  </w:pPr>
                  <w:r>
                    <w:rPr>
                      <w:rFonts w:hint="eastAsia" w:cs="宋体"/>
                      <w:color w:val="auto"/>
                      <w:lang w:val="en-US" w:eastAsia="zh-CN" w:bidi="ar"/>
                    </w:rPr>
                    <w:t>COD、氨氮等</w:t>
                  </w:r>
                </w:p>
              </w:tc>
              <w:tc>
                <w:tcPr>
                  <w:tcW w:w="752" w:type="pct"/>
                  <w:vAlign w:val="center"/>
                </w:tcPr>
                <w:p w14:paraId="3A9F8174">
                  <w:pPr>
                    <w:pStyle w:val="19"/>
                    <w:bidi w:val="0"/>
                    <w:rPr>
                      <w:rFonts w:hint="eastAsia"/>
                      <w:color w:val="auto"/>
                      <w:lang w:eastAsia="zh-CN"/>
                    </w:rPr>
                  </w:pPr>
                  <w:r>
                    <w:rPr>
                      <w:rFonts w:hint="eastAsia"/>
                      <w:color w:val="auto"/>
                      <w:lang w:val="en-US" w:eastAsia="zh-CN"/>
                    </w:rPr>
                    <w:t>依托园区</w:t>
                  </w:r>
                  <w:r>
                    <w:rPr>
                      <w:rFonts w:hint="default"/>
                      <w:color w:val="auto"/>
                      <w:lang w:val="en-US" w:eastAsia="zh-CN"/>
                    </w:rPr>
                    <w:t>污水处理厂处理达标后外排</w:t>
                  </w:r>
                </w:p>
              </w:tc>
              <w:tc>
                <w:tcPr>
                  <w:tcW w:w="1250" w:type="pct"/>
                  <w:vAlign w:val="center"/>
                </w:tcPr>
                <w:p w14:paraId="07CB636F">
                  <w:pPr>
                    <w:pStyle w:val="19"/>
                    <w:bidi w:val="0"/>
                    <w:rPr>
                      <w:rFonts w:hint="eastAsia"/>
                      <w:color w:val="auto"/>
                      <w:lang w:eastAsia="zh-CN"/>
                    </w:rPr>
                  </w:pPr>
                  <w:r>
                    <w:rPr>
                      <w:rFonts w:hint="eastAsia"/>
                      <w:color w:val="auto"/>
                      <w:lang w:eastAsia="zh-CN"/>
                    </w:rPr>
                    <w:t>《</w:t>
                  </w:r>
                  <w:r>
                    <w:rPr>
                      <w:rFonts w:hint="eastAsia"/>
                      <w:color w:val="auto"/>
                      <w:lang w:val="en-US" w:eastAsia="zh-CN"/>
                    </w:rPr>
                    <w:t>污水综合排放标准</w:t>
                  </w:r>
                  <w:r>
                    <w:rPr>
                      <w:rFonts w:hint="eastAsia"/>
                      <w:color w:val="auto"/>
                      <w:lang w:eastAsia="zh-CN"/>
                    </w:rPr>
                    <w:t>》（</w:t>
                  </w:r>
                  <w:r>
                    <w:rPr>
                      <w:rFonts w:hint="eastAsia"/>
                      <w:color w:val="auto"/>
                      <w:lang w:val="en-US" w:eastAsia="zh-CN"/>
                    </w:rPr>
                    <w:t>GB8978-1996</w:t>
                  </w:r>
                  <w:r>
                    <w:rPr>
                      <w:rFonts w:hint="eastAsia"/>
                      <w:color w:val="auto"/>
                      <w:lang w:eastAsia="zh-CN"/>
                    </w:rPr>
                    <w:t>）</w:t>
                  </w:r>
                </w:p>
              </w:tc>
            </w:tr>
            <w:tr w14:paraId="59D6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restart"/>
                  <w:vAlign w:val="center"/>
                </w:tcPr>
                <w:p w14:paraId="0BD1DDC5">
                  <w:pPr>
                    <w:pStyle w:val="19"/>
                    <w:bidi w:val="0"/>
                    <w:jc w:val="center"/>
                    <w:rPr>
                      <w:rFonts w:hint="default"/>
                      <w:color w:val="auto"/>
                      <w:lang w:val="en-US" w:eastAsia="zh-CN"/>
                    </w:rPr>
                  </w:pPr>
                  <w:r>
                    <w:rPr>
                      <w:rFonts w:hint="eastAsia"/>
                      <w:color w:val="auto"/>
                      <w:lang w:val="en-US" w:eastAsia="zh-CN"/>
                    </w:rPr>
                    <w:t>固废</w:t>
                  </w:r>
                </w:p>
              </w:tc>
              <w:tc>
                <w:tcPr>
                  <w:tcW w:w="1499" w:type="pct"/>
                  <w:gridSpan w:val="2"/>
                  <w:vAlign w:val="center"/>
                </w:tcPr>
                <w:p w14:paraId="2BBD7E39">
                  <w:pPr>
                    <w:pStyle w:val="19"/>
                    <w:bidi w:val="0"/>
                    <w:jc w:val="center"/>
                    <w:rPr>
                      <w:rFonts w:hint="eastAsia"/>
                      <w:color w:val="auto"/>
                      <w:lang w:eastAsia="zh-CN"/>
                    </w:rPr>
                  </w:pPr>
                  <w:r>
                    <w:rPr>
                      <w:rFonts w:hint="eastAsia"/>
                      <w:color w:val="auto"/>
                    </w:rPr>
                    <w:t>除尘器收尘</w:t>
                  </w:r>
                </w:p>
              </w:tc>
              <w:tc>
                <w:tcPr>
                  <w:tcW w:w="1502" w:type="pct"/>
                  <w:gridSpan w:val="2"/>
                  <w:vAlign w:val="center"/>
                </w:tcPr>
                <w:p w14:paraId="2FB1327B">
                  <w:pPr>
                    <w:pStyle w:val="19"/>
                    <w:bidi w:val="0"/>
                    <w:jc w:val="center"/>
                    <w:rPr>
                      <w:rFonts w:hint="eastAsia"/>
                      <w:color w:val="auto"/>
                      <w:lang w:eastAsia="zh-CN"/>
                    </w:rPr>
                  </w:pPr>
                  <w:r>
                    <w:rPr>
                      <w:rFonts w:hint="eastAsia"/>
                      <w:color w:val="auto"/>
                    </w:rPr>
                    <w:t>作为原料回用于生产</w:t>
                  </w:r>
                </w:p>
              </w:tc>
              <w:tc>
                <w:tcPr>
                  <w:tcW w:w="1250" w:type="pct"/>
                  <w:vMerge w:val="restart"/>
                  <w:vAlign w:val="center"/>
                </w:tcPr>
                <w:p w14:paraId="2789C87D">
                  <w:pPr>
                    <w:pStyle w:val="19"/>
                    <w:bidi w:val="0"/>
                    <w:jc w:val="center"/>
                    <w:rPr>
                      <w:rFonts w:hint="eastAsia"/>
                      <w:color w:val="auto"/>
                      <w:lang w:eastAsia="zh-CN"/>
                    </w:rPr>
                  </w:pPr>
                  <w:r>
                    <w:rPr>
                      <w:color w:val="auto"/>
                    </w:rPr>
                    <w:t>《一般工业固体废物贮存和填埋污染控制标准》（GB 18599-2020）</w:t>
                  </w:r>
                </w:p>
              </w:tc>
            </w:tr>
            <w:tr w14:paraId="05A6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1A2C77E7">
                  <w:pPr>
                    <w:pStyle w:val="19"/>
                    <w:bidi w:val="0"/>
                    <w:jc w:val="center"/>
                    <w:rPr>
                      <w:rFonts w:hint="default"/>
                      <w:color w:val="auto"/>
                      <w:lang w:val="en-US" w:eastAsia="zh-CN"/>
                    </w:rPr>
                  </w:pPr>
                </w:p>
              </w:tc>
              <w:tc>
                <w:tcPr>
                  <w:tcW w:w="1499" w:type="pct"/>
                  <w:gridSpan w:val="2"/>
                  <w:vAlign w:val="center"/>
                </w:tcPr>
                <w:p w14:paraId="45484CD1">
                  <w:pPr>
                    <w:pStyle w:val="19"/>
                    <w:bidi w:val="0"/>
                    <w:jc w:val="center"/>
                    <w:rPr>
                      <w:rFonts w:hint="eastAsia"/>
                      <w:color w:val="auto"/>
                      <w:lang w:eastAsia="zh-CN"/>
                    </w:rPr>
                  </w:pPr>
                  <w:r>
                    <w:rPr>
                      <w:rFonts w:hint="eastAsia"/>
                      <w:color w:val="auto"/>
                    </w:rPr>
                    <w:t>不合格品及废边角料</w:t>
                  </w:r>
                </w:p>
              </w:tc>
              <w:tc>
                <w:tcPr>
                  <w:tcW w:w="1502" w:type="pct"/>
                  <w:gridSpan w:val="2"/>
                  <w:vAlign w:val="center"/>
                </w:tcPr>
                <w:p w14:paraId="39E1BAF7">
                  <w:pPr>
                    <w:pStyle w:val="19"/>
                    <w:bidi w:val="0"/>
                    <w:jc w:val="center"/>
                    <w:rPr>
                      <w:rFonts w:hint="eastAsia"/>
                      <w:color w:val="auto"/>
                      <w:lang w:eastAsia="zh-CN"/>
                    </w:rPr>
                  </w:pPr>
                  <w:r>
                    <w:rPr>
                      <w:rFonts w:hint="eastAsia"/>
                      <w:color w:val="auto"/>
                    </w:rPr>
                    <w:t>经收集于一般固废间暂存后外售处理</w:t>
                  </w:r>
                </w:p>
              </w:tc>
              <w:tc>
                <w:tcPr>
                  <w:tcW w:w="1250" w:type="pct"/>
                  <w:vMerge w:val="continue"/>
                  <w:vAlign w:val="center"/>
                </w:tcPr>
                <w:p w14:paraId="500FEE5D">
                  <w:pPr>
                    <w:pStyle w:val="19"/>
                    <w:bidi w:val="0"/>
                    <w:jc w:val="center"/>
                    <w:rPr>
                      <w:rFonts w:hint="eastAsia"/>
                      <w:color w:val="auto"/>
                      <w:lang w:eastAsia="zh-CN"/>
                    </w:rPr>
                  </w:pPr>
                </w:p>
              </w:tc>
            </w:tr>
            <w:tr w14:paraId="41E2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3DADE629">
                  <w:pPr>
                    <w:pStyle w:val="19"/>
                    <w:bidi w:val="0"/>
                    <w:jc w:val="center"/>
                    <w:rPr>
                      <w:rFonts w:hint="eastAsia"/>
                      <w:color w:val="auto"/>
                      <w:lang w:eastAsia="zh-CN"/>
                    </w:rPr>
                  </w:pPr>
                </w:p>
              </w:tc>
              <w:tc>
                <w:tcPr>
                  <w:tcW w:w="1499" w:type="pct"/>
                  <w:gridSpan w:val="2"/>
                  <w:vAlign w:val="center"/>
                </w:tcPr>
                <w:p w14:paraId="48FE3D20">
                  <w:pPr>
                    <w:pStyle w:val="19"/>
                    <w:bidi w:val="0"/>
                    <w:jc w:val="center"/>
                    <w:rPr>
                      <w:rFonts w:hint="eastAsia"/>
                      <w:color w:val="auto"/>
                      <w:lang w:eastAsia="zh-CN"/>
                    </w:rPr>
                  </w:pPr>
                  <w:r>
                    <w:rPr>
                      <w:rFonts w:hint="eastAsia"/>
                      <w:color w:val="auto"/>
                      <w:lang w:val="en-US" w:eastAsia="zh-CN"/>
                    </w:rPr>
                    <w:t>废包装材料</w:t>
                  </w:r>
                </w:p>
              </w:tc>
              <w:tc>
                <w:tcPr>
                  <w:tcW w:w="1502" w:type="pct"/>
                  <w:gridSpan w:val="2"/>
                  <w:vAlign w:val="center"/>
                </w:tcPr>
                <w:p w14:paraId="6D719788">
                  <w:pPr>
                    <w:pStyle w:val="19"/>
                    <w:bidi w:val="0"/>
                    <w:jc w:val="center"/>
                    <w:rPr>
                      <w:rFonts w:hint="eastAsia"/>
                      <w:color w:val="auto"/>
                      <w:lang w:eastAsia="zh-CN"/>
                    </w:rPr>
                  </w:pPr>
                  <w:r>
                    <w:rPr>
                      <w:rFonts w:hint="eastAsia"/>
                      <w:color w:val="auto"/>
                      <w:lang w:eastAsia="zh-CN"/>
                    </w:rPr>
                    <w:t>一般固废贮存库暂存后由原厂家回收处理</w:t>
                  </w:r>
                </w:p>
              </w:tc>
              <w:tc>
                <w:tcPr>
                  <w:tcW w:w="1250" w:type="pct"/>
                  <w:vMerge w:val="continue"/>
                  <w:vAlign w:val="center"/>
                </w:tcPr>
                <w:p w14:paraId="7CF7B86C">
                  <w:pPr>
                    <w:pStyle w:val="19"/>
                    <w:bidi w:val="0"/>
                    <w:jc w:val="center"/>
                    <w:rPr>
                      <w:rFonts w:hint="eastAsia"/>
                      <w:color w:val="auto"/>
                      <w:lang w:eastAsia="zh-CN"/>
                    </w:rPr>
                  </w:pPr>
                </w:p>
              </w:tc>
            </w:tr>
            <w:tr w14:paraId="74B8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Align w:val="center"/>
                </w:tcPr>
                <w:p w14:paraId="7E296D74">
                  <w:pPr>
                    <w:pStyle w:val="19"/>
                    <w:bidi w:val="0"/>
                    <w:jc w:val="center"/>
                    <w:rPr>
                      <w:rFonts w:hint="eastAsia"/>
                      <w:color w:val="auto"/>
                      <w:lang w:eastAsia="zh-CN"/>
                    </w:rPr>
                  </w:pPr>
                  <w:r>
                    <w:rPr>
                      <w:rFonts w:hint="eastAsia"/>
                      <w:color w:val="auto"/>
                      <w:lang w:val="en-US" w:eastAsia="zh-CN"/>
                    </w:rPr>
                    <w:t>危废</w:t>
                  </w:r>
                </w:p>
              </w:tc>
              <w:tc>
                <w:tcPr>
                  <w:tcW w:w="1499" w:type="pct"/>
                  <w:gridSpan w:val="2"/>
                  <w:vAlign w:val="center"/>
                </w:tcPr>
                <w:p w14:paraId="0D67F98B">
                  <w:pPr>
                    <w:pStyle w:val="19"/>
                    <w:bidi w:val="0"/>
                    <w:jc w:val="center"/>
                    <w:rPr>
                      <w:rFonts w:hint="default"/>
                      <w:color w:val="auto"/>
                      <w:lang w:val="en-US" w:eastAsia="zh-CN"/>
                    </w:rPr>
                  </w:pPr>
                  <w:r>
                    <w:rPr>
                      <w:rFonts w:hint="eastAsia"/>
                      <w:color w:val="auto"/>
                      <w:lang w:val="en-US" w:eastAsia="zh-CN"/>
                    </w:rPr>
                    <w:t>废活性炭</w:t>
                  </w:r>
                </w:p>
              </w:tc>
              <w:tc>
                <w:tcPr>
                  <w:tcW w:w="1502" w:type="pct"/>
                  <w:gridSpan w:val="2"/>
                  <w:vAlign w:val="center"/>
                </w:tcPr>
                <w:p w14:paraId="691C0596">
                  <w:pPr>
                    <w:pStyle w:val="19"/>
                    <w:bidi w:val="0"/>
                    <w:jc w:val="center"/>
                    <w:rPr>
                      <w:rFonts w:hint="eastAsia"/>
                      <w:color w:val="auto"/>
                      <w:lang w:eastAsia="zh-CN"/>
                    </w:rPr>
                  </w:pPr>
                  <w:r>
                    <w:rPr>
                      <w:rFonts w:hint="eastAsia"/>
                      <w:color w:val="auto"/>
                    </w:rPr>
                    <w:t>废活性炭经</w:t>
                  </w:r>
                  <w:r>
                    <w:rPr>
                      <w:rFonts w:hint="eastAsia"/>
                      <w:color w:val="auto"/>
                      <w:lang w:eastAsia="zh-CN"/>
                    </w:rPr>
                    <w:t>危废暂存库</w:t>
                  </w:r>
                  <w:r>
                    <w:rPr>
                      <w:rFonts w:hint="eastAsia"/>
                      <w:color w:val="auto"/>
                    </w:rPr>
                    <w:t>暂存，</w:t>
                  </w:r>
                  <w:r>
                    <w:rPr>
                      <w:rFonts w:hint="eastAsia"/>
                      <w:color w:val="auto"/>
                      <w:lang w:eastAsia="zh-CN"/>
                    </w:rPr>
                    <w:t>交由</w:t>
                  </w:r>
                  <w:r>
                    <w:rPr>
                      <w:rFonts w:hint="eastAsia"/>
                      <w:color w:val="auto"/>
                    </w:rPr>
                    <w:t>资质单位处理</w:t>
                  </w:r>
                </w:p>
              </w:tc>
              <w:tc>
                <w:tcPr>
                  <w:tcW w:w="1250" w:type="pct"/>
                  <w:vAlign w:val="center"/>
                </w:tcPr>
                <w:p w14:paraId="06736703">
                  <w:pPr>
                    <w:pStyle w:val="19"/>
                    <w:bidi w:val="0"/>
                    <w:jc w:val="center"/>
                    <w:rPr>
                      <w:rFonts w:hint="eastAsia"/>
                      <w:color w:val="auto"/>
                      <w:lang w:eastAsia="zh-CN"/>
                    </w:rPr>
                  </w:pPr>
                  <w:r>
                    <w:rPr>
                      <w:color w:val="auto"/>
                    </w:rPr>
                    <w:t>《危险废物贮存污染控制标准》（GB 18597-2023）</w:t>
                  </w:r>
                </w:p>
              </w:tc>
            </w:tr>
            <w:tr w14:paraId="5749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Align w:val="center"/>
                </w:tcPr>
                <w:p w14:paraId="6D92AAE6">
                  <w:pPr>
                    <w:pStyle w:val="19"/>
                    <w:bidi w:val="0"/>
                    <w:jc w:val="center"/>
                    <w:rPr>
                      <w:rFonts w:hint="default"/>
                      <w:color w:val="auto"/>
                      <w:lang w:val="en-US" w:eastAsia="zh-CN"/>
                    </w:rPr>
                  </w:pPr>
                  <w:r>
                    <w:rPr>
                      <w:rFonts w:hint="eastAsia"/>
                      <w:color w:val="auto"/>
                      <w:lang w:val="en-US" w:eastAsia="zh-CN"/>
                    </w:rPr>
                    <w:t>生活垃圾</w:t>
                  </w:r>
                </w:p>
              </w:tc>
              <w:tc>
                <w:tcPr>
                  <w:tcW w:w="1499" w:type="pct"/>
                  <w:gridSpan w:val="2"/>
                  <w:vAlign w:val="center"/>
                </w:tcPr>
                <w:p w14:paraId="27DEE9A2">
                  <w:pPr>
                    <w:pStyle w:val="19"/>
                    <w:bidi w:val="0"/>
                    <w:jc w:val="center"/>
                    <w:rPr>
                      <w:rFonts w:hint="default"/>
                      <w:color w:val="auto"/>
                      <w:lang w:val="en-US" w:eastAsia="zh-CN"/>
                    </w:rPr>
                  </w:pPr>
                  <w:r>
                    <w:rPr>
                      <w:rFonts w:hint="eastAsia"/>
                      <w:color w:val="auto"/>
                      <w:lang w:val="en-US" w:eastAsia="zh-CN"/>
                    </w:rPr>
                    <w:t>生活垃圾</w:t>
                  </w:r>
                </w:p>
              </w:tc>
              <w:tc>
                <w:tcPr>
                  <w:tcW w:w="1502" w:type="pct"/>
                  <w:gridSpan w:val="2"/>
                  <w:vAlign w:val="center"/>
                </w:tcPr>
                <w:p w14:paraId="0233530D">
                  <w:pPr>
                    <w:pStyle w:val="19"/>
                    <w:bidi w:val="0"/>
                    <w:jc w:val="center"/>
                    <w:rPr>
                      <w:rFonts w:hint="eastAsia"/>
                      <w:color w:val="auto"/>
                      <w:lang w:eastAsia="zh-CN"/>
                    </w:rPr>
                  </w:pPr>
                  <w:r>
                    <w:rPr>
                      <w:rFonts w:hint="eastAsia"/>
                      <w:color w:val="auto"/>
                      <w:lang w:val="en-US" w:eastAsia="zh-CN"/>
                    </w:rPr>
                    <w:t>交由环卫部门处理</w:t>
                  </w:r>
                </w:p>
              </w:tc>
              <w:tc>
                <w:tcPr>
                  <w:tcW w:w="1250" w:type="pct"/>
                  <w:vAlign w:val="center"/>
                </w:tcPr>
                <w:p w14:paraId="1BD144BA">
                  <w:pPr>
                    <w:pStyle w:val="19"/>
                    <w:bidi w:val="0"/>
                    <w:jc w:val="center"/>
                    <w:rPr>
                      <w:rFonts w:hint="eastAsia"/>
                      <w:color w:val="auto"/>
                      <w:lang w:eastAsia="zh-CN"/>
                    </w:rPr>
                  </w:pPr>
                </w:p>
              </w:tc>
            </w:tr>
            <w:tr w14:paraId="161D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restart"/>
                  <w:vAlign w:val="center"/>
                </w:tcPr>
                <w:p w14:paraId="5ABE9BF8">
                  <w:pPr>
                    <w:pStyle w:val="19"/>
                    <w:bidi w:val="0"/>
                    <w:jc w:val="center"/>
                    <w:rPr>
                      <w:rFonts w:hint="default"/>
                      <w:color w:val="auto"/>
                      <w:lang w:val="en-US" w:eastAsia="zh-CN"/>
                    </w:rPr>
                  </w:pPr>
                  <w:r>
                    <w:rPr>
                      <w:rFonts w:hint="eastAsia"/>
                      <w:color w:val="auto"/>
                      <w:lang w:val="en-US" w:eastAsia="zh-CN"/>
                    </w:rPr>
                    <w:t>环境管理</w:t>
                  </w:r>
                </w:p>
              </w:tc>
              <w:tc>
                <w:tcPr>
                  <w:tcW w:w="749" w:type="pct"/>
                  <w:vMerge w:val="restart"/>
                  <w:vAlign w:val="center"/>
                </w:tcPr>
                <w:p w14:paraId="408DAB0A">
                  <w:pPr>
                    <w:pStyle w:val="19"/>
                    <w:bidi w:val="0"/>
                    <w:jc w:val="center"/>
                    <w:rPr>
                      <w:rFonts w:hint="default"/>
                      <w:color w:val="auto"/>
                      <w:lang w:val="en-US" w:eastAsia="zh-CN"/>
                    </w:rPr>
                  </w:pPr>
                  <w:r>
                    <w:rPr>
                      <w:rFonts w:hint="eastAsia"/>
                      <w:color w:val="auto"/>
                      <w:lang w:val="en-US" w:eastAsia="zh-CN"/>
                    </w:rPr>
                    <w:t>环境监测</w:t>
                  </w:r>
                </w:p>
              </w:tc>
              <w:tc>
                <w:tcPr>
                  <w:tcW w:w="2253" w:type="pct"/>
                  <w:gridSpan w:val="3"/>
                  <w:vAlign w:val="center"/>
                </w:tcPr>
                <w:p w14:paraId="1588BE87">
                  <w:pPr>
                    <w:pStyle w:val="19"/>
                    <w:bidi w:val="0"/>
                    <w:rPr>
                      <w:rFonts w:hint="eastAsia"/>
                      <w:color w:val="auto"/>
                      <w:lang w:eastAsia="zh-CN"/>
                    </w:rPr>
                  </w:pPr>
                  <w:r>
                    <w:rPr>
                      <w:color w:val="auto"/>
                    </w:rPr>
                    <w:t>厂界大气污染物监测系统</w:t>
                  </w:r>
                  <w:r>
                    <w:rPr>
                      <w:rFonts w:hint="eastAsia"/>
                      <w:color w:val="auto"/>
                    </w:rPr>
                    <w:t>；</w:t>
                  </w:r>
                  <w:r>
                    <w:rPr>
                      <w:color w:val="auto"/>
                    </w:rPr>
                    <w:t>其他废气排放口应进行定期监测。</w:t>
                  </w:r>
                </w:p>
              </w:tc>
              <w:tc>
                <w:tcPr>
                  <w:tcW w:w="1250" w:type="pct"/>
                  <w:vAlign w:val="center"/>
                </w:tcPr>
                <w:p w14:paraId="6A5FE5B1">
                  <w:pPr>
                    <w:pStyle w:val="19"/>
                    <w:bidi w:val="0"/>
                    <w:jc w:val="center"/>
                    <w:rPr>
                      <w:rFonts w:hint="eastAsia"/>
                      <w:color w:val="auto"/>
                      <w:lang w:eastAsia="zh-CN"/>
                    </w:rPr>
                  </w:pPr>
                </w:p>
              </w:tc>
            </w:tr>
            <w:tr w14:paraId="7EDB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23CB56A5">
                  <w:pPr>
                    <w:pStyle w:val="19"/>
                    <w:bidi w:val="0"/>
                    <w:jc w:val="center"/>
                    <w:rPr>
                      <w:rFonts w:hint="eastAsia"/>
                      <w:color w:val="auto"/>
                      <w:lang w:eastAsia="zh-CN"/>
                    </w:rPr>
                  </w:pPr>
                </w:p>
              </w:tc>
              <w:tc>
                <w:tcPr>
                  <w:tcW w:w="749" w:type="pct"/>
                  <w:vMerge w:val="continue"/>
                  <w:vAlign w:val="center"/>
                </w:tcPr>
                <w:p w14:paraId="77AC6E9A">
                  <w:pPr>
                    <w:pStyle w:val="19"/>
                    <w:bidi w:val="0"/>
                    <w:jc w:val="center"/>
                    <w:rPr>
                      <w:rFonts w:hint="eastAsia"/>
                      <w:color w:val="auto"/>
                      <w:lang w:eastAsia="zh-CN"/>
                    </w:rPr>
                  </w:pPr>
                </w:p>
              </w:tc>
              <w:tc>
                <w:tcPr>
                  <w:tcW w:w="2253" w:type="pct"/>
                  <w:gridSpan w:val="3"/>
                  <w:vAlign w:val="center"/>
                </w:tcPr>
                <w:p w14:paraId="5318C102">
                  <w:pPr>
                    <w:pStyle w:val="19"/>
                    <w:bidi w:val="0"/>
                    <w:rPr>
                      <w:rFonts w:hint="eastAsia"/>
                      <w:color w:val="auto"/>
                      <w:lang w:eastAsia="zh-CN"/>
                    </w:rPr>
                  </w:pPr>
                  <w:r>
                    <w:rPr>
                      <w:color w:val="auto"/>
                    </w:rPr>
                    <w:t>设立地下水监控系统。</w:t>
                  </w:r>
                </w:p>
              </w:tc>
              <w:tc>
                <w:tcPr>
                  <w:tcW w:w="1250" w:type="pct"/>
                  <w:vAlign w:val="center"/>
                </w:tcPr>
                <w:p w14:paraId="648DBBC8">
                  <w:pPr>
                    <w:pStyle w:val="19"/>
                    <w:bidi w:val="0"/>
                    <w:jc w:val="center"/>
                    <w:rPr>
                      <w:rFonts w:hint="eastAsia"/>
                      <w:color w:val="auto"/>
                      <w:lang w:eastAsia="zh-CN"/>
                    </w:rPr>
                  </w:pPr>
                </w:p>
              </w:tc>
            </w:tr>
            <w:tr w14:paraId="373A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7" w:type="pct"/>
                  <w:vMerge w:val="continue"/>
                  <w:vAlign w:val="center"/>
                </w:tcPr>
                <w:p w14:paraId="38B36B4A">
                  <w:pPr>
                    <w:pStyle w:val="19"/>
                    <w:bidi w:val="0"/>
                    <w:jc w:val="center"/>
                    <w:rPr>
                      <w:rFonts w:hint="eastAsia"/>
                      <w:color w:val="auto"/>
                      <w:lang w:eastAsia="zh-CN"/>
                    </w:rPr>
                  </w:pPr>
                </w:p>
              </w:tc>
              <w:tc>
                <w:tcPr>
                  <w:tcW w:w="749" w:type="pct"/>
                  <w:vMerge w:val="continue"/>
                  <w:vAlign w:val="center"/>
                </w:tcPr>
                <w:p w14:paraId="43A5131E">
                  <w:pPr>
                    <w:pStyle w:val="19"/>
                    <w:bidi w:val="0"/>
                    <w:jc w:val="center"/>
                    <w:rPr>
                      <w:rFonts w:hint="eastAsia"/>
                      <w:color w:val="auto"/>
                      <w:lang w:eastAsia="zh-CN"/>
                    </w:rPr>
                  </w:pPr>
                </w:p>
              </w:tc>
              <w:tc>
                <w:tcPr>
                  <w:tcW w:w="2253" w:type="pct"/>
                  <w:gridSpan w:val="3"/>
                  <w:vAlign w:val="center"/>
                </w:tcPr>
                <w:p w14:paraId="79F0A8A7">
                  <w:pPr>
                    <w:pStyle w:val="19"/>
                    <w:bidi w:val="0"/>
                    <w:rPr>
                      <w:rFonts w:hint="eastAsia"/>
                      <w:color w:val="auto"/>
                      <w:lang w:eastAsia="zh-CN"/>
                    </w:rPr>
                  </w:pPr>
                  <w:r>
                    <w:rPr>
                      <w:color w:val="auto"/>
                    </w:rPr>
                    <w:t>对厂界噪声进行定期监测。</w:t>
                  </w:r>
                </w:p>
              </w:tc>
              <w:tc>
                <w:tcPr>
                  <w:tcW w:w="1250" w:type="pct"/>
                  <w:vAlign w:val="center"/>
                </w:tcPr>
                <w:p w14:paraId="0168E885">
                  <w:pPr>
                    <w:pStyle w:val="19"/>
                    <w:bidi w:val="0"/>
                    <w:jc w:val="center"/>
                    <w:rPr>
                      <w:rFonts w:hint="eastAsia"/>
                      <w:color w:val="auto"/>
                      <w:lang w:eastAsia="zh-CN"/>
                    </w:rPr>
                  </w:pPr>
                </w:p>
              </w:tc>
            </w:tr>
          </w:tbl>
          <w:p w14:paraId="2DC99D40">
            <w:pPr>
              <w:pStyle w:val="5"/>
              <w:rPr>
                <w:rFonts w:hint="eastAsia"/>
                <w:color w:val="auto"/>
                <w:lang w:eastAsia="zh-CN"/>
              </w:rPr>
            </w:pPr>
          </w:p>
          <w:p w14:paraId="6AB44388">
            <w:pPr>
              <w:pStyle w:val="5"/>
              <w:ind w:left="0" w:leftChars="0" w:firstLine="0" w:firstLineChars="0"/>
              <w:rPr>
                <w:rFonts w:hint="default"/>
                <w:color w:val="auto"/>
                <w:lang w:val="en-US" w:eastAsia="zh-CN"/>
              </w:rPr>
            </w:pPr>
          </w:p>
        </w:tc>
      </w:tr>
    </w:tbl>
    <w:p w14:paraId="746645B2">
      <w:pPr>
        <w:pStyle w:val="5"/>
        <w:bidi w:val="0"/>
        <w:ind w:left="0" w:leftChars="0" w:firstLine="0" w:firstLineChars="0"/>
        <w:rPr>
          <w:color w:val="auto"/>
        </w:rPr>
        <w:sectPr>
          <w:pgSz w:w="11907" w:h="16840"/>
          <w:pgMar w:top="1701" w:right="1531" w:bottom="2127" w:left="1531" w:header="851" w:footer="851" w:gutter="0"/>
          <w:pgNumType w:fmt="decimal"/>
          <w:cols w:space="720" w:num="1"/>
          <w:docGrid w:linePitch="312" w:charSpace="0"/>
        </w:sectPr>
      </w:pPr>
    </w:p>
    <w:p w14:paraId="124A8319">
      <w:pPr>
        <w:pStyle w:val="2"/>
        <w:rPr>
          <w:color w:val="auto"/>
        </w:rPr>
      </w:pPr>
      <w:r>
        <w:rPr>
          <w:rFonts w:hint="eastAsia"/>
          <w:color w:val="auto"/>
        </w:rPr>
        <w:t>环境保护措施监督检查清单</w:t>
      </w:r>
    </w:p>
    <w:tbl>
      <w:tblPr>
        <w:tblStyle w:val="16"/>
        <w:tblW w:w="884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696"/>
        <w:gridCol w:w="2276"/>
        <w:gridCol w:w="1754"/>
        <w:gridCol w:w="2200"/>
        <w:gridCol w:w="1923"/>
      </w:tblGrid>
      <w:tr w14:paraId="6C9CE5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02" w:hRule="atLeast"/>
        </w:trPr>
        <w:tc>
          <w:tcPr>
            <w:tcW w:w="696" w:type="dxa"/>
            <w:tcBorders>
              <w:top w:val="single" w:color="auto" w:sz="4" w:space="0"/>
              <w:left w:val="single" w:color="auto" w:sz="4" w:space="0"/>
              <w:bottom w:val="single" w:color="auto" w:sz="6" w:space="0"/>
              <w:right w:val="single" w:color="auto" w:sz="6" w:space="0"/>
            </w:tcBorders>
            <w:vAlign w:val="center"/>
          </w:tcPr>
          <w:p w14:paraId="643472B7">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内容</w:t>
            </w:r>
          </w:p>
          <w:p w14:paraId="4B21C5AC">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要素</w:t>
            </w:r>
          </w:p>
        </w:tc>
        <w:tc>
          <w:tcPr>
            <w:tcW w:w="2276" w:type="dxa"/>
            <w:tcBorders>
              <w:top w:val="single" w:color="auto" w:sz="4" w:space="0"/>
              <w:left w:val="single" w:color="auto" w:sz="6" w:space="0"/>
              <w:bottom w:val="single" w:color="auto" w:sz="6" w:space="0"/>
              <w:right w:val="single" w:color="auto" w:sz="6" w:space="0"/>
            </w:tcBorders>
            <w:vAlign w:val="center"/>
          </w:tcPr>
          <w:p w14:paraId="69A9469A">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污染源</w:t>
            </w:r>
          </w:p>
        </w:tc>
        <w:tc>
          <w:tcPr>
            <w:tcW w:w="1754" w:type="dxa"/>
            <w:tcBorders>
              <w:top w:val="single" w:color="auto" w:sz="4" w:space="0"/>
              <w:left w:val="single" w:color="auto" w:sz="6" w:space="0"/>
              <w:bottom w:val="single" w:color="auto" w:sz="6" w:space="0"/>
              <w:right w:val="single" w:color="auto" w:sz="6" w:space="0"/>
            </w:tcBorders>
            <w:vAlign w:val="center"/>
          </w:tcPr>
          <w:p w14:paraId="1E066A19">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污染物项目</w:t>
            </w:r>
          </w:p>
        </w:tc>
        <w:tc>
          <w:tcPr>
            <w:tcW w:w="2200" w:type="dxa"/>
            <w:tcBorders>
              <w:top w:val="single" w:color="auto" w:sz="4" w:space="0"/>
              <w:left w:val="single" w:color="auto" w:sz="6" w:space="0"/>
              <w:bottom w:val="single" w:color="auto" w:sz="6" w:space="0"/>
              <w:right w:val="single" w:color="auto" w:sz="6" w:space="0"/>
            </w:tcBorders>
            <w:vAlign w:val="center"/>
          </w:tcPr>
          <w:p w14:paraId="772106FD">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环境保护措施</w:t>
            </w:r>
          </w:p>
        </w:tc>
        <w:tc>
          <w:tcPr>
            <w:tcW w:w="1923" w:type="dxa"/>
            <w:tcBorders>
              <w:top w:val="single" w:color="auto" w:sz="4" w:space="0"/>
              <w:left w:val="single" w:color="auto" w:sz="6" w:space="0"/>
              <w:bottom w:val="single" w:color="auto" w:sz="6" w:space="0"/>
              <w:right w:val="single" w:color="auto" w:sz="4" w:space="0"/>
            </w:tcBorders>
            <w:vAlign w:val="center"/>
          </w:tcPr>
          <w:p w14:paraId="491603CF">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执行标准</w:t>
            </w:r>
          </w:p>
        </w:tc>
      </w:tr>
      <w:tr w14:paraId="79368E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91" w:hRule="atLeast"/>
        </w:trPr>
        <w:tc>
          <w:tcPr>
            <w:tcW w:w="696" w:type="dxa"/>
            <w:vMerge w:val="restart"/>
            <w:tcBorders>
              <w:top w:val="single" w:color="auto" w:sz="6" w:space="0"/>
              <w:left w:val="single" w:color="auto" w:sz="4" w:space="0"/>
              <w:right w:val="single" w:color="auto" w:sz="6" w:space="0"/>
            </w:tcBorders>
            <w:vAlign w:val="center"/>
          </w:tcPr>
          <w:p w14:paraId="5A13CC46">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大气</w:t>
            </w:r>
          </w:p>
          <w:p w14:paraId="4490755E">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环境</w:t>
            </w:r>
          </w:p>
        </w:tc>
        <w:tc>
          <w:tcPr>
            <w:tcW w:w="2276" w:type="dxa"/>
            <w:tcBorders>
              <w:top w:val="single" w:color="auto" w:sz="6" w:space="0"/>
              <w:left w:val="single" w:color="auto" w:sz="6" w:space="0"/>
              <w:right w:val="single" w:color="auto" w:sz="6" w:space="0"/>
            </w:tcBorders>
            <w:vAlign w:val="center"/>
          </w:tcPr>
          <w:p w14:paraId="214529B4">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干粉入仓粉尘排气筒DA001</w:t>
            </w:r>
          </w:p>
        </w:tc>
        <w:tc>
          <w:tcPr>
            <w:tcW w:w="1754" w:type="dxa"/>
            <w:tcBorders>
              <w:top w:val="single" w:color="auto" w:sz="6" w:space="0"/>
              <w:left w:val="single" w:color="auto" w:sz="6" w:space="0"/>
              <w:bottom w:val="single" w:color="auto" w:sz="6" w:space="0"/>
              <w:right w:val="single" w:color="auto" w:sz="6" w:space="0"/>
            </w:tcBorders>
            <w:vAlign w:val="center"/>
          </w:tcPr>
          <w:p w14:paraId="755D9B3B">
            <w:pPr>
              <w:spacing w:line="276" w:lineRule="auto"/>
              <w:jc w:val="center"/>
              <w:rPr>
                <w:rFonts w:hint="eastAsia" w:ascii="Times New Roman" w:hAnsi="Times New Roman" w:eastAsia="宋体" w:cs="宋体"/>
                <w:color w:val="auto"/>
                <w:lang w:val="en-US" w:eastAsia="zh-CN" w:bidi="ar"/>
              </w:rPr>
            </w:pPr>
            <w:r>
              <w:rPr>
                <w:rFonts w:hint="eastAsia" w:cs="宋体"/>
                <w:color w:val="auto"/>
                <w:lang w:val="en-US" w:eastAsia="zh-CN" w:bidi="ar"/>
              </w:rPr>
              <w:t>颗粒物</w:t>
            </w:r>
          </w:p>
        </w:tc>
        <w:tc>
          <w:tcPr>
            <w:tcW w:w="2200" w:type="dxa"/>
            <w:tcBorders>
              <w:top w:val="single" w:color="auto" w:sz="6" w:space="0"/>
              <w:left w:val="single" w:color="auto" w:sz="6" w:space="0"/>
              <w:bottom w:val="single" w:color="auto" w:sz="6" w:space="0"/>
              <w:right w:val="single" w:color="auto" w:sz="6" w:space="0"/>
            </w:tcBorders>
            <w:vAlign w:val="center"/>
          </w:tcPr>
          <w:p w14:paraId="23191328">
            <w:pPr>
              <w:spacing w:line="276" w:lineRule="auto"/>
              <w:jc w:val="center"/>
              <w:rPr>
                <w:rFonts w:hint="eastAsia" w:cs="宋体"/>
                <w:color w:val="auto"/>
                <w:lang w:val="en-US" w:eastAsia="zh-CN" w:bidi="ar"/>
              </w:rPr>
            </w:pPr>
            <w:r>
              <w:rPr>
                <w:rFonts w:hint="eastAsia" w:cs="宋体"/>
                <w:color w:val="auto"/>
                <w:lang w:val="en-US" w:eastAsia="zh-CN" w:bidi="ar"/>
              </w:rPr>
              <w:t>袋式除尘器处理+20m高排气筒排放</w:t>
            </w:r>
          </w:p>
        </w:tc>
        <w:tc>
          <w:tcPr>
            <w:tcW w:w="1923" w:type="dxa"/>
            <w:vMerge w:val="restart"/>
            <w:tcBorders>
              <w:top w:val="single" w:color="auto" w:sz="6" w:space="0"/>
              <w:left w:val="single" w:color="auto" w:sz="6" w:space="0"/>
              <w:right w:val="single" w:color="auto" w:sz="4" w:space="0"/>
            </w:tcBorders>
            <w:vAlign w:val="center"/>
          </w:tcPr>
          <w:p w14:paraId="1400AE97">
            <w:pPr>
              <w:spacing w:line="276" w:lineRule="auto"/>
              <w:jc w:val="center"/>
              <w:rPr>
                <w:rFonts w:hint="eastAsia" w:ascii="Times New Roman" w:hAnsi="Times New Roman" w:eastAsia="宋体" w:cs="宋体"/>
                <w:color w:val="auto"/>
                <w:lang w:eastAsia="zh-CN" w:bidi="ar"/>
              </w:rPr>
            </w:pPr>
            <w:r>
              <w:rPr>
                <w:rFonts w:hint="eastAsia" w:cs="宋体"/>
                <w:color w:val="auto"/>
                <w:lang w:eastAsia="zh-CN" w:bidi="ar"/>
              </w:rPr>
              <w:t>《水泥工业大气污染物排放标准》（GB 4915-2013，含2025年修改单）、《大气污染物综合排放标准》（GB16297-1996）、</w:t>
            </w:r>
          </w:p>
        </w:tc>
      </w:tr>
      <w:tr w14:paraId="56CA85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891" w:hRule="atLeast"/>
        </w:trPr>
        <w:tc>
          <w:tcPr>
            <w:tcW w:w="696" w:type="dxa"/>
            <w:vMerge w:val="continue"/>
            <w:tcBorders>
              <w:left w:val="single" w:color="auto" w:sz="4" w:space="0"/>
              <w:right w:val="single" w:color="auto" w:sz="6" w:space="0"/>
            </w:tcBorders>
            <w:vAlign w:val="center"/>
          </w:tcPr>
          <w:p w14:paraId="0B9840C2">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1CA2345E">
            <w:pPr>
              <w:spacing w:line="276" w:lineRule="auto"/>
              <w:jc w:val="center"/>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宋体"/>
                <w:color w:val="auto"/>
                <w:lang w:bidi="ar"/>
              </w:rPr>
              <w:t>复合制板、养护</w:t>
            </w:r>
            <w:r>
              <w:rPr>
                <w:rFonts w:hint="eastAsia" w:cs="宋体"/>
                <w:color w:val="auto"/>
                <w:lang w:val="en-US" w:eastAsia="zh-CN" w:bidi="ar"/>
              </w:rPr>
              <w:t>排气筒</w:t>
            </w:r>
            <w:r>
              <w:rPr>
                <w:rFonts w:hint="eastAsia" w:ascii="Times New Roman" w:hAnsi="Times New Roman" w:eastAsia="宋体" w:cs="宋体"/>
                <w:color w:val="auto"/>
                <w:lang w:bidi="ar"/>
              </w:rPr>
              <w:t>DA002</w:t>
            </w:r>
          </w:p>
        </w:tc>
        <w:tc>
          <w:tcPr>
            <w:tcW w:w="1754" w:type="dxa"/>
            <w:tcBorders>
              <w:top w:val="single" w:color="auto" w:sz="6" w:space="0"/>
              <w:left w:val="single" w:color="auto" w:sz="6" w:space="0"/>
              <w:bottom w:val="single" w:color="auto" w:sz="6" w:space="0"/>
              <w:right w:val="single" w:color="auto" w:sz="6" w:space="0"/>
            </w:tcBorders>
            <w:vAlign w:val="center"/>
          </w:tcPr>
          <w:p w14:paraId="3409BE8B">
            <w:pPr>
              <w:pStyle w:val="19"/>
              <w:bidi w:val="0"/>
              <w:rPr>
                <w:rFonts w:hint="default" w:ascii="Times New Roman" w:hAnsi="Times New Roman" w:eastAsia="宋体" w:cs="Times New Roman"/>
                <w:color w:val="auto"/>
                <w:kern w:val="2"/>
                <w:szCs w:val="24"/>
                <w:lang w:val="en-US" w:eastAsia="zh-CN" w:bidi="ar-SA"/>
              </w:rPr>
            </w:pPr>
            <w:r>
              <w:rPr>
                <w:rFonts w:hint="eastAsia"/>
                <w:color w:val="auto"/>
                <w:lang w:val="en-US" w:eastAsia="zh-CN"/>
              </w:rPr>
              <w:t>NMHC</w:t>
            </w:r>
          </w:p>
        </w:tc>
        <w:tc>
          <w:tcPr>
            <w:tcW w:w="2200" w:type="dxa"/>
            <w:tcBorders>
              <w:top w:val="single" w:color="auto" w:sz="6" w:space="0"/>
              <w:left w:val="single" w:color="auto" w:sz="6" w:space="0"/>
              <w:bottom w:val="single" w:color="auto" w:sz="6" w:space="0"/>
              <w:right w:val="single" w:color="auto" w:sz="6" w:space="0"/>
            </w:tcBorders>
            <w:vAlign w:val="center"/>
          </w:tcPr>
          <w:p w14:paraId="16C4F6F2">
            <w:pPr>
              <w:spacing w:line="276" w:lineRule="auto"/>
              <w:jc w:val="center"/>
              <w:rPr>
                <w:rFonts w:hint="eastAsia" w:cs="宋体"/>
                <w:color w:val="auto"/>
                <w:lang w:val="en-US" w:eastAsia="zh-CN" w:bidi="ar"/>
              </w:rPr>
            </w:pPr>
            <w:r>
              <w:rPr>
                <w:rFonts w:hint="eastAsia" w:cs="宋体"/>
                <w:color w:val="auto"/>
                <w:lang w:val="en-US" w:eastAsia="zh-CN" w:bidi="ar"/>
              </w:rPr>
              <w:t>集气罩+二级活性炭装置处理后经20m高排气筒有组织排放</w:t>
            </w:r>
          </w:p>
        </w:tc>
        <w:tc>
          <w:tcPr>
            <w:tcW w:w="1923" w:type="dxa"/>
            <w:vMerge w:val="continue"/>
            <w:tcBorders>
              <w:left w:val="single" w:color="auto" w:sz="6" w:space="0"/>
              <w:right w:val="single" w:color="auto" w:sz="4" w:space="0"/>
            </w:tcBorders>
            <w:vAlign w:val="center"/>
          </w:tcPr>
          <w:p w14:paraId="412B17C9">
            <w:pPr>
              <w:spacing w:line="276" w:lineRule="auto"/>
              <w:jc w:val="center"/>
              <w:rPr>
                <w:rFonts w:hint="eastAsia" w:ascii="Times New Roman" w:hAnsi="Times New Roman" w:eastAsia="宋体" w:cs="宋体"/>
                <w:color w:val="auto"/>
                <w:lang w:bidi="ar"/>
              </w:rPr>
            </w:pPr>
          </w:p>
        </w:tc>
      </w:tr>
      <w:tr w14:paraId="1265E1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3" w:hRule="atLeast"/>
        </w:trPr>
        <w:tc>
          <w:tcPr>
            <w:tcW w:w="696" w:type="dxa"/>
            <w:vMerge w:val="continue"/>
            <w:tcBorders>
              <w:left w:val="single" w:color="auto" w:sz="4" w:space="0"/>
              <w:right w:val="single" w:color="auto" w:sz="6" w:space="0"/>
            </w:tcBorders>
            <w:vAlign w:val="center"/>
          </w:tcPr>
          <w:p w14:paraId="30BBE2D8">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78963178">
            <w:pPr>
              <w:spacing w:line="276" w:lineRule="auto"/>
              <w:jc w:val="center"/>
              <w:rPr>
                <w:rFonts w:hint="eastAsia"/>
                <w:color w:val="auto"/>
                <w:lang w:val="en-US" w:eastAsia="zh-CN"/>
              </w:rPr>
            </w:pPr>
            <w:r>
              <w:rPr>
                <w:rFonts w:hint="eastAsia" w:ascii="Times New Roman" w:hAnsi="Times New Roman" w:eastAsia="宋体" w:cs="宋体"/>
                <w:color w:val="auto"/>
                <w:lang w:bidi="ar"/>
              </w:rPr>
              <w:t>修边切割、雕刻粉尘排气筒</w:t>
            </w:r>
            <w:r>
              <w:rPr>
                <w:rFonts w:hint="eastAsia" w:cs="宋体"/>
                <w:color w:val="auto"/>
                <w:lang w:val="en-US" w:eastAsia="zh-CN" w:bidi="ar"/>
              </w:rPr>
              <w:t>DA003</w:t>
            </w:r>
          </w:p>
        </w:tc>
        <w:tc>
          <w:tcPr>
            <w:tcW w:w="1754" w:type="dxa"/>
            <w:tcBorders>
              <w:top w:val="single" w:color="auto" w:sz="6" w:space="0"/>
              <w:left w:val="single" w:color="auto" w:sz="6" w:space="0"/>
              <w:bottom w:val="single" w:color="auto" w:sz="6" w:space="0"/>
              <w:right w:val="single" w:color="auto" w:sz="6" w:space="0"/>
            </w:tcBorders>
            <w:vAlign w:val="center"/>
          </w:tcPr>
          <w:p w14:paraId="34F4C2CE">
            <w:pPr>
              <w:spacing w:line="276" w:lineRule="auto"/>
              <w:jc w:val="center"/>
              <w:rPr>
                <w:rFonts w:hint="eastAsia"/>
                <w:color w:val="auto"/>
                <w:lang w:val="en-US" w:eastAsia="zh-CN"/>
              </w:rPr>
            </w:pPr>
            <w:r>
              <w:rPr>
                <w:rFonts w:hint="eastAsia"/>
                <w:color w:val="auto"/>
                <w:lang w:val="en-US" w:eastAsia="zh-CN"/>
              </w:rPr>
              <w:t>颗粒物</w:t>
            </w:r>
          </w:p>
        </w:tc>
        <w:tc>
          <w:tcPr>
            <w:tcW w:w="2200" w:type="dxa"/>
            <w:tcBorders>
              <w:top w:val="single" w:color="auto" w:sz="6" w:space="0"/>
              <w:left w:val="single" w:color="auto" w:sz="6" w:space="0"/>
              <w:bottom w:val="single" w:color="auto" w:sz="6" w:space="0"/>
              <w:right w:val="single" w:color="auto" w:sz="6" w:space="0"/>
            </w:tcBorders>
            <w:vAlign w:val="center"/>
          </w:tcPr>
          <w:p w14:paraId="2CE21634">
            <w:pPr>
              <w:spacing w:line="276" w:lineRule="auto"/>
              <w:jc w:val="center"/>
              <w:rPr>
                <w:rFonts w:hint="eastAsia" w:cs="宋体"/>
                <w:color w:val="auto"/>
                <w:lang w:val="en-US" w:eastAsia="zh-CN" w:bidi="ar"/>
              </w:rPr>
            </w:pPr>
            <w:r>
              <w:rPr>
                <w:rFonts w:hint="eastAsia" w:cs="宋体"/>
                <w:color w:val="auto"/>
                <w:lang w:val="en-US" w:eastAsia="zh-CN" w:bidi="ar"/>
              </w:rPr>
              <w:t>集气罩+袋式除尘器处理后经20m高排气筒有组织排放</w:t>
            </w:r>
          </w:p>
        </w:tc>
        <w:tc>
          <w:tcPr>
            <w:tcW w:w="1923" w:type="dxa"/>
            <w:vMerge w:val="continue"/>
            <w:tcBorders>
              <w:left w:val="single" w:color="auto" w:sz="6" w:space="0"/>
              <w:right w:val="single" w:color="auto" w:sz="4" w:space="0"/>
            </w:tcBorders>
            <w:vAlign w:val="center"/>
          </w:tcPr>
          <w:p w14:paraId="787A99A9">
            <w:pPr>
              <w:spacing w:line="276" w:lineRule="auto"/>
              <w:jc w:val="center"/>
              <w:rPr>
                <w:rFonts w:hint="eastAsia" w:ascii="Times New Roman" w:hAnsi="Times New Roman" w:eastAsia="宋体" w:cs="宋体"/>
                <w:color w:val="auto"/>
                <w:lang w:bidi="ar"/>
              </w:rPr>
            </w:pPr>
          </w:p>
        </w:tc>
      </w:tr>
      <w:tr w14:paraId="0E9C54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216" w:hRule="atLeast"/>
        </w:trPr>
        <w:tc>
          <w:tcPr>
            <w:tcW w:w="696" w:type="dxa"/>
            <w:vMerge w:val="continue"/>
            <w:tcBorders>
              <w:left w:val="single" w:color="auto" w:sz="4" w:space="0"/>
              <w:right w:val="single" w:color="auto" w:sz="6" w:space="0"/>
            </w:tcBorders>
            <w:vAlign w:val="center"/>
          </w:tcPr>
          <w:p w14:paraId="49FCF842">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48AAF9D4">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干粉入仓废气</w:t>
            </w:r>
          </w:p>
        </w:tc>
        <w:tc>
          <w:tcPr>
            <w:tcW w:w="1754" w:type="dxa"/>
            <w:tcBorders>
              <w:top w:val="single" w:color="auto" w:sz="6" w:space="0"/>
              <w:left w:val="single" w:color="auto" w:sz="6" w:space="0"/>
              <w:bottom w:val="single" w:color="auto" w:sz="6" w:space="0"/>
              <w:right w:val="single" w:color="auto" w:sz="6" w:space="0"/>
            </w:tcBorders>
            <w:vAlign w:val="center"/>
          </w:tcPr>
          <w:p w14:paraId="3A723FC0">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颗粒物</w:t>
            </w:r>
          </w:p>
        </w:tc>
        <w:tc>
          <w:tcPr>
            <w:tcW w:w="2200" w:type="dxa"/>
            <w:tcBorders>
              <w:top w:val="single" w:color="auto" w:sz="6" w:space="0"/>
              <w:left w:val="single" w:color="auto" w:sz="6" w:space="0"/>
              <w:bottom w:val="single" w:color="auto" w:sz="6" w:space="0"/>
              <w:right w:val="single" w:color="auto" w:sz="6" w:space="0"/>
            </w:tcBorders>
            <w:vAlign w:val="center"/>
          </w:tcPr>
          <w:p w14:paraId="6E1C7672">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无组织排放</w:t>
            </w:r>
          </w:p>
        </w:tc>
        <w:tc>
          <w:tcPr>
            <w:tcW w:w="1923" w:type="dxa"/>
            <w:tcBorders>
              <w:left w:val="single" w:color="auto" w:sz="6" w:space="0"/>
              <w:right w:val="single" w:color="auto" w:sz="4" w:space="0"/>
            </w:tcBorders>
            <w:vAlign w:val="center"/>
          </w:tcPr>
          <w:p w14:paraId="36BCD623">
            <w:pPr>
              <w:pStyle w:val="19"/>
              <w:bidi w:val="0"/>
              <w:rPr>
                <w:rFonts w:hint="eastAsia" w:ascii="Times New Roman" w:hAnsi="Times New Roman" w:eastAsia="宋体" w:cs="宋体"/>
                <w:color w:val="auto"/>
                <w:kern w:val="2"/>
                <w:sz w:val="24"/>
                <w:szCs w:val="24"/>
                <w:lang w:val="en-US" w:eastAsia="zh-CN" w:bidi="ar"/>
              </w:rPr>
            </w:pPr>
            <w:r>
              <w:rPr>
                <w:rFonts w:hint="eastAsia" w:cs="宋体"/>
                <w:color w:val="auto"/>
                <w:kern w:val="2"/>
                <w:sz w:val="24"/>
                <w:szCs w:val="24"/>
                <w:lang w:val="en-US" w:eastAsia="zh-CN" w:bidi="ar"/>
              </w:rPr>
              <w:t>《水泥工业大气污染物排放标准》（GB 4915-2013，含2025年修改单）</w:t>
            </w:r>
            <w:r>
              <w:rPr>
                <w:rFonts w:hint="eastAsia" w:ascii="Times New Roman" w:hAnsi="Times New Roman" w:eastAsia="宋体" w:cs="宋体"/>
                <w:color w:val="auto"/>
                <w:kern w:val="2"/>
                <w:sz w:val="24"/>
                <w:szCs w:val="24"/>
                <w:lang w:val="en-US" w:eastAsia="zh-CN" w:bidi="ar"/>
              </w:rPr>
              <w:t>无组织限值</w:t>
            </w:r>
          </w:p>
        </w:tc>
      </w:tr>
      <w:tr w14:paraId="2A4B45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3" w:hRule="atLeast"/>
        </w:trPr>
        <w:tc>
          <w:tcPr>
            <w:tcW w:w="696" w:type="dxa"/>
            <w:vMerge w:val="continue"/>
            <w:tcBorders>
              <w:left w:val="single" w:color="auto" w:sz="4" w:space="0"/>
              <w:right w:val="single" w:color="auto" w:sz="6" w:space="0"/>
            </w:tcBorders>
            <w:vAlign w:val="center"/>
          </w:tcPr>
          <w:p w14:paraId="56C106C6">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716B8E80">
            <w:pPr>
              <w:pStyle w:val="19"/>
              <w:bidi w:val="0"/>
              <w:rPr>
                <w:rFonts w:hint="eastAsia" w:ascii="Times New Roman" w:hAnsi="Times New Roman" w:eastAsia="宋体" w:cs="宋体"/>
                <w:color w:val="auto"/>
                <w:kern w:val="2"/>
                <w:sz w:val="24"/>
                <w:szCs w:val="24"/>
                <w:lang w:val="en-US" w:eastAsia="zh-CN" w:bidi="ar"/>
              </w:rPr>
            </w:pPr>
            <w:r>
              <w:rPr>
                <w:rFonts w:hint="default" w:ascii="Times New Roman" w:hAnsi="Times New Roman" w:eastAsia="宋体" w:cs="宋体"/>
                <w:color w:val="auto"/>
                <w:kern w:val="2"/>
                <w:sz w:val="24"/>
                <w:szCs w:val="24"/>
                <w:lang w:val="en-US" w:eastAsia="zh-CN" w:bidi="ar"/>
              </w:rPr>
              <w:t>复合</w:t>
            </w:r>
            <w:r>
              <w:rPr>
                <w:rFonts w:hint="eastAsia" w:ascii="Times New Roman" w:hAnsi="Times New Roman" w:eastAsia="宋体" w:cs="宋体"/>
                <w:color w:val="auto"/>
                <w:kern w:val="2"/>
                <w:sz w:val="24"/>
                <w:szCs w:val="24"/>
                <w:lang w:val="en-US" w:eastAsia="zh-CN" w:bidi="ar"/>
              </w:rPr>
              <w:t>制板</w:t>
            </w:r>
            <w:r>
              <w:rPr>
                <w:rFonts w:hint="default" w:ascii="Times New Roman" w:hAnsi="Times New Roman" w:eastAsia="宋体" w:cs="宋体"/>
                <w:color w:val="auto"/>
                <w:kern w:val="2"/>
                <w:sz w:val="24"/>
                <w:szCs w:val="24"/>
                <w:lang w:val="en-US" w:eastAsia="zh-CN" w:bidi="ar"/>
              </w:rPr>
              <w:t>及养护废气</w:t>
            </w:r>
          </w:p>
        </w:tc>
        <w:tc>
          <w:tcPr>
            <w:tcW w:w="1754" w:type="dxa"/>
            <w:tcBorders>
              <w:top w:val="single" w:color="auto" w:sz="6" w:space="0"/>
              <w:left w:val="single" w:color="auto" w:sz="6" w:space="0"/>
              <w:bottom w:val="single" w:color="auto" w:sz="6" w:space="0"/>
              <w:right w:val="single" w:color="auto" w:sz="6" w:space="0"/>
            </w:tcBorders>
            <w:vAlign w:val="center"/>
          </w:tcPr>
          <w:p w14:paraId="738B0846">
            <w:pPr>
              <w:pStyle w:val="19"/>
              <w:bidi w:val="0"/>
              <w:rPr>
                <w:rFonts w:hint="eastAsia" w:ascii="Times New Roman" w:hAnsi="Times New Roman" w:eastAsia="宋体" w:cs="宋体"/>
                <w:color w:val="auto"/>
                <w:kern w:val="2"/>
                <w:sz w:val="24"/>
                <w:szCs w:val="24"/>
                <w:lang w:val="en-US" w:eastAsia="zh-CN" w:bidi="ar"/>
              </w:rPr>
            </w:pPr>
            <w:r>
              <w:rPr>
                <w:rFonts w:hint="eastAsia" w:cs="宋体"/>
                <w:color w:val="auto"/>
                <w:kern w:val="2"/>
                <w:sz w:val="24"/>
                <w:szCs w:val="24"/>
                <w:lang w:val="en-US" w:eastAsia="zh-CN" w:bidi="ar"/>
              </w:rPr>
              <w:t>NMHC</w:t>
            </w:r>
          </w:p>
        </w:tc>
        <w:tc>
          <w:tcPr>
            <w:tcW w:w="2200" w:type="dxa"/>
            <w:tcBorders>
              <w:top w:val="single" w:color="auto" w:sz="6" w:space="0"/>
              <w:left w:val="single" w:color="auto" w:sz="6" w:space="0"/>
              <w:bottom w:val="single" w:color="auto" w:sz="6" w:space="0"/>
              <w:right w:val="single" w:color="auto" w:sz="6" w:space="0"/>
            </w:tcBorders>
            <w:vAlign w:val="center"/>
          </w:tcPr>
          <w:p w14:paraId="3357CB7E">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无组织排放</w:t>
            </w:r>
          </w:p>
        </w:tc>
        <w:tc>
          <w:tcPr>
            <w:tcW w:w="1923" w:type="dxa"/>
            <w:tcBorders>
              <w:left w:val="single" w:color="auto" w:sz="6" w:space="0"/>
              <w:right w:val="single" w:color="auto" w:sz="4" w:space="0"/>
            </w:tcBorders>
            <w:vAlign w:val="center"/>
          </w:tcPr>
          <w:p w14:paraId="3460C583">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《挥发性有机物无组织排放控制标准》（GB 37822-2019）</w:t>
            </w:r>
          </w:p>
        </w:tc>
      </w:tr>
      <w:tr w14:paraId="0C311E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3" w:hRule="atLeast"/>
        </w:trPr>
        <w:tc>
          <w:tcPr>
            <w:tcW w:w="696" w:type="dxa"/>
            <w:vMerge w:val="continue"/>
            <w:tcBorders>
              <w:left w:val="single" w:color="auto" w:sz="4" w:space="0"/>
              <w:right w:val="single" w:color="auto" w:sz="6" w:space="0"/>
            </w:tcBorders>
            <w:vAlign w:val="center"/>
          </w:tcPr>
          <w:p w14:paraId="09FB4841">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7E766AA7">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修边切割废气</w:t>
            </w:r>
          </w:p>
        </w:tc>
        <w:tc>
          <w:tcPr>
            <w:tcW w:w="1754" w:type="dxa"/>
            <w:tcBorders>
              <w:top w:val="single" w:color="auto" w:sz="6" w:space="0"/>
              <w:left w:val="single" w:color="auto" w:sz="6" w:space="0"/>
              <w:bottom w:val="single" w:color="auto" w:sz="6" w:space="0"/>
              <w:right w:val="single" w:color="auto" w:sz="6" w:space="0"/>
            </w:tcBorders>
            <w:vAlign w:val="center"/>
          </w:tcPr>
          <w:p w14:paraId="54512456">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颗粒物</w:t>
            </w:r>
          </w:p>
        </w:tc>
        <w:tc>
          <w:tcPr>
            <w:tcW w:w="2200" w:type="dxa"/>
            <w:tcBorders>
              <w:top w:val="single" w:color="auto" w:sz="6" w:space="0"/>
              <w:left w:val="single" w:color="auto" w:sz="6" w:space="0"/>
              <w:bottom w:val="single" w:color="auto" w:sz="6" w:space="0"/>
              <w:right w:val="single" w:color="auto" w:sz="6" w:space="0"/>
            </w:tcBorders>
            <w:vAlign w:val="center"/>
          </w:tcPr>
          <w:p w14:paraId="4EDB0816">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无组织排放</w:t>
            </w:r>
          </w:p>
        </w:tc>
        <w:tc>
          <w:tcPr>
            <w:tcW w:w="1923" w:type="dxa"/>
            <w:vMerge w:val="restart"/>
            <w:tcBorders>
              <w:left w:val="single" w:color="auto" w:sz="6" w:space="0"/>
              <w:right w:val="single" w:color="auto" w:sz="4" w:space="0"/>
            </w:tcBorders>
            <w:vAlign w:val="center"/>
          </w:tcPr>
          <w:p w14:paraId="02E9A719">
            <w:pPr>
              <w:spacing w:line="276" w:lineRule="auto"/>
              <w:jc w:val="center"/>
              <w:rPr>
                <w:rFonts w:hint="eastAsia" w:ascii="Times New Roman" w:hAnsi="Times New Roman" w:eastAsia="宋体" w:cs="宋体"/>
                <w:color w:val="auto"/>
                <w:lang w:eastAsia="zh-CN" w:bidi="ar"/>
              </w:rPr>
            </w:pPr>
            <w:r>
              <w:rPr>
                <w:rFonts w:hint="eastAsia" w:cs="宋体"/>
                <w:color w:val="auto"/>
                <w:lang w:val="en-US" w:eastAsia="zh-CN" w:bidi="ar"/>
              </w:rPr>
              <w:t>《水泥工业大气污染物排放标准》（GB 4915-2013，含2025年修改单）</w:t>
            </w:r>
            <w:r>
              <w:rPr>
                <w:rFonts w:hint="eastAsia" w:ascii="Times New Roman" w:hAnsi="Times New Roman" w:eastAsia="宋体" w:cs="宋体"/>
                <w:color w:val="auto"/>
                <w:lang w:val="en-US" w:eastAsia="zh-CN" w:bidi="ar"/>
              </w:rPr>
              <w:t>无组织限值</w:t>
            </w:r>
          </w:p>
        </w:tc>
      </w:tr>
      <w:tr w14:paraId="6CF327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3" w:hRule="atLeast"/>
        </w:trPr>
        <w:tc>
          <w:tcPr>
            <w:tcW w:w="696" w:type="dxa"/>
            <w:vMerge w:val="continue"/>
            <w:tcBorders>
              <w:left w:val="single" w:color="auto" w:sz="4" w:space="0"/>
              <w:right w:val="single" w:color="auto" w:sz="6" w:space="0"/>
            </w:tcBorders>
            <w:vAlign w:val="center"/>
          </w:tcPr>
          <w:p w14:paraId="7D6822BF">
            <w:pPr>
              <w:spacing w:line="276" w:lineRule="auto"/>
              <w:jc w:val="center"/>
              <w:rPr>
                <w:rFonts w:hint="eastAsia" w:ascii="Times New Roman" w:hAnsi="Times New Roman" w:eastAsia="宋体" w:cs="宋体"/>
                <w:color w:val="auto"/>
                <w:lang w:bidi="ar"/>
              </w:rPr>
            </w:pPr>
          </w:p>
        </w:tc>
        <w:tc>
          <w:tcPr>
            <w:tcW w:w="2276" w:type="dxa"/>
            <w:tcBorders>
              <w:left w:val="single" w:color="auto" w:sz="6" w:space="0"/>
              <w:right w:val="single" w:color="auto" w:sz="6" w:space="0"/>
            </w:tcBorders>
            <w:vAlign w:val="center"/>
          </w:tcPr>
          <w:p w14:paraId="4B77A657">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雕刻废气</w:t>
            </w:r>
          </w:p>
        </w:tc>
        <w:tc>
          <w:tcPr>
            <w:tcW w:w="1754" w:type="dxa"/>
            <w:tcBorders>
              <w:top w:val="single" w:color="auto" w:sz="6" w:space="0"/>
              <w:left w:val="single" w:color="auto" w:sz="6" w:space="0"/>
              <w:bottom w:val="single" w:color="auto" w:sz="6" w:space="0"/>
              <w:right w:val="single" w:color="auto" w:sz="6" w:space="0"/>
            </w:tcBorders>
            <w:vAlign w:val="center"/>
          </w:tcPr>
          <w:p w14:paraId="100FDDAF">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颗粒物</w:t>
            </w:r>
          </w:p>
        </w:tc>
        <w:tc>
          <w:tcPr>
            <w:tcW w:w="2200" w:type="dxa"/>
            <w:tcBorders>
              <w:top w:val="single" w:color="auto" w:sz="6" w:space="0"/>
              <w:left w:val="single" w:color="auto" w:sz="6" w:space="0"/>
              <w:bottom w:val="single" w:color="auto" w:sz="6" w:space="0"/>
              <w:right w:val="single" w:color="auto" w:sz="6" w:space="0"/>
            </w:tcBorders>
            <w:vAlign w:val="center"/>
          </w:tcPr>
          <w:p w14:paraId="5E33D1DA">
            <w:pPr>
              <w:pStyle w:val="19"/>
              <w:bidi w:val="0"/>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无组织排放</w:t>
            </w:r>
          </w:p>
        </w:tc>
        <w:tc>
          <w:tcPr>
            <w:tcW w:w="1923" w:type="dxa"/>
            <w:vMerge w:val="continue"/>
            <w:tcBorders>
              <w:left w:val="single" w:color="auto" w:sz="6" w:space="0"/>
              <w:right w:val="single" w:color="auto" w:sz="4" w:space="0"/>
            </w:tcBorders>
            <w:vAlign w:val="center"/>
          </w:tcPr>
          <w:p w14:paraId="4EE13888">
            <w:pPr>
              <w:spacing w:line="276" w:lineRule="auto"/>
              <w:jc w:val="center"/>
              <w:rPr>
                <w:rFonts w:hint="eastAsia" w:ascii="Times New Roman" w:hAnsi="Times New Roman" w:eastAsia="宋体" w:cs="宋体"/>
                <w:color w:val="auto"/>
                <w:lang w:bidi="ar"/>
              </w:rPr>
            </w:pPr>
          </w:p>
        </w:tc>
      </w:tr>
      <w:tr w14:paraId="20492E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66" w:hRule="atLeast"/>
        </w:trPr>
        <w:tc>
          <w:tcPr>
            <w:tcW w:w="696" w:type="dxa"/>
            <w:tcBorders>
              <w:top w:val="single" w:color="auto" w:sz="6" w:space="0"/>
              <w:left w:val="single" w:color="auto" w:sz="4" w:space="0"/>
              <w:bottom w:val="single" w:color="auto" w:sz="6" w:space="0"/>
              <w:right w:val="single" w:color="auto" w:sz="6" w:space="0"/>
            </w:tcBorders>
            <w:vAlign w:val="center"/>
          </w:tcPr>
          <w:p w14:paraId="466A1E99">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地表水环境</w:t>
            </w:r>
          </w:p>
        </w:tc>
        <w:tc>
          <w:tcPr>
            <w:tcW w:w="2276" w:type="dxa"/>
            <w:tcBorders>
              <w:top w:val="single" w:color="auto" w:sz="6" w:space="0"/>
              <w:left w:val="single" w:color="auto" w:sz="6" w:space="0"/>
              <w:bottom w:val="single" w:color="auto" w:sz="6" w:space="0"/>
              <w:right w:val="single" w:color="auto" w:sz="4" w:space="0"/>
            </w:tcBorders>
            <w:vAlign w:val="center"/>
          </w:tcPr>
          <w:p w14:paraId="7024C03A">
            <w:pPr>
              <w:spacing w:line="276" w:lineRule="auto"/>
              <w:jc w:val="center"/>
              <w:rPr>
                <w:rFonts w:hint="eastAsia" w:ascii="Times New Roman" w:hAnsi="Times New Roman" w:eastAsia="宋体" w:cs="宋体"/>
                <w:color w:val="auto"/>
                <w:lang w:val="en-US" w:eastAsia="zh-CN" w:bidi="ar"/>
              </w:rPr>
            </w:pPr>
            <w:r>
              <w:rPr>
                <w:rFonts w:hint="eastAsia" w:cs="宋体"/>
                <w:color w:val="auto"/>
                <w:lang w:val="en-US" w:eastAsia="zh-CN" w:bidi="ar"/>
              </w:rPr>
              <w:t>生活废水</w:t>
            </w:r>
          </w:p>
        </w:tc>
        <w:tc>
          <w:tcPr>
            <w:tcW w:w="1754" w:type="dxa"/>
            <w:tcBorders>
              <w:top w:val="single" w:color="auto" w:sz="6" w:space="0"/>
              <w:left w:val="single" w:color="auto" w:sz="6" w:space="0"/>
              <w:bottom w:val="single" w:color="auto" w:sz="6" w:space="0"/>
              <w:right w:val="single" w:color="auto" w:sz="4" w:space="0"/>
            </w:tcBorders>
            <w:vAlign w:val="center"/>
          </w:tcPr>
          <w:p w14:paraId="74211918">
            <w:pPr>
              <w:spacing w:line="276" w:lineRule="auto"/>
              <w:jc w:val="center"/>
              <w:rPr>
                <w:rFonts w:hint="default" w:ascii="Times New Roman" w:hAnsi="Times New Roman" w:eastAsia="宋体" w:cs="宋体"/>
                <w:color w:val="auto"/>
                <w:lang w:val="en-US" w:eastAsia="zh-CN" w:bidi="ar"/>
              </w:rPr>
            </w:pPr>
            <w:r>
              <w:rPr>
                <w:rFonts w:hint="eastAsia" w:cs="宋体"/>
                <w:color w:val="auto"/>
                <w:lang w:val="en-US" w:eastAsia="zh-CN" w:bidi="ar"/>
              </w:rPr>
              <w:t>COD、氨氮等</w:t>
            </w:r>
          </w:p>
        </w:tc>
        <w:tc>
          <w:tcPr>
            <w:tcW w:w="2200" w:type="dxa"/>
            <w:tcBorders>
              <w:top w:val="single" w:color="auto" w:sz="6" w:space="0"/>
              <w:left w:val="single" w:color="auto" w:sz="6" w:space="0"/>
              <w:bottom w:val="single" w:color="auto" w:sz="6" w:space="0"/>
              <w:right w:val="single" w:color="auto" w:sz="4" w:space="0"/>
            </w:tcBorders>
            <w:vAlign w:val="center"/>
          </w:tcPr>
          <w:p w14:paraId="63BD035A">
            <w:pPr>
              <w:spacing w:line="276" w:lineRule="auto"/>
              <w:jc w:val="center"/>
              <w:rPr>
                <w:rFonts w:hint="eastAsia" w:ascii="Times New Roman" w:hAnsi="Times New Roman" w:eastAsia="宋体" w:cs="宋体"/>
                <w:color w:val="auto"/>
                <w:lang w:val="en-US" w:eastAsia="zh-CN" w:bidi="ar"/>
              </w:rPr>
            </w:pPr>
            <w:r>
              <w:rPr>
                <w:rFonts w:hint="eastAsia" w:cs="宋体"/>
                <w:color w:val="auto"/>
                <w:lang w:val="en-US" w:eastAsia="zh-CN" w:bidi="ar"/>
              </w:rPr>
              <w:t>依托</w:t>
            </w:r>
            <w:r>
              <w:rPr>
                <w:rFonts w:hint="eastAsia"/>
                <w:color w:val="auto"/>
                <w:lang w:val="en-US" w:eastAsia="zh-CN"/>
              </w:rPr>
              <w:t>园区</w:t>
            </w:r>
            <w:r>
              <w:rPr>
                <w:rFonts w:hint="default"/>
                <w:color w:val="auto"/>
                <w:lang w:val="en-US" w:eastAsia="zh-CN"/>
              </w:rPr>
              <w:t>污水处理厂处理达标后外排</w:t>
            </w:r>
          </w:p>
        </w:tc>
        <w:tc>
          <w:tcPr>
            <w:tcW w:w="1923" w:type="dxa"/>
            <w:tcBorders>
              <w:top w:val="single" w:color="auto" w:sz="6" w:space="0"/>
              <w:left w:val="single" w:color="auto" w:sz="6" w:space="0"/>
              <w:bottom w:val="single" w:color="auto" w:sz="6" w:space="0"/>
              <w:right w:val="single" w:color="auto" w:sz="4" w:space="0"/>
            </w:tcBorders>
            <w:vAlign w:val="center"/>
          </w:tcPr>
          <w:p w14:paraId="0ED8555E">
            <w:pPr>
              <w:spacing w:line="276" w:lineRule="auto"/>
              <w:jc w:val="center"/>
              <w:rPr>
                <w:rFonts w:hint="eastAsia" w:ascii="Times New Roman" w:hAnsi="Times New Roman" w:eastAsia="宋体" w:cs="宋体"/>
                <w:color w:val="auto"/>
                <w:lang w:eastAsia="zh-CN" w:bidi="ar"/>
              </w:rPr>
            </w:pPr>
            <w:r>
              <w:rPr>
                <w:rFonts w:hint="eastAsia" w:cs="宋体"/>
                <w:color w:val="auto"/>
                <w:lang w:eastAsia="zh-CN" w:bidi="ar"/>
              </w:rPr>
              <w:t>《</w:t>
            </w:r>
            <w:r>
              <w:rPr>
                <w:rFonts w:hint="eastAsia" w:cs="宋体"/>
                <w:color w:val="auto"/>
                <w:lang w:val="en-US" w:eastAsia="zh-CN" w:bidi="ar"/>
              </w:rPr>
              <w:t>污水综合排放标准</w:t>
            </w:r>
            <w:r>
              <w:rPr>
                <w:rFonts w:hint="eastAsia" w:cs="宋体"/>
                <w:color w:val="auto"/>
                <w:lang w:eastAsia="zh-CN" w:bidi="ar"/>
              </w:rPr>
              <w:t>》（</w:t>
            </w:r>
            <w:r>
              <w:rPr>
                <w:rFonts w:hint="eastAsia" w:cs="宋体"/>
                <w:color w:val="auto"/>
                <w:lang w:val="en-US" w:eastAsia="zh-CN" w:bidi="ar"/>
              </w:rPr>
              <w:t>GB8978-1996</w:t>
            </w:r>
            <w:r>
              <w:rPr>
                <w:rFonts w:hint="eastAsia" w:cs="宋体"/>
                <w:color w:val="auto"/>
                <w:lang w:eastAsia="zh-CN" w:bidi="ar"/>
              </w:rPr>
              <w:t>）</w:t>
            </w:r>
          </w:p>
        </w:tc>
      </w:tr>
      <w:tr w14:paraId="6CC463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09" w:hRule="atLeast"/>
        </w:trPr>
        <w:tc>
          <w:tcPr>
            <w:tcW w:w="696" w:type="dxa"/>
            <w:tcBorders>
              <w:top w:val="single" w:color="auto" w:sz="6" w:space="0"/>
              <w:left w:val="single" w:color="auto" w:sz="4" w:space="0"/>
              <w:bottom w:val="single" w:color="auto" w:sz="6" w:space="0"/>
              <w:right w:val="single" w:color="auto" w:sz="6" w:space="0"/>
            </w:tcBorders>
            <w:vAlign w:val="center"/>
          </w:tcPr>
          <w:p w14:paraId="1547454E">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声环境</w:t>
            </w:r>
          </w:p>
        </w:tc>
        <w:tc>
          <w:tcPr>
            <w:tcW w:w="2276" w:type="dxa"/>
            <w:tcBorders>
              <w:top w:val="single" w:color="auto" w:sz="6" w:space="0"/>
              <w:left w:val="single" w:color="auto" w:sz="6" w:space="0"/>
              <w:bottom w:val="single" w:color="auto" w:sz="6" w:space="0"/>
              <w:right w:val="single" w:color="auto" w:sz="4" w:space="0"/>
            </w:tcBorders>
            <w:vAlign w:val="center"/>
          </w:tcPr>
          <w:p w14:paraId="6A3A8179">
            <w:pPr>
              <w:spacing w:line="276" w:lineRule="auto"/>
              <w:jc w:val="center"/>
              <w:rPr>
                <w:rFonts w:hint="default" w:ascii="Times New Roman" w:hAnsi="Times New Roman" w:eastAsia="宋体" w:cs="宋体"/>
                <w:color w:val="auto"/>
                <w:lang w:val="en-US" w:eastAsia="zh-CN" w:bidi="ar"/>
              </w:rPr>
            </w:pPr>
            <w:r>
              <w:rPr>
                <w:rFonts w:hint="eastAsia" w:cs="宋体"/>
                <w:color w:val="auto"/>
                <w:lang w:val="en-US" w:eastAsia="zh-CN" w:bidi="ar"/>
              </w:rPr>
              <w:t>生产设备等</w:t>
            </w:r>
          </w:p>
        </w:tc>
        <w:tc>
          <w:tcPr>
            <w:tcW w:w="1754" w:type="dxa"/>
            <w:tcBorders>
              <w:top w:val="single" w:color="auto" w:sz="6" w:space="0"/>
              <w:left w:val="single" w:color="auto" w:sz="6" w:space="0"/>
              <w:bottom w:val="single" w:color="auto" w:sz="6" w:space="0"/>
              <w:right w:val="single" w:color="auto" w:sz="4" w:space="0"/>
            </w:tcBorders>
            <w:vAlign w:val="center"/>
          </w:tcPr>
          <w:p w14:paraId="41D08BE0">
            <w:pPr>
              <w:spacing w:line="276" w:lineRule="auto"/>
              <w:jc w:val="center"/>
              <w:rPr>
                <w:rFonts w:hint="eastAsia" w:ascii="Times New Roman" w:hAnsi="Times New Roman" w:eastAsia="宋体" w:cs="宋体"/>
                <w:color w:val="auto"/>
                <w:lang w:val="en-US" w:eastAsia="zh-CN" w:bidi="ar"/>
              </w:rPr>
            </w:pPr>
            <w:r>
              <w:rPr>
                <w:rFonts w:hint="eastAsia" w:cs="宋体"/>
                <w:color w:val="auto"/>
                <w:lang w:val="en-US" w:eastAsia="zh-CN" w:bidi="ar"/>
              </w:rPr>
              <w:t>噪声</w:t>
            </w:r>
          </w:p>
        </w:tc>
        <w:tc>
          <w:tcPr>
            <w:tcW w:w="2200" w:type="dxa"/>
            <w:tcBorders>
              <w:top w:val="single" w:color="auto" w:sz="6" w:space="0"/>
              <w:left w:val="single" w:color="auto" w:sz="6" w:space="0"/>
              <w:bottom w:val="single" w:color="auto" w:sz="6" w:space="0"/>
              <w:right w:val="single" w:color="auto" w:sz="4" w:space="0"/>
            </w:tcBorders>
            <w:vAlign w:val="center"/>
          </w:tcPr>
          <w:p w14:paraId="533B8593">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基础减振、消声器</w:t>
            </w:r>
          </w:p>
        </w:tc>
        <w:tc>
          <w:tcPr>
            <w:tcW w:w="1923" w:type="dxa"/>
            <w:tcBorders>
              <w:top w:val="single" w:color="auto" w:sz="6" w:space="0"/>
              <w:left w:val="single" w:color="auto" w:sz="6" w:space="0"/>
              <w:bottom w:val="single" w:color="auto" w:sz="6" w:space="0"/>
              <w:right w:val="single" w:color="auto" w:sz="4" w:space="0"/>
            </w:tcBorders>
            <w:vAlign w:val="center"/>
          </w:tcPr>
          <w:p w14:paraId="1EA8C34C">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《工业企业厂界环境噪声排放标</w:t>
            </w:r>
            <w:r>
              <w:rPr>
                <w:rFonts w:hint="eastAsia" w:cs="宋体"/>
                <w:color w:val="auto"/>
                <w:lang w:val="en-US" w:eastAsia="zh-CN" w:bidi="ar"/>
              </w:rPr>
              <w:t>准</w:t>
            </w:r>
            <w:r>
              <w:rPr>
                <w:rFonts w:hint="eastAsia" w:ascii="Times New Roman" w:hAnsi="Times New Roman" w:eastAsia="宋体" w:cs="宋体"/>
                <w:color w:val="auto"/>
                <w:lang w:bidi="ar"/>
              </w:rPr>
              <w:t>（GB 12348—2008）</w:t>
            </w:r>
          </w:p>
        </w:tc>
      </w:tr>
      <w:tr w14:paraId="242504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09" w:hRule="atLeast"/>
        </w:trPr>
        <w:tc>
          <w:tcPr>
            <w:tcW w:w="696" w:type="dxa"/>
            <w:tcBorders>
              <w:top w:val="single" w:color="auto" w:sz="6" w:space="0"/>
              <w:left w:val="single" w:color="auto" w:sz="4" w:space="0"/>
              <w:bottom w:val="single" w:color="auto" w:sz="6" w:space="0"/>
              <w:right w:val="single" w:color="auto" w:sz="6" w:space="0"/>
            </w:tcBorders>
            <w:vAlign w:val="center"/>
          </w:tcPr>
          <w:p w14:paraId="69A3BBB5">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电磁</w:t>
            </w:r>
          </w:p>
          <w:p w14:paraId="4964F5EE">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辐射</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413B89DF">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无</w:t>
            </w:r>
          </w:p>
        </w:tc>
      </w:tr>
      <w:tr w14:paraId="5F0EDA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09" w:hRule="atLeast"/>
        </w:trPr>
        <w:tc>
          <w:tcPr>
            <w:tcW w:w="696" w:type="dxa"/>
            <w:tcBorders>
              <w:top w:val="single" w:color="auto" w:sz="6" w:space="0"/>
              <w:left w:val="single" w:color="auto" w:sz="4" w:space="0"/>
              <w:bottom w:val="single" w:color="auto" w:sz="6" w:space="0"/>
              <w:right w:val="single" w:color="auto" w:sz="6" w:space="0"/>
            </w:tcBorders>
            <w:vAlign w:val="center"/>
          </w:tcPr>
          <w:p w14:paraId="3B344AA9">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固体</w:t>
            </w:r>
          </w:p>
          <w:p w14:paraId="60211A79">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废物</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71016F11">
            <w:pPr>
              <w:spacing w:line="276" w:lineRule="auto"/>
              <w:jc w:val="both"/>
              <w:rPr>
                <w:rFonts w:hint="eastAsia" w:ascii="Times New Roman" w:hAnsi="Times New Roman" w:eastAsia="宋体" w:cs="宋体"/>
                <w:color w:val="auto"/>
                <w:lang w:bidi="ar"/>
              </w:rPr>
            </w:pPr>
            <w:r>
              <w:rPr>
                <w:rFonts w:hint="eastAsia" w:ascii="Times New Roman" w:hAnsi="Times New Roman" w:eastAsia="宋体" w:cs="宋体"/>
                <w:color w:val="auto"/>
                <w:lang w:bidi="ar"/>
              </w:rPr>
              <w:t>除尘器收尘作为原料回用于生产；不合格品及废边角料经收集于一般固废间暂存后外售处理；废包装材料在一般固废贮存库暂存后由原厂家回收处理。生活垃圾收集后交由环卫部门处理。</w:t>
            </w:r>
          </w:p>
        </w:tc>
      </w:tr>
      <w:tr w14:paraId="470F2C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09" w:hRule="atLeast"/>
        </w:trPr>
        <w:tc>
          <w:tcPr>
            <w:tcW w:w="696" w:type="dxa"/>
            <w:tcBorders>
              <w:top w:val="single" w:color="auto" w:sz="6" w:space="0"/>
              <w:left w:val="single" w:color="auto" w:sz="4" w:space="0"/>
              <w:bottom w:val="single" w:color="auto" w:sz="6" w:space="0"/>
              <w:right w:val="single" w:color="auto" w:sz="6" w:space="0"/>
            </w:tcBorders>
            <w:vAlign w:val="center"/>
          </w:tcPr>
          <w:p w14:paraId="57E46643">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危险</w:t>
            </w:r>
          </w:p>
          <w:p w14:paraId="7033F3E6">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废物</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1420BD69">
            <w:pPr>
              <w:spacing w:line="276" w:lineRule="auto"/>
              <w:jc w:val="both"/>
              <w:rPr>
                <w:rFonts w:hint="eastAsia" w:ascii="Times New Roman" w:hAnsi="Times New Roman" w:eastAsia="宋体" w:cs="宋体"/>
                <w:color w:val="auto"/>
                <w:lang w:bidi="ar"/>
              </w:rPr>
            </w:pPr>
            <w:r>
              <w:rPr>
                <w:rFonts w:hint="eastAsia" w:ascii="Times New Roman" w:hAnsi="Times New Roman" w:eastAsia="宋体" w:cs="宋体"/>
                <w:color w:val="auto"/>
                <w:lang w:bidi="ar"/>
              </w:rPr>
              <w:t>废活性炭经</w:t>
            </w:r>
            <w:r>
              <w:rPr>
                <w:rFonts w:hint="eastAsia" w:cs="宋体"/>
                <w:color w:val="auto"/>
                <w:lang w:eastAsia="zh-CN" w:bidi="ar"/>
              </w:rPr>
              <w:t>危废暂存库</w:t>
            </w:r>
            <w:r>
              <w:rPr>
                <w:rFonts w:hint="eastAsia" w:ascii="Times New Roman" w:hAnsi="Times New Roman" w:eastAsia="宋体" w:cs="宋体"/>
                <w:color w:val="auto"/>
                <w:lang w:bidi="ar"/>
              </w:rPr>
              <w:t>暂存，</w:t>
            </w:r>
            <w:r>
              <w:rPr>
                <w:rFonts w:hint="eastAsia" w:cs="宋体"/>
                <w:color w:val="auto"/>
                <w:lang w:eastAsia="zh-CN" w:bidi="ar"/>
              </w:rPr>
              <w:t>交由</w:t>
            </w:r>
            <w:r>
              <w:rPr>
                <w:rFonts w:hint="eastAsia" w:ascii="Times New Roman" w:hAnsi="Times New Roman" w:eastAsia="宋体" w:cs="宋体"/>
                <w:color w:val="auto"/>
                <w:lang w:bidi="ar"/>
              </w:rPr>
              <w:t>资质单位处理。</w:t>
            </w:r>
          </w:p>
        </w:tc>
      </w:tr>
      <w:tr w14:paraId="310D44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906" w:hRule="atLeast"/>
        </w:trPr>
        <w:tc>
          <w:tcPr>
            <w:tcW w:w="696" w:type="dxa"/>
            <w:tcBorders>
              <w:top w:val="single" w:color="auto" w:sz="6" w:space="0"/>
              <w:left w:val="single" w:color="auto" w:sz="4" w:space="0"/>
              <w:bottom w:val="single" w:color="auto" w:sz="6" w:space="0"/>
              <w:right w:val="single" w:color="auto" w:sz="6" w:space="0"/>
            </w:tcBorders>
            <w:vAlign w:val="center"/>
          </w:tcPr>
          <w:p w14:paraId="2C2CFB09">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土壤及地下水污染防治措施</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54A74BA1">
            <w:pPr>
              <w:pStyle w:val="5"/>
              <w:bidi w:val="0"/>
              <w:jc w:val="both"/>
              <w:rPr>
                <w:rFonts w:hint="eastAsia" w:ascii="Times New Roman" w:hAnsi="Times New Roman" w:eastAsia="宋体" w:cs="宋体"/>
                <w:color w:val="auto"/>
                <w:lang w:bidi="ar"/>
              </w:rPr>
            </w:pPr>
            <w:r>
              <w:rPr>
                <w:rFonts w:hint="eastAsia"/>
                <w:color w:val="auto"/>
              </w:rPr>
              <w:t>加强操作管理，确保处理设备正常稳定运行，采取分区防渗，</w:t>
            </w:r>
            <w:r>
              <w:rPr>
                <w:rFonts w:hint="eastAsia"/>
                <w:color w:val="auto"/>
                <w:lang w:eastAsia="zh-CN"/>
              </w:rPr>
              <w:t>自动化筒仓</w:t>
            </w:r>
            <w:r>
              <w:rPr>
                <w:rFonts w:hint="eastAsia"/>
                <w:color w:val="auto"/>
              </w:rPr>
              <w:t>、</w:t>
            </w:r>
            <w:r>
              <w:rPr>
                <w:rFonts w:hint="eastAsia"/>
                <w:color w:val="auto"/>
                <w:lang w:eastAsia="zh-CN"/>
              </w:rPr>
              <w:t>危废暂存库</w:t>
            </w:r>
            <w:r>
              <w:rPr>
                <w:rFonts w:hint="eastAsia"/>
                <w:color w:val="auto"/>
              </w:rPr>
              <w:t>为重点防渗区，等效粘土防渗层Mb≥6m，K≤1×10-</w:t>
            </w:r>
            <w:r>
              <w:rPr>
                <w:rFonts w:hint="eastAsia"/>
                <w:color w:val="auto"/>
                <w:vertAlign w:val="superscript"/>
              </w:rPr>
              <w:t>7</w:t>
            </w:r>
            <w:r>
              <w:rPr>
                <w:rFonts w:hint="eastAsia"/>
                <w:color w:val="auto"/>
              </w:rPr>
              <w:t>cm/s；生产区域、一般固废间为一般防渗区，等效黏土防渗层Mb≥1.5m，K≤1×10</w:t>
            </w:r>
            <w:r>
              <w:rPr>
                <w:rFonts w:hint="eastAsia"/>
                <w:color w:val="auto"/>
                <w:vertAlign w:val="superscript"/>
              </w:rPr>
              <w:t>-7</w:t>
            </w:r>
            <w:r>
              <w:rPr>
                <w:rFonts w:hint="eastAsia"/>
                <w:color w:val="auto"/>
              </w:rPr>
              <w:t>cm/s；车间其他区域为简单防渗区，进行一般地面硬化</w:t>
            </w:r>
          </w:p>
        </w:tc>
      </w:tr>
      <w:tr w14:paraId="427848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067" w:hRule="atLeast"/>
        </w:trPr>
        <w:tc>
          <w:tcPr>
            <w:tcW w:w="696" w:type="dxa"/>
            <w:tcBorders>
              <w:top w:val="single" w:color="auto" w:sz="6" w:space="0"/>
              <w:left w:val="single" w:color="auto" w:sz="4" w:space="0"/>
              <w:bottom w:val="single" w:color="auto" w:sz="6" w:space="0"/>
              <w:right w:val="single" w:color="auto" w:sz="6" w:space="0"/>
            </w:tcBorders>
            <w:vAlign w:val="center"/>
          </w:tcPr>
          <w:p w14:paraId="650F29A8">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生态保护措施</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11BE0952">
            <w:pPr>
              <w:pStyle w:val="5"/>
              <w:bidi w:val="0"/>
              <w:jc w:val="both"/>
              <w:rPr>
                <w:rFonts w:hint="eastAsia"/>
                <w:color w:val="auto"/>
              </w:rPr>
            </w:pPr>
            <w:r>
              <w:rPr>
                <w:color w:val="auto"/>
              </w:rPr>
              <w:t>本项目用地为</w:t>
            </w:r>
            <w:r>
              <w:rPr>
                <w:rFonts w:hint="eastAsia"/>
                <w:color w:val="auto"/>
              </w:rPr>
              <w:t>库尔勒经济技术开发区</w:t>
            </w:r>
            <w:r>
              <w:rPr>
                <w:rFonts w:hint="eastAsia"/>
                <w:color w:val="auto"/>
                <w:lang w:val="en-US" w:eastAsia="zh-CN"/>
              </w:rPr>
              <w:t>自然资源局已批准的建设用地，批准用地文号为库开管函〔2025〕34号，</w:t>
            </w:r>
            <w:r>
              <w:rPr>
                <w:rFonts w:hint="eastAsia"/>
                <w:color w:val="auto"/>
              </w:rPr>
              <w:t>无新增用地，不存在破坏植被和野生动物的工业活动；此外，项目产生的废气、废水、固体废物和噪声经过合理处置后达标排放，对生态影响较小，不会导致生态环境质量的降低。</w:t>
            </w:r>
          </w:p>
        </w:tc>
      </w:tr>
      <w:tr w14:paraId="069338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8" w:hRule="atLeast"/>
        </w:trPr>
        <w:tc>
          <w:tcPr>
            <w:tcW w:w="696" w:type="dxa"/>
            <w:tcBorders>
              <w:top w:val="single" w:color="auto" w:sz="6" w:space="0"/>
              <w:left w:val="single" w:color="auto" w:sz="4" w:space="0"/>
              <w:bottom w:val="single" w:color="auto" w:sz="6" w:space="0"/>
              <w:right w:val="single" w:color="auto" w:sz="6" w:space="0"/>
            </w:tcBorders>
            <w:vAlign w:val="center"/>
          </w:tcPr>
          <w:p w14:paraId="1B8FF0FF">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环境风险防范措施</w:t>
            </w:r>
          </w:p>
        </w:tc>
        <w:tc>
          <w:tcPr>
            <w:tcW w:w="8153" w:type="dxa"/>
            <w:gridSpan w:val="4"/>
            <w:tcBorders>
              <w:top w:val="single" w:color="auto" w:sz="6" w:space="0"/>
              <w:left w:val="single" w:color="auto" w:sz="6" w:space="0"/>
              <w:bottom w:val="single" w:color="auto" w:sz="6" w:space="0"/>
              <w:right w:val="single" w:color="auto" w:sz="4" w:space="0"/>
            </w:tcBorders>
            <w:vAlign w:val="center"/>
          </w:tcPr>
          <w:p w14:paraId="7C1D2EA4">
            <w:pPr>
              <w:pStyle w:val="5"/>
              <w:bidi w:val="0"/>
              <w:jc w:val="both"/>
              <w:rPr>
                <w:rFonts w:hint="eastAsia"/>
                <w:color w:val="auto"/>
              </w:rPr>
            </w:pPr>
            <w:r>
              <w:rPr>
                <w:rFonts w:hint="eastAsia"/>
                <w:color w:val="auto"/>
              </w:rPr>
              <w:t>加强操作管理，确保处理设备正常稳定运行：将本项目环境管理及监测纳入整个公司管理工作中，修改突发环境风险事件应急预案，定期进行应急演练。</w:t>
            </w:r>
          </w:p>
        </w:tc>
      </w:tr>
      <w:tr w14:paraId="21EB55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052" w:hRule="atLeast"/>
        </w:trPr>
        <w:tc>
          <w:tcPr>
            <w:tcW w:w="696" w:type="dxa"/>
            <w:tcBorders>
              <w:top w:val="single" w:color="auto" w:sz="6" w:space="0"/>
              <w:left w:val="single" w:color="auto" w:sz="4" w:space="0"/>
              <w:bottom w:val="single" w:color="auto" w:sz="4" w:space="0"/>
              <w:right w:val="single" w:color="auto" w:sz="6" w:space="0"/>
            </w:tcBorders>
            <w:vAlign w:val="center"/>
          </w:tcPr>
          <w:p w14:paraId="58F5CCAF">
            <w:pPr>
              <w:spacing w:line="276" w:lineRule="auto"/>
              <w:jc w:val="center"/>
              <w:rPr>
                <w:rFonts w:hint="eastAsia" w:ascii="Times New Roman" w:hAnsi="Times New Roman" w:eastAsia="宋体" w:cs="宋体"/>
                <w:color w:val="auto"/>
                <w:lang w:bidi="ar"/>
              </w:rPr>
            </w:pPr>
            <w:r>
              <w:rPr>
                <w:rFonts w:hint="eastAsia" w:ascii="Times New Roman" w:hAnsi="Times New Roman" w:eastAsia="宋体" w:cs="宋体"/>
                <w:color w:val="auto"/>
                <w:lang w:bidi="ar"/>
              </w:rPr>
              <w:t>其他环境管理要求</w:t>
            </w:r>
          </w:p>
        </w:tc>
        <w:tc>
          <w:tcPr>
            <w:tcW w:w="8153" w:type="dxa"/>
            <w:gridSpan w:val="4"/>
            <w:tcBorders>
              <w:top w:val="single" w:color="auto" w:sz="6" w:space="0"/>
              <w:left w:val="single" w:color="auto" w:sz="6" w:space="0"/>
              <w:bottom w:val="single" w:color="auto" w:sz="4" w:space="0"/>
              <w:right w:val="single" w:color="auto" w:sz="4" w:space="0"/>
            </w:tcBorders>
            <w:vAlign w:val="center"/>
          </w:tcPr>
          <w:p w14:paraId="68BA3DB9">
            <w:pPr>
              <w:pStyle w:val="5"/>
              <w:bidi w:val="0"/>
              <w:jc w:val="both"/>
              <w:rPr>
                <w:rFonts w:hint="eastAsia"/>
                <w:color w:val="auto"/>
              </w:rPr>
            </w:pPr>
            <w:r>
              <w:rPr>
                <w:rFonts w:hint="eastAsia"/>
                <w:color w:val="auto"/>
              </w:rPr>
              <w:t>依据《排污许可证申请与核发技术规范 工业固体废物和危险废物治理》（HJ 1033-2019）的相关要求，本项目“其他环境管理要求”主要涵盖环境管理台账的制定与维护、排污许可证执行报告的编制与上报，以及相关合规判定方法。本项目属于隔热和隔音材料制造类建设项目，须依照《中华人民共和国生态环境法典》排污许可管理规定严格执行排污许可制度，确保一般工业固体废物和危险废物在全过程管理中符合国家相关标准规范。此外，应按照该技术规范的要求，建立环境管理台账、编制并提交排污许可证执行报告，并依法公开自行监测信息。</w:t>
            </w:r>
          </w:p>
          <w:p w14:paraId="4BDECE7A">
            <w:pPr>
              <w:spacing w:line="276" w:lineRule="auto"/>
              <w:jc w:val="both"/>
              <w:rPr>
                <w:rFonts w:hint="eastAsia" w:ascii="Times New Roman" w:hAnsi="Times New Roman" w:eastAsia="宋体" w:cs="宋体"/>
                <w:color w:val="auto"/>
                <w:lang w:bidi="ar"/>
              </w:rPr>
            </w:pPr>
          </w:p>
          <w:p w14:paraId="1B15271A">
            <w:pPr>
              <w:spacing w:line="276" w:lineRule="auto"/>
              <w:jc w:val="both"/>
              <w:rPr>
                <w:rFonts w:hint="eastAsia" w:ascii="Times New Roman" w:hAnsi="Times New Roman" w:eastAsia="宋体" w:cs="宋体"/>
                <w:color w:val="auto"/>
                <w:lang w:bidi="ar"/>
              </w:rPr>
            </w:pPr>
          </w:p>
          <w:p w14:paraId="1589CB6B">
            <w:pPr>
              <w:spacing w:line="276" w:lineRule="auto"/>
              <w:jc w:val="both"/>
              <w:rPr>
                <w:rFonts w:hint="eastAsia" w:ascii="Times New Roman" w:hAnsi="Times New Roman" w:eastAsia="宋体" w:cs="宋体"/>
                <w:color w:val="auto"/>
                <w:lang w:bidi="ar"/>
              </w:rPr>
            </w:pPr>
          </w:p>
          <w:p w14:paraId="624D7979">
            <w:pPr>
              <w:spacing w:line="276" w:lineRule="auto"/>
              <w:jc w:val="both"/>
              <w:rPr>
                <w:rFonts w:hint="eastAsia" w:ascii="Times New Roman" w:hAnsi="Times New Roman" w:eastAsia="宋体" w:cs="宋体"/>
                <w:color w:val="auto"/>
                <w:lang w:bidi="ar"/>
              </w:rPr>
            </w:pPr>
          </w:p>
          <w:p w14:paraId="5139FA3C">
            <w:pPr>
              <w:spacing w:line="276" w:lineRule="auto"/>
              <w:jc w:val="both"/>
              <w:rPr>
                <w:rFonts w:hint="eastAsia" w:ascii="Times New Roman" w:hAnsi="Times New Roman" w:eastAsia="宋体" w:cs="宋体"/>
                <w:color w:val="auto"/>
                <w:lang w:bidi="ar"/>
              </w:rPr>
            </w:pPr>
          </w:p>
          <w:p w14:paraId="3841C37D">
            <w:pPr>
              <w:spacing w:line="276" w:lineRule="auto"/>
              <w:jc w:val="both"/>
              <w:rPr>
                <w:rFonts w:hint="eastAsia" w:ascii="Times New Roman" w:hAnsi="Times New Roman" w:eastAsia="宋体" w:cs="宋体"/>
                <w:color w:val="auto"/>
                <w:lang w:bidi="ar"/>
              </w:rPr>
            </w:pPr>
          </w:p>
          <w:p w14:paraId="4DF55745">
            <w:pPr>
              <w:spacing w:line="276" w:lineRule="auto"/>
              <w:jc w:val="both"/>
              <w:rPr>
                <w:rFonts w:hint="eastAsia" w:ascii="Times New Roman" w:hAnsi="Times New Roman" w:eastAsia="宋体" w:cs="宋体"/>
                <w:color w:val="auto"/>
                <w:lang w:bidi="ar"/>
              </w:rPr>
            </w:pPr>
          </w:p>
          <w:p w14:paraId="5821C922">
            <w:pPr>
              <w:spacing w:line="276" w:lineRule="auto"/>
              <w:jc w:val="both"/>
              <w:rPr>
                <w:rFonts w:hint="eastAsia" w:ascii="Times New Roman" w:hAnsi="Times New Roman" w:eastAsia="宋体" w:cs="宋体"/>
                <w:color w:val="auto"/>
                <w:lang w:bidi="ar"/>
              </w:rPr>
            </w:pPr>
          </w:p>
          <w:p w14:paraId="4F4C6F66">
            <w:pPr>
              <w:spacing w:line="276" w:lineRule="auto"/>
              <w:jc w:val="both"/>
              <w:rPr>
                <w:rFonts w:hint="eastAsia" w:ascii="Times New Roman" w:hAnsi="Times New Roman" w:eastAsia="宋体" w:cs="宋体"/>
                <w:color w:val="auto"/>
                <w:lang w:bidi="ar"/>
              </w:rPr>
            </w:pPr>
          </w:p>
          <w:p w14:paraId="425A6BEE">
            <w:pPr>
              <w:spacing w:line="276" w:lineRule="auto"/>
              <w:jc w:val="both"/>
              <w:rPr>
                <w:rFonts w:hint="eastAsia" w:ascii="Times New Roman" w:hAnsi="Times New Roman" w:eastAsia="宋体" w:cs="宋体"/>
                <w:color w:val="auto"/>
                <w:lang w:bidi="ar"/>
              </w:rPr>
            </w:pPr>
          </w:p>
        </w:tc>
      </w:tr>
    </w:tbl>
    <w:p w14:paraId="7CE430E8">
      <w:pPr>
        <w:pStyle w:val="2"/>
        <w:rPr>
          <w:color w:val="auto"/>
        </w:rPr>
      </w:pPr>
      <w:r>
        <w:rPr>
          <w:rFonts w:hint="eastAsia"/>
          <w:color w:val="auto"/>
        </w:rPr>
        <w:t>结论</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40"/>
      </w:tblGrid>
      <w:tr w14:paraId="692B4A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66" w:hRule="atLeast"/>
          <w:jc w:val="center"/>
        </w:trPr>
        <w:tc>
          <w:tcPr>
            <w:tcW w:w="8840" w:type="dxa"/>
            <w:vAlign w:val="top"/>
          </w:tcPr>
          <w:p w14:paraId="5935347B">
            <w:pPr>
              <w:pStyle w:val="3"/>
              <w:bidi w:val="0"/>
              <w:rPr>
                <w:rFonts w:hint="default"/>
                <w:color w:val="auto"/>
              </w:rPr>
            </w:pPr>
            <w:r>
              <w:rPr>
                <w:rFonts w:hint="default"/>
                <w:color w:val="auto"/>
              </w:rPr>
              <w:t>评价结论</w:t>
            </w:r>
          </w:p>
          <w:p w14:paraId="270E8312">
            <w:pPr>
              <w:pStyle w:val="5"/>
              <w:ind w:firstLine="480"/>
              <w:rPr>
                <w:color w:val="auto"/>
              </w:rPr>
            </w:pPr>
            <w:r>
              <w:rPr>
                <w:rFonts w:hint="eastAsia"/>
                <w:color w:val="auto"/>
              </w:rPr>
              <w:t>本项目符合国家产业政策要求</w:t>
            </w:r>
            <w:r>
              <w:rPr>
                <w:rFonts w:hint="eastAsia"/>
                <w:color w:val="auto"/>
                <w:lang w:eastAsia="zh-CN"/>
              </w:rPr>
              <w:t>，</w:t>
            </w:r>
            <w:r>
              <w:rPr>
                <w:rFonts w:hint="eastAsia"/>
                <w:color w:val="auto"/>
              </w:rPr>
              <w:t>在实施环境影响评价所提出的污染控制措施后，可确保污染物达标排放，并将对环境的不利影响降至较低水平。项目建成并投入正常运营后，通过严格管理和落实各项污染治理措施，可实现所有污染物的达标排放，环境风险处于可控范围，对周边环境的影响较小。因此，从环境保护角度考量，该建设项目具备可行性。</w:t>
            </w:r>
          </w:p>
          <w:p w14:paraId="76F34DDE">
            <w:pPr>
              <w:pStyle w:val="3"/>
              <w:bidi w:val="0"/>
              <w:rPr>
                <w:rFonts w:hint="default"/>
                <w:color w:val="auto"/>
              </w:rPr>
            </w:pPr>
            <w:r>
              <w:rPr>
                <w:rFonts w:hint="eastAsia"/>
                <w:color w:val="auto"/>
                <w:lang w:val="en-US" w:eastAsia="zh-CN"/>
              </w:rPr>
              <w:t>要求与建议</w:t>
            </w:r>
          </w:p>
          <w:p w14:paraId="75E5E243">
            <w:pPr>
              <w:pStyle w:val="5"/>
              <w:rPr>
                <w:rFonts w:hint="default"/>
                <w:color w:val="auto"/>
              </w:rPr>
            </w:pPr>
            <w:r>
              <w:rPr>
                <w:rFonts w:hint="eastAsia"/>
                <w:color w:val="auto"/>
                <w:lang w:eastAsia="zh-CN"/>
              </w:rPr>
              <w:t>（</w:t>
            </w:r>
            <w:r>
              <w:rPr>
                <w:rFonts w:hint="default"/>
                <w:color w:val="auto"/>
              </w:rPr>
              <w:t>1）要求加强生产管理和设备的维护。通过加强生产管理和设备的日常维护，保证各环保设施的正常运行，杜绝事故现象的发生。</w:t>
            </w:r>
          </w:p>
          <w:p w14:paraId="6AD66008">
            <w:pPr>
              <w:pStyle w:val="5"/>
              <w:rPr>
                <w:rFonts w:hint="default"/>
                <w:color w:val="auto"/>
              </w:rPr>
            </w:pPr>
            <w:r>
              <w:rPr>
                <w:rFonts w:hint="default"/>
                <w:color w:val="auto"/>
              </w:rPr>
              <w:t>（2）建立环保目标责任制，对污染治理措施运行情况与效果实行定期考核制度，明确责任、奖罚分明。工程建设过程中应严格执行建设工程“三同时”制度，落实环保防治措施，确保环保资金及时到位。</w:t>
            </w:r>
          </w:p>
          <w:p w14:paraId="5978D051">
            <w:pPr>
              <w:pStyle w:val="5"/>
              <w:rPr>
                <w:rFonts w:hint="default"/>
                <w:color w:val="auto"/>
              </w:rPr>
            </w:pPr>
            <w:r>
              <w:rPr>
                <w:rFonts w:hint="default"/>
                <w:color w:val="auto"/>
              </w:rPr>
              <w:t>综上所述，在严格执行“三同时”制度，认真落实各项环保措施的条件下，从环境保护方面分析，本项目可行。</w:t>
            </w:r>
          </w:p>
        </w:tc>
      </w:tr>
    </w:tbl>
    <w:p w14:paraId="3CE12E1B">
      <w:pPr>
        <w:pStyle w:val="5"/>
        <w:bidi w:val="0"/>
        <w:rPr>
          <w:color w:val="auto"/>
        </w:rPr>
        <w:sectPr>
          <w:pgSz w:w="11906" w:h="16838"/>
          <w:pgMar w:top="1701" w:right="1531" w:bottom="1701" w:left="1531" w:header="851" w:footer="851" w:gutter="0"/>
          <w:pgNumType w:fmt="decimal"/>
          <w:cols w:space="720" w:num="1"/>
          <w:docGrid w:linePitch="312" w:charSpace="0"/>
        </w:sectPr>
      </w:pPr>
    </w:p>
    <w:p w14:paraId="25B28BEA">
      <w:pPr>
        <w:pStyle w:val="14"/>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textAlignment w:val="auto"/>
        <w:outlineLvl w:val="9"/>
        <w:rPr>
          <w:rFonts w:hint="eastAsia" w:ascii="黑体" w:hAnsi="黑体" w:eastAsia="黑体"/>
          <w:snapToGrid w:val="0"/>
          <w:color w:val="auto"/>
          <w:sz w:val="32"/>
          <w:szCs w:val="32"/>
        </w:rPr>
      </w:pPr>
      <w:r>
        <w:rPr>
          <w:rFonts w:hint="eastAsia" w:ascii="黑体" w:hAnsi="黑体" w:eastAsia="黑体"/>
          <w:snapToGrid w:val="0"/>
          <w:color w:val="auto"/>
          <w:sz w:val="32"/>
          <w:szCs w:val="32"/>
        </w:rPr>
        <w:t>附表</w:t>
      </w:r>
    </w:p>
    <w:p w14:paraId="4DAE5C22">
      <w:pPr>
        <w:pStyle w:val="14"/>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方正小标宋_GBK" w:hAnsi="黑体" w:eastAsia="方正小标宋_GBK"/>
          <w:snapToGrid w:val="0"/>
          <w:color w:val="auto"/>
          <w:sz w:val="38"/>
          <w:szCs w:val="38"/>
        </w:rPr>
      </w:pPr>
      <w:r>
        <w:rPr>
          <w:rFonts w:hint="eastAsia" w:ascii="方正小标宋_GBK" w:hAnsi="黑体" w:eastAsia="方正小标宋_GBK"/>
          <w:snapToGrid w:val="0"/>
          <w:color w:val="auto"/>
          <w:sz w:val="38"/>
          <w:szCs w:val="38"/>
        </w:rPr>
        <w:t>建设项目污染物排放量汇总表</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065"/>
        <w:gridCol w:w="954"/>
        <w:gridCol w:w="1646"/>
        <w:gridCol w:w="1463"/>
        <w:gridCol w:w="1950"/>
        <w:gridCol w:w="2004"/>
      </w:tblGrid>
      <w:tr w14:paraId="5E573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1588" w:type="dxa"/>
            <w:tcBorders>
              <w:tl2br w:val="single" w:color="auto" w:sz="4" w:space="0"/>
            </w:tcBorders>
            <w:tcMar>
              <w:left w:w="28" w:type="dxa"/>
              <w:right w:w="28" w:type="dxa"/>
            </w:tcMar>
            <w:vAlign w:val="top"/>
          </w:tcPr>
          <w:p w14:paraId="3511732C">
            <w:pPr>
              <w:pStyle w:val="23"/>
              <w:spacing w:before="24" w:after="24"/>
              <w:jc w:val="right"/>
              <w:rPr>
                <w:rFonts w:hint="eastAsia"/>
                <w:color w:val="auto"/>
              </w:rPr>
            </w:pPr>
            <w:r>
              <w:rPr>
                <w:rFonts w:hint="eastAsia"/>
                <w:color w:val="auto"/>
              </w:rPr>
              <w:t>项目</w:t>
            </w:r>
          </w:p>
          <w:p w14:paraId="3C16C984">
            <w:pPr>
              <w:pStyle w:val="23"/>
              <w:spacing w:before="24" w:after="24"/>
              <w:jc w:val="both"/>
              <w:rPr>
                <w:rFonts w:hint="eastAsia"/>
                <w:color w:val="auto"/>
              </w:rPr>
            </w:pPr>
          </w:p>
          <w:p w14:paraId="3AF6A0E1">
            <w:pPr>
              <w:pStyle w:val="23"/>
              <w:spacing w:before="24" w:after="24"/>
              <w:jc w:val="both"/>
              <w:rPr>
                <w:rFonts w:hint="eastAsia"/>
                <w:color w:val="auto"/>
              </w:rPr>
            </w:pPr>
          </w:p>
          <w:p w14:paraId="0F9904F0">
            <w:pPr>
              <w:pStyle w:val="23"/>
              <w:spacing w:before="24" w:after="24"/>
              <w:jc w:val="both"/>
              <w:rPr>
                <w:rFonts w:hint="eastAsia"/>
                <w:color w:val="auto"/>
              </w:rPr>
            </w:pPr>
          </w:p>
          <w:p w14:paraId="797C2B42">
            <w:pPr>
              <w:pStyle w:val="23"/>
              <w:spacing w:before="24" w:after="24"/>
              <w:jc w:val="both"/>
              <w:rPr>
                <w:rFonts w:hint="eastAsia"/>
                <w:color w:val="auto"/>
              </w:rPr>
            </w:pPr>
            <w:r>
              <w:rPr>
                <w:rFonts w:hint="eastAsia"/>
                <w:color w:val="auto"/>
              </w:rPr>
              <w:t>分类</w:t>
            </w:r>
          </w:p>
        </w:tc>
        <w:tc>
          <w:tcPr>
            <w:tcW w:w="1417" w:type="dxa"/>
            <w:tcMar>
              <w:left w:w="28" w:type="dxa"/>
              <w:right w:w="28" w:type="dxa"/>
            </w:tcMar>
            <w:vAlign w:val="center"/>
          </w:tcPr>
          <w:p w14:paraId="2B947FBC">
            <w:pPr>
              <w:pStyle w:val="23"/>
              <w:spacing w:before="24" w:after="24"/>
              <w:rPr>
                <w:rFonts w:hint="eastAsia"/>
                <w:color w:val="auto"/>
              </w:rPr>
            </w:pPr>
            <w:r>
              <w:rPr>
                <w:rFonts w:hint="eastAsia"/>
                <w:color w:val="auto"/>
              </w:rPr>
              <w:t>污染物名称</w:t>
            </w:r>
          </w:p>
        </w:tc>
        <w:tc>
          <w:tcPr>
            <w:tcW w:w="1701" w:type="dxa"/>
            <w:tcMar>
              <w:left w:w="28" w:type="dxa"/>
              <w:right w:w="28" w:type="dxa"/>
            </w:tcMar>
            <w:vAlign w:val="center"/>
          </w:tcPr>
          <w:p w14:paraId="7AF51367">
            <w:pPr>
              <w:pStyle w:val="23"/>
              <w:spacing w:before="24" w:after="24"/>
              <w:rPr>
                <w:rFonts w:hint="eastAsia"/>
                <w:color w:val="auto"/>
              </w:rPr>
            </w:pPr>
            <w:r>
              <w:rPr>
                <w:color w:val="auto"/>
              </w:rPr>
              <w:t>现有工程</w:t>
            </w:r>
          </w:p>
          <w:p w14:paraId="26F65AE5">
            <w:pPr>
              <w:pStyle w:val="23"/>
              <w:spacing w:before="24" w:after="24"/>
              <w:rPr>
                <w:rFonts w:hint="eastAsia"/>
                <w:color w:val="auto"/>
              </w:rPr>
            </w:pPr>
            <w:r>
              <w:rPr>
                <w:color w:val="auto"/>
              </w:rPr>
              <w:t>排放量（固</w:t>
            </w:r>
            <w:r>
              <w:rPr>
                <w:rFonts w:hint="eastAsia"/>
                <w:color w:val="auto"/>
              </w:rPr>
              <w:t>体</w:t>
            </w:r>
            <w:r>
              <w:rPr>
                <w:color w:val="auto"/>
              </w:rPr>
              <w:t>废</w:t>
            </w:r>
            <w:r>
              <w:rPr>
                <w:rFonts w:hint="eastAsia"/>
                <w:color w:val="auto"/>
              </w:rPr>
              <w:t>物</w:t>
            </w:r>
            <w:r>
              <w:rPr>
                <w:color w:val="auto"/>
              </w:rPr>
              <w:t>产生量）</w:t>
            </w:r>
            <w:r>
              <w:rPr>
                <w:color w:val="auto"/>
              </w:rPr>
              <w:fldChar w:fldCharType="begin"/>
            </w:r>
            <w:r>
              <w:rPr>
                <w:color w:val="auto"/>
              </w:rPr>
              <w:instrText xml:space="preserve"> = 1 \* GB3 \* MERGEFORMAT </w:instrText>
            </w:r>
            <w:r>
              <w:rPr>
                <w:color w:val="auto"/>
              </w:rPr>
              <w:fldChar w:fldCharType="separate"/>
            </w:r>
            <w:r>
              <w:rPr>
                <w:rFonts w:hint="eastAsia"/>
                <w:color w:val="auto"/>
              </w:rPr>
              <w:t>①</w:t>
            </w:r>
            <w:r>
              <w:rPr>
                <w:color w:val="auto"/>
              </w:rPr>
              <w:fldChar w:fldCharType="end"/>
            </w:r>
          </w:p>
        </w:tc>
        <w:tc>
          <w:tcPr>
            <w:tcW w:w="1065" w:type="dxa"/>
            <w:tcMar>
              <w:left w:w="28" w:type="dxa"/>
              <w:right w:w="28" w:type="dxa"/>
            </w:tcMar>
            <w:vAlign w:val="center"/>
          </w:tcPr>
          <w:p w14:paraId="5409BC10">
            <w:pPr>
              <w:pStyle w:val="23"/>
              <w:spacing w:before="24" w:after="24"/>
              <w:rPr>
                <w:rFonts w:hint="eastAsia"/>
                <w:color w:val="auto"/>
              </w:rPr>
            </w:pPr>
            <w:r>
              <w:rPr>
                <w:color w:val="auto"/>
              </w:rPr>
              <w:t>现有工程</w:t>
            </w:r>
          </w:p>
          <w:p w14:paraId="1480867C">
            <w:pPr>
              <w:pStyle w:val="23"/>
              <w:spacing w:before="24" w:after="24"/>
              <w:rPr>
                <w:rFonts w:hint="eastAsia"/>
                <w:color w:val="auto"/>
              </w:rPr>
            </w:pPr>
            <w:r>
              <w:rPr>
                <w:color w:val="auto"/>
              </w:rPr>
              <w:t>许可排放量</w:t>
            </w:r>
          </w:p>
          <w:p w14:paraId="21B40044">
            <w:pPr>
              <w:pStyle w:val="23"/>
              <w:spacing w:before="24" w:after="24"/>
              <w:rPr>
                <w:rFonts w:hint="eastAsia"/>
                <w:color w:val="auto"/>
              </w:rPr>
            </w:pPr>
            <w:r>
              <w:rPr>
                <w:color w:val="auto"/>
              </w:rPr>
              <w:fldChar w:fldCharType="begin"/>
            </w:r>
            <w:r>
              <w:rPr>
                <w:color w:val="auto"/>
              </w:rPr>
              <w:instrText xml:space="preserve"> = 2 \* GB3 \* MERGEFORMAT </w:instrText>
            </w:r>
            <w:r>
              <w:rPr>
                <w:color w:val="auto"/>
              </w:rPr>
              <w:fldChar w:fldCharType="separate"/>
            </w:r>
            <w:r>
              <w:rPr>
                <w:rFonts w:hint="eastAsia"/>
                <w:color w:val="auto"/>
              </w:rPr>
              <w:t>②</w:t>
            </w:r>
            <w:r>
              <w:rPr>
                <w:color w:val="auto"/>
              </w:rPr>
              <w:fldChar w:fldCharType="end"/>
            </w:r>
          </w:p>
        </w:tc>
        <w:tc>
          <w:tcPr>
            <w:tcW w:w="954" w:type="dxa"/>
            <w:tcMar>
              <w:left w:w="28" w:type="dxa"/>
              <w:right w:w="28" w:type="dxa"/>
            </w:tcMar>
            <w:vAlign w:val="center"/>
          </w:tcPr>
          <w:p w14:paraId="117AF38B">
            <w:pPr>
              <w:pStyle w:val="23"/>
              <w:spacing w:before="24" w:after="24"/>
              <w:rPr>
                <w:rFonts w:hint="eastAsia"/>
                <w:color w:val="auto"/>
              </w:rPr>
            </w:pPr>
            <w:r>
              <w:rPr>
                <w:color w:val="auto"/>
              </w:rPr>
              <w:t>在建工程</w:t>
            </w:r>
          </w:p>
          <w:p w14:paraId="34DDCFDF">
            <w:pPr>
              <w:pStyle w:val="23"/>
              <w:spacing w:before="24" w:after="24"/>
              <w:rPr>
                <w:rFonts w:hint="eastAsia"/>
                <w:color w:val="auto"/>
              </w:rPr>
            </w:pPr>
            <w:r>
              <w:rPr>
                <w:color w:val="auto"/>
              </w:rPr>
              <w:t>排放量（固</w:t>
            </w:r>
            <w:r>
              <w:rPr>
                <w:rFonts w:hint="eastAsia"/>
                <w:color w:val="auto"/>
              </w:rPr>
              <w:t>体</w:t>
            </w:r>
            <w:r>
              <w:rPr>
                <w:color w:val="auto"/>
              </w:rPr>
              <w:t>废</w:t>
            </w:r>
            <w:r>
              <w:rPr>
                <w:rFonts w:hint="eastAsia"/>
                <w:color w:val="auto"/>
              </w:rPr>
              <w:t>物</w:t>
            </w:r>
            <w:r>
              <w:rPr>
                <w:color w:val="auto"/>
              </w:rPr>
              <w:t>产生量）</w:t>
            </w:r>
            <w:r>
              <w:rPr>
                <w:color w:val="auto"/>
              </w:rPr>
              <w:fldChar w:fldCharType="begin"/>
            </w:r>
            <w:r>
              <w:rPr>
                <w:color w:val="auto"/>
              </w:rPr>
              <w:instrText xml:space="preserve"> = 3 \* GB3 \* MERGEFORMAT </w:instrText>
            </w:r>
            <w:r>
              <w:rPr>
                <w:color w:val="auto"/>
              </w:rPr>
              <w:fldChar w:fldCharType="separate"/>
            </w:r>
            <w:r>
              <w:rPr>
                <w:rFonts w:hint="eastAsia"/>
                <w:color w:val="auto"/>
              </w:rPr>
              <w:t>③</w:t>
            </w:r>
            <w:r>
              <w:rPr>
                <w:color w:val="auto"/>
              </w:rPr>
              <w:fldChar w:fldCharType="end"/>
            </w:r>
          </w:p>
        </w:tc>
        <w:tc>
          <w:tcPr>
            <w:tcW w:w="1646" w:type="dxa"/>
            <w:tcMar>
              <w:left w:w="28" w:type="dxa"/>
              <w:right w:w="28" w:type="dxa"/>
            </w:tcMar>
            <w:vAlign w:val="center"/>
          </w:tcPr>
          <w:p w14:paraId="3C7C7694">
            <w:pPr>
              <w:pStyle w:val="23"/>
              <w:spacing w:before="24" w:after="24"/>
              <w:rPr>
                <w:rFonts w:hint="eastAsia"/>
                <w:color w:val="auto"/>
              </w:rPr>
            </w:pPr>
            <w:r>
              <w:rPr>
                <w:color w:val="auto"/>
              </w:rPr>
              <w:t>本项目</w:t>
            </w:r>
          </w:p>
          <w:p w14:paraId="0DDDDA12">
            <w:pPr>
              <w:pStyle w:val="23"/>
              <w:spacing w:before="24" w:after="24"/>
              <w:rPr>
                <w:rFonts w:hint="eastAsia"/>
                <w:color w:val="auto"/>
              </w:rPr>
            </w:pPr>
            <w:r>
              <w:rPr>
                <w:color w:val="auto"/>
              </w:rPr>
              <w:t>排放量（固</w:t>
            </w:r>
            <w:r>
              <w:rPr>
                <w:rFonts w:hint="eastAsia"/>
                <w:color w:val="auto"/>
              </w:rPr>
              <w:t>体</w:t>
            </w:r>
            <w:r>
              <w:rPr>
                <w:color w:val="auto"/>
              </w:rPr>
              <w:t>废</w:t>
            </w:r>
            <w:r>
              <w:rPr>
                <w:rFonts w:hint="eastAsia"/>
                <w:color w:val="auto"/>
              </w:rPr>
              <w:t>物</w:t>
            </w:r>
            <w:r>
              <w:rPr>
                <w:color w:val="auto"/>
              </w:rPr>
              <w:t>产生量）</w:t>
            </w:r>
            <w:r>
              <w:rPr>
                <w:color w:val="auto"/>
              </w:rPr>
              <w:fldChar w:fldCharType="begin"/>
            </w:r>
            <w:r>
              <w:rPr>
                <w:color w:val="auto"/>
              </w:rPr>
              <w:instrText xml:space="preserve"> = 4 \* GB3 \* MERGEFORMAT </w:instrText>
            </w:r>
            <w:r>
              <w:rPr>
                <w:color w:val="auto"/>
              </w:rPr>
              <w:fldChar w:fldCharType="separate"/>
            </w:r>
            <w:r>
              <w:rPr>
                <w:rFonts w:hint="eastAsia"/>
                <w:color w:val="auto"/>
              </w:rPr>
              <w:t>④</w:t>
            </w:r>
            <w:r>
              <w:rPr>
                <w:color w:val="auto"/>
              </w:rPr>
              <w:fldChar w:fldCharType="end"/>
            </w:r>
          </w:p>
        </w:tc>
        <w:tc>
          <w:tcPr>
            <w:tcW w:w="1463" w:type="dxa"/>
            <w:tcMar>
              <w:left w:w="28" w:type="dxa"/>
              <w:right w:w="28" w:type="dxa"/>
            </w:tcMar>
            <w:vAlign w:val="center"/>
          </w:tcPr>
          <w:p w14:paraId="130390E6">
            <w:pPr>
              <w:pStyle w:val="23"/>
              <w:spacing w:before="24" w:after="24"/>
              <w:rPr>
                <w:rFonts w:hint="eastAsia"/>
                <w:color w:val="auto"/>
              </w:rPr>
            </w:pPr>
            <w:r>
              <w:rPr>
                <w:color w:val="auto"/>
              </w:rPr>
              <w:t>以新带老削减量</w:t>
            </w:r>
          </w:p>
          <w:p w14:paraId="0ADA8F6A">
            <w:pPr>
              <w:pStyle w:val="23"/>
              <w:spacing w:before="24" w:after="24"/>
              <w:rPr>
                <w:rFonts w:hint="eastAsia"/>
                <w:color w:val="auto"/>
              </w:rPr>
            </w:pPr>
            <w:r>
              <w:rPr>
                <w:color w:val="auto"/>
              </w:rPr>
              <w:t>（新建项目不填）</w:t>
            </w:r>
            <w:r>
              <w:rPr>
                <w:color w:val="auto"/>
              </w:rPr>
              <w:fldChar w:fldCharType="begin"/>
            </w:r>
            <w:r>
              <w:rPr>
                <w:color w:val="auto"/>
              </w:rPr>
              <w:instrText xml:space="preserve"> = 5 \* GB3 \* MERGEFORMAT </w:instrText>
            </w:r>
            <w:r>
              <w:rPr>
                <w:color w:val="auto"/>
              </w:rPr>
              <w:fldChar w:fldCharType="separate"/>
            </w:r>
            <w:r>
              <w:rPr>
                <w:rFonts w:hint="eastAsia"/>
                <w:color w:val="auto"/>
              </w:rPr>
              <w:t>⑤</w:t>
            </w:r>
            <w:r>
              <w:rPr>
                <w:color w:val="auto"/>
              </w:rPr>
              <w:fldChar w:fldCharType="end"/>
            </w:r>
          </w:p>
        </w:tc>
        <w:tc>
          <w:tcPr>
            <w:tcW w:w="1950" w:type="dxa"/>
            <w:tcMar>
              <w:left w:w="28" w:type="dxa"/>
              <w:right w:w="28" w:type="dxa"/>
            </w:tcMar>
            <w:vAlign w:val="center"/>
          </w:tcPr>
          <w:p w14:paraId="7DBC9066">
            <w:pPr>
              <w:pStyle w:val="23"/>
              <w:spacing w:before="24" w:after="24"/>
              <w:rPr>
                <w:rFonts w:hint="eastAsia"/>
                <w:color w:val="auto"/>
              </w:rPr>
            </w:pPr>
            <w:r>
              <w:rPr>
                <w:color w:val="auto"/>
              </w:rPr>
              <w:t>本项目建成后</w:t>
            </w:r>
          </w:p>
          <w:p w14:paraId="45FC906A">
            <w:pPr>
              <w:pStyle w:val="23"/>
              <w:spacing w:before="24" w:after="24"/>
              <w:rPr>
                <w:rFonts w:hint="eastAsia"/>
                <w:color w:val="auto"/>
              </w:rPr>
            </w:pPr>
            <w:r>
              <w:rPr>
                <w:rFonts w:hint="eastAsia"/>
                <w:color w:val="auto"/>
              </w:rPr>
              <w:t>全厂</w:t>
            </w:r>
            <w:r>
              <w:rPr>
                <w:color w:val="auto"/>
              </w:rPr>
              <w:t>排放量（固</w:t>
            </w:r>
            <w:r>
              <w:rPr>
                <w:rFonts w:hint="eastAsia"/>
                <w:color w:val="auto"/>
              </w:rPr>
              <w:t>体</w:t>
            </w:r>
            <w:r>
              <w:rPr>
                <w:color w:val="auto"/>
              </w:rPr>
              <w:t>废</w:t>
            </w:r>
            <w:r>
              <w:rPr>
                <w:rFonts w:hint="eastAsia"/>
                <w:color w:val="auto"/>
              </w:rPr>
              <w:t>物</w:t>
            </w:r>
            <w:r>
              <w:rPr>
                <w:color w:val="auto"/>
              </w:rPr>
              <w:t>产生量）</w:t>
            </w:r>
            <w:r>
              <w:rPr>
                <w:color w:val="auto"/>
              </w:rPr>
              <w:fldChar w:fldCharType="begin"/>
            </w:r>
            <w:r>
              <w:rPr>
                <w:color w:val="auto"/>
              </w:rPr>
              <w:instrText xml:space="preserve"> = 6 \* GB3 \* MERGEFORMAT </w:instrText>
            </w:r>
            <w:r>
              <w:rPr>
                <w:color w:val="auto"/>
              </w:rPr>
              <w:fldChar w:fldCharType="separate"/>
            </w:r>
            <w:r>
              <w:rPr>
                <w:rFonts w:hint="eastAsia"/>
                <w:color w:val="auto"/>
              </w:rPr>
              <w:t>⑥</w:t>
            </w:r>
            <w:r>
              <w:rPr>
                <w:color w:val="auto"/>
              </w:rPr>
              <w:fldChar w:fldCharType="end"/>
            </w:r>
          </w:p>
        </w:tc>
        <w:tc>
          <w:tcPr>
            <w:tcW w:w="2004" w:type="dxa"/>
            <w:tcMar>
              <w:left w:w="28" w:type="dxa"/>
              <w:right w:w="28" w:type="dxa"/>
            </w:tcMar>
            <w:vAlign w:val="center"/>
          </w:tcPr>
          <w:p w14:paraId="053D19FD">
            <w:pPr>
              <w:pStyle w:val="23"/>
              <w:spacing w:before="24" w:after="24"/>
              <w:rPr>
                <w:rFonts w:hint="eastAsia"/>
                <w:color w:val="auto"/>
              </w:rPr>
            </w:pPr>
            <w:r>
              <w:rPr>
                <w:color w:val="auto"/>
              </w:rPr>
              <w:t>变化量</w:t>
            </w:r>
          </w:p>
          <w:p w14:paraId="141AAC78">
            <w:pPr>
              <w:pStyle w:val="23"/>
              <w:spacing w:before="24" w:after="24"/>
              <w:rPr>
                <w:rFonts w:hint="eastAsia"/>
                <w:color w:val="auto"/>
              </w:rPr>
            </w:pPr>
            <w:r>
              <w:rPr>
                <w:color w:val="auto"/>
              </w:rPr>
              <w:fldChar w:fldCharType="begin"/>
            </w:r>
            <w:r>
              <w:rPr>
                <w:color w:val="auto"/>
              </w:rPr>
              <w:instrText xml:space="preserve"> = 7 \* GB3 \* MERGEFORMAT </w:instrText>
            </w:r>
            <w:r>
              <w:rPr>
                <w:color w:val="auto"/>
              </w:rPr>
              <w:fldChar w:fldCharType="separate"/>
            </w:r>
            <w:r>
              <w:rPr>
                <w:rFonts w:hint="eastAsia"/>
                <w:color w:val="auto"/>
              </w:rPr>
              <w:t>⑦</w:t>
            </w:r>
            <w:r>
              <w:rPr>
                <w:color w:val="auto"/>
              </w:rPr>
              <w:fldChar w:fldCharType="end"/>
            </w:r>
          </w:p>
        </w:tc>
      </w:tr>
      <w:tr w14:paraId="7CC63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Merge w:val="restart"/>
            <w:vAlign w:val="center"/>
          </w:tcPr>
          <w:p w14:paraId="53A0063E">
            <w:pPr>
              <w:pStyle w:val="23"/>
              <w:spacing w:before="24" w:after="24"/>
              <w:rPr>
                <w:rFonts w:hint="eastAsia"/>
                <w:color w:val="auto"/>
              </w:rPr>
            </w:pPr>
            <w:r>
              <w:rPr>
                <w:rFonts w:hint="eastAsia"/>
                <w:color w:val="auto"/>
              </w:rPr>
              <w:t>废气</w:t>
            </w:r>
          </w:p>
        </w:tc>
        <w:tc>
          <w:tcPr>
            <w:tcW w:w="1417" w:type="dxa"/>
            <w:vAlign w:val="center"/>
          </w:tcPr>
          <w:p w14:paraId="3D1C4F84">
            <w:pPr>
              <w:pStyle w:val="23"/>
              <w:spacing w:before="24" w:after="24"/>
              <w:rPr>
                <w:rFonts w:hint="default" w:eastAsia="宋体"/>
                <w:color w:val="auto"/>
                <w:lang w:val="en-US" w:eastAsia="zh-CN"/>
              </w:rPr>
            </w:pPr>
            <w:r>
              <w:rPr>
                <w:rFonts w:hint="eastAsia"/>
                <w:color w:val="auto"/>
                <w:lang w:val="en-US" w:eastAsia="zh-CN"/>
              </w:rPr>
              <w:t>颗粒物</w:t>
            </w:r>
          </w:p>
        </w:tc>
        <w:tc>
          <w:tcPr>
            <w:tcW w:w="1701" w:type="dxa"/>
            <w:vAlign w:val="center"/>
          </w:tcPr>
          <w:p w14:paraId="02235060">
            <w:pPr>
              <w:pStyle w:val="23"/>
              <w:spacing w:before="24" w:after="24"/>
              <w:rPr>
                <w:rFonts w:hint="eastAsia"/>
                <w:color w:val="auto"/>
              </w:rPr>
            </w:pPr>
            <w:r>
              <w:rPr>
                <w:rFonts w:hint="eastAsia"/>
                <w:color w:val="auto"/>
              </w:rPr>
              <w:t>0</w:t>
            </w:r>
          </w:p>
        </w:tc>
        <w:tc>
          <w:tcPr>
            <w:tcW w:w="1065" w:type="dxa"/>
            <w:vAlign w:val="center"/>
          </w:tcPr>
          <w:p w14:paraId="1FCF290D">
            <w:pPr>
              <w:pStyle w:val="23"/>
              <w:spacing w:before="24" w:after="24"/>
              <w:rPr>
                <w:rFonts w:hint="eastAsia"/>
                <w:color w:val="auto"/>
              </w:rPr>
            </w:pPr>
            <w:r>
              <w:rPr>
                <w:rFonts w:hint="eastAsia"/>
                <w:color w:val="auto"/>
              </w:rPr>
              <w:t>/</w:t>
            </w:r>
          </w:p>
        </w:tc>
        <w:tc>
          <w:tcPr>
            <w:tcW w:w="954" w:type="dxa"/>
            <w:vAlign w:val="center"/>
          </w:tcPr>
          <w:p w14:paraId="696697B6">
            <w:pPr>
              <w:pStyle w:val="23"/>
              <w:spacing w:before="24" w:after="24"/>
              <w:rPr>
                <w:rFonts w:hint="eastAsia"/>
                <w:color w:val="auto"/>
              </w:rPr>
            </w:pPr>
            <w:r>
              <w:rPr>
                <w:rFonts w:hint="eastAsia"/>
                <w:color w:val="auto"/>
              </w:rPr>
              <w:t>/</w:t>
            </w:r>
          </w:p>
        </w:tc>
        <w:tc>
          <w:tcPr>
            <w:tcW w:w="1646" w:type="dxa"/>
            <w:vAlign w:val="center"/>
          </w:tcPr>
          <w:p w14:paraId="1FD7169B">
            <w:pPr>
              <w:pStyle w:val="23"/>
              <w:spacing w:before="24" w:after="24"/>
              <w:rPr>
                <w:rFonts w:hint="default" w:eastAsia="宋体"/>
                <w:color w:val="auto"/>
                <w:lang w:val="en-US" w:eastAsia="zh-CN"/>
              </w:rPr>
            </w:pPr>
            <w:r>
              <w:rPr>
                <w:rFonts w:hint="eastAsia"/>
                <w:color w:val="auto"/>
                <w:lang w:val="en-US" w:eastAsia="zh-CN"/>
              </w:rPr>
              <w:t>0.474t/a</w:t>
            </w:r>
          </w:p>
        </w:tc>
        <w:tc>
          <w:tcPr>
            <w:tcW w:w="1463" w:type="dxa"/>
            <w:vAlign w:val="center"/>
          </w:tcPr>
          <w:p w14:paraId="198B0AF5">
            <w:pPr>
              <w:pStyle w:val="23"/>
              <w:spacing w:before="24" w:after="24"/>
              <w:rPr>
                <w:rFonts w:hint="eastAsia"/>
                <w:color w:val="auto"/>
              </w:rPr>
            </w:pPr>
            <w:r>
              <w:rPr>
                <w:rFonts w:hint="eastAsia"/>
                <w:color w:val="auto"/>
              </w:rPr>
              <w:t>/</w:t>
            </w:r>
          </w:p>
        </w:tc>
        <w:tc>
          <w:tcPr>
            <w:tcW w:w="1950" w:type="dxa"/>
            <w:vAlign w:val="center"/>
          </w:tcPr>
          <w:p w14:paraId="063019E5">
            <w:pPr>
              <w:pStyle w:val="23"/>
              <w:spacing w:before="24" w:after="24"/>
              <w:rPr>
                <w:rFonts w:hint="eastAsia"/>
                <w:color w:val="auto"/>
              </w:rPr>
            </w:pPr>
          </w:p>
        </w:tc>
        <w:tc>
          <w:tcPr>
            <w:tcW w:w="2004" w:type="dxa"/>
            <w:vAlign w:val="center"/>
          </w:tcPr>
          <w:p w14:paraId="7E5E2534">
            <w:pPr>
              <w:pStyle w:val="23"/>
              <w:spacing w:before="24" w:after="24"/>
              <w:rPr>
                <w:rFonts w:hint="eastAsia"/>
                <w:color w:val="auto"/>
              </w:rPr>
            </w:pPr>
          </w:p>
        </w:tc>
      </w:tr>
      <w:tr w14:paraId="44175B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Merge w:val="continue"/>
            <w:vAlign w:val="center"/>
          </w:tcPr>
          <w:p w14:paraId="5A9AA64C">
            <w:pPr>
              <w:pStyle w:val="23"/>
              <w:spacing w:before="24" w:after="24"/>
              <w:rPr>
                <w:rFonts w:hint="eastAsia"/>
                <w:color w:val="auto"/>
              </w:rPr>
            </w:pPr>
          </w:p>
        </w:tc>
        <w:tc>
          <w:tcPr>
            <w:tcW w:w="1417" w:type="dxa"/>
            <w:vAlign w:val="center"/>
          </w:tcPr>
          <w:p w14:paraId="79EA933D">
            <w:pPr>
              <w:pStyle w:val="23"/>
              <w:spacing w:before="24" w:after="24"/>
              <w:rPr>
                <w:rFonts w:hint="default" w:eastAsia="宋体"/>
                <w:color w:val="auto"/>
                <w:lang w:val="en-US" w:eastAsia="zh-CN"/>
              </w:rPr>
            </w:pPr>
            <w:r>
              <w:rPr>
                <w:rFonts w:hint="eastAsia"/>
                <w:color w:val="auto"/>
                <w:lang w:val="en-US" w:eastAsia="zh-CN"/>
              </w:rPr>
              <w:t>NMHC</w:t>
            </w:r>
          </w:p>
        </w:tc>
        <w:tc>
          <w:tcPr>
            <w:tcW w:w="1701" w:type="dxa"/>
            <w:vAlign w:val="center"/>
          </w:tcPr>
          <w:p w14:paraId="371F7F00">
            <w:pPr>
              <w:pStyle w:val="23"/>
              <w:spacing w:before="24" w:after="24"/>
              <w:rPr>
                <w:rFonts w:hint="eastAsia"/>
                <w:color w:val="auto"/>
              </w:rPr>
            </w:pPr>
            <w:r>
              <w:rPr>
                <w:rFonts w:hint="eastAsia"/>
                <w:color w:val="auto"/>
              </w:rPr>
              <w:t>0</w:t>
            </w:r>
          </w:p>
        </w:tc>
        <w:tc>
          <w:tcPr>
            <w:tcW w:w="1065" w:type="dxa"/>
            <w:vAlign w:val="center"/>
          </w:tcPr>
          <w:p w14:paraId="4E57F5F2">
            <w:pPr>
              <w:pStyle w:val="23"/>
              <w:spacing w:before="24" w:after="24"/>
              <w:rPr>
                <w:rFonts w:hint="eastAsia"/>
                <w:color w:val="auto"/>
              </w:rPr>
            </w:pPr>
            <w:r>
              <w:rPr>
                <w:rFonts w:hint="eastAsia"/>
                <w:color w:val="auto"/>
              </w:rPr>
              <w:t>/</w:t>
            </w:r>
          </w:p>
        </w:tc>
        <w:tc>
          <w:tcPr>
            <w:tcW w:w="954" w:type="dxa"/>
            <w:vAlign w:val="center"/>
          </w:tcPr>
          <w:p w14:paraId="1F8321AD">
            <w:pPr>
              <w:pStyle w:val="23"/>
              <w:spacing w:before="24" w:after="24"/>
              <w:rPr>
                <w:rFonts w:hint="eastAsia"/>
                <w:color w:val="auto"/>
              </w:rPr>
            </w:pPr>
            <w:r>
              <w:rPr>
                <w:rFonts w:hint="eastAsia"/>
                <w:color w:val="auto"/>
              </w:rPr>
              <w:t>/</w:t>
            </w:r>
          </w:p>
        </w:tc>
        <w:tc>
          <w:tcPr>
            <w:tcW w:w="1646" w:type="dxa"/>
            <w:vAlign w:val="center"/>
          </w:tcPr>
          <w:p w14:paraId="04AFBEBF">
            <w:pPr>
              <w:pStyle w:val="23"/>
              <w:spacing w:before="24" w:after="24"/>
              <w:rPr>
                <w:rFonts w:hint="default" w:eastAsia="宋体"/>
                <w:color w:val="auto"/>
                <w:lang w:val="en-US" w:eastAsia="zh-CN"/>
              </w:rPr>
            </w:pPr>
            <w:r>
              <w:rPr>
                <w:rFonts w:hint="eastAsia"/>
                <w:color w:val="auto"/>
                <w:lang w:val="en-US" w:eastAsia="zh-CN"/>
              </w:rPr>
              <w:t>0.145t/a</w:t>
            </w:r>
          </w:p>
        </w:tc>
        <w:tc>
          <w:tcPr>
            <w:tcW w:w="1463" w:type="dxa"/>
            <w:vAlign w:val="center"/>
          </w:tcPr>
          <w:p w14:paraId="65355125">
            <w:pPr>
              <w:pStyle w:val="23"/>
              <w:spacing w:before="24" w:after="24"/>
              <w:rPr>
                <w:rFonts w:hint="eastAsia"/>
                <w:color w:val="auto"/>
              </w:rPr>
            </w:pPr>
            <w:r>
              <w:rPr>
                <w:rFonts w:hint="eastAsia"/>
                <w:color w:val="auto"/>
              </w:rPr>
              <w:t>/</w:t>
            </w:r>
          </w:p>
        </w:tc>
        <w:tc>
          <w:tcPr>
            <w:tcW w:w="1950" w:type="dxa"/>
            <w:vAlign w:val="center"/>
          </w:tcPr>
          <w:p w14:paraId="4976D547">
            <w:pPr>
              <w:pStyle w:val="23"/>
              <w:spacing w:before="24" w:after="24"/>
              <w:rPr>
                <w:rFonts w:hint="eastAsia"/>
                <w:color w:val="auto"/>
              </w:rPr>
            </w:pPr>
          </w:p>
        </w:tc>
        <w:tc>
          <w:tcPr>
            <w:tcW w:w="2004" w:type="dxa"/>
            <w:vAlign w:val="center"/>
          </w:tcPr>
          <w:p w14:paraId="6EE0E0A7">
            <w:pPr>
              <w:pStyle w:val="23"/>
              <w:spacing w:before="24" w:after="24"/>
              <w:rPr>
                <w:rFonts w:hint="eastAsia"/>
                <w:color w:val="auto"/>
              </w:rPr>
            </w:pPr>
          </w:p>
        </w:tc>
      </w:tr>
      <w:tr w14:paraId="18ACC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Align w:val="center"/>
          </w:tcPr>
          <w:p w14:paraId="5B4E009F">
            <w:pPr>
              <w:pStyle w:val="23"/>
              <w:spacing w:before="24" w:after="24"/>
              <w:rPr>
                <w:rFonts w:hint="eastAsia" w:eastAsia="宋体"/>
                <w:color w:val="auto"/>
                <w:lang w:val="en-US" w:eastAsia="zh-CN"/>
              </w:rPr>
            </w:pPr>
            <w:r>
              <w:rPr>
                <w:rFonts w:hint="eastAsia"/>
                <w:color w:val="auto"/>
                <w:lang w:val="en-US" w:eastAsia="zh-CN"/>
              </w:rPr>
              <w:t>废水</w:t>
            </w:r>
          </w:p>
        </w:tc>
        <w:tc>
          <w:tcPr>
            <w:tcW w:w="1417" w:type="dxa"/>
            <w:vAlign w:val="center"/>
          </w:tcPr>
          <w:p w14:paraId="0B60A896">
            <w:pPr>
              <w:pStyle w:val="23"/>
              <w:spacing w:before="24" w:after="24"/>
              <w:rPr>
                <w:rFonts w:hint="default"/>
                <w:color w:val="auto"/>
                <w:lang w:val="en-US" w:eastAsia="zh-CN"/>
              </w:rPr>
            </w:pPr>
            <w:r>
              <w:rPr>
                <w:rFonts w:hint="eastAsia"/>
                <w:color w:val="auto"/>
                <w:lang w:val="en-US" w:eastAsia="zh-CN"/>
              </w:rPr>
              <w:t>生活污水</w:t>
            </w:r>
          </w:p>
        </w:tc>
        <w:tc>
          <w:tcPr>
            <w:tcW w:w="1701" w:type="dxa"/>
            <w:vAlign w:val="center"/>
          </w:tcPr>
          <w:p w14:paraId="0C9CACA7">
            <w:pPr>
              <w:pStyle w:val="23"/>
              <w:spacing w:before="24" w:after="24"/>
              <w:rPr>
                <w:rFonts w:hint="eastAsia" w:eastAsia="宋体"/>
                <w:color w:val="auto"/>
                <w:lang w:val="en-US" w:eastAsia="zh-CN"/>
              </w:rPr>
            </w:pPr>
            <w:r>
              <w:rPr>
                <w:rFonts w:hint="eastAsia"/>
                <w:color w:val="auto"/>
                <w:lang w:val="en-US" w:eastAsia="zh-CN"/>
              </w:rPr>
              <w:t>0</w:t>
            </w:r>
          </w:p>
        </w:tc>
        <w:tc>
          <w:tcPr>
            <w:tcW w:w="1065" w:type="dxa"/>
            <w:vAlign w:val="center"/>
          </w:tcPr>
          <w:p w14:paraId="68CAE1C3">
            <w:pPr>
              <w:pStyle w:val="23"/>
              <w:spacing w:before="24" w:after="24"/>
              <w:rPr>
                <w:rFonts w:hint="eastAsia"/>
                <w:color w:val="auto"/>
              </w:rPr>
            </w:pPr>
          </w:p>
        </w:tc>
        <w:tc>
          <w:tcPr>
            <w:tcW w:w="954" w:type="dxa"/>
            <w:vAlign w:val="center"/>
          </w:tcPr>
          <w:p w14:paraId="50FEA791">
            <w:pPr>
              <w:pStyle w:val="23"/>
              <w:spacing w:before="24" w:after="24"/>
              <w:rPr>
                <w:rFonts w:hint="eastAsia"/>
                <w:color w:val="auto"/>
              </w:rPr>
            </w:pPr>
          </w:p>
        </w:tc>
        <w:tc>
          <w:tcPr>
            <w:tcW w:w="1646" w:type="dxa"/>
            <w:vAlign w:val="center"/>
          </w:tcPr>
          <w:p w14:paraId="65362765">
            <w:pPr>
              <w:pStyle w:val="23"/>
              <w:spacing w:before="24" w:after="24"/>
              <w:rPr>
                <w:rFonts w:hint="default"/>
                <w:color w:val="auto"/>
                <w:lang w:val="en-US" w:eastAsia="zh-CN"/>
              </w:rPr>
            </w:pPr>
            <w:r>
              <w:rPr>
                <w:rFonts w:hint="eastAsia"/>
                <w:color w:val="auto"/>
                <w:lang w:val="en-US" w:eastAsia="zh-CN"/>
              </w:rPr>
              <w:t>624m</w:t>
            </w:r>
            <w:r>
              <w:rPr>
                <w:rFonts w:hint="eastAsia"/>
                <w:color w:val="auto"/>
                <w:vertAlign w:val="superscript"/>
                <w:lang w:val="en-US" w:eastAsia="zh-CN"/>
              </w:rPr>
              <w:t>3</w:t>
            </w:r>
            <w:r>
              <w:rPr>
                <w:rFonts w:hint="eastAsia"/>
                <w:color w:val="auto"/>
                <w:lang w:val="en-US" w:eastAsia="zh-CN"/>
              </w:rPr>
              <w:t>/a</w:t>
            </w:r>
          </w:p>
        </w:tc>
        <w:tc>
          <w:tcPr>
            <w:tcW w:w="1463" w:type="dxa"/>
            <w:vAlign w:val="center"/>
          </w:tcPr>
          <w:p w14:paraId="3DE4CA3E">
            <w:pPr>
              <w:pStyle w:val="23"/>
              <w:spacing w:before="24" w:after="24"/>
              <w:rPr>
                <w:rFonts w:hint="eastAsia"/>
                <w:color w:val="auto"/>
              </w:rPr>
            </w:pPr>
          </w:p>
        </w:tc>
        <w:tc>
          <w:tcPr>
            <w:tcW w:w="1950" w:type="dxa"/>
            <w:vAlign w:val="center"/>
          </w:tcPr>
          <w:p w14:paraId="37A3C300">
            <w:pPr>
              <w:pStyle w:val="23"/>
              <w:spacing w:before="24" w:after="24"/>
              <w:rPr>
                <w:rFonts w:hint="eastAsia"/>
                <w:color w:val="auto"/>
              </w:rPr>
            </w:pPr>
          </w:p>
        </w:tc>
        <w:tc>
          <w:tcPr>
            <w:tcW w:w="2004" w:type="dxa"/>
            <w:vAlign w:val="center"/>
          </w:tcPr>
          <w:p w14:paraId="1B24CB8C">
            <w:pPr>
              <w:pStyle w:val="23"/>
              <w:spacing w:before="24" w:after="24"/>
              <w:rPr>
                <w:rFonts w:hint="eastAsia"/>
                <w:color w:val="auto"/>
              </w:rPr>
            </w:pPr>
          </w:p>
        </w:tc>
      </w:tr>
      <w:tr w14:paraId="6E8DC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Merge w:val="restart"/>
            <w:vAlign w:val="center"/>
          </w:tcPr>
          <w:p w14:paraId="6120B227">
            <w:pPr>
              <w:pStyle w:val="23"/>
              <w:spacing w:before="24" w:after="24"/>
              <w:rPr>
                <w:rFonts w:hint="eastAsia"/>
                <w:color w:val="auto"/>
              </w:rPr>
            </w:pPr>
            <w:r>
              <w:rPr>
                <w:rFonts w:hint="eastAsia"/>
                <w:color w:val="auto"/>
              </w:rPr>
              <w:t>一般工业</w:t>
            </w:r>
          </w:p>
          <w:p w14:paraId="3E5F66DF">
            <w:pPr>
              <w:pStyle w:val="23"/>
              <w:spacing w:before="24" w:after="24"/>
              <w:rPr>
                <w:rFonts w:hint="eastAsia"/>
                <w:color w:val="auto"/>
              </w:rPr>
            </w:pPr>
            <w:r>
              <w:rPr>
                <w:rFonts w:hint="eastAsia"/>
                <w:color w:val="auto"/>
              </w:rPr>
              <w:t>固体废物</w:t>
            </w:r>
          </w:p>
        </w:tc>
        <w:tc>
          <w:tcPr>
            <w:tcW w:w="1417" w:type="dxa"/>
            <w:vAlign w:val="center"/>
          </w:tcPr>
          <w:p w14:paraId="6CFA57A5">
            <w:pPr>
              <w:pStyle w:val="23"/>
              <w:spacing w:before="24" w:after="24"/>
              <w:rPr>
                <w:rFonts w:hint="eastAsia"/>
                <w:color w:val="auto"/>
              </w:rPr>
            </w:pPr>
            <w:r>
              <w:rPr>
                <w:rFonts w:hint="eastAsia" w:ascii="Times New Roman" w:hAnsi="Times New Roman" w:eastAsia="宋体" w:cs="宋体"/>
                <w:color w:val="auto"/>
                <w:lang w:bidi="ar"/>
              </w:rPr>
              <w:t>除尘器收尘</w:t>
            </w:r>
          </w:p>
        </w:tc>
        <w:tc>
          <w:tcPr>
            <w:tcW w:w="1701" w:type="dxa"/>
            <w:vAlign w:val="center"/>
          </w:tcPr>
          <w:p w14:paraId="5B013E97">
            <w:pPr>
              <w:pStyle w:val="23"/>
              <w:spacing w:before="24" w:after="24"/>
              <w:rPr>
                <w:rFonts w:hint="eastAsia"/>
                <w:color w:val="auto"/>
              </w:rPr>
            </w:pPr>
            <w:r>
              <w:rPr>
                <w:rFonts w:hint="eastAsia"/>
                <w:color w:val="auto"/>
              </w:rPr>
              <w:t>0</w:t>
            </w:r>
          </w:p>
        </w:tc>
        <w:tc>
          <w:tcPr>
            <w:tcW w:w="1065" w:type="dxa"/>
            <w:vAlign w:val="center"/>
          </w:tcPr>
          <w:p w14:paraId="59CB0530">
            <w:pPr>
              <w:pStyle w:val="23"/>
              <w:spacing w:before="24" w:after="24"/>
              <w:rPr>
                <w:rFonts w:hint="eastAsia"/>
                <w:color w:val="auto"/>
              </w:rPr>
            </w:pPr>
            <w:r>
              <w:rPr>
                <w:rFonts w:hint="eastAsia"/>
                <w:color w:val="auto"/>
              </w:rPr>
              <w:t>/</w:t>
            </w:r>
          </w:p>
        </w:tc>
        <w:tc>
          <w:tcPr>
            <w:tcW w:w="954" w:type="dxa"/>
            <w:vAlign w:val="center"/>
          </w:tcPr>
          <w:p w14:paraId="5C92F693">
            <w:pPr>
              <w:pStyle w:val="23"/>
              <w:spacing w:before="24" w:after="24"/>
              <w:rPr>
                <w:rFonts w:hint="eastAsia"/>
                <w:color w:val="auto"/>
              </w:rPr>
            </w:pPr>
            <w:r>
              <w:rPr>
                <w:rFonts w:hint="eastAsia"/>
                <w:color w:val="auto"/>
              </w:rPr>
              <w:t>/</w:t>
            </w:r>
          </w:p>
        </w:tc>
        <w:tc>
          <w:tcPr>
            <w:tcW w:w="1646" w:type="dxa"/>
            <w:vAlign w:val="center"/>
          </w:tcPr>
          <w:p w14:paraId="0D0A5413">
            <w:pPr>
              <w:pStyle w:val="23"/>
              <w:spacing w:before="24" w:after="24"/>
              <w:rPr>
                <w:rFonts w:hint="default" w:eastAsia="宋体"/>
                <w:color w:val="auto"/>
                <w:lang w:val="en-US" w:eastAsia="zh-CN"/>
              </w:rPr>
            </w:pPr>
            <w:r>
              <w:rPr>
                <w:rFonts w:hint="eastAsia"/>
                <w:color w:val="auto"/>
                <w:lang w:val="en-US" w:eastAsia="zh-CN"/>
              </w:rPr>
              <w:t>4.654t/a</w:t>
            </w:r>
          </w:p>
        </w:tc>
        <w:tc>
          <w:tcPr>
            <w:tcW w:w="1463" w:type="dxa"/>
            <w:vAlign w:val="center"/>
          </w:tcPr>
          <w:p w14:paraId="60481B3E">
            <w:pPr>
              <w:pStyle w:val="23"/>
              <w:spacing w:before="24" w:after="24"/>
              <w:rPr>
                <w:rFonts w:hint="eastAsia"/>
                <w:color w:val="auto"/>
              </w:rPr>
            </w:pPr>
            <w:r>
              <w:rPr>
                <w:rFonts w:hint="eastAsia"/>
                <w:color w:val="auto"/>
              </w:rPr>
              <w:t>/</w:t>
            </w:r>
          </w:p>
        </w:tc>
        <w:tc>
          <w:tcPr>
            <w:tcW w:w="1950" w:type="dxa"/>
            <w:vAlign w:val="center"/>
          </w:tcPr>
          <w:p w14:paraId="4949F828">
            <w:pPr>
              <w:pStyle w:val="23"/>
              <w:spacing w:before="24" w:after="24"/>
              <w:rPr>
                <w:rFonts w:hint="eastAsia"/>
                <w:color w:val="auto"/>
              </w:rPr>
            </w:pPr>
          </w:p>
        </w:tc>
        <w:tc>
          <w:tcPr>
            <w:tcW w:w="2004" w:type="dxa"/>
            <w:vAlign w:val="center"/>
          </w:tcPr>
          <w:p w14:paraId="35C2002E">
            <w:pPr>
              <w:pStyle w:val="23"/>
              <w:spacing w:before="24" w:after="24"/>
              <w:rPr>
                <w:rFonts w:hint="eastAsia"/>
                <w:color w:val="auto"/>
              </w:rPr>
            </w:pPr>
          </w:p>
        </w:tc>
      </w:tr>
      <w:tr w14:paraId="11007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Merge w:val="continue"/>
            <w:vAlign w:val="center"/>
          </w:tcPr>
          <w:p w14:paraId="4F7AB165">
            <w:pPr>
              <w:pStyle w:val="23"/>
              <w:spacing w:before="24" w:after="24"/>
              <w:rPr>
                <w:rFonts w:hint="eastAsia"/>
                <w:color w:val="auto"/>
              </w:rPr>
            </w:pPr>
          </w:p>
        </w:tc>
        <w:tc>
          <w:tcPr>
            <w:tcW w:w="1417" w:type="dxa"/>
            <w:vAlign w:val="center"/>
          </w:tcPr>
          <w:p w14:paraId="30F4403E">
            <w:pPr>
              <w:pStyle w:val="23"/>
              <w:spacing w:before="24" w:after="24"/>
              <w:rPr>
                <w:rFonts w:hint="eastAsia"/>
                <w:color w:val="auto"/>
              </w:rPr>
            </w:pPr>
            <w:r>
              <w:rPr>
                <w:rFonts w:hint="eastAsia"/>
                <w:color w:val="auto"/>
                <w:lang w:val="en-US" w:eastAsia="zh-CN"/>
              </w:rPr>
              <w:t>废边角料和不合格品</w:t>
            </w:r>
          </w:p>
        </w:tc>
        <w:tc>
          <w:tcPr>
            <w:tcW w:w="1701" w:type="dxa"/>
            <w:vAlign w:val="center"/>
          </w:tcPr>
          <w:p w14:paraId="2551481E">
            <w:pPr>
              <w:pStyle w:val="23"/>
              <w:spacing w:before="24" w:after="24"/>
              <w:rPr>
                <w:rFonts w:hint="eastAsia"/>
                <w:color w:val="auto"/>
              </w:rPr>
            </w:pPr>
            <w:r>
              <w:rPr>
                <w:rFonts w:hint="eastAsia"/>
                <w:color w:val="auto"/>
              </w:rPr>
              <w:t>0</w:t>
            </w:r>
          </w:p>
        </w:tc>
        <w:tc>
          <w:tcPr>
            <w:tcW w:w="1065" w:type="dxa"/>
            <w:vAlign w:val="center"/>
          </w:tcPr>
          <w:p w14:paraId="3A486637">
            <w:pPr>
              <w:pStyle w:val="23"/>
              <w:spacing w:before="24" w:after="24"/>
              <w:rPr>
                <w:rFonts w:hint="eastAsia"/>
                <w:color w:val="auto"/>
              </w:rPr>
            </w:pPr>
            <w:r>
              <w:rPr>
                <w:rFonts w:hint="eastAsia"/>
                <w:color w:val="auto"/>
              </w:rPr>
              <w:t>/</w:t>
            </w:r>
          </w:p>
        </w:tc>
        <w:tc>
          <w:tcPr>
            <w:tcW w:w="954" w:type="dxa"/>
            <w:vAlign w:val="center"/>
          </w:tcPr>
          <w:p w14:paraId="0686121E">
            <w:pPr>
              <w:pStyle w:val="23"/>
              <w:spacing w:before="24" w:after="24"/>
              <w:rPr>
                <w:rFonts w:hint="eastAsia"/>
                <w:color w:val="auto"/>
              </w:rPr>
            </w:pPr>
            <w:r>
              <w:rPr>
                <w:rFonts w:hint="eastAsia"/>
                <w:color w:val="auto"/>
              </w:rPr>
              <w:t>/</w:t>
            </w:r>
          </w:p>
        </w:tc>
        <w:tc>
          <w:tcPr>
            <w:tcW w:w="1646" w:type="dxa"/>
            <w:vAlign w:val="center"/>
          </w:tcPr>
          <w:p w14:paraId="6071BCF9">
            <w:pPr>
              <w:pStyle w:val="23"/>
              <w:spacing w:before="24" w:after="24"/>
              <w:rPr>
                <w:rFonts w:hint="default" w:eastAsia="宋体"/>
                <w:color w:val="auto"/>
                <w:lang w:val="en-US" w:eastAsia="zh-CN"/>
              </w:rPr>
            </w:pPr>
            <w:r>
              <w:rPr>
                <w:rFonts w:hint="eastAsia"/>
                <w:color w:val="auto"/>
                <w:lang w:val="en-US" w:eastAsia="zh-CN"/>
              </w:rPr>
              <w:t>415.792t/a</w:t>
            </w:r>
          </w:p>
        </w:tc>
        <w:tc>
          <w:tcPr>
            <w:tcW w:w="1463" w:type="dxa"/>
            <w:vAlign w:val="center"/>
          </w:tcPr>
          <w:p w14:paraId="066B7F84">
            <w:pPr>
              <w:pStyle w:val="23"/>
              <w:spacing w:before="24" w:after="24"/>
              <w:rPr>
                <w:rFonts w:hint="eastAsia"/>
                <w:color w:val="auto"/>
              </w:rPr>
            </w:pPr>
            <w:r>
              <w:rPr>
                <w:rFonts w:hint="eastAsia"/>
                <w:color w:val="auto"/>
              </w:rPr>
              <w:t>/</w:t>
            </w:r>
          </w:p>
        </w:tc>
        <w:tc>
          <w:tcPr>
            <w:tcW w:w="1950" w:type="dxa"/>
            <w:vAlign w:val="center"/>
          </w:tcPr>
          <w:p w14:paraId="6507A35F">
            <w:pPr>
              <w:pStyle w:val="23"/>
              <w:spacing w:before="24" w:after="24"/>
              <w:rPr>
                <w:rFonts w:hint="eastAsia"/>
                <w:color w:val="auto"/>
              </w:rPr>
            </w:pPr>
          </w:p>
        </w:tc>
        <w:tc>
          <w:tcPr>
            <w:tcW w:w="2004" w:type="dxa"/>
            <w:vAlign w:val="center"/>
          </w:tcPr>
          <w:p w14:paraId="71136B18">
            <w:pPr>
              <w:pStyle w:val="23"/>
              <w:spacing w:before="24" w:after="24"/>
              <w:rPr>
                <w:rFonts w:hint="eastAsia"/>
                <w:color w:val="auto"/>
              </w:rPr>
            </w:pPr>
          </w:p>
        </w:tc>
      </w:tr>
      <w:tr w14:paraId="63D80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Merge w:val="continue"/>
            <w:vAlign w:val="center"/>
          </w:tcPr>
          <w:p w14:paraId="596FF134">
            <w:pPr>
              <w:pStyle w:val="23"/>
              <w:spacing w:before="24" w:after="24"/>
              <w:rPr>
                <w:rFonts w:hint="eastAsia"/>
                <w:color w:val="auto"/>
              </w:rPr>
            </w:pPr>
          </w:p>
        </w:tc>
        <w:tc>
          <w:tcPr>
            <w:tcW w:w="1417" w:type="dxa"/>
            <w:vAlign w:val="center"/>
          </w:tcPr>
          <w:p w14:paraId="36854EBA">
            <w:pPr>
              <w:pStyle w:val="23"/>
              <w:spacing w:before="24" w:after="24"/>
              <w:rPr>
                <w:rFonts w:hint="eastAsia"/>
                <w:color w:val="auto"/>
              </w:rPr>
            </w:pPr>
            <w:r>
              <w:rPr>
                <w:rFonts w:hint="eastAsia"/>
                <w:color w:val="auto"/>
                <w:lang w:val="en-US" w:eastAsia="zh-CN"/>
              </w:rPr>
              <w:t>废包装材料</w:t>
            </w:r>
          </w:p>
        </w:tc>
        <w:tc>
          <w:tcPr>
            <w:tcW w:w="1701" w:type="dxa"/>
            <w:vAlign w:val="center"/>
          </w:tcPr>
          <w:p w14:paraId="332A128F">
            <w:pPr>
              <w:pStyle w:val="23"/>
              <w:spacing w:before="24" w:after="24"/>
              <w:rPr>
                <w:rFonts w:hint="eastAsia"/>
                <w:color w:val="auto"/>
              </w:rPr>
            </w:pPr>
            <w:r>
              <w:rPr>
                <w:rFonts w:hint="eastAsia"/>
                <w:color w:val="auto"/>
              </w:rPr>
              <w:t>0</w:t>
            </w:r>
          </w:p>
        </w:tc>
        <w:tc>
          <w:tcPr>
            <w:tcW w:w="1065" w:type="dxa"/>
            <w:vAlign w:val="center"/>
          </w:tcPr>
          <w:p w14:paraId="7016BB62">
            <w:pPr>
              <w:pStyle w:val="23"/>
              <w:spacing w:before="24" w:after="24"/>
              <w:rPr>
                <w:rFonts w:hint="eastAsia"/>
                <w:color w:val="auto"/>
              </w:rPr>
            </w:pPr>
            <w:r>
              <w:rPr>
                <w:rFonts w:hint="eastAsia"/>
                <w:color w:val="auto"/>
              </w:rPr>
              <w:t>/</w:t>
            </w:r>
          </w:p>
        </w:tc>
        <w:tc>
          <w:tcPr>
            <w:tcW w:w="954" w:type="dxa"/>
            <w:vAlign w:val="center"/>
          </w:tcPr>
          <w:p w14:paraId="331F8AB9">
            <w:pPr>
              <w:pStyle w:val="23"/>
              <w:spacing w:before="24" w:after="24"/>
              <w:rPr>
                <w:rFonts w:hint="eastAsia"/>
                <w:color w:val="auto"/>
              </w:rPr>
            </w:pPr>
            <w:r>
              <w:rPr>
                <w:rFonts w:hint="eastAsia"/>
                <w:color w:val="auto"/>
              </w:rPr>
              <w:t>/</w:t>
            </w:r>
          </w:p>
        </w:tc>
        <w:tc>
          <w:tcPr>
            <w:tcW w:w="1646" w:type="dxa"/>
            <w:vAlign w:val="center"/>
          </w:tcPr>
          <w:p w14:paraId="5C19B93E">
            <w:pPr>
              <w:pStyle w:val="23"/>
              <w:spacing w:before="24" w:after="24"/>
              <w:rPr>
                <w:rFonts w:hint="default" w:eastAsia="宋体"/>
                <w:color w:val="auto"/>
                <w:lang w:val="en-US" w:eastAsia="zh-CN"/>
              </w:rPr>
            </w:pPr>
            <w:r>
              <w:rPr>
                <w:rFonts w:hint="eastAsia"/>
                <w:color w:val="auto"/>
                <w:lang w:val="en-US" w:eastAsia="zh-CN"/>
              </w:rPr>
              <w:t>3.5t/a</w:t>
            </w:r>
          </w:p>
        </w:tc>
        <w:tc>
          <w:tcPr>
            <w:tcW w:w="1463" w:type="dxa"/>
            <w:vAlign w:val="center"/>
          </w:tcPr>
          <w:p w14:paraId="61E457CA">
            <w:pPr>
              <w:pStyle w:val="23"/>
              <w:spacing w:before="24" w:after="24"/>
              <w:rPr>
                <w:rFonts w:hint="eastAsia"/>
                <w:color w:val="auto"/>
              </w:rPr>
            </w:pPr>
            <w:r>
              <w:rPr>
                <w:rFonts w:hint="eastAsia"/>
                <w:color w:val="auto"/>
              </w:rPr>
              <w:t>/</w:t>
            </w:r>
          </w:p>
        </w:tc>
        <w:tc>
          <w:tcPr>
            <w:tcW w:w="1950" w:type="dxa"/>
            <w:vAlign w:val="center"/>
          </w:tcPr>
          <w:p w14:paraId="1008B92D">
            <w:pPr>
              <w:pStyle w:val="23"/>
              <w:spacing w:before="24" w:after="24"/>
              <w:rPr>
                <w:rFonts w:hint="eastAsia"/>
                <w:color w:val="auto"/>
              </w:rPr>
            </w:pPr>
          </w:p>
        </w:tc>
        <w:tc>
          <w:tcPr>
            <w:tcW w:w="2004" w:type="dxa"/>
            <w:vAlign w:val="center"/>
          </w:tcPr>
          <w:p w14:paraId="39B4B031">
            <w:pPr>
              <w:pStyle w:val="23"/>
              <w:spacing w:before="24" w:after="24"/>
              <w:rPr>
                <w:rFonts w:hint="eastAsia"/>
                <w:color w:val="auto"/>
              </w:rPr>
            </w:pPr>
          </w:p>
        </w:tc>
      </w:tr>
      <w:tr w14:paraId="70F73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Align w:val="center"/>
          </w:tcPr>
          <w:p w14:paraId="3F1EB14B">
            <w:pPr>
              <w:pStyle w:val="23"/>
              <w:spacing w:before="24" w:after="24"/>
              <w:rPr>
                <w:rFonts w:hint="eastAsia"/>
                <w:color w:val="auto"/>
              </w:rPr>
            </w:pPr>
            <w:r>
              <w:rPr>
                <w:rFonts w:hint="eastAsia"/>
                <w:color w:val="auto"/>
              </w:rPr>
              <w:t>生活垃圾</w:t>
            </w:r>
          </w:p>
        </w:tc>
        <w:tc>
          <w:tcPr>
            <w:tcW w:w="1417" w:type="dxa"/>
            <w:vAlign w:val="center"/>
          </w:tcPr>
          <w:p w14:paraId="17844F42">
            <w:pPr>
              <w:pStyle w:val="23"/>
              <w:spacing w:before="24" w:after="24"/>
              <w:rPr>
                <w:rFonts w:hint="eastAsia"/>
                <w:color w:val="auto"/>
              </w:rPr>
            </w:pPr>
            <w:r>
              <w:rPr>
                <w:rFonts w:hint="eastAsia"/>
                <w:color w:val="auto"/>
              </w:rPr>
              <w:t>生活垃圾</w:t>
            </w:r>
          </w:p>
        </w:tc>
        <w:tc>
          <w:tcPr>
            <w:tcW w:w="1701" w:type="dxa"/>
            <w:vAlign w:val="center"/>
          </w:tcPr>
          <w:p w14:paraId="49E1559E">
            <w:pPr>
              <w:pStyle w:val="23"/>
              <w:spacing w:before="24" w:after="24"/>
              <w:rPr>
                <w:rFonts w:hint="eastAsia"/>
                <w:color w:val="auto"/>
              </w:rPr>
            </w:pPr>
            <w:r>
              <w:rPr>
                <w:rFonts w:hint="eastAsia"/>
                <w:color w:val="auto"/>
              </w:rPr>
              <w:t>0</w:t>
            </w:r>
          </w:p>
        </w:tc>
        <w:tc>
          <w:tcPr>
            <w:tcW w:w="1065" w:type="dxa"/>
            <w:vAlign w:val="center"/>
          </w:tcPr>
          <w:p w14:paraId="649E628A">
            <w:pPr>
              <w:pStyle w:val="23"/>
              <w:spacing w:before="24" w:after="24"/>
              <w:rPr>
                <w:rFonts w:hint="eastAsia"/>
                <w:color w:val="auto"/>
              </w:rPr>
            </w:pPr>
          </w:p>
        </w:tc>
        <w:tc>
          <w:tcPr>
            <w:tcW w:w="954" w:type="dxa"/>
            <w:vAlign w:val="center"/>
          </w:tcPr>
          <w:p w14:paraId="2B3747AA">
            <w:pPr>
              <w:pStyle w:val="23"/>
              <w:spacing w:before="24" w:after="24"/>
              <w:rPr>
                <w:rFonts w:hint="eastAsia"/>
                <w:color w:val="auto"/>
              </w:rPr>
            </w:pPr>
          </w:p>
        </w:tc>
        <w:tc>
          <w:tcPr>
            <w:tcW w:w="1646" w:type="dxa"/>
            <w:vAlign w:val="center"/>
          </w:tcPr>
          <w:p w14:paraId="02C4FE15">
            <w:pPr>
              <w:pStyle w:val="23"/>
              <w:spacing w:before="24" w:after="24"/>
              <w:rPr>
                <w:rFonts w:hint="default" w:eastAsia="宋体"/>
                <w:color w:val="auto"/>
                <w:lang w:val="en-US" w:eastAsia="zh-CN"/>
              </w:rPr>
            </w:pPr>
            <w:r>
              <w:rPr>
                <w:rFonts w:hint="eastAsia"/>
                <w:color w:val="auto"/>
                <w:lang w:val="en-US" w:eastAsia="zh-CN"/>
              </w:rPr>
              <w:t>9.75</w:t>
            </w:r>
            <w:r>
              <w:rPr>
                <w:rFonts w:hint="eastAsia"/>
                <w:color w:val="auto"/>
              </w:rPr>
              <w:t>t/a</w:t>
            </w:r>
          </w:p>
        </w:tc>
        <w:tc>
          <w:tcPr>
            <w:tcW w:w="1463" w:type="dxa"/>
            <w:vAlign w:val="center"/>
          </w:tcPr>
          <w:p w14:paraId="5A541D61">
            <w:pPr>
              <w:pStyle w:val="23"/>
              <w:spacing w:before="24" w:after="24"/>
              <w:rPr>
                <w:rFonts w:hint="eastAsia"/>
                <w:color w:val="auto"/>
              </w:rPr>
            </w:pPr>
          </w:p>
        </w:tc>
        <w:tc>
          <w:tcPr>
            <w:tcW w:w="1950" w:type="dxa"/>
            <w:vAlign w:val="center"/>
          </w:tcPr>
          <w:p w14:paraId="67F80375">
            <w:pPr>
              <w:pStyle w:val="23"/>
              <w:spacing w:before="24" w:after="24"/>
              <w:rPr>
                <w:rFonts w:hint="eastAsia"/>
                <w:color w:val="auto"/>
              </w:rPr>
            </w:pPr>
          </w:p>
        </w:tc>
        <w:tc>
          <w:tcPr>
            <w:tcW w:w="2004" w:type="dxa"/>
            <w:vAlign w:val="center"/>
          </w:tcPr>
          <w:p w14:paraId="30A97B98">
            <w:pPr>
              <w:pStyle w:val="23"/>
              <w:spacing w:before="24" w:after="24"/>
              <w:rPr>
                <w:rFonts w:hint="eastAsia"/>
                <w:color w:val="auto"/>
              </w:rPr>
            </w:pPr>
          </w:p>
        </w:tc>
      </w:tr>
      <w:tr w14:paraId="6DE969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8" w:type="dxa"/>
            <w:vAlign w:val="center"/>
          </w:tcPr>
          <w:p w14:paraId="566333B0">
            <w:pPr>
              <w:pStyle w:val="23"/>
              <w:spacing w:before="24" w:after="24"/>
              <w:rPr>
                <w:rFonts w:hint="eastAsia"/>
                <w:color w:val="auto"/>
              </w:rPr>
            </w:pPr>
            <w:r>
              <w:rPr>
                <w:rFonts w:hint="eastAsia"/>
                <w:color w:val="auto"/>
              </w:rPr>
              <w:t>危险废物</w:t>
            </w:r>
          </w:p>
        </w:tc>
        <w:tc>
          <w:tcPr>
            <w:tcW w:w="1417" w:type="dxa"/>
            <w:vAlign w:val="center"/>
          </w:tcPr>
          <w:p w14:paraId="36C2C07A">
            <w:pPr>
              <w:pStyle w:val="23"/>
              <w:spacing w:before="24" w:after="24"/>
              <w:rPr>
                <w:rFonts w:hint="default" w:eastAsia="宋体"/>
                <w:color w:val="auto"/>
                <w:lang w:val="en-US" w:eastAsia="zh-CN"/>
              </w:rPr>
            </w:pPr>
            <w:r>
              <w:rPr>
                <w:rFonts w:hint="eastAsia"/>
                <w:color w:val="auto"/>
                <w:lang w:val="en-US" w:eastAsia="zh-CN"/>
              </w:rPr>
              <w:t>废活性炭</w:t>
            </w:r>
          </w:p>
        </w:tc>
        <w:tc>
          <w:tcPr>
            <w:tcW w:w="1701" w:type="dxa"/>
            <w:vAlign w:val="center"/>
          </w:tcPr>
          <w:p w14:paraId="685EE47B">
            <w:pPr>
              <w:pStyle w:val="23"/>
              <w:spacing w:before="24" w:after="24"/>
              <w:rPr>
                <w:rFonts w:hint="eastAsia"/>
                <w:color w:val="auto"/>
              </w:rPr>
            </w:pPr>
            <w:r>
              <w:rPr>
                <w:rFonts w:hint="eastAsia"/>
                <w:color w:val="auto"/>
              </w:rPr>
              <w:t>0</w:t>
            </w:r>
          </w:p>
        </w:tc>
        <w:tc>
          <w:tcPr>
            <w:tcW w:w="1065" w:type="dxa"/>
            <w:vAlign w:val="center"/>
          </w:tcPr>
          <w:p w14:paraId="1B702C8F">
            <w:pPr>
              <w:pStyle w:val="23"/>
              <w:spacing w:before="24" w:after="24"/>
              <w:rPr>
                <w:rFonts w:hint="eastAsia"/>
                <w:color w:val="auto"/>
              </w:rPr>
            </w:pPr>
            <w:r>
              <w:rPr>
                <w:rFonts w:hint="eastAsia"/>
                <w:color w:val="auto"/>
              </w:rPr>
              <w:t>/</w:t>
            </w:r>
          </w:p>
        </w:tc>
        <w:tc>
          <w:tcPr>
            <w:tcW w:w="954" w:type="dxa"/>
            <w:vAlign w:val="center"/>
          </w:tcPr>
          <w:p w14:paraId="396A36AD">
            <w:pPr>
              <w:pStyle w:val="23"/>
              <w:spacing w:before="24" w:after="24"/>
              <w:rPr>
                <w:rFonts w:hint="eastAsia"/>
                <w:color w:val="auto"/>
              </w:rPr>
            </w:pPr>
            <w:r>
              <w:rPr>
                <w:rFonts w:hint="eastAsia"/>
                <w:color w:val="auto"/>
              </w:rPr>
              <w:t>/</w:t>
            </w:r>
          </w:p>
        </w:tc>
        <w:tc>
          <w:tcPr>
            <w:tcW w:w="1646" w:type="dxa"/>
            <w:vAlign w:val="center"/>
          </w:tcPr>
          <w:p w14:paraId="3AC064B0">
            <w:pPr>
              <w:pStyle w:val="23"/>
              <w:spacing w:before="24" w:after="24"/>
              <w:rPr>
                <w:rFonts w:hint="default" w:eastAsia="宋体"/>
                <w:color w:val="auto"/>
                <w:lang w:val="en-US" w:eastAsia="zh-CN"/>
              </w:rPr>
            </w:pPr>
            <w:r>
              <w:rPr>
                <w:rFonts w:hint="default"/>
                <w:color w:val="auto"/>
                <w:lang w:val="en-US" w:eastAsia="zh-CN"/>
              </w:rPr>
              <w:t>12.255</w:t>
            </w:r>
            <w:r>
              <w:rPr>
                <w:rFonts w:hint="eastAsia"/>
                <w:color w:val="auto"/>
              </w:rPr>
              <w:t>t/a</w:t>
            </w:r>
          </w:p>
        </w:tc>
        <w:tc>
          <w:tcPr>
            <w:tcW w:w="1463" w:type="dxa"/>
            <w:vAlign w:val="center"/>
          </w:tcPr>
          <w:p w14:paraId="01E3859D">
            <w:pPr>
              <w:pStyle w:val="23"/>
              <w:spacing w:before="24" w:after="24"/>
              <w:rPr>
                <w:rFonts w:hint="eastAsia"/>
                <w:color w:val="auto"/>
              </w:rPr>
            </w:pPr>
            <w:r>
              <w:rPr>
                <w:rFonts w:hint="eastAsia"/>
                <w:color w:val="auto"/>
              </w:rPr>
              <w:t>/</w:t>
            </w:r>
          </w:p>
        </w:tc>
        <w:tc>
          <w:tcPr>
            <w:tcW w:w="1950" w:type="dxa"/>
            <w:vAlign w:val="center"/>
          </w:tcPr>
          <w:p w14:paraId="10898B11">
            <w:pPr>
              <w:pStyle w:val="23"/>
              <w:spacing w:before="24" w:after="24"/>
              <w:rPr>
                <w:rFonts w:hint="eastAsia"/>
                <w:color w:val="auto"/>
              </w:rPr>
            </w:pPr>
          </w:p>
        </w:tc>
        <w:tc>
          <w:tcPr>
            <w:tcW w:w="2004" w:type="dxa"/>
            <w:vAlign w:val="center"/>
          </w:tcPr>
          <w:p w14:paraId="07A8B30B">
            <w:pPr>
              <w:pStyle w:val="23"/>
              <w:spacing w:before="24" w:after="24"/>
              <w:rPr>
                <w:rFonts w:hint="eastAsia"/>
                <w:color w:val="auto"/>
              </w:rPr>
            </w:pPr>
          </w:p>
        </w:tc>
      </w:tr>
    </w:tbl>
    <w:p w14:paraId="10C7EAE9">
      <w:pPr>
        <w:pStyle w:val="23"/>
        <w:spacing w:before="192" w:beforeLines="80" w:after="24"/>
        <w:jc w:val="left"/>
        <w:rPr>
          <w:rFonts w:hint="eastAsia"/>
          <w:snapToGrid w:val="0"/>
          <w:color w:val="auto"/>
          <w:spacing w:val="-6"/>
          <w:kern w:val="21"/>
          <w:szCs w:val="21"/>
        </w:rPr>
      </w:pPr>
      <w:r>
        <w:rPr>
          <w:snapToGrid w:val="0"/>
          <w:color w:val="auto"/>
          <w:kern w:val="21"/>
          <w:szCs w:val="21"/>
        </w:rPr>
        <w:t>注：</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rFonts w:hint="eastAsia"/>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rFonts w:hint="eastAsia"/>
          <w:color w:val="auto"/>
          <w:szCs w:val="21"/>
        </w:rPr>
        <w:t>①</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3 \* GB3 \* MERGEFORMAT </w:instrText>
      </w:r>
      <w:r>
        <w:rPr>
          <w:snapToGrid w:val="0"/>
          <w:color w:val="auto"/>
          <w:spacing w:val="-6"/>
          <w:kern w:val="21"/>
          <w:szCs w:val="21"/>
        </w:rPr>
        <w:fldChar w:fldCharType="separate"/>
      </w:r>
      <w:r>
        <w:rPr>
          <w:rFonts w:hint="eastAsia"/>
          <w:color w:val="auto"/>
          <w:szCs w:val="21"/>
        </w:rPr>
        <w:t>③</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4 \* GB3 \* MERGEFORMAT </w:instrText>
      </w:r>
      <w:r>
        <w:rPr>
          <w:snapToGrid w:val="0"/>
          <w:color w:val="auto"/>
          <w:spacing w:val="-6"/>
          <w:kern w:val="21"/>
          <w:szCs w:val="21"/>
        </w:rPr>
        <w:fldChar w:fldCharType="separate"/>
      </w:r>
      <w:r>
        <w:rPr>
          <w:rFonts w:hint="eastAsia"/>
          <w:color w:val="auto"/>
          <w:szCs w:val="21"/>
        </w:rPr>
        <w:t>④</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5 \* GB3 \* MERGEFORMAT </w:instrText>
      </w:r>
      <w:r>
        <w:rPr>
          <w:snapToGrid w:val="0"/>
          <w:color w:val="auto"/>
          <w:spacing w:val="-16"/>
          <w:kern w:val="21"/>
          <w:szCs w:val="21"/>
        </w:rPr>
        <w:fldChar w:fldCharType="separate"/>
      </w:r>
      <w:r>
        <w:rPr>
          <w:rFonts w:hint="eastAsia"/>
          <w:color w:val="auto"/>
          <w:szCs w:val="21"/>
        </w:rPr>
        <w:t>⑤</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7 \* GB3 \* MERGEFORMAT </w:instrText>
      </w:r>
      <w:r>
        <w:rPr>
          <w:snapToGrid w:val="0"/>
          <w:color w:val="auto"/>
          <w:spacing w:val="-6"/>
          <w:kern w:val="21"/>
          <w:szCs w:val="21"/>
        </w:rPr>
        <w:fldChar w:fldCharType="separate"/>
      </w:r>
      <w:r>
        <w:rPr>
          <w:rFonts w:hint="eastAsia"/>
          <w:color w:val="auto"/>
          <w:szCs w:val="21"/>
        </w:rPr>
        <w:t>⑦</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rFonts w:hint="eastAsia"/>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rFonts w:hint="eastAsia"/>
          <w:color w:val="auto"/>
          <w:szCs w:val="21"/>
        </w:rPr>
        <w:t>①</w:t>
      </w:r>
      <w:r>
        <w:rPr>
          <w:snapToGrid w:val="0"/>
          <w:color w:val="auto"/>
          <w:spacing w:val="-6"/>
          <w:kern w:val="21"/>
          <w:szCs w:val="21"/>
        </w:rPr>
        <w:fldChar w:fldCharType="end"/>
      </w:r>
    </w:p>
    <w:p w14:paraId="608BAE94">
      <w:pPr>
        <w:pStyle w:val="5"/>
        <w:bidi w:val="0"/>
        <w:rPr>
          <w:color w:val="auto"/>
        </w:rPr>
      </w:pPr>
    </w:p>
    <w:p w14:paraId="69B55DF9">
      <w:pPr>
        <w:pStyle w:val="5"/>
        <w:bidi w:val="0"/>
        <w:rPr>
          <w:color w:val="auto"/>
        </w:rPr>
        <w:sectPr>
          <w:footerReference r:id="rId10" w:type="default"/>
          <w:pgSz w:w="16838" w:h="11906" w:orient="landscape"/>
          <w:pgMar w:top="1701" w:right="1531" w:bottom="1701" w:left="1531" w:header="851" w:footer="851" w:gutter="0"/>
          <w:pgNumType w:fmt="decimal"/>
          <w:cols w:space="720" w:num="1"/>
          <w:docGrid w:linePitch="312" w:charSpace="0"/>
        </w:sectPr>
      </w:pPr>
    </w:p>
    <w:p w14:paraId="02D7A7C6">
      <w:pPr>
        <w:pStyle w:val="5"/>
        <w:bidi w:val="0"/>
        <w:jc w:val="both"/>
        <w:rPr>
          <w:rFonts w:hint="default"/>
          <w:color w:val="auto"/>
          <w:lang w:val="en-US" w:eastAsia="zh-CN"/>
        </w:rPr>
      </w:pPr>
      <w:bookmarkStart w:id="10" w:name="_GoBack"/>
      <w:bookmarkEnd w:id="10"/>
    </w:p>
    <w:sectPr>
      <w:footerReference r:id="rId11" w:type="default"/>
      <w:pgSz w:w="11906" w:h="16838"/>
      <w:pgMar w:top="1701" w:right="1531" w:bottom="1701" w:left="1531" w:header="851" w:footer="851"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7DA6DB-0393-4A69-A835-1CC35EB808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2" w:fontKey="{DC788D6D-F7C8-4667-9129-3CABD0D2C62C}"/>
  </w:font>
  <w:font w:name="楷体_GB2312">
    <w:panose1 w:val="02010609030101010101"/>
    <w:charset w:val="86"/>
    <w:family w:val="modern"/>
    <w:pitch w:val="default"/>
    <w:sig w:usb0="00000001" w:usb1="080E0000" w:usb2="00000000" w:usb3="00000000" w:csb0="00040000" w:csb1="00000000"/>
    <w:embedRegular r:id="rId3" w:fontKey="{B8268003-C3B6-4A32-A1DF-23E07ED5B190}"/>
  </w:font>
  <w:font w:name="仿宋">
    <w:panose1 w:val="02010609060101010101"/>
    <w:charset w:val="86"/>
    <w:family w:val="modern"/>
    <w:pitch w:val="default"/>
    <w:sig w:usb0="800002BF" w:usb1="38CF7CFA" w:usb2="00000016" w:usb3="00000000" w:csb0="00040001" w:csb1="00000000"/>
    <w:embedRegular r:id="rId4" w:fontKey="{7EE207BB-F007-414F-BF55-5FBEDAE886A8}"/>
  </w:font>
  <w:font w:name="Wingdings 2">
    <w:panose1 w:val="05020102010507070707"/>
    <w:charset w:val="02"/>
    <w:family w:val="roman"/>
    <w:pitch w:val="default"/>
    <w:sig w:usb0="00000000" w:usb1="00000000" w:usb2="00000000" w:usb3="00000000" w:csb0="80000000" w:csb1="00000000"/>
    <w:embedRegular r:id="rId5" w:fontKey="{41189D38-53A4-42FF-895F-EC423E5E7061}"/>
  </w:font>
  <w:font w:name="TimesNewRomanPSMT">
    <w:altName w:val="Times New Roman"/>
    <w:panose1 w:val="00000000000000000000"/>
    <w:charset w:val="00"/>
    <w:family w:val="roman"/>
    <w:pitch w:val="default"/>
    <w:sig w:usb0="00000000" w:usb1="00000000" w:usb2="00000000" w:usb3="00000000" w:csb0="00000000" w:csb1="00000000"/>
    <w:embedRegular r:id="rId6" w:fontKey="{FDCE0932-B182-4555-A6A0-1A4BB11D23D3}"/>
  </w:font>
  <w:font w:name="Cambria Math">
    <w:panose1 w:val="02040503050406030204"/>
    <w:charset w:val="00"/>
    <w:family w:val="auto"/>
    <w:pitch w:val="default"/>
    <w:sig w:usb0="E00006FF" w:usb1="420024FF" w:usb2="02000000" w:usb3="00000000" w:csb0="2000019F" w:csb1="00000000"/>
    <w:embedRegular r:id="rId7" w:fontKey="{98787D9F-6AE7-45B4-8B15-3BA761D7972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AD5C8">
    <w:pPr>
      <w:tabs>
        <w:tab w:val="center" w:pos="4153"/>
        <w:tab w:val="right" w:pos="8306"/>
      </w:tabs>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E174">
    <w:pPr>
      <w:framePr w:wrap="around" w:vAnchor="text" w:hAnchor="margin" w:xAlign="center" w:y="1"/>
      <w:tabs>
        <w:tab w:val="center" w:pos="4153"/>
        <w:tab w:val="right" w:pos="8306"/>
      </w:tabs>
    </w:pPr>
    <w:r>
      <w:fldChar w:fldCharType="begin"/>
    </w:r>
    <w:r>
      <w:instrText xml:space="preserve">PAGE  </w:instrText>
    </w:r>
    <w:r>
      <w:fldChar w:fldCharType="end"/>
    </w:r>
  </w:p>
  <w:p w14:paraId="7C96D409">
    <w:pPr>
      <w:tabs>
        <w:tab w:val="center" w:pos="4153"/>
        <w:tab w:val="right" w:pos="8306"/>
      </w:tabs>
      <w:ind w:right="360" w:firstLine="360"/>
    </w:pPr>
  </w:p>
  <w:p w14:paraId="4151669D"/>
  <w:p w14:paraId="6ADA6CEC"/>
  <w:p w14:paraId="58919C68"/>
  <w:p w14:paraId="652A3997"/>
  <w:p w14:paraId="1FF040B5"/>
  <w:p w14:paraId="5EEF13FA"/>
  <w:p w14:paraId="14DE4ED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D5C90">
    <w:pPr>
      <w:tabs>
        <w:tab w:val="center" w:pos="4153"/>
        <w:tab w:val="right" w:pos="8306"/>
      </w:tabs>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021620C">
                          <w:pPr>
                            <w:tabs>
                              <w:tab w:val="center" w:pos="4153"/>
                              <w:tab w:val="right" w:pos="8306"/>
                            </w:tabs>
                          </w:pPr>
                          <w:r>
                            <w:t>—</w:t>
                          </w:r>
                          <w:r>
                            <w:fldChar w:fldCharType="begin"/>
                          </w:r>
                          <w:r>
                            <w:instrText xml:space="preserve"> PAGE  \* MERGEFORMAT </w:instrText>
                          </w:r>
                          <w:r>
                            <w:fldChar w:fldCharType="separate"/>
                          </w:r>
                          <w:r>
                            <w:t>1</w:t>
                          </w:r>
                          <w:r>
                            <w:fldChar w:fldCharType="end"/>
                          </w:r>
                          <w:r>
                            <w:t>—</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WX8aH2wEAAMADAAAOAAAAAAAAAAEA&#10;IAAAAB4BAABkcnMvZTJvRG9jLnhtbFBLBQYAAAAABgAGAFkBAABrBQAAAAA=&#10;">
              <v:fill on="f" focussize="0,0"/>
              <v:stroke on="f"/>
              <v:imagedata o:title=""/>
              <o:lock v:ext="edit" aspectratio="f"/>
              <v:textbox inset="0mm,0mm,0mm,0mm" style="mso-fit-shape-to-text:t;">
                <w:txbxContent>
                  <w:p w14:paraId="1021620C">
                    <w:pPr>
                      <w:tabs>
                        <w:tab w:val="center" w:pos="4153"/>
                        <w:tab w:val="right" w:pos="8306"/>
                      </w:tabs>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24EE4">
    <w:pPr>
      <w:tabs>
        <w:tab w:val="center" w:pos="4153"/>
        <w:tab w:val="right" w:pos="8306"/>
      </w:tabs>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7CE998">
                          <w:pPr>
                            <w:tabs>
                              <w:tab w:val="center" w:pos="4153"/>
                              <w:tab w:val="right" w:pos="8306"/>
                            </w:tabs>
                          </w:pPr>
                          <w:r>
                            <w:t>—</w:t>
                          </w:r>
                          <w:r>
                            <w:fldChar w:fldCharType="begin"/>
                          </w:r>
                          <w:r>
                            <w:instrText xml:space="preserve"> PAGE  \* MERGEFORMAT </w:instrText>
                          </w:r>
                          <w:r>
                            <w:fldChar w:fldCharType="separate"/>
                          </w:r>
                          <w:r>
                            <w:t>8</w:t>
                          </w:r>
                          <w:r>
                            <w:fldChar w:fldCharType="end"/>
                          </w:r>
                          <w:r>
                            <w:t>—</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s5PRtdwBAADCAwAADgAAAAAAAAAB&#10;ACAAAAAeAQAAZHJzL2Uyb0RvYy54bWxQSwUGAAAAAAYABgBZAQAAbAUAAAAA&#10;">
              <v:fill on="f" focussize="0,0"/>
              <v:stroke on="f"/>
              <v:imagedata o:title=""/>
              <o:lock v:ext="edit" aspectratio="f"/>
              <v:textbox inset="0mm,0mm,0mm,0mm" style="mso-fit-shape-to-text:t;">
                <w:txbxContent>
                  <w:p w14:paraId="3A7CE998">
                    <w:pPr>
                      <w:tabs>
                        <w:tab w:val="center" w:pos="4153"/>
                        <w:tab w:val="right" w:pos="8306"/>
                      </w:tabs>
                    </w:pPr>
                    <w:r>
                      <w:t>—</w:t>
                    </w:r>
                    <w:r>
                      <w:fldChar w:fldCharType="begin"/>
                    </w:r>
                    <w:r>
                      <w:instrText xml:space="preserve"> PAGE  \* MERGEFORMAT </w:instrText>
                    </w:r>
                    <w:r>
                      <w:fldChar w:fldCharType="separate"/>
                    </w:r>
                    <w:r>
                      <w:t>8</w:t>
                    </w:r>
                    <w:r>
                      <w:fldChar w:fldCharType="end"/>
                    </w:r>
                    <w: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19B85">
    <w:pPr>
      <w:tabs>
        <w:tab w:val="center" w:pos="4153"/>
        <w:tab w:val="right" w:pos="8306"/>
      </w:tabs>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214CCDA">
                          <w:pPr>
                            <w:tabs>
                              <w:tab w:val="center" w:pos="4153"/>
                              <w:tab w:val="right" w:pos="8306"/>
                            </w:tabs>
                          </w:pPr>
                          <w:r>
                            <w:t>—</w:t>
                          </w:r>
                          <w:r>
                            <w:fldChar w:fldCharType="begin"/>
                          </w:r>
                          <w:r>
                            <w:instrText xml:space="preserve"> PAGE  \* MERGEFORMAT </w:instrText>
                          </w:r>
                          <w:r>
                            <w:fldChar w:fldCharType="separate"/>
                          </w:r>
                          <w:r>
                            <w:t>8</w:t>
                          </w:r>
                          <w:r>
                            <w:fldChar w:fldCharType="end"/>
                          </w:r>
                          <w:r>
                            <w:t>—</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T8E72wEAAMADAAAOAAAAAAAAAAEA&#10;IAAAAB4BAABkcnMvZTJvRG9jLnhtbFBLBQYAAAAABgAGAFkBAABrBQAAAAA=&#10;">
              <v:fill on="f" focussize="0,0"/>
              <v:stroke on="f"/>
              <v:imagedata o:title=""/>
              <o:lock v:ext="edit" aspectratio="f"/>
              <v:textbox inset="0mm,0mm,0mm,0mm" style="mso-fit-shape-to-text:t;">
                <w:txbxContent>
                  <w:p w14:paraId="0214CCDA">
                    <w:pPr>
                      <w:tabs>
                        <w:tab w:val="center" w:pos="4153"/>
                        <w:tab w:val="right" w:pos="8306"/>
                      </w:tabs>
                    </w:pPr>
                    <w:r>
                      <w:t>—</w:t>
                    </w:r>
                    <w:r>
                      <w:fldChar w:fldCharType="begin"/>
                    </w:r>
                    <w:r>
                      <w:instrText xml:space="preserve"> PAGE  \* MERGEFORMAT </w:instrText>
                    </w:r>
                    <w:r>
                      <w:fldChar w:fldCharType="separate"/>
                    </w:r>
                    <w:r>
                      <w:t>8</w:t>
                    </w:r>
                    <w:r>
                      <w:fldChar w:fldCharType="end"/>
                    </w:r>
                    <w: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034AF">
    <w:pPr>
      <w:tabs>
        <w:tab w:val="center" w:pos="4153"/>
        <w:tab w:val="right" w:pos="8306"/>
      </w:tabs>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74C6CBE">
                          <w:pPr>
                            <w:tabs>
                              <w:tab w:val="center" w:pos="4153"/>
                              <w:tab w:val="right" w:pos="8306"/>
                            </w:tabs>
                          </w:pPr>
                          <w:r>
                            <w:t>—</w:t>
                          </w:r>
                          <w:r>
                            <w:fldChar w:fldCharType="begin"/>
                          </w:r>
                          <w:r>
                            <w:instrText xml:space="preserve"> PAGE  \* MERGEFORMAT </w:instrText>
                          </w:r>
                          <w:r>
                            <w:fldChar w:fldCharType="separate"/>
                          </w:r>
                          <w:r>
                            <w:t>14</w:t>
                          </w:r>
                          <w:r>
                            <w:fldChar w:fldCharType="end"/>
                          </w:r>
                          <w:r>
                            <w:t>—</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Cb3s5twBAADAAwAADgAAAAAAAAAB&#10;ACAAAAAeAQAAZHJzL2Uyb0RvYy54bWxQSwUGAAAAAAYABgBZAQAAbAUAAAAA&#10;">
              <v:fill on="f" focussize="0,0"/>
              <v:stroke on="f"/>
              <v:imagedata o:title=""/>
              <o:lock v:ext="edit" aspectratio="f"/>
              <v:textbox inset="0mm,0mm,0mm,0mm" style="mso-fit-shape-to-text:t;">
                <w:txbxContent>
                  <w:p w14:paraId="674C6CBE">
                    <w:pPr>
                      <w:tabs>
                        <w:tab w:val="center" w:pos="4153"/>
                        <w:tab w:val="right" w:pos="8306"/>
                      </w:tabs>
                    </w:pPr>
                    <w:r>
                      <w:t>—</w:t>
                    </w:r>
                    <w:r>
                      <w:fldChar w:fldCharType="begin"/>
                    </w:r>
                    <w:r>
                      <w:instrText xml:space="preserve"> PAGE  \* MERGEFORMAT </w:instrText>
                    </w:r>
                    <w:r>
                      <w:fldChar w:fldCharType="separate"/>
                    </w:r>
                    <w:r>
                      <w:t>14</w:t>
                    </w:r>
                    <w:r>
                      <w:fldChar w:fldCharType="end"/>
                    </w:r>
                    <w: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8709">
    <w:pPr>
      <w:tabs>
        <w:tab w:val="center" w:pos="4153"/>
        <w:tab w:val="right" w:pos="8306"/>
      </w:tabs>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581513">
                          <w:pPr>
                            <w:tabs>
                              <w:tab w:val="center" w:pos="4153"/>
                              <w:tab w:val="right" w:pos="8306"/>
                            </w:tabs>
                          </w:pPr>
                          <w:r>
                            <w:t>—</w:t>
                          </w:r>
                          <w:r>
                            <w:fldChar w:fldCharType="begin"/>
                          </w:r>
                          <w:r>
                            <w:instrText xml:space="preserve"> PAGE  \* MERGEFORMAT </w:instrText>
                          </w:r>
                          <w:r>
                            <w:fldChar w:fldCharType="separate"/>
                          </w:r>
                          <w:r>
                            <w:t>15</w:t>
                          </w:r>
                          <w:r>
                            <w:fldChar w:fldCharType="end"/>
                          </w:r>
                          <w:r>
                            <w:t>—</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52m+mNwBAADAAwAADgAAAAAAAAAB&#10;ACAAAAAeAQAAZHJzL2Uyb0RvYy54bWxQSwUGAAAAAAYABgBZAQAAbAUAAAAA&#10;">
              <v:fill on="f" focussize="0,0"/>
              <v:stroke on="f"/>
              <v:imagedata o:title=""/>
              <o:lock v:ext="edit" aspectratio="f"/>
              <v:textbox inset="0mm,0mm,0mm,0mm" style="mso-fit-shape-to-text:t;">
                <w:txbxContent>
                  <w:p w14:paraId="3A581513">
                    <w:pPr>
                      <w:tabs>
                        <w:tab w:val="center" w:pos="4153"/>
                        <w:tab w:val="right" w:pos="8306"/>
                      </w:tabs>
                    </w:pPr>
                    <w:r>
                      <w:t>—</w:t>
                    </w:r>
                    <w:r>
                      <w:fldChar w:fldCharType="begin"/>
                    </w:r>
                    <w:r>
                      <w:instrText xml:space="preserve"> PAGE  \* MERGEFORMAT </w:instrText>
                    </w:r>
                    <w:r>
                      <w:fldChar w:fldCharType="separate"/>
                    </w:r>
                    <w:r>
                      <w:t>15</w:t>
                    </w:r>
                    <w:r>
                      <w:fldChar w:fldCharType="end"/>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81E25"/>
    <w:multiLevelType w:val="singleLevel"/>
    <w:tmpl w:val="84681E25"/>
    <w:lvl w:ilvl="0" w:tentative="0">
      <w:start w:val="1"/>
      <w:numFmt w:val="decimal"/>
      <w:suff w:val="nothing"/>
      <w:lvlText w:val="%1"/>
      <w:lvlJc w:val="left"/>
      <w:pPr>
        <w:tabs>
          <w:tab w:val="left" w:pos="0"/>
        </w:tabs>
        <w:ind w:left="425" w:hanging="425"/>
      </w:pPr>
      <w:rPr>
        <w:rFonts w:hint="default"/>
      </w:rPr>
    </w:lvl>
  </w:abstractNum>
  <w:abstractNum w:abstractNumId="1">
    <w:nsid w:val="B6A32366"/>
    <w:multiLevelType w:val="singleLevel"/>
    <w:tmpl w:val="B6A32366"/>
    <w:lvl w:ilvl="0" w:tentative="0">
      <w:start w:val="1"/>
      <w:numFmt w:val="decimal"/>
      <w:suff w:val="nothing"/>
      <w:lvlText w:val="%1"/>
      <w:lvlJc w:val="left"/>
      <w:pPr>
        <w:ind w:left="425" w:leftChars="0" w:hanging="425" w:firstLineChars="0"/>
      </w:pPr>
      <w:rPr>
        <w:rFonts w:hint="default"/>
      </w:rPr>
    </w:lvl>
  </w:abstractNum>
  <w:abstractNum w:abstractNumId="2">
    <w:nsid w:val="C5372001"/>
    <w:multiLevelType w:val="multilevel"/>
    <w:tmpl w:val="C5372001"/>
    <w:lvl w:ilvl="0" w:tentative="0">
      <w:start w:val="1"/>
      <w:numFmt w:val="chineseCounting"/>
      <w:pStyle w:val="2"/>
      <w:suff w:val="nothing"/>
      <w:lvlText w:val="%1、"/>
      <w:lvlJc w:val="left"/>
      <w:pPr>
        <w:tabs>
          <w:tab w:val="left" w:pos="0"/>
        </w:tabs>
        <w:ind w:left="432" w:hanging="432"/>
      </w:pPr>
      <w:rPr>
        <w:rFonts w:hint="eastAsia"/>
      </w:rPr>
    </w:lvl>
    <w:lvl w:ilvl="1" w:tentative="0">
      <w:start w:val="1"/>
      <w:numFmt w:val="decimal"/>
      <w:pStyle w:val="3"/>
      <w:isLgl/>
      <w:suff w:val="space"/>
      <w:lvlText w:val="%1.%2"/>
      <w:lvlJc w:val="left"/>
      <w:pPr>
        <w:tabs>
          <w:tab w:val="left" w:pos="420"/>
        </w:tabs>
        <w:ind w:left="575" w:hanging="575"/>
      </w:pPr>
      <w:rPr>
        <w:rFonts w:hint="eastAsia"/>
      </w:rPr>
    </w:lvl>
    <w:lvl w:ilvl="2" w:tentative="0">
      <w:start w:val="1"/>
      <w:numFmt w:val="decimal"/>
      <w:pStyle w:val="4"/>
      <w:isLgl/>
      <w:suff w:val="space"/>
      <w:lvlText w:val="%1.%2.%3"/>
      <w:lvlJc w:val="left"/>
      <w:pPr>
        <w:ind w:left="240" w:firstLine="0"/>
      </w:pPr>
      <w:rPr>
        <w:rFonts w:hint="eastAsia"/>
      </w:rPr>
    </w:lvl>
    <w:lvl w:ilvl="3" w:tentative="0">
      <w:start w:val="1"/>
      <w:numFmt w:val="decimal"/>
      <w:pStyle w:val="6"/>
      <w:isLgl/>
      <w:lvlText w:val="%1.%2.%3.%4"/>
      <w:lvlJc w:val="left"/>
      <w:pPr>
        <w:ind w:left="864" w:hanging="864"/>
      </w:pPr>
      <w:rPr>
        <w:rFonts w:hint="eastAsia"/>
      </w:rPr>
    </w:lvl>
    <w:lvl w:ilvl="4" w:tentative="0">
      <w:start w:val="1"/>
      <w:numFmt w:val="decimal"/>
      <w:pStyle w:val="7"/>
      <w:isLgl/>
      <w:lvlText w:val="%1.%2.%3.%4.%5"/>
      <w:lvlJc w:val="left"/>
      <w:pPr>
        <w:ind w:left="1008" w:hanging="1008"/>
      </w:pPr>
      <w:rPr>
        <w:rFonts w:hint="eastAsia"/>
      </w:rPr>
    </w:lvl>
    <w:lvl w:ilvl="5" w:tentative="0">
      <w:start w:val="1"/>
      <w:numFmt w:val="decimal"/>
      <w:pStyle w:val="8"/>
      <w:isLgl/>
      <w:lvlText w:val="%1.%2.%3.%4.%5.%6"/>
      <w:lvlJc w:val="left"/>
      <w:pPr>
        <w:ind w:left="1151" w:hanging="1151"/>
      </w:pPr>
      <w:rPr>
        <w:rFonts w:hint="eastAsia"/>
      </w:rPr>
    </w:lvl>
    <w:lvl w:ilvl="6" w:tentative="0">
      <w:start w:val="1"/>
      <w:numFmt w:val="decimal"/>
      <w:pStyle w:val="9"/>
      <w:isLgl/>
      <w:lvlText w:val="%1.%2.%3.%4.%5.%6.%7"/>
      <w:lvlJc w:val="left"/>
      <w:pPr>
        <w:ind w:left="1296" w:hanging="1296"/>
      </w:pPr>
      <w:rPr>
        <w:rFonts w:hint="eastAsia"/>
      </w:rPr>
    </w:lvl>
    <w:lvl w:ilvl="7" w:tentative="0">
      <w:start w:val="1"/>
      <w:numFmt w:val="decimal"/>
      <w:pStyle w:val="10"/>
      <w:isLgl/>
      <w:lvlText w:val="%1.%2.%3.%4.%5.%6.%7.%8."/>
      <w:lvlJc w:val="left"/>
      <w:pPr>
        <w:ind w:left="1440" w:hanging="1440"/>
      </w:pPr>
      <w:rPr>
        <w:rFonts w:hint="eastAsia"/>
      </w:rPr>
    </w:lvl>
    <w:lvl w:ilvl="8" w:tentative="0">
      <w:start w:val="1"/>
      <w:numFmt w:val="decimal"/>
      <w:pStyle w:val="11"/>
      <w:isLgl/>
      <w:lvlText w:val="%1.%2.%3.%4.%5.%6.%7.%8.%9."/>
      <w:lvlJc w:val="left"/>
      <w:pPr>
        <w:ind w:left="1583" w:hanging="1583"/>
      </w:pPr>
      <w:rPr>
        <w:rFonts w:hint="eastAsia"/>
      </w:rPr>
    </w:lvl>
  </w:abstractNum>
  <w:abstractNum w:abstractNumId="3">
    <w:nsid w:val="0856B353"/>
    <w:multiLevelType w:val="singleLevel"/>
    <w:tmpl w:val="0856B353"/>
    <w:lvl w:ilvl="0" w:tentative="0">
      <w:start w:val="1"/>
      <w:numFmt w:val="decimal"/>
      <w:suff w:val="nothing"/>
      <w:lvlText w:val="%1"/>
      <w:lvlJc w:val="left"/>
      <w:pPr>
        <w:tabs>
          <w:tab w:val="left" w:pos="0"/>
        </w:tabs>
        <w:ind w:left="425" w:hanging="425"/>
      </w:pPr>
      <w:rPr>
        <w:rFonts w:hint="default"/>
      </w:rPr>
    </w:lvl>
  </w:abstractNum>
  <w:abstractNum w:abstractNumId="4">
    <w:nsid w:val="12AF06C2"/>
    <w:multiLevelType w:val="singleLevel"/>
    <w:tmpl w:val="12AF06C2"/>
    <w:lvl w:ilvl="0" w:tentative="0">
      <w:start w:val="1"/>
      <w:numFmt w:val="decimal"/>
      <w:suff w:val="nothing"/>
      <w:lvlText w:val="%1"/>
      <w:lvlJc w:val="left"/>
      <w:pPr>
        <w:tabs>
          <w:tab w:val="left" w:pos="0"/>
        </w:tabs>
        <w:ind w:left="425" w:hanging="425"/>
      </w:pPr>
      <w:rPr>
        <w:rFonts w:hint="default"/>
      </w:rPr>
    </w:lvl>
  </w:abstractNum>
  <w:abstractNum w:abstractNumId="5">
    <w:nsid w:val="258A257F"/>
    <w:multiLevelType w:val="singleLevel"/>
    <w:tmpl w:val="258A257F"/>
    <w:lvl w:ilvl="0" w:tentative="0">
      <w:start w:val="1"/>
      <w:numFmt w:val="decimal"/>
      <w:suff w:val="nothing"/>
      <w:lvlText w:val="%1"/>
      <w:lvlJc w:val="left"/>
      <w:pPr>
        <w:tabs>
          <w:tab w:val="left" w:pos="0"/>
        </w:tabs>
        <w:ind w:left="425" w:hanging="425"/>
      </w:pPr>
      <w:rPr>
        <w:rFonts w:hint="default"/>
      </w:rPr>
    </w:lvl>
  </w:abstractNum>
  <w:abstractNum w:abstractNumId="6">
    <w:nsid w:val="2A755704"/>
    <w:multiLevelType w:val="singleLevel"/>
    <w:tmpl w:val="2A755704"/>
    <w:lvl w:ilvl="0" w:tentative="0">
      <w:start w:val="1"/>
      <w:numFmt w:val="decimal"/>
      <w:suff w:val="nothing"/>
      <w:lvlText w:val="%1"/>
      <w:lvlJc w:val="left"/>
      <w:pPr>
        <w:tabs>
          <w:tab w:val="left" w:pos="0"/>
        </w:tabs>
        <w:ind w:left="425" w:hanging="425"/>
      </w:pPr>
      <w:rPr>
        <w:rFonts w:hint="default"/>
      </w:rPr>
    </w:lvl>
  </w:abstractNum>
  <w:abstractNum w:abstractNumId="7">
    <w:nsid w:val="2BE66A4D"/>
    <w:multiLevelType w:val="singleLevel"/>
    <w:tmpl w:val="2BE66A4D"/>
    <w:lvl w:ilvl="0" w:tentative="0">
      <w:start w:val="2"/>
      <w:numFmt w:val="decimal"/>
      <w:suff w:val="nothing"/>
      <w:lvlText w:val="%1、"/>
      <w:lvlJc w:val="left"/>
    </w:lvl>
  </w:abstractNum>
  <w:abstractNum w:abstractNumId="8">
    <w:nsid w:val="50E8E860"/>
    <w:multiLevelType w:val="singleLevel"/>
    <w:tmpl w:val="50E8E860"/>
    <w:lvl w:ilvl="0" w:tentative="0">
      <w:start w:val="1"/>
      <w:numFmt w:val="decimal"/>
      <w:suff w:val="nothing"/>
      <w:lvlText w:val="（%1）"/>
      <w:lvlJc w:val="left"/>
    </w:lvl>
  </w:abstractNum>
  <w:abstractNum w:abstractNumId="9">
    <w:nsid w:val="548EC5E0"/>
    <w:multiLevelType w:val="singleLevel"/>
    <w:tmpl w:val="548EC5E0"/>
    <w:lvl w:ilvl="0" w:tentative="0">
      <w:start w:val="1"/>
      <w:numFmt w:val="decimal"/>
      <w:suff w:val="nothing"/>
      <w:lvlText w:val="%1"/>
      <w:lvlJc w:val="left"/>
      <w:pPr>
        <w:tabs>
          <w:tab w:val="left" w:pos="0"/>
        </w:tabs>
        <w:ind w:left="425" w:hanging="425"/>
      </w:pPr>
      <w:rPr>
        <w:rFonts w:hint="default"/>
      </w:rPr>
    </w:lvl>
  </w:abstractNum>
  <w:abstractNum w:abstractNumId="10">
    <w:nsid w:val="7E025D41"/>
    <w:multiLevelType w:val="singleLevel"/>
    <w:tmpl w:val="7E025D41"/>
    <w:lvl w:ilvl="0" w:tentative="0">
      <w:start w:val="1"/>
      <w:numFmt w:val="decimal"/>
      <w:suff w:val="nothing"/>
      <w:lvlText w:val="%1、"/>
      <w:lvlJc w:val="left"/>
    </w:lvl>
  </w:abstractNum>
  <w:num w:numId="1">
    <w:abstractNumId w:val="2"/>
  </w:num>
  <w:num w:numId="2">
    <w:abstractNumId w:val="0"/>
  </w:num>
  <w:num w:numId="3">
    <w:abstractNumId w:val="1"/>
  </w:num>
  <w:num w:numId="4">
    <w:abstractNumId w:val="5"/>
  </w:num>
  <w:num w:numId="5">
    <w:abstractNumId w:val="9"/>
  </w:num>
  <w:num w:numId="6">
    <w:abstractNumId w:val="4"/>
  </w:num>
  <w:num w:numId="7">
    <w:abstractNumId w:val="8"/>
  </w:num>
  <w:num w:numId="8">
    <w:abstractNumId w:val="6"/>
  </w:num>
  <w:num w:numId="9">
    <w:abstractNumId w:val="3"/>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00DE4"/>
    <w:rsid w:val="00035589"/>
    <w:rsid w:val="00064EC4"/>
    <w:rsid w:val="00070FC8"/>
    <w:rsid w:val="00072F86"/>
    <w:rsid w:val="0015420F"/>
    <w:rsid w:val="001920C2"/>
    <w:rsid w:val="001B74FB"/>
    <w:rsid w:val="001C5B5B"/>
    <w:rsid w:val="001F4E0B"/>
    <w:rsid w:val="001F70E1"/>
    <w:rsid w:val="002059BE"/>
    <w:rsid w:val="002253D5"/>
    <w:rsid w:val="002446C5"/>
    <w:rsid w:val="002F476B"/>
    <w:rsid w:val="003124F9"/>
    <w:rsid w:val="00312984"/>
    <w:rsid w:val="00321323"/>
    <w:rsid w:val="003320D9"/>
    <w:rsid w:val="00371A1C"/>
    <w:rsid w:val="003856DB"/>
    <w:rsid w:val="003971B5"/>
    <w:rsid w:val="003A1D01"/>
    <w:rsid w:val="003A6D2A"/>
    <w:rsid w:val="003F2898"/>
    <w:rsid w:val="00503F0E"/>
    <w:rsid w:val="0050762F"/>
    <w:rsid w:val="005B6F6D"/>
    <w:rsid w:val="005C1EB8"/>
    <w:rsid w:val="005F6539"/>
    <w:rsid w:val="0061441F"/>
    <w:rsid w:val="00626A60"/>
    <w:rsid w:val="00653C9B"/>
    <w:rsid w:val="006875BF"/>
    <w:rsid w:val="006B749C"/>
    <w:rsid w:val="006E0B75"/>
    <w:rsid w:val="00710664"/>
    <w:rsid w:val="00736C8D"/>
    <w:rsid w:val="00780058"/>
    <w:rsid w:val="007C126C"/>
    <w:rsid w:val="007C4614"/>
    <w:rsid w:val="00811F35"/>
    <w:rsid w:val="00812F78"/>
    <w:rsid w:val="0082315F"/>
    <w:rsid w:val="008243F1"/>
    <w:rsid w:val="008453ED"/>
    <w:rsid w:val="0089189B"/>
    <w:rsid w:val="00895E5F"/>
    <w:rsid w:val="008C0F5F"/>
    <w:rsid w:val="00917273"/>
    <w:rsid w:val="0093234D"/>
    <w:rsid w:val="00976C08"/>
    <w:rsid w:val="009B1312"/>
    <w:rsid w:val="009B4983"/>
    <w:rsid w:val="009C7904"/>
    <w:rsid w:val="00A03872"/>
    <w:rsid w:val="00A445F1"/>
    <w:rsid w:val="00A51B28"/>
    <w:rsid w:val="00AD70D1"/>
    <w:rsid w:val="00AE3A4A"/>
    <w:rsid w:val="00B73EE9"/>
    <w:rsid w:val="00BD6F56"/>
    <w:rsid w:val="00BD6F82"/>
    <w:rsid w:val="00C06A5B"/>
    <w:rsid w:val="00C27B48"/>
    <w:rsid w:val="00C50B26"/>
    <w:rsid w:val="00C66013"/>
    <w:rsid w:val="00C70664"/>
    <w:rsid w:val="00CA5F2E"/>
    <w:rsid w:val="00CB2125"/>
    <w:rsid w:val="00CB2CCD"/>
    <w:rsid w:val="00CC4D1E"/>
    <w:rsid w:val="00D014D7"/>
    <w:rsid w:val="00D141FE"/>
    <w:rsid w:val="00D17553"/>
    <w:rsid w:val="00E3453C"/>
    <w:rsid w:val="00E92844"/>
    <w:rsid w:val="00E95A4B"/>
    <w:rsid w:val="00EB5DE9"/>
    <w:rsid w:val="00F24ED0"/>
    <w:rsid w:val="00F8591A"/>
    <w:rsid w:val="00FE4CCA"/>
    <w:rsid w:val="00FE6C0A"/>
    <w:rsid w:val="011473B7"/>
    <w:rsid w:val="012B4A44"/>
    <w:rsid w:val="014852B3"/>
    <w:rsid w:val="01643B43"/>
    <w:rsid w:val="01652DAF"/>
    <w:rsid w:val="01910920"/>
    <w:rsid w:val="01F42D45"/>
    <w:rsid w:val="02247ACE"/>
    <w:rsid w:val="02382F7C"/>
    <w:rsid w:val="02A06670"/>
    <w:rsid w:val="02F23728"/>
    <w:rsid w:val="03055BB7"/>
    <w:rsid w:val="034B2E38"/>
    <w:rsid w:val="039B4330"/>
    <w:rsid w:val="039E565E"/>
    <w:rsid w:val="03A24E08"/>
    <w:rsid w:val="03B923DC"/>
    <w:rsid w:val="03C52F1A"/>
    <w:rsid w:val="03D96696"/>
    <w:rsid w:val="03F47F88"/>
    <w:rsid w:val="03FA73B5"/>
    <w:rsid w:val="044B15B6"/>
    <w:rsid w:val="04662845"/>
    <w:rsid w:val="046F149A"/>
    <w:rsid w:val="047C774D"/>
    <w:rsid w:val="04D70E27"/>
    <w:rsid w:val="04E84DE3"/>
    <w:rsid w:val="05D45DB8"/>
    <w:rsid w:val="05DD246D"/>
    <w:rsid w:val="05E02285"/>
    <w:rsid w:val="05E37650"/>
    <w:rsid w:val="062D6B9D"/>
    <w:rsid w:val="065C1B7D"/>
    <w:rsid w:val="06787182"/>
    <w:rsid w:val="070F49A2"/>
    <w:rsid w:val="07164A72"/>
    <w:rsid w:val="07A330EF"/>
    <w:rsid w:val="07E35FFF"/>
    <w:rsid w:val="07F83140"/>
    <w:rsid w:val="08227CB8"/>
    <w:rsid w:val="084431F7"/>
    <w:rsid w:val="08452CBF"/>
    <w:rsid w:val="084B5174"/>
    <w:rsid w:val="085E52C5"/>
    <w:rsid w:val="087B3CF2"/>
    <w:rsid w:val="088879FF"/>
    <w:rsid w:val="08B651F8"/>
    <w:rsid w:val="090D29B1"/>
    <w:rsid w:val="099A309E"/>
    <w:rsid w:val="09E0077E"/>
    <w:rsid w:val="0A397E8E"/>
    <w:rsid w:val="0A762EA7"/>
    <w:rsid w:val="0A7E787D"/>
    <w:rsid w:val="0AC7292D"/>
    <w:rsid w:val="0B1F003E"/>
    <w:rsid w:val="0B612676"/>
    <w:rsid w:val="0B904BEB"/>
    <w:rsid w:val="0B954F8E"/>
    <w:rsid w:val="0BAC41E4"/>
    <w:rsid w:val="0BDC4F75"/>
    <w:rsid w:val="0BED0F30"/>
    <w:rsid w:val="0C1C1B6C"/>
    <w:rsid w:val="0C4C26BB"/>
    <w:rsid w:val="0C7957AC"/>
    <w:rsid w:val="0C817312"/>
    <w:rsid w:val="0CAC7F34"/>
    <w:rsid w:val="0CAF10DB"/>
    <w:rsid w:val="0CBD6B55"/>
    <w:rsid w:val="0CEB7228"/>
    <w:rsid w:val="0D0C2411"/>
    <w:rsid w:val="0D1129FD"/>
    <w:rsid w:val="0D4107CC"/>
    <w:rsid w:val="0D6E7E4F"/>
    <w:rsid w:val="0D8A0964"/>
    <w:rsid w:val="0D9074CF"/>
    <w:rsid w:val="0E0C3646"/>
    <w:rsid w:val="0E2B3F92"/>
    <w:rsid w:val="0E3957FF"/>
    <w:rsid w:val="0E3C6626"/>
    <w:rsid w:val="0E552DBD"/>
    <w:rsid w:val="0E6722B8"/>
    <w:rsid w:val="0EB6385C"/>
    <w:rsid w:val="0ECF491D"/>
    <w:rsid w:val="0F61774B"/>
    <w:rsid w:val="0F671654"/>
    <w:rsid w:val="0F8178C6"/>
    <w:rsid w:val="0F914696"/>
    <w:rsid w:val="0FA1450C"/>
    <w:rsid w:val="0FB94AA9"/>
    <w:rsid w:val="0FC95E75"/>
    <w:rsid w:val="0FFE087C"/>
    <w:rsid w:val="106019E9"/>
    <w:rsid w:val="10614099"/>
    <w:rsid w:val="106A2B50"/>
    <w:rsid w:val="107E66AF"/>
    <w:rsid w:val="108C1436"/>
    <w:rsid w:val="10C23E01"/>
    <w:rsid w:val="10F31B88"/>
    <w:rsid w:val="114371E5"/>
    <w:rsid w:val="115B7EC7"/>
    <w:rsid w:val="11845E93"/>
    <w:rsid w:val="11CD2901"/>
    <w:rsid w:val="121D7917"/>
    <w:rsid w:val="12535865"/>
    <w:rsid w:val="12566D47"/>
    <w:rsid w:val="12C53993"/>
    <w:rsid w:val="12D3315E"/>
    <w:rsid w:val="12E00606"/>
    <w:rsid w:val="13160A9B"/>
    <w:rsid w:val="13816794"/>
    <w:rsid w:val="13AA21BF"/>
    <w:rsid w:val="13E15660"/>
    <w:rsid w:val="13F4674F"/>
    <w:rsid w:val="13F53078"/>
    <w:rsid w:val="144E65DE"/>
    <w:rsid w:val="14640DBF"/>
    <w:rsid w:val="14902B35"/>
    <w:rsid w:val="14A63BCF"/>
    <w:rsid w:val="14C842E9"/>
    <w:rsid w:val="15AC463C"/>
    <w:rsid w:val="15C9656A"/>
    <w:rsid w:val="15D05B4B"/>
    <w:rsid w:val="16015B37"/>
    <w:rsid w:val="16022AE9"/>
    <w:rsid w:val="161377E5"/>
    <w:rsid w:val="161A6DC6"/>
    <w:rsid w:val="163E2DCC"/>
    <w:rsid w:val="1649189C"/>
    <w:rsid w:val="164C6A24"/>
    <w:rsid w:val="1651127E"/>
    <w:rsid w:val="17224B33"/>
    <w:rsid w:val="172A128B"/>
    <w:rsid w:val="17372983"/>
    <w:rsid w:val="17375EAB"/>
    <w:rsid w:val="175616EA"/>
    <w:rsid w:val="177D3823"/>
    <w:rsid w:val="178847A7"/>
    <w:rsid w:val="17D631C0"/>
    <w:rsid w:val="183F646C"/>
    <w:rsid w:val="185E2903"/>
    <w:rsid w:val="18B03A11"/>
    <w:rsid w:val="18B705C1"/>
    <w:rsid w:val="18BE612E"/>
    <w:rsid w:val="19597C05"/>
    <w:rsid w:val="19853F2F"/>
    <w:rsid w:val="199D1517"/>
    <w:rsid w:val="19B71E21"/>
    <w:rsid w:val="19C808E7"/>
    <w:rsid w:val="19CF4FDE"/>
    <w:rsid w:val="19D90D46"/>
    <w:rsid w:val="19E91E1C"/>
    <w:rsid w:val="19F63B01"/>
    <w:rsid w:val="1A3A47C3"/>
    <w:rsid w:val="1A726DC7"/>
    <w:rsid w:val="1A980BB8"/>
    <w:rsid w:val="1A9C0C83"/>
    <w:rsid w:val="1AB44CDE"/>
    <w:rsid w:val="1AB5530F"/>
    <w:rsid w:val="1ADC6D40"/>
    <w:rsid w:val="1AE752A4"/>
    <w:rsid w:val="1B1B5988"/>
    <w:rsid w:val="1B356450"/>
    <w:rsid w:val="1B4435C3"/>
    <w:rsid w:val="1B452D81"/>
    <w:rsid w:val="1B485552"/>
    <w:rsid w:val="1B525857"/>
    <w:rsid w:val="1BB54125"/>
    <w:rsid w:val="1BEB27DD"/>
    <w:rsid w:val="1C1918CE"/>
    <w:rsid w:val="1C3D6D64"/>
    <w:rsid w:val="1C3F526D"/>
    <w:rsid w:val="1C5547BB"/>
    <w:rsid w:val="1C80194D"/>
    <w:rsid w:val="1C8144EF"/>
    <w:rsid w:val="1C84143D"/>
    <w:rsid w:val="1CDF1D67"/>
    <w:rsid w:val="1CFF3108"/>
    <w:rsid w:val="1D387677"/>
    <w:rsid w:val="1D6F39FA"/>
    <w:rsid w:val="1E3E0603"/>
    <w:rsid w:val="1E542CD0"/>
    <w:rsid w:val="1E5F6FDE"/>
    <w:rsid w:val="1EF3191E"/>
    <w:rsid w:val="1F1D72AA"/>
    <w:rsid w:val="1F3D1AEC"/>
    <w:rsid w:val="1F657087"/>
    <w:rsid w:val="1F900DE4"/>
    <w:rsid w:val="1FA45952"/>
    <w:rsid w:val="1FDB6539"/>
    <w:rsid w:val="2009699D"/>
    <w:rsid w:val="20373892"/>
    <w:rsid w:val="20735702"/>
    <w:rsid w:val="20EA55E7"/>
    <w:rsid w:val="20F40EE8"/>
    <w:rsid w:val="21CA4D3D"/>
    <w:rsid w:val="220628F4"/>
    <w:rsid w:val="22602004"/>
    <w:rsid w:val="22A63C85"/>
    <w:rsid w:val="230E0951"/>
    <w:rsid w:val="231057D9"/>
    <w:rsid w:val="23225D32"/>
    <w:rsid w:val="235311C2"/>
    <w:rsid w:val="23751ADF"/>
    <w:rsid w:val="23891F50"/>
    <w:rsid w:val="23D97C30"/>
    <w:rsid w:val="23DE3EE7"/>
    <w:rsid w:val="23FA334A"/>
    <w:rsid w:val="24102D51"/>
    <w:rsid w:val="243547EE"/>
    <w:rsid w:val="243A0633"/>
    <w:rsid w:val="245763B9"/>
    <w:rsid w:val="25856F2C"/>
    <w:rsid w:val="258F200B"/>
    <w:rsid w:val="25DD69C0"/>
    <w:rsid w:val="25E44CFA"/>
    <w:rsid w:val="25E57382"/>
    <w:rsid w:val="261D1FBA"/>
    <w:rsid w:val="268166B9"/>
    <w:rsid w:val="26BE2EE1"/>
    <w:rsid w:val="276500BD"/>
    <w:rsid w:val="27682672"/>
    <w:rsid w:val="277327DA"/>
    <w:rsid w:val="27822A1D"/>
    <w:rsid w:val="279D33D4"/>
    <w:rsid w:val="27AA7420"/>
    <w:rsid w:val="27F30B19"/>
    <w:rsid w:val="28756647"/>
    <w:rsid w:val="2895052E"/>
    <w:rsid w:val="289F2ED1"/>
    <w:rsid w:val="28B44E58"/>
    <w:rsid w:val="28BF6247"/>
    <w:rsid w:val="28CD4B89"/>
    <w:rsid w:val="28DC08BE"/>
    <w:rsid w:val="28E374EB"/>
    <w:rsid w:val="28EE6DC7"/>
    <w:rsid w:val="290C07F0"/>
    <w:rsid w:val="290E452B"/>
    <w:rsid w:val="291D57A2"/>
    <w:rsid w:val="291E67ED"/>
    <w:rsid w:val="29685CA0"/>
    <w:rsid w:val="296D5007"/>
    <w:rsid w:val="29AD5164"/>
    <w:rsid w:val="2A261D85"/>
    <w:rsid w:val="2A3F4E5B"/>
    <w:rsid w:val="2A6614EF"/>
    <w:rsid w:val="2A74216C"/>
    <w:rsid w:val="2AEB2D76"/>
    <w:rsid w:val="2B1509B5"/>
    <w:rsid w:val="2B2636BF"/>
    <w:rsid w:val="2B2C0E3C"/>
    <w:rsid w:val="2B4017F0"/>
    <w:rsid w:val="2B4710F5"/>
    <w:rsid w:val="2B670420"/>
    <w:rsid w:val="2B6D12EE"/>
    <w:rsid w:val="2B703976"/>
    <w:rsid w:val="2B88437A"/>
    <w:rsid w:val="2BE912BD"/>
    <w:rsid w:val="2C025EDA"/>
    <w:rsid w:val="2C0A2F80"/>
    <w:rsid w:val="2C4C0C89"/>
    <w:rsid w:val="2C834C2F"/>
    <w:rsid w:val="2CBA556F"/>
    <w:rsid w:val="2CC71EFA"/>
    <w:rsid w:val="2CE16C6A"/>
    <w:rsid w:val="2CF732E7"/>
    <w:rsid w:val="2D064079"/>
    <w:rsid w:val="2D114186"/>
    <w:rsid w:val="2D3253FC"/>
    <w:rsid w:val="2D4D5DE2"/>
    <w:rsid w:val="2D527E81"/>
    <w:rsid w:val="2D9775AF"/>
    <w:rsid w:val="2DD6761F"/>
    <w:rsid w:val="2DFB7200"/>
    <w:rsid w:val="2E1B47E9"/>
    <w:rsid w:val="2E262354"/>
    <w:rsid w:val="2E310CF9"/>
    <w:rsid w:val="2E3F61D7"/>
    <w:rsid w:val="2E697834"/>
    <w:rsid w:val="2E7540FB"/>
    <w:rsid w:val="2E777EF1"/>
    <w:rsid w:val="2E871D01"/>
    <w:rsid w:val="2EAB5DC0"/>
    <w:rsid w:val="2ED8336B"/>
    <w:rsid w:val="2EE67D35"/>
    <w:rsid w:val="2F3675CE"/>
    <w:rsid w:val="2F8A6913"/>
    <w:rsid w:val="2FCE2A0E"/>
    <w:rsid w:val="30F92659"/>
    <w:rsid w:val="30FC45CB"/>
    <w:rsid w:val="31554CFE"/>
    <w:rsid w:val="315B2560"/>
    <w:rsid w:val="31A2252C"/>
    <w:rsid w:val="322F37CA"/>
    <w:rsid w:val="323A2127"/>
    <w:rsid w:val="3247650A"/>
    <w:rsid w:val="32532623"/>
    <w:rsid w:val="32842F50"/>
    <w:rsid w:val="329E61AE"/>
    <w:rsid w:val="32F522F5"/>
    <w:rsid w:val="33814D90"/>
    <w:rsid w:val="33AE1A4F"/>
    <w:rsid w:val="33C7466E"/>
    <w:rsid w:val="33D72119"/>
    <w:rsid w:val="34037AE5"/>
    <w:rsid w:val="345A3DD4"/>
    <w:rsid w:val="34945EFC"/>
    <w:rsid w:val="350601EF"/>
    <w:rsid w:val="350C08BE"/>
    <w:rsid w:val="3518688A"/>
    <w:rsid w:val="35D9587D"/>
    <w:rsid w:val="3601356B"/>
    <w:rsid w:val="366215FC"/>
    <w:rsid w:val="366F6862"/>
    <w:rsid w:val="368E4C10"/>
    <w:rsid w:val="36F11025"/>
    <w:rsid w:val="3717675C"/>
    <w:rsid w:val="373830F8"/>
    <w:rsid w:val="375A0B8A"/>
    <w:rsid w:val="376467E2"/>
    <w:rsid w:val="377F581F"/>
    <w:rsid w:val="37970BC0"/>
    <w:rsid w:val="37DA3320"/>
    <w:rsid w:val="383A0F13"/>
    <w:rsid w:val="388867A3"/>
    <w:rsid w:val="388D4D7E"/>
    <w:rsid w:val="38A81BB8"/>
    <w:rsid w:val="38B44A00"/>
    <w:rsid w:val="38B60778"/>
    <w:rsid w:val="38C23DE9"/>
    <w:rsid w:val="39840619"/>
    <w:rsid w:val="39B8407C"/>
    <w:rsid w:val="39C21412"/>
    <w:rsid w:val="3A573895"/>
    <w:rsid w:val="3AA82D49"/>
    <w:rsid w:val="3AE96BE3"/>
    <w:rsid w:val="3B853B83"/>
    <w:rsid w:val="3B871F58"/>
    <w:rsid w:val="3BA12C2C"/>
    <w:rsid w:val="3BB949C2"/>
    <w:rsid w:val="3BDE6599"/>
    <w:rsid w:val="3BE178BA"/>
    <w:rsid w:val="3C07719C"/>
    <w:rsid w:val="3C107ABB"/>
    <w:rsid w:val="3C6D2133"/>
    <w:rsid w:val="3C7E7E4E"/>
    <w:rsid w:val="3C8670FA"/>
    <w:rsid w:val="3C9E73CE"/>
    <w:rsid w:val="3CB7686D"/>
    <w:rsid w:val="3CC95387"/>
    <w:rsid w:val="3CE77152"/>
    <w:rsid w:val="3D667DA6"/>
    <w:rsid w:val="3D6A1DD7"/>
    <w:rsid w:val="3D6E1622"/>
    <w:rsid w:val="3D78424E"/>
    <w:rsid w:val="3DC30DA4"/>
    <w:rsid w:val="3DC324EF"/>
    <w:rsid w:val="3DE121C8"/>
    <w:rsid w:val="3DF00289"/>
    <w:rsid w:val="3E2B7676"/>
    <w:rsid w:val="3E2F0F92"/>
    <w:rsid w:val="3E3A2D82"/>
    <w:rsid w:val="3E3D10AA"/>
    <w:rsid w:val="3E41108D"/>
    <w:rsid w:val="3E43498D"/>
    <w:rsid w:val="3E497999"/>
    <w:rsid w:val="3E7569E0"/>
    <w:rsid w:val="3E824C4E"/>
    <w:rsid w:val="3ED4395B"/>
    <w:rsid w:val="3ED95C39"/>
    <w:rsid w:val="3EF52A93"/>
    <w:rsid w:val="3F0264C5"/>
    <w:rsid w:val="3F033FEC"/>
    <w:rsid w:val="3F0E1D80"/>
    <w:rsid w:val="3F6D6030"/>
    <w:rsid w:val="3F771D48"/>
    <w:rsid w:val="3F833052"/>
    <w:rsid w:val="3F8B767F"/>
    <w:rsid w:val="3FCC6AD3"/>
    <w:rsid w:val="40261A08"/>
    <w:rsid w:val="41056DCA"/>
    <w:rsid w:val="4115670A"/>
    <w:rsid w:val="41453F35"/>
    <w:rsid w:val="414F2722"/>
    <w:rsid w:val="415E7BFF"/>
    <w:rsid w:val="418B1795"/>
    <w:rsid w:val="41C06DDF"/>
    <w:rsid w:val="41EA3ED4"/>
    <w:rsid w:val="41EC0535"/>
    <w:rsid w:val="41F646C8"/>
    <w:rsid w:val="41FF4F3E"/>
    <w:rsid w:val="426B7DB5"/>
    <w:rsid w:val="42702D0D"/>
    <w:rsid w:val="433A58CA"/>
    <w:rsid w:val="4369676F"/>
    <w:rsid w:val="444906F3"/>
    <w:rsid w:val="444B446B"/>
    <w:rsid w:val="44692B43"/>
    <w:rsid w:val="44757F5F"/>
    <w:rsid w:val="44BF2B1E"/>
    <w:rsid w:val="44F512D3"/>
    <w:rsid w:val="44F901B8"/>
    <w:rsid w:val="45101210"/>
    <w:rsid w:val="45394F29"/>
    <w:rsid w:val="45520DDD"/>
    <w:rsid w:val="460413C2"/>
    <w:rsid w:val="463F5721"/>
    <w:rsid w:val="467F0B35"/>
    <w:rsid w:val="46884147"/>
    <w:rsid w:val="46942157"/>
    <w:rsid w:val="46C92DA7"/>
    <w:rsid w:val="46CF6D9E"/>
    <w:rsid w:val="46DB13AA"/>
    <w:rsid w:val="46E2182B"/>
    <w:rsid w:val="47354F5E"/>
    <w:rsid w:val="47501D98"/>
    <w:rsid w:val="47555600"/>
    <w:rsid w:val="47941C85"/>
    <w:rsid w:val="47A367A5"/>
    <w:rsid w:val="47CF0F0F"/>
    <w:rsid w:val="47DD7AD0"/>
    <w:rsid w:val="481C0CDA"/>
    <w:rsid w:val="481C26D0"/>
    <w:rsid w:val="483C13E8"/>
    <w:rsid w:val="484F03D9"/>
    <w:rsid w:val="485B1AC3"/>
    <w:rsid w:val="488548FE"/>
    <w:rsid w:val="494D7754"/>
    <w:rsid w:val="496D6C31"/>
    <w:rsid w:val="49703C69"/>
    <w:rsid w:val="49787384"/>
    <w:rsid w:val="49AB2348"/>
    <w:rsid w:val="49BB5EC8"/>
    <w:rsid w:val="49CF085F"/>
    <w:rsid w:val="49D50C31"/>
    <w:rsid w:val="49F25388"/>
    <w:rsid w:val="49F36EFC"/>
    <w:rsid w:val="4A0A1282"/>
    <w:rsid w:val="4A1457F6"/>
    <w:rsid w:val="4A273284"/>
    <w:rsid w:val="4A34774F"/>
    <w:rsid w:val="4A36789C"/>
    <w:rsid w:val="4A5625D5"/>
    <w:rsid w:val="4ADB717D"/>
    <w:rsid w:val="4AF61407"/>
    <w:rsid w:val="4AF95B02"/>
    <w:rsid w:val="4B6B0329"/>
    <w:rsid w:val="4B752EB3"/>
    <w:rsid w:val="4B9235DD"/>
    <w:rsid w:val="4BB14F94"/>
    <w:rsid w:val="4C1E53FF"/>
    <w:rsid w:val="4C325F10"/>
    <w:rsid w:val="4C567E51"/>
    <w:rsid w:val="4C9D4B51"/>
    <w:rsid w:val="4CD17A13"/>
    <w:rsid w:val="4CE2572F"/>
    <w:rsid w:val="4D111FCA"/>
    <w:rsid w:val="4D785BA5"/>
    <w:rsid w:val="4D856A80"/>
    <w:rsid w:val="4D861AC1"/>
    <w:rsid w:val="4DA644C0"/>
    <w:rsid w:val="4DAC7255"/>
    <w:rsid w:val="4DB82445"/>
    <w:rsid w:val="4E1911B1"/>
    <w:rsid w:val="4E1A6C5C"/>
    <w:rsid w:val="4E742810"/>
    <w:rsid w:val="4E8406DF"/>
    <w:rsid w:val="4EB34FD5"/>
    <w:rsid w:val="4ECB10AD"/>
    <w:rsid w:val="4F2C57AC"/>
    <w:rsid w:val="4F3B1CA9"/>
    <w:rsid w:val="4F532425"/>
    <w:rsid w:val="4F6035BE"/>
    <w:rsid w:val="4F9750D0"/>
    <w:rsid w:val="4FC450D1"/>
    <w:rsid w:val="50451AA5"/>
    <w:rsid w:val="5058468B"/>
    <w:rsid w:val="506728BF"/>
    <w:rsid w:val="50946380"/>
    <w:rsid w:val="50B44BCD"/>
    <w:rsid w:val="50BF2B46"/>
    <w:rsid w:val="511B3417"/>
    <w:rsid w:val="51A52CE0"/>
    <w:rsid w:val="51EE3667"/>
    <w:rsid w:val="521A722A"/>
    <w:rsid w:val="522105B9"/>
    <w:rsid w:val="52662470"/>
    <w:rsid w:val="527B5D61"/>
    <w:rsid w:val="528B6556"/>
    <w:rsid w:val="52AF02BB"/>
    <w:rsid w:val="5305587F"/>
    <w:rsid w:val="5320443E"/>
    <w:rsid w:val="534F1156"/>
    <w:rsid w:val="53987432"/>
    <w:rsid w:val="539B202B"/>
    <w:rsid w:val="53AB7010"/>
    <w:rsid w:val="53DF4E8D"/>
    <w:rsid w:val="54214663"/>
    <w:rsid w:val="542B6C7C"/>
    <w:rsid w:val="544931CE"/>
    <w:rsid w:val="545D78A2"/>
    <w:rsid w:val="54A82672"/>
    <w:rsid w:val="54B52D8E"/>
    <w:rsid w:val="54D20FEB"/>
    <w:rsid w:val="54F71AA5"/>
    <w:rsid w:val="555845FA"/>
    <w:rsid w:val="55647990"/>
    <w:rsid w:val="557B2A48"/>
    <w:rsid w:val="55913CA7"/>
    <w:rsid w:val="55F43388"/>
    <w:rsid w:val="55F54236"/>
    <w:rsid w:val="56116A28"/>
    <w:rsid w:val="562C577E"/>
    <w:rsid w:val="567C14AD"/>
    <w:rsid w:val="56AD0EF0"/>
    <w:rsid w:val="56DE5FF8"/>
    <w:rsid w:val="57243623"/>
    <w:rsid w:val="574F5BC8"/>
    <w:rsid w:val="57957978"/>
    <w:rsid w:val="57DD2635"/>
    <w:rsid w:val="57F77222"/>
    <w:rsid w:val="58005114"/>
    <w:rsid w:val="5830416E"/>
    <w:rsid w:val="58682C37"/>
    <w:rsid w:val="586B4D4E"/>
    <w:rsid w:val="58D02C46"/>
    <w:rsid w:val="58F018CD"/>
    <w:rsid w:val="58FD0138"/>
    <w:rsid w:val="596411B7"/>
    <w:rsid w:val="597C70DF"/>
    <w:rsid w:val="597FB382"/>
    <w:rsid w:val="5A22286F"/>
    <w:rsid w:val="5A3E0872"/>
    <w:rsid w:val="5A875679"/>
    <w:rsid w:val="5AFB02E5"/>
    <w:rsid w:val="5B3D3F8A"/>
    <w:rsid w:val="5B746998"/>
    <w:rsid w:val="5B8A0684"/>
    <w:rsid w:val="5B97362C"/>
    <w:rsid w:val="5BCF5AE5"/>
    <w:rsid w:val="5BCF63A9"/>
    <w:rsid w:val="5BD96062"/>
    <w:rsid w:val="5C044F83"/>
    <w:rsid w:val="5C2876ED"/>
    <w:rsid w:val="5C732DF1"/>
    <w:rsid w:val="5CD454C4"/>
    <w:rsid w:val="5D2E52D2"/>
    <w:rsid w:val="5D3F1240"/>
    <w:rsid w:val="5D4B16EB"/>
    <w:rsid w:val="5D4C2523"/>
    <w:rsid w:val="5D763B29"/>
    <w:rsid w:val="5DEC06A6"/>
    <w:rsid w:val="5E1B4A56"/>
    <w:rsid w:val="5E3D12FD"/>
    <w:rsid w:val="5E781BA7"/>
    <w:rsid w:val="5E7E7714"/>
    <w:rsid w:val="5E8A398A"/>
    <w:rsid w:val="5EAC0EC7"/>
    <w:rsid w:val="5F135BF0"/>
    <w:rsid w:val="5F6F255C"/>
    <w:rsid w:val="5F750196"/>
    <w:rsid w:val="5F8B6721"/>
    <w:rsid w:val="5FA55E0F"/>
    <w:rsid w:val="5FCA7895"/>
    <w:rsid w:val="5FF14274"/>
    <w:rsid w:val="5FF56F03"/>
    <w:rsid w:val="602003E1"/>
    <w:rsid w:val="60366F9A"/>
    <w:rsid w:val="60457B68"/>
    <w:rsid w:val="60714B3F"/>
    <w:rsid w:val="60C30678"/>
    <w:rsid w:val="614134B7"/>
    <w:rsid w:val="619E5234"/>
    <w:rsid w:val="61E67129"/>
    <w:rsid w:val="620713E0"/>
    <w:rsid w:val="62080687"/>
    <w:rsid w:val="62157A0E"/>
    <w:rsid w:val="621B4377"/>
    <w:rsid w:val="625F466F"/>
    <w:rsid w:val="6288488F"/>
    <w:rsid w:val="62944DD7"/>
    <w:rsid w:val="62EC7001"/>
    <w:rsid w:val="62FA31E4"/>
    <w:rsid w:val="63A701C6"/>
    <w:rsid w:val="63DC25CA"/>
    <w:rsid w:val="63ED1EFD"/>
    <w:rsid w:val="64032214"/>
    <w:rsid w:val="641307EF"/>
    <w:rsid w:val="642415E8"/>
    <w:rsid w:val="6432241B"/>
    <w:rsid w:val="6470717E"/>
    <w:rsid w:val="65075D34"/>
    <w:rsid w:val="650B7121"/>
    <w:rsid w:val="6537031E"/>
    <w:rsid w:val="65893C4A"/>
    <w:rsid w:val="65917D54"/>
    <w:rsid w:val="65C26CF0"/>
    <w:rsid w:val="663B3EC9"/>
    <w:rsid w:val="663B78AA"/>
    <w:rsid w:val="663E5786"/>
    <w:rsid w:val="66A8607A"/>
    <w:rsid w:val="66D9725C"/>
    <w:rsid w:val="66E46B0C"/>
    <w:rsid w:val="67114C48"/>
    <w:rsid w:val="673954BF"/>
    <w:rsid w:val="684F6624"/>
    <w:rsid w:val="685634BA"/>
    <w:rsid w:val="68814582"/>
    <w:rsid w:val="68A5554E"/>
    <w:rsid w:val="68AF296B"/>
    <w:rsid w:val="68C63810"/>
    <w:rsid w:val="69002550"/>
    <w:rsid w:val="6908782E"/>
    <w:rsid w:val="692C1198"/>
    <w:rsid w:val="692D4297"/>
    <w:rsid w:val="695A24C7"/>
    <w:rsid w:val="69777056"/>
    <w:rsid w:val="69A320DB"/>
    <w:rsid w:val="69E9497D"/>
    <w:rsid w:val="69F735DF"/>
    <w:rsid w:val="6A0E23A4"/>
    <w:rsid w:val="6A2C1D99"/>
    <w:rsid w:val="6A3053E5"/>
    <w:rsid w:val="6A572F4E"/>
    <w:rsid w:val="6AC95443"/>
    <w:rsid w:val="6AED32D6"/>
    <w:rsid w:val="6AF6040F"/>
    <w:rsid w:val="6B142191"/>
    <w:rsid w:val="6B460C38"/>
    <w:rsid w:val="6B5C494D"/>
    <w:rsid w:val="6B7925B5"/>
    <w:rsid w:val="6B8A3B8B"/>
    <w:rsid w:val="6B910106"/>
    <w:rsid w:val="6B99345E"/>
    <w:rsid w:val="6BBB571F"/>
    <w:rsid w:val="6BD00E44"/>
    <w:rsid w:val="6BE57508"/>
    <w:rsid w:val="6C01662D"/>
    <w:rsid w:val="6C303DC2"/>
    <w:rsid w:val="6C343182"/>
    <w:rsid w:val="6C570B12"/>
    <w:rsid w:val="6C6E172D"/>
    <w:rsid w:val="6C6F1F0C"/>
    <w:rsid w:val="6C8A51B4"/>
    <w:rsid w:val="6C9D6941"/>
    <w:rsid w:val="6CB71354"/>
    <w:rsid w:val="6CE8644B"/>
    <w:rsid w:val="6D5C4EB1"/>
    <w:rsid w:val="6D5D0BE7"/>
    <w:rsid w:val="6D706919"/>
    <w:rsid w:val="6DAA61A6"/>
    <w:rsid w:val="6E023DEF"/>
    <w:rsid w:val="6E245261"/>
    <w:rsid w:val="6E3A4180"/>
    <w:rsid w:val="6E6C4E5A"/>
    <w:rsid w:val="6E934195"/>
    <w:rsid w:val="6EBC584B"/>
    <w:rsid w:val="6EC920A2"/>
    <w:rsid w:val="6ED8604B"/>
    <w:rsid w:val="6F103A37"/>
    <w:rsid w:val="6F303077"/>
    <w:rsid w:val="6F4F184A"/>
    <w:rsid w:val="6FED4B97"/>
    <w:rsid w:val="6FF808C2"/>
    <w:rsid w:val="704C188D"/>
    <w:rsid w:val="705760E4"/>
    <w:rsid w:val="709C729C"/>
    <w:rsid w:val="709F749C"/>
    <w:rsid w:val="70B422BC"/>
    <w:rsid w:val="70CC398E"/>
    <w:rsid w:val="710542A6"/>
    <w:rsid w:val="712E788F"/>
    <w:rsid w:val="715B6882"/>
    <w:rsid w:val="71705627"/>
    <w:rsid w:val="71791D68"/>
    <w:rsid w:val="71F35233"/>
    <w:rsid w:val="7204126D"/>
    <w:rsid w:val="72113223"/>
    <w:rsid w:val="721A0E24"/>
    <w:rsid w:val="72293E38"/>
    <w:rsid w:val="72486967"/>
    <w:rsid w:val="72501F3C"/>
    <w:rsid w:val="72555F92"/>
    <w:rsid w:val="72A844DC"/>
    <w:rsid w:val="72EC6569"/>
    <w:rsid w:val="73B250BD"/>
    <w:rsid w:val="73C900FE"/>
    <w:rsid w:val="74015E5E"/>
    <w:rsid w:val="741A6689"/>
    <w:rsid w:val="74312486"/>
    <w:rsid w:val="7492049D"/>
    <w:rsid w:val="74A368C7"/>
    <w:rsid w:val="74AC7D5E"/>
    <w:rsid w:val="74B06C7C"/>
    <w:rsid w:val="74B53F65"/>
    <w:rsid w:val="74C140F7"/>
    <w:rsid w:val="74C341DC"/>
    <w:rsid w:val="74E0561E"/>
    <w:rsid w:val="751122B7"/>
    <w:rsid w:val="7532247A"/>
    <w:rsid w:val="75C64E50"/>
    <w:rsid w:val="75CD2682"/>
    <w:rsid w:val="75F15887"/>
    <w:rsid w:val="760068C4"/>
    <w:rsid w:val="76171B4F"/>
    <w:rsid w:val="761F1C63"/>
    <w:rsid w:val="764015B2"/>
    <w:rsid w:val="7657143C"/>
    <w:rsid w:val="76602B50"/>
    <w:rsid w:val="76683644"/>
    <w:rsid w:val="7686333B"/>
    <w:rsid w:val="76900276"/>
    <w:rsid w:val="76BF7680"/>
    <w:rsid w:val="77226D00"/>
    <w:rsid w:val="77352372"/>
    <w:rsid w:val="77843BFC"/>
    <w:rsid w:val="77C80239"/>
    <w:rsid w:val="7802047D"/>
    <w:rsid w:val="785C2CA0"/>
    <w:rsid w:val="786036DF"/>
    <w:rsid w:val="78AC6276"/>
    <w:rsid w:val="790F182A"/>
    <w:rsid w:val="7A374EF3"/>
    <w:rsid w:val="7A4D63C6"/>
    <w:rsid w:val="7AFB43BB"/>
    <w:rsid w:val="7B3B62E0"/>
    <w:rsid w:val="7B4837F7"/>
    <w:rsid w:val="7B6E57C0"/>
    <w:rsid w:val="7B7610C6"/>
    <w:rsid w:val="7B762E74"/>
    <w:rsid w:val="7BBD4CE2"/>
    <w:rsid w:val="7C1633B4"/>
    <w:rsid w:val="7C7620C0"/>
    <w:rsid w:val="7CB2518A"/>
    <w:rsid w:val="7CBC110D"/>
    <w:rsid w:val="7D527B23"/>
    <w:rsid w:val="7D8E349D"/>
    <w:rsid w:val="7DBD14E3"/>
    <w:rsid w:val="7E394D59"/>
    <w:rsid w:val="7E5864C0"/>
    <w:rsid w:val="7E9A331D"/>
    <w:rsid w:val="7EBF2EFE"/>
    <w:rsid w:val="7F242264"/>
    <w:rsid w:val="7F8C2C66"/>
    <w:rsid w:val="7FB56661"/>
    <w:rsid w:val="7FBD72C3"/>
    <w:rsid w:val="7FCF0B3D"/>
    <w:rsid w:val="7FDF6BD9"/>
    <w:rsid w:val="7FE02FB2"/>
    <w:rsid w:val="E6C8F15E"/>
    <w:rsid w:val="F7AF7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numPr>
        <w:ilvl w:val="0"/>
        <w:numId w:val="1"/>
      </w:numPr>
      <w:spacing w:line="240" w:lineRule="auto"/>
      <w:ind w:left="431" w:hanging="431"/>
      <w:jc w:val="center"/>
      <w:outlineLvl w:val="0"/>
    </w:pPr>
    <w:rPr>
      <w:rFonts w:eastAsia="黑体" w:asciiTheme="minorAscii" w:hAnsiTheme="minorAscii"/>
      <w:b/>
      <w:kern w:val="44"/>
      <w:sz w:val="30"/>
    </w:rPr>
  </w:style>
  <w:style w:type="paragraph" w:styleId="3">
    <w:name w:val="heading 2"/>
    <w:basedOn w:val="1"/>
    <w:next w:val="1"/>
    <w:unhideWhenUsed/>
    <w:qFormat/>
    <w:uiPriority w:val="0"/>
    <w:pPr>
      <w:numPr>
        <w:ilvl w:val="1"/>
        <w:numId w:val="1"/>
      </w:numPr>
      <w:ind w:firstLineChars="0"/>
      <w:outlineLvl w:val="1"/>
    </w:pPr>
    <w:rPr>
      <w:b/>
      <w:szCs w:val="30"/>
    </w:rPr>
  </w:style>
  <w:style w:type="paragraph" w:styleId="4">
    <w:name w:val="heading 3"/>
    <w:basedOn w:val="3"/>
    <w:next w:val="5"/>
    <w:unhideWhenUsed/>
    <w:qFormat/>
    <w:uiPriority w:val="0"/>
    <w:pPr>
      <w:numPr>
        <w:ilvl w:val="2"/>
      </w:numPr>
      <w:ind w:left="0" w:firstLine="0"/>
      <w:outlineLvl w:val="2"/>
    </w:pPr>
  </w:style>
  <w:style w:type="paragraph" w:styleId="6">
    <w:name w:val="heading 4"/>
    <w:basedOn w:val="4"/>
    <w:next w:val="5"/>
    <w:unhideWhenUsed/>
    <w:qFormat/>
    <w:uiPriority w:val="0"/>
    <w:pPr>
      <w:numPr>
        <w:ilvl w:val="3"/>
      </w:numPr>
      <w:ind w:firstLine="0"/>
      <w:jc w:val="both"/>
      <w:outlineLvl w:val="3"/>
    </w:pPr>
  </w:style>
  <w:style w:type="paragraph" w:styleId="7">
    <w:name w:val="heading 5"/>
    <w:basedOn w:val="6"/>
    <w:next w:val="5"/>
    <w:unhideWhenUsed/>
    <w:qFormat/>
    <w:uiPriority w:val="0"/>
    <w:pPr>
      <w:keepNext/>
      <w:keepLines/>
      <w:numPr>
        <w:ilvl w:val="4"/>
      </w:numPr>
      <w:outlineLvl w:val="4"/>
    </w:pPr>
  </w:style>
  <w:style w:type="paragraph" w:styleId="8">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rPr>
  </w:style>
  <w:style w:type="paragraph" w:styleId="9">
    <w:name w:val="heading 7"/>
    <w:basedOn w:val="1"/>
    <w:next w:val="1"/>
    <w:semiHidden/>
    <w:unhideWhenUsed/>
    <w:qFormat/>
    <w:uiPriority w:val="0"/>
    <w:pPr>
      <w:keepNext/>
      <w:keepLines/>
      <w:numPr>
        <w:ilvl w:val="6"/>
        <w:numId w:val="1"/>
      </w:numPr>
      <w:spacing w:before="240" w:after="64" w:line="317" w:lineRule="auto"/>
      <w:outlineLvl w:val="6"/>
    </w:pPr>
    <w:rPr>
      <w:b/>
    </w:rPr>
  </w:style>
  <w:style w:type="paragraph" w:styleId="10">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sz w:val="21"/>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5">
    <w:name w:val="报告表内正文"/>
    <w:basedOn w:val="1"/>
    <w:link w:val="18"/>
    <w:qFormat/>
    <w:uiPriority w:val="0"/>
    <w:pPr>
      <w:ind w:firstLine="720" w:firstLineChars="200"/>
      <w:jc w:val="both"/>
    </w:pPr>
    <w:rPr>
      <w:rFonts w:hint="eastAsia" w:ascii="Times New Roman" w:hAnsi="Times New Roman" w:eastAsia="宋体"/>
    </w:rPr>
  </w:style>
  <w:style w:type="paragraph" w:styleId="12">
    <w:name w:val="caption"/>
    <w:basedOn w:val="1"/>
    <w:next w:val="1"/>
    <w:link w:val="25"/>
    <w:unhideWhenUsed/>
    <w:qFormat/>
    <w:uiPriority w:val="0"/>
    <w:pPr>
      <w:spacing w:line="240" w:lineRule="auto"/>
      <w:jc w:val="center"/>
      <w:outlineLvl w:val="4"/>
    </w:pPr>
    <w:rPr>
      <w:rFonts w:eastAsia="黑体"/>
      <w:b/>
      <w:sz w:val="21"/>
      <w:szCs w:val="21"/>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pPr>
      <w:widowControl/>
      <w:spacing w:before="100" w:beforeAutospacing="1" w:after="100" w:afterAutospacing="1"/>
    </w:pPr>
    <w:rPr>
      <w:rFonts w:ascii="宋体" w:hAnsi="宋体"/>
      <w:kern w:val="0"/>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报告表内正文 Char"/>
    <w:link w:val="5"/>
    <w:qFormat/>
    <w:uiPriority w:val="0"/>
    <w:rPr>
      <w:rFonts w:hint="eastAsia" w:ascii="Times New Roman" w:hAnsi="Times New Roman" w:eastAsia="宋体" w:cs="Times New Roman"/>
    </w:rPr>
  </w:style>
  <w:style w:type="paragraph" w:customStyle="1" w:styleId="19">
    <w:name w:val="报告表中表"/>
    <w:basedOn w:val="1"/>
    <w:link w:val="22"/>
    <w:qFormat/>
    <w:uiPriority w:val="0"/>
    <w:pPr>
      <w:spacing w:line="240" w:lineRule="auto"/>
      <w:jc w:val="center"/>
    </w:pPr>
    <w:rPr>
      <w:rFonts w:ascii="Times New Roman" w:hAnsi="Times New Roman" w:eastAsia="宋体"/>
      <w:color w:val="000000"/>
      <w:kern w:val="0"/>
      <w:sz w:val="21"/>
      <w:szCs w:val="21"/>
    </w:rPr>
  </w:style>
  <w:style w:type="paragraph" w:customStyle="1" w:styleId="20">
    <w:name w:val="图表后"/>
    <w:basedOn w:val="1"/>
    <w:next w:val="5"/>
    <w:qFormat/>
    <w:uiPriority w:val="0"/>
    <w:pPr>
      <w:spacing w:line="240" w:lineRule="auto"/>
    </w:pPr>
    <w:rPr>
      <w:sz w:val="21"/>
    </w:rPr>
  </w:style>
  <w:style w:type="paragraph" w:customStyle="1" w:styleId="21">
    <w:name w:val="表中文字"/>
    <w:next w:val="1"/>
    <w:qFormat/>
    <w:uiPriority w:val="0"/>
    <w:pPr>
      <w:jc w:val="center"/>
    </w:pPr>
    <w:rPr>
      <w:rFonts w:ascii="Times New Roman" w:hAnsi="Times New Roman" w:eastAsia="宋体" w:cstheme="minorBidi"/>
      <w:color w:val="000000"/>
      <w:kern w:val="2"/>
      <w:sz w:val="21"/>
      <w:szCs w:val="24"/>
      <w:lang w:val="en-US" w:eastAsia="zh-CN" w:bidi="ar-SA"/>
    </w:rPr>
  </w:style>
  <w:style w:type="character" w:customStyle="1" w:styleId="22">
    <w:name w:val="报告表中表 Char"/>
    <w:link w:val="19"/>
    <w:qFormat/>
    <w:uiPriority w:val="0"/>
    <w:rPr>
      <w:rFonts w:ascii="Times New Roman" w:hAnsi="Times New Roman" w:eastAsia="宋体" w:cs="Times New Roman"/>
      <w:color w:val="000000"/>
      <w:kern w:val="0"/>
      <w:sz w:val="21"/>
      <w:szCs w:val="21"/>
      <w:lang w:val="en-US" w:eastAsia="zh-CN" w:bidi="ar-SA"/>
    </w:rPr>
  </w:style>
  <w:style w:type="paragraph" w:customStyle="1" w:styleId="23">
    <w:name w:val="官网排污量汇总表"/>
    <w:basedOn w:val="1"/>
    <w:next w:val="1"/>
    <w:qFormat/>
    <w:uiPriority w:val="0"/>
    <w:pPr>
      <w:spacing w:before="10" w:beforeLines="10" w:after="10" w:afterLines="10" w:line="259" w:lineRule="auto"/>
      <w:jc w:val="center"/>
    </w:pPr>
    <w:rPr>
      <w:rFonts w:ascii="宋体" w:hAnsi="宋体"/>
      <w:kern w:val="0"/>
      <w:szCs w:val="20"/>
    </w:rPr>
  </w:style>
  <w:style w:type="table" w:customStyle="1" w:styleId="24">
    <w:name w:val="Table Normal"/>
    <w:semiHidden/>
    <w:unhideWhenUsed/>
    <w:qFormat/>
    <w:uiPriority w:val="0"/>
    <w:tblPr>
      <w:tblCellMar>
        <w:top w:w="0" w:type="dxa"/>
        <w:left w:w="0" w:type="dxa"/>
        <w:bottom w:w="0" w:type="dxa"/>
        <w:right w:w="0" w:type="dxa"/>
      </w:tblCellMar>
    </w:tblPr>
  </w:style>
  <w:style w:type="character" w:customStyle="1" w:styleId="25">
    <w:name w:val="题注 Char"/>
    <w:link w:val="12"/>
    <w:qFormat/>
    <w:uiPriority w:val="0"/>
    <w:rPr>
      <w:rFonts w:eastAsia="黑体"/>
      <w:b/>
      <w:sz w:val="21"/>
      <w:szCs w:val="21"/>
    </w:rPr>
  </w:style>
  <w:style w:type="table" w:customStyle="1" w:styleId="26">
    <w:name w:val="网格型浅色1"/>
    <w:basedOn w:val="15"/>
    <w:qFormat/>
    <w:uiPriority w:val="40"/>
    <w:pPr>
      <w:jc w:val="center"/>
    </w:pPr>
    <w:tblPr>
      <w:jc w:val="center"/>
      <w:tblBorders>
        <w:top w:val="single" w:color="7030A0" w:sz="12" w:space="0"/>
        <w:bottom w:val="single" w:color="7030A0" w:sz="12" w:space="0"/>
        <w:insideH w:val="single" w:color="7030A0" w:sz="6" w:space="0"/>
        <w:insideV w:val="single" w:color="7030A0" w:sz="6" w:space="0"/>
      </w:tblBorders>
      <w:tblCellMar>
        <w:left w:w="0" w:type="dxa"/>
        <w:right w:w="0" w:type="dxa"/>
      </w:tblCellMar>
    </w:tblPr>
    <w:trPr>
      <w:jc w:val="center"/>
    </w:trPr>
    <w:tcPr>
      <w:shd w:val="clear" w:color="auto" w:fill="auto"/>
      <w:vAlign w:val="center"/>
    </w:tcPr>
  </w:style>
  <w:style w:type="table" w:customStyle="1" w:styleId="27">
    <w:name w:val="Grid Table Light"/>
    <w:basedOn w:val="15"/>
    <w:qFormat/>
    <w:uiPriority w:val="40"/>
    <w:pPr>
      <w:jc w:val="center"/>
    </w:pPr>
    <w:rPr>
      <w:rFonts w:ascii="Times New Roman" w:hAnsi="Times New Roman"/>
    </w:rPr>
    <w:tblPr>
      <w:tblBorders>
        <w:top w:val="single" w:color="7030A0" w:sz="2" w:space="0"/>
        <w:bottom w:val="single" w:color="7030A0" w:sz="2" w:space="0"/>
        <w:insideH w:val="single" w:color="7030A0" w:sz="2" w:space="0"/>
        <w:insideV w:val="single" w:color="7030A0" w:sz="2" w:space="0"/>
      </w:tblBorders>
      <w:tblCellMar>
        <w:left w:w="0" w:type="dxa"/>
        <w:right w:w="0" w:type="dxa"/>
      </w:tblCellMar>
    </w:tblPr>
    <w:tcPr>
      <w:shd w:val="clear" w:color="auto" w:fill="auto"/>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30b1d2dd-8b96-43b6-856d-5f07fd30efe9</errorID>
      <errorWord> </errorWord>
      <group>L1_Word</group>
      <groupName>字词问题</groupName>
      <ability>L2_Typo</ability>
      <abilityName>字词错误</abilityName>
      <candidateList>
        <item>☑</item>
      </candidateList>
      <explain/>
      <paraID>1A747ADE</paraID>
      <start>0</start>
      <end>1</end>
      <status>ignored</status>
      <modifiedWord/>
      <trackRevisions>false</trackRevisions>
    </reviewItem>
    <reviewItem>
      <errorID>029f8494-3486-4a6f-9db2-1ff1cfa31df2</errorID>
      <errorWord>1</errorWord>
      <group>L1_Punc</group>
      <groupName>标点问题</groupName>
      <ability>L2_Punc_CN</ability>
      <abilityName>标点符号问题</abilityName>
      <candidateList>
        <item>（1）</item>
      </candidateList>
      <explain/>
      <paraID>5416DCFE</paraID>
      <start>12</start>
      <end>13</end>
      <status>unmodified</status>
      <modifiedWord/>
      <trackRevisions>false</trackRevisions>
    </reviewItem>
    <reviewItem>
      <errorID>f5a32b02-f9af-4ac2-ba97-3a04504f1490</errorID>
      <errorWord>、二噁英、苯并﹝a﹞芘、氰化物、氯气等</errorWord>
      <group>L1_Punc</group>
      <groupName>标点问题</groupName>
      <ability>L2_Punc_CN</ability>
      <abilityName>标点符号问题</abilityName>
      <candidateList>
        <item>（如二噁英、苯并﹝a﹞芘、氰化物、氯气等）</item>
      </candidateList>
      <explain/>
      <paraID>473AB9A9</paraID>
      <start>37</start>
      <end>56</end>
      <status>ignored</status>
      <modifiedWord/>
      <trackRevisions>false</trackRevisions>
    </reviewItem>
    <reviewItem>
      <errorID>4ee40526-656e-4f31-9058-16b7da815e92</errorID>
      <errorWord>建设项目生态环境影响报告表编制技术指南（污染影响类）</errorWord>
      <group>L1_Punc</group>
      <groupName>标点问题</groupName>
      <ability>L2_Punc_CN</ability>
      <abilityName>标点符号问题</abilityName>
      <candidateList>
        <item>《建设项目生态环境影响报告表编制技术指南（污染影响类）》</item>
      </candidateList>
      <explain/>
      <paraID>75ED1380</paraID>
      <start>24</start>
      <end>50</end>
      <status>unmodified</status>
      <modifiedWord/>
      <trackRevisions>false</trackRevisions>
    </reviewItem>
    <reviewItem>
      <errorID>36452eac-1759-4f1f-aeda-6cdfc99aa2a9</errorID>
      <errorWord>；</errorWord>
      <group>L1_Punc</group>
      <groupName>标点问题</groupName>
      <ability>L2_Punc_CN</ability>
      <abilityName>标点符号问题</abilityName>
      <candidateList>
        <item>。</item>
      </candidateList>
      <explain/>
      <paraID>333D68CA</paraID>
      <start>156</start>
      <end>157</end>
      <status>unmodified</status>
      <modifiedWord/>
      <trackRevisions>false</trackRevisions>
    </reviewItem>
    <reviewItem>
      <errorID>49c5d46b-5d02-49ac-baeb-c48cfce84dba</errorID>
      <errorWord>对</errorWord>
      <group>L1_Grammar</group>
      <groupName>语法问题</groupName>
      <ability>L2_Grammar</ability>
      <abilityName>语法错误</abilityName>
      <candidateList>
        <item>政策，对</item>
      </candidateList>
      <explain/>
      <paraID>1A8EE4F8</paraID>
      <start>24</start>
      <end>25</end>
      <status>ignored</status>
      <modifiedWord/>
      <trackRevisions>false</trackRevisions>
    </reviewItem>
    <reviewItem>
      <errorID>ab945cf1-c3b9-4895-8156-2ac9580b9a20</errorID>
      <errorWord>上线</errorWord>
      <group>L1_Word</group>
      <groupName>字词问题</groupName>
      <ability>L2_Typo</ability>
      <abilityName>字词错误</abilityName>
      <candidateList>
        <item>上限</item>
      </candidateList>
      <explain>存在发音相同字词的误用。</explain>
      <paraID>37D1CEDC</paraID>
      <start>4</start>
      <end>6</end>
      <status>ignored</status>
      <modifiedWord/>
      <trackRevisions>false</trackRevisions>
    </reviewItem>
    <reviewItem>
      <errorID>6bfec6fd-e787-4914-8ef6-d74eafc96bb1</errorID>
      <errorWord>自治州</errorWord>
      <group>L1_Word</group>
      <groupName>字词问题</groupName>
      <ability>L2_Typo</ability>
      <abilityName>字词错误</abilityName>
      <candidateList>
        <item>在自治州</item>
      </candidateList>
      <explain/>
      <paraID>5D127151</paraID>
      <start>137</start>
      <end>140</end>
      <status>unmodified</status>
      <modifiedWord/>
      <trackRevisions>false</trackRevisions>
    </reviewItem>
    <reviewItem>
      <errorID>24194057-c8be-49b9-8a44-a600dc2ef674</errorID>
      <errorWord>列入国家</errorWord>
      <group>L1_Grammar</group>
      <groupName>语法问题</groupName>
      <ability>L2_Grammar</ability>
      <abilityName>语法错误</abilityName>
      <candidateList>
        <item>列入</item>
      </candidateList>
      <explain/>
      <paraID>4D8ECEE7</paraID>
      <start>70</start>
      <end>74</end>
      <status>ignored</status>
      <modifiedWord/>
      <trackRevisions>false</trackRevisions>
    </reviewItem>
    <reviewItem>
      <errorID>79573c8b-5212-4fa3-ac0b-d482d2800094</errorID>
      <errorWord>排放</errorWord>
      <group>L1_Punc</group>
      <groupName>标点问题</groupName>
      <ability>L2_Punc_CN</ability>
      <abilityName>标点符号问题</abilityName>
      <candidateList>
        <item>排放。</item>
      </candidateList>
      <explain/>
      <paraID>702659A7</paraID>
      <start>10</start>
      <end>12</end>
      <status>unmodified</status>
      <modifiedWord/>
      <trackRevisions>false</trackRevisions>
    </reviewItem>
    <reviewItem>
      <errorID>6c97670d-0d03-43c1-b4b7-228259166936</errorID>
      <errorWord>；</errorWord>
      <group>L1_Punc</group>
      <groupName>标点问题</groupName>
      <ability>L2_Punc_CN</ability>
      <abilityName>标点符号问题</abilityName>
      <candidateList>
        <item>，</item>
      </candidateList>
      <explain/>
      <paraID>47FCDF8F</paraID>
      <start>12</start>
      <end>13</end>
      <status>unmodified</status>
      <modifiedWord/>
      <trackRevisions>false</trackRevisions>
    </reviewItem>
    <reviewItem>
      <errorID>1d865e28-02cf-4a99-89cb-643d7b362c99</errorID>
      <errorWord>；</errorWord>
      <group>L1_Punc</group>
      <groupName>标点问题</groupName>
      <ability>L2_Punc_CN</ability>
      <abilityName>标点符号问题</abilityName>
      <candidateList>
        <item>。</item>
      </candidateList>
      <explain/>
      <paraID>47FCDF8F</paraID>
      <start>28</start>
      <end>29</end>
      <status>unmodified</status>
      <modifiedWord/>
      <trackRevisions>false</trackRevisions>
    </reviewItem>
    <reviewItem>
      <errorID>459e46d4-5f43-42f3-a7ca-6d8ef5f5fd4b</errorID>
      <errorWord> </errorWord>
      <group>L1_Word</group>
      <groupName>字词问题</groupName>
      <ability>L2_Typo</ability>
      <abilityName>字词错误</abilityName>
      <candidateList>
        <item>°</item>
      </candidateList>
      <explain/>
      <paraID>7563D158</paraID>
      <start>82</start>
      <end>83</end>
      <status>ignored</status>
      <modifiedWord/>
      <trackRevisions>false</trackRevisions>
    </reviewItem>
    <reviewItem>
      <errorID>b0b6c446-518e-4597-aaa7-87866f9139f4</errorID>
      <errorWord> </errorWord>
      <group>L1_Word</group>
      <groupName>字词问题</groupName>
      <ability>L2_Typo</ability>
      <abilityName>字词错误</abilityName>
      <candidateList>
        <item>°</item>
      </candidateList>
      <explain/>
      <paraID>7563D158</paraID>
      <start>98</start>
      <end>99</end>
      <status>unmodified</status>
      <modifiedWord/>
      <trackRevisions>false</trackRevisions>
    </reviewItem>
    <reviewItem>
      <errorID>47598161-14bd-4d6e-b8ea-b30c004b9047</errorID>
      <errorWord>情况图</errorWord>
      <group>L1_Word</group>
      <groupName>字词问题</groupName>
      <ability>L2_Typo</ability>
      <abilityName>字词错误</abilityName>
      <candidateList>
        <item>示意图</item>
      </candidateList>
      <explain/>
      <paraID> 6F9215F</paraID>
      <start>29</start>
      <end>32</end>
      <status>modified</status>
      <modifiedWord>示意图</modifiedWord>
      <trackRevisions>false</trackRevisions>
    </reviewItem>
    <reviewItem>
      <errorID>2e6b15f1-139b-498c-b6b3-dc51647f5190</errorID>
      <errorWord>情况</errorWord>
      <group>L1_Word</group>
      <groupName>字词问题</groupName>
      <ability>L2_Typo</ability>
      <abilityName>字词错误</abilityName>
      <candidateList>
        <item>示意图</item>
      </candidateList>
      <explain/>
      <paraID>6AAF3121</paraID>
      <start>32</start>
      <end>35</end>
      <status>modified</status>
      <modifiedWord>示意图</modifiedWord>
      <trackRevisions>false</trackRevisions>
    </reviewItem>
    <reviewItem>
      <errorID>b61fafc6-0abc-437d-9e64-279e9a4f4422</errorID>
      <errorWord>7000m2</errorWord>
      <group>L1_Word</group>
      <groupName>字词问题</groupName>
      <ability>L2_Typo</ability>
      <abilityName>字词错误</abilityName>
      <candidateList>
        <item>7000m²</item>
      </candidateList>
      <explain/>
      <paraID> 9DC88EF</paraID>
      <start>6</start>
      <end>12</end>
      <status>ignored</status>
      <modifiedWord/>
      <trackRevisions>false</trackRevisions>
    </reviewItem>
    <reviewItem>
      <errorID>853412d2-f8fe-4ed3-8e44-632409a485bc</errorID>
      <errorWord>m2</errorWord>
      <group>L1_Word</group>
      <groupName>字词问题</groupName>
      <ability>L2_Typo</ability>
      <abilityName>字词错误</abilityName>
      <candidateList>
        <item>m²</item>
      </candidateList>
      <explain/>
      <paraID> 9DC88EF</paraID>
      <start>129</start>
      <end>131</end>
      <status>ignored</status>
      <modifiedWord/>
      <trackRevisions>false</trackRevisions>
    </reviewItem>
    <reviewItem>
      <errorID>d3072937-fdf8-4ee9-80a9-1268ede804e7</errorID>
      <errorWord>7300m2</errorWord>
      <group>L1_Word</group>
      <groupName>字词问题</groupName>
      <ability>L2_Typo</ability>
      <abilityName>字词错误</abilityName>
      <candidateList>
        <item>7300m²</item>
      </candidateList>
      <explain/>
      <paraID>3D44F3F1</paraID>
      <start>7</start>
      <end>13</end>
      <status>ignored</status>
      <modifiedWord/>
      <trackRevisions>false</trackRevisions>
    </reviewItem>
    <reviewItem>
      <errorID>ac817680-c100-4768-990e-051bfc65945d</errorID>
      <errorWord>340m3</errorWord>
      <group>L1_Word</group>
      <groupName>字词问题</groupName>
      <ability>L2_Typo</ability>
      <abilityName>字词错误</abilityName>
      <candidateList>
        <item>340m³</item>
      </candidateList>
      <explain/>
      <paraID>3F951533</paraID>
      <start>4</start>
      <end>9</end>
      <status>unmodified</status>
      <modifiedWord/>
      <trackRevisions>false</trackRevisions>
    </reviewItem>
    <reviewItem>
      <errorID>3206211e-843f-487c-b7f7-e38ba2f70932</errorID>
      <errorWord>360m3</errorWord>
      <group>L1_Word</group>
      <groupName>字词问题</groupName>
      <ability>L2_Typo</ability>
      <abilityName>字词错误</abilityName>
      <candidateList>
        <item>360m³</item>
      </candidateList>
      <explain/>
      <paraID>3C7031B4</paraID>
      <start>4</start>
      <end>9</end>
      <status>unmodified</status>
      <modifiedWord/>
      <trackRevisions>false</trackRevisions>
    </reviewItem>
    <reviewItem>
      <errorID>2848cd23-e4ce-4595-be11-38d7e46e0a98</errorID>
      <errorWord>一</errorWord>
      <group>L1_Word</group>
      <groupName>字词问题</groupName>
      <ability>L2_Typo</ability>
      <abilityName>字词错误</abilityName>
      <candidateList>
        <item>一个</item>
      </candidateList>
      <explain/>
      <paraID>6A370CC2</paraID>
      <start>2</start>
      <end>4</end>
      <status>modified</status>
      <modifiedWord>一个</modifiedWord>
      <trackRevisions>false</trackRevisions>
    </reviewItem>
    <reviewItem>
      <errorID>322a4dcf-07ea-48a4-aedd-a6a6e655dcfc</errorID>
      <errorWord>门卫室1座</errorWord>
      <group>L1_Word</group>
      <groupName>字词问题</groupName>
      <ability>L2_Typo</ability>
      <abilityName>字词错误</abilityName>
      <candidateList>
        <item>1座门卫室</item>
      </candidateList>
      <explain/>
      <paraID>37BBC09E</paraID>
      <start>2</start>
      <end>7</end>
      <status>modified</status>
      <modifiedWord>1座门卫室</modifiedWord>
      <trackRevisions>false</trackRevisions>
    </reviewItem>
    <reviewItem>
      <errorID>17c3fc67-4bf2-4977-8300-714f873db1b2</errorID>
      <errorWord>厂区路面硬化</errorWord>
      <group>L1_Word</group>
      <groupName>字词问题</groupName>
      <ability>L2_Typo</ability>
      <abilityName>字词错误</abilityName>
      <candidateList>
        <item>硬化厂区路面</item>
      </candidateList>
      <explain/>
      <paraID>37BBC09E</paraID>
      <start>8</start>
      <end>14</end>
      <status>modified</status>
      <modifiedWord>硬化厂区路面</modifiedWord>
      <trackRevisions>false</trackRevisions>
    </reviewItem>
    <reviewItem>
      <errorID>3e5ecb42-5018-4e37-8d7e-c42ae031b89f</errorID>
      <errorWord>绿地率在</errorWord>
      <group>L1_Word</group>
      <groupName>字词问题</groupName>
      <ability>L2_Typo</ability>
      <abilityName>字词错误</abilityName>
      <candidateList>
        <item>绿地率</item>
      </candidateList>
      <explain/>
      <paraID>6049902A</paraID>
      <start>10</start>
      <end>13</end>
      <status>modified</status>
      <modifiedWord>绿地率</modifiedWord>
      <trackRevisions>false</trackRevisions>
    </reviewItem>
    <reviewItem>
      <errorID>69079723-ed85-41b8-bda2-7dbac7c353f6</errorID>
      <errorWord>m3，复合层密度取2278kg/m3</errorWord>
      <group>L1_Word</group>
      <groupName>字词问题</groupName>
      <ability>L2_Typo</ability>
      <abilityName>字词错误</abilityName>
      <candidateList>
        <item>m³，复合层密度取2278kg/m³</item>
      </candidateList>
      <explain/>
      <paraID>177F8473</paraID>
      <start>13</start>
      <end>31</end>
      <status>modified</status>
      <modifiedWord>m³，复合层密度取2278kg/m³</modifiedWord>
      <trackRevisions>false</trackRevisions>
    </reviewItem>
    <reviewItem>
      <errorID>e0d4d2f7-24ec-4b27-8b0f-ec0429ec9595</errorID>
      <errorWord>340m2</errorWord>
      <group>L1_Other</group>
      <groupName>其他问题</groupName>
      <ability>L2_Consistency</ability>
      <abilityName>一致性检查</abilityName>
      <candidateList>
        <item>340m3</item>
      </candidateList>
      <explain>数字一致性错误，原文中水泥储料仓明确标注容积为340m³，此处单位表述不一致</explain>
      <paraID>34AB914A</paraID>
      <start>0</start>
      <end>5</end>
      <status>unmodified</status>
      <modifiedWord/>
      <trackRevisions>false</trackRevisions>
    </reviewItem>
    <reviewItem>
      <errorID>95ca0a3a-cac2-4a1e-bae2-8bea29745d91</errorID>
      <errorWord>360m2</errorWord>
      <group>L1_Other</group>
      <groupName>其他问题</groupName>
      <ability>L2_Consistency</ability>
      <abilityName>一致性检查</abilityName>
      <candidateList>
        <item>360m3</item>
      </candidateList>
      <explain>数字一致性错误，原文中粉煤灰储料仓明确标注容积为360m³，此处单位表述不一致</explain>
      <paraID>7980FFE6</paraID>
      <start>0</start>
      <end>5</end>
      <status>unmodified</status>
      <modifiedWord/>
      <trackRevisions>false</trackRevisions>
    </reviewItem>
    <reviewItem>
      <errorID>46e2dd85-a51c-4c1d-a83b-be006a27b984</errorID>
      <errorWord>~</errorWord>
      <group>L1_Format</group>
      <groupName>格式问题</groupName>
      <ability>L2_HalfPunc_CN</ability>
      <abilityName>全半角问题</abilityName>
      <candidateList>
        <item>～</item>
      </candidateList>
      <explain>文本全半角错误。</explain>
      <paraID>79487F73</paraID>
      <start>7</start>
      <end>8</end>
      <status>unmodified</status>
      <modifiedWord/>
      <trackRevisions>false</trackRevisions>
    </reviewItem>
    <reviewItem>
      <errorID>e977f48d-f3b8-473d-8a6b-7f774e726454</errorID>
      <errorWord>K</errorWord>
      <group>L1_Punc</group>
      <groupName>标点问题</groupName>
      <ability>L2_Punc_CN</ability>
      <abilityName>标点符号问题</abilityName>
      <candidateList>
        <item>K)</item>
      </candidateList>
      <explain/>
      <paraID>5D9BD879</paraID>
      <start>164</start>
      <end>165</end>
      <status>unmodified</status>
      <modifiedWord/>
      <trackRevisions>false</trackRevisions>
    </reviewItem>
    <reviewItem>
      <errorID>af1a793b-7483-4f7e-8b2c-35ff9622a13d</errorID>
      <errorWord>是</errorWord>
      <group>L1_Word</group>
      <groupName>字词问题</groupName>
      <ability>L2_Typo</ability>
      <abilityName>字词错误</abilityName>
      <candidateList>
        <item>它是</item>
      </candidateList>
      <explain/>
      <paraID>33CFD4C2</paraID>
      <start>142</start>
      <end>143</end>
      <status>ignored</status>
      <modifiedWord/>
      <trackRevisions>false</trackRevisions>
    </reviewItem>
    <reviewItem>
      <errorID>bf3e9cee-051f-4b1f-8383-8d1120ea5502</errorID>
      <errorWord>件</errorWord>
      <group>L1_Word</group>
      <groupName>字词问题</groupName>
      <ability>L2_Typo</ability>
      <abilityName>字词错误</abilityName>
      <candidateList>
        <item>件下</item>
      </candidateList>
      <explain/>
      <paraID>770C091F</paraID>
      <start>43</start>
      <end>45</end>
      <status>modified</status>
      <modifiedWord>件下</modifiedWord>
      <trackRevisions>false</trackRevisions>
    </reviewItem>
    <reviewItem>
      <errorID>914cd991-424a-4a87-98dc-8ea9d7f4bf83</errorID>
      <errorWord>经</errorWord>
      <group>L1_Word</group>
      <groupName>字词问题</groupName>
      <ability>L2_Typo</ability>
      <abilityName>字词错误</abilityName>
      <candidateList>
        <item>下经</item>
      </candidateList>
      <explain/>
      <paraID>770C091F</paraID>
      <start>45</start>
      <end>47</end>
      <status>modified</status>
      <modifiedWord>下经</modifiedWord>
      <trackRevisions>false</trackRevisions>
    </reviewItem>
    <reviewItem>
      <errorID>963e9c30-97df-4d8c-ad2a-082cc23777ab</errorID>
      <errorWord>胶黏剂</errorWord>
      <group>L1_Word</group>
      <groupName>字词问题</groupName>
      <ability>L2_Typo</ability>
      <abilityName>字词错误</abilityName>
      <candidateList>
        <item>胶粘剂</item>
      </candidateList>
      <explain/>
      <paraID>770C091F</paraID>
      <start>213</start>
      <end>216</end>
      <status>modified</status>
      <modifiedWord>胶粘剂</modifiedWord>
      <trackRevisions>false</trackRevisions>
    </reviewItem>
    <reviewItem>
      <errorID>f320c4ba-a36b-4857-b47c-ad1b2a2eaa14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3933BD40</paraID>
      <start>154</start>
      <end>157</end>
      <status>unmodified</status>
      <modifiedWord/>
      <trackRevisions>false</trackRevisions>
    </reviewItem>
    <reviewItem>
      <errorID>d388242b-a57c-43b3-8e85-f5f11e680dba</errorID>
      <errorWord>板</errorWord>
      <group>L1_Word</group>
      <groupName>字词问题</groupName>
      <ability>L2_Typo</ability>
      <abilityName>字词错误</abilityName>
      <candidateList>
        <item>版</item>
      </candidateList>
      <explain/>
      <paraID>3933BD40</paraID>
      <start>171</start>
      <end>172</end>
      <status>modified</status>
      <modifiedWord>版</modifiedWord>
      <trackRevisions>false</trackRevisions>
    </reviewItem>
    <reviewItem>
      <errorID>b0881d42-7027-4a8c-9aef-aad1eda00d67</errorID>
      <errorWord>胶粘剂</errorWord>
      <group>L1_Word</group>
      <groupName>字词问题</groupName>
      <ability>L2_Typo</ability>
      <abilityName>字词错误</abilityName>
      <candidateList>
        <item>胶黏剂</item>
      </candidateList>
      <explain/>
      <paraID>3933BD40</paraID>
      <start>248</start>
      <end>251</end>
      <status>modified</status>
      <modifiedWord>胶黏剂</modifiedWord>
      <trackRevisions>false</trackRevisions>
    </reviewItem>
    <reviewItem>
      <errorID>06850149-6553-4a32-91c5-34a28cead43f</errorID>
      <errorWord>。</errorWord>
      <group>L1_Punc</group>
      <groupName>标点问题</groupName>
      <ability>L2_Punc_CN</ability>
      <abilityName>标点符号问题</abilityName>
      <candidateList>
        <item>，</item>
      </candidateList>
      <explain/>
      <paraID>1AF94096</paraID>
      <start>23</start>
      <end>24</end>
      <status>unmodified</status>
      <modifiedWord/>
      <trackRevisions>false</trackRevisions>
    </reviewItem>
    <reviewItem>
      <errorID>ca391f50-09de-4048-8eed-77bc95594e33</errorID>
      <errorWord>采用中</errorWord>
      <group>L1_Word</group>
      <groupName>字词问题</groupName>
      <ability>L2_Typo</ability>
      <abilityName>字词错误</abilityName>
      <candidateList>
        <item>采用</item>
      </candidateList>
      <explain/>
      <paraID> 2D0749B</paraID>
      <start>69</start>
      <end>71</end>
      <status>modified</status>
      <modifiedWord>采用</modifiedWord>
      <trackRevisions>false</trackRevisions>
    </reviewItem>
    <reviewItem>
      <errorID>486c446b-b1d1-4bec-9ec1-0b7df1c0de6f</errorID>
      <errorWord>绞织</errorWord>
      <group>L1_Word</group>
      <groupName>字词问题</groupName>
      <ability>L2_Typo</ability>
      <abilityName>字词错误</abilityName>
      <candidateList>
        <item>交织</item>
      </candidateList>
      <explain/>
      <paraID> 2D0749B</paraID>
      <start>106</start>
      <end>108</end>
      <status>modified</status>
      <modifiedWord>交织</modifiedWord>
      <trackRevisions>false</trackRevisions>
    </reviewItem>
    <reviewItem>
      <errorID>edeebf2b-9b90-42cf-91c5-006f45374f69</errorID>
      <errorWord>一</errorWord>
      <group>L1_Word</group>
      <groupName>字词问题</groupName>
      <ability>L2_Typo</ability>
      <abilityName>字词错误</abilityName>
      <candidateList>
        <item>—</item>
      </candidateList>
      <explain/>
      <paraID>160583FA</paraID>
      <start>13</start>
      <end>14</end>
      <status>modified</status>
      <modifiedWord>—</modifiedWord>
      <trackRevisions>false</trackRevisions>
    </reviewItem>
    <reviewItem>
      <errorID>79d0946c-02f4-46d1-a85f-1848e94535b6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E26A8D3</paraID>
      <start>25</start>
      <end>26</end>
      <status>unmodified</status>
      <modifiedWord/>
      <trackRevisions>false</trackRevisions>
    </reviewItem>
    <reviewItem>
      <errorID>c574f900-b24a-41cd-9809-dbd12d0c5619</errorID>
      <errorWord>园区直接供给</errorWord>
      <group>L1_Grammar</group>
      <groupName>语法问题</groupName>
      <ability>L2_Grammar</ability>
      <abilityName>语法错误</abilityName>
      <candidateList>
        <item>园区</item>
      </candidateList>
      <explain/>
      <paraID>457FE792</paraID>
      <start>8</start>
      <end>14</end>
      <status>ignored</status>
      <modifiedWord/>
      <trackRevisions>false</trackRevisions>
    </reviewItem>
    <reviewItem>
      <errorID>b993dbab-b851-4e3e-aae2-3f0d9e727a47</errorID>
      <errorWord>为</errorWord>
      <group>L1_Word</group>
      <groupName>字词问题</groupName>
      <ability>L2_Typo</ability>
      <abilityName>字词错误</abilityName>
      <candidateList>
        <item>按</item>
      </candidateList>
      <explain/>
      <paraID>7CEDA616</paraID>
      <start>30</start>
      <end>31</end>
      <status>modified</status>
      <modifiedWord>按</modifiedWord>
      <trackRevisions>false</trackRevisions>
    </reviewItem>
    <reviewItem>
      <errorID>71e1426b-dd65-4b00-a13d-a67ac387697c</errorID>
      <errorWord>6m3</errorWord>
      <group>L1_Word</group>
      <groupName>字词问题</groupName>
      <ability>L2_Typo</ability>
      <abilityName>字词错误</abilityName>
      <candidateList>
        <item>6m³</item>
      </candidateList>
      <explain/>
      <paraID>7CEDA616</paraID>
      <start>49</start>
      <end>52</end>
      <status>ignored</status>
      <modifiedWord/>
      <trackRevisions>false</trackRevisions>
    </reviewItem>
    <reviewItem>
      <errorID>75434f45-8e8a-4e86-afc7-b559d84d9fa1</errorID>
      <errorWord>780m3</errorWord>
      <group>L1_Word</group>
      <groupName>字词问题</groupName>
      <ability>L2_Typo</ability>
      <abilityName>字词错误</abilityName>
      <candidateList>
        <item>780m³</item>
      </candidateList>
      <explain/>
      <paraID>7CEDA616</paraID>
      <start>64</start>
      <end>69</end>
      <status>ignored</status>
      <modifiedWord/>
      <trackRevisions>false</trackRevisions>
    </reviewItem>
    <reviewItem>
      <errorID>402758db-61b4-455c-812b-789ce381db93</errorID>
      <errorWord>81m3</errorWord>
      <group>L1_Word</group>
      <groupName>字词问题</groupName>
      <ability>L2_Typo</ability>
      <abilityName>字词错误</abilityName>
      <candidateList>
        <item>81m³</item>
      </candidateList>
      <explain/>
      <paraID>36AA18DD</paraID>
      <start>99</start>
      <end>103</end>
      <status>unmodified</status>
      <modifiedWord/>
      <trackRevisions>false</trackRevisions>
    </reviewItem>
    <reviewItem>
      <errorID>6209095c-6af0-4368-9a6b-30c1d4132a03</errorID>
      <errorWord>1442m3</errorWord>
      <group>L1_Word</group>
      <groupName>字词问题</groupName>
      <ability>L2_Typo</ability>
      <abilityName>字词错误</abilityName>
      <candidateList>
        <item>1442m³</item>
      </candidateList>
      <explain/>
      <paraID>36AA18DD</paraID>
      <start>106</start>
      <end>112</end>
      <status>unmodified</status>
      <modifiedWord/>
      <trackRevisions>false</trackRevisions>
    </reviewItem>
    <reviewItem>
      <errorID>fcf5e6a9-3932-4c02-9a1f-562c4478c755</errorID>
      <errorWord>：</errorWord>
      <group>L1_Punc</group>
      <groupName>标点问题</groupName>
      <ability>L2_Punc_CN</ability>
      <abilityName>标点符号问题</abilityName>
      <candidateList>
        <item/>
      </candidateList>
      <explain/>
      <paraID>1C7F031B</paraID>
      <start>31</start>
      <end>32</end>
      <status>unmodified</status>
      <modifiedWord/>
      <trackRevisions>false</trackRevisions>
    </reviewItem>
    <reviewItem>
      <errorID>fa739490-cd14-462f-b0c5-d1a96a04c90c</errorID>
      <errorWord>火灾</errorWord>
      <group>L1_Punc</group>
      <groupName>标点问题</groupName>
      <ability>L2_Punc_CN</ability>
      <abilityName>标点符号问题</abilityName>
      <candidateList>
        <item>，火灾</item>
      </candidateList>
      <explain/>
      <paraID>1C7F031B</paraID>
      <start>37</start>
      <end>39</end>
      <status>unmodified</status>
      <modifiedWord/>
      <trackRevisions>false</trackRevisions>
    </reviewItem>
    <reviewItem>
      <errorID>20420343-929a-4756-8940-ac06b3d1313a</errorID>
      <errorWord>不</errorWord>
      <group>L1_Punc</group>
      <groupName>标点问题</groupName>
      <ability>L2_Punc_CN</ability>
      <abilityName>标点符号问题</abilityName>
      <candidateList>
        <item>，不</item>
      </candidateList>
      <explain/>
      <paraID>558EE305</paraID>
      <start>55</start>
      <end>56</end>
      <status>unmodified</status>
      <modifiedWord/>
      <trackRevisions>false</trackRevisions>
    </reviewItem>
    <reviewItem>
      <errorID>01fcc147-b4c2-4d32-975a-81bddc868e66</errorID>
      <errorWord>m3</errorWord>
      <group>L1_Word</group>
      <groupName>字词问题</groupName>
      <ability>L2_Typo</ability>
      <abilityName>字词错误</abilityName>
      <candidateList>
        <item>m³</item>
      </candidateList>
      <explain/>
      <paraID>2560913A</paraID>
      <start>36</start>
      <end>38</end>
      <status>unmodified</status>
      <modifiedWord/>
      <trackRevisions>false</trackRevisions>
    </reviewItem>
    <reviewItem>
      <errorID>cb1c96c8-5d8b-42d2-a8e1-4da93e80b053</errorID>
      <errorWord>08m3</errorWord>
      <group>L1_Word</group>
      <groupName>字词问题</groupName>
      <ability>L2_Typo</ability>
      <abilityName>字词错误</abilityName>
      <candidateList>
        <item>08m³</item>
      </candidateList>
      <explain/>
      <paraID>54A9B3EF</paraID>
      <start>21</start>
      <end>25</end>
      <status>unmodified</status>
      <modifiedWord/>
      <trackRevisions>false</trackRevisions>
    </reviewItem>
    <reviewItem>
      <errorID>3d146748-28da-4dab-96f9-dd7d39cd134b</errorID>
      <errorWord>624m3</errorWord>
      <group>L1_Word</group>
      <groupName>字词问题</groupName>
      <ability>L2_Typo</ability>
      <abilityName>字词错误</abilityName>
      <candidateList>
        <item>624m³</item>
      </candidateList>
      <explain/>
      <paraID>54A9B3EF</paraID>
      <start>31</start>
      <end>36</end>
      <status>unmodified</status>
      <modifiedWord/>
      <trackRevisions>false</trackRevisions>
    </reviewItem>
    <reviewItem>
      <errorID>967aff8c-9c3a-4a85-8fde-fe83cc84caa4</errorID>
      <errorWord>m3</errorWord>
      <group>L1_Word</group>
      <groupName>字词问题</groupName>
      <ability>L2_Typo</ability>
      <abilityName>字词错误</abilityName>
      <candidateList>
        <item>：m³</item>
      </candidateList>
      <explain/>
      <paraID>129C9150</paraID>
      <start>36</start>
      <end>38</end>
      <status>unmodified</status>
      <modifiedWord/>
      <trackRevisions>false</trackRevisions>
    </reviewItem>
    <reviewItem>
      <errorID>657508b0-e950-4180-8600-32a217a8a474</errorID>
      <errorWord>m3</errorWord>
      <group>L1_Word</group>
      <groupName>字词问题</groupName>
      <ability>L2_Typo</ability>
      <abilityName>字词错误</abilityName>
      <candidateList>
        <item>：m³</item>
      </candidateList>
      <explain/>
      <paraID> 3391A34</paraID>
      <start>12</start>
      <end>14</end>
      <status>unmodified</status>
      <modifiedWord/>
      <trackRevisions>false</trackRevisions>
    </reviewItem>
    <reviewItem>
      <errorID>1ec87845-fd1e-4b16-a02b-991b6b14de2e</errorID>
      <errorWord>表</errorWord>
      <group>L1_Punc</group>
      <groupName>标点问题</groupName>
      <ability>L2_Punc_CN</ability>
      <abilityName>标点符号问题</abilityName>
      <candidateList>
        <item>表：</item>
      </candidateList>
      <explain/>
      <paraID>79CA8ED0</paraID>
      <start>14</start>
      <end>15</end>
      <status>unmodified</status>
      <modifiedWord/>
      <trackRevisions>false</trackRevisions>
    </reviewItem>
    <reviewItem>
      <errorID>e8bbfc42-24a5-420a-b66c-7d534d54f1dc</errorID>
      <errorWord>极少量因</errorWord>
      <group>L1_Word</group>
      <groupName>字词问题</groupName>
      <ability>L2_Typo</ability>
      <abilityName>字词错误</abilityName>
      <candidateList>
        <item>极少量</item>
      </candidateList>
      <explain/>
      <paraID> 19BD129</paraID>
      <start>163</start>
      <end>166</end>
      <status>modified</status>
      <modifiedWord>极少量</modifiedWord>
      <trackRevisions>false</trackRevisions>
    </reviewItem>
    <reviewItem>
      <errorID>611b78e5-d888-4a7f-a77d-f3ea6896a1e9</errorID>
      <errorWord>于</errorWord>
      <group>L1_Word</group>
      <groupName>字词问题</groupName>
      <ability>L2_Typo</ability>
      <abilityName>字词错误</abilityName>
      <candidateList>
        <item>在</item>
      </candidateList>
      <explain/>
      <paraID>3DD43681</paraID>
      <start>31</start>
      <end>32</end>
      <status>modified</status>
      <modifiedWord>在</modifiedWord>
      <trackRevisions>false</trackRevisions>
    </reviewItem>
    <reviewItem>
      <errorID>fc7ffe75-340e-429e-9c12-68ffcba471da</errorID>
      <errorWord> ~</errorWord>
      <group>L1_Punc</group>
      <groupName>标点问题</groupName>
      <ability>L2_Punc_CN</ability>
      <abilityName>标点符号问题</abilityName>
      <candidateList>
        <item>～</item>
      </candidateList>
      <explain/>
      <paraID>5D76B862</paraID>
      <start>151</start>
      <end>153</end>
      <status>unmodified</status>
      <modifiedWord/>
      <trackRevisions>false</trackRevisions>
    </reviewItem>
    <reviewItem>
      <errorID>7b1bbdcc-767f-41b3-851d-55d9ea72fa4f</errorID>
      <errorWord>~</errorWord>
      <group>L1_Punc</group>
      <groupName>标点问题</groupName>
      <ability>L2_Punc_CN</ability>
      <abilityName>标点符号问题</abilityName>
      <candidateList>
        <item>～</item>
      </candidateList>
      <explain/>
      <paraID>5D76B862</paraID>
      <start>165</start>
      <end>166</end>
      <status>unmodified</status>
      <modifiedWord/>
      <trackRevisions>false</trackRevisions>
    </reviewItem>
    <reviewItem>
      <errorID>a33d3d86-1151-4547-bd4b-b0f26a7f39ce</errorID>
      <errorWord> </errorWord>
      <group>L1_Word</group>
      <groupName>字词问题</groupName>
      <ability>L2_Typo</ability>
      <abilityName>字词错误</abilityName>
      <candidateList>
        <item>°</item>
      </candidateList>
      <explain/>
      <paraID>7822C65D</paraID>
      <start>55</start>
      <end>56</end>
      <status>unmodified</status>
      <modifiedWord/>
      <trackRevisions>false</trackRevisions>
    </reviewItem>
    <reviewItem>
      <errorID>21521f50-fcf3-4190-ab4f-4100f6e37757</errorID>
      <errorWord>天</errorWord>
      <group>L1_Word</group>
      <groupName>字词问题</groupName>
      <ability>L2_Typo</ability>
      <abilityName>字词错误</abilityName>
      <candidateList>
        <item>天数</item>
      </candidateList>
      <explain/>
      <paraID>6975D26A</paraID>
      <start>117</start>
      <end>118</end>
      <status>ignored</status>
      <modifiedWord/>
      <trackRevisions>false</trackRevisions>
    </reviewItem>
    <reviewItem>
      <errorID>c506e8ff-930a-4ac4-b5eb-0a04b64f1b68</errorID>
      <errorWord>HJ 848-2017</errorWord>
      <group>L1_Punc</group>
      <groupName>标点问题</groupName>
      <ability>L2_Punc_CN</ability>
      <abilityName>标点符号问题</abilityName>
      <candidateList>
        <item>（HJ 848-2017），</item>
      </candidateList>
      <explain/>
      <paraID>665371B1</paraID>
      <start>29</start>
      <end>40</end>
      <status>unmodified</status>
      <modifiedWord/>
      <trackRevisions>false</trackRevisions>
    </reviewItem>
    <reviewItem>
      <errorID>9f363bf0-a07a-49ae-9b0c-6484567649a0</errorID>
      <errorWord>。</errorWord>
      <group>L1_Punc</group>
      <groupName>标点问题</groupName>
      <ability>L2_Punc_CN</ability>
      <abilityName>标点符号问题</abilityName>
      <candidateList>
        <item>：</item>
      </candidateList>
      <explain/>
      <paraID>782C145B</paraID>
      <start>50</start>
      <end>51</end>
      <status>unmodified</status>
      <modifiedWord/>
      <trackRevisions>false</trackRevisions>
    </reviewItem>
    <reviewItem>
      <errorID>65be904e-ccd9-4be8-9694-e6b7f3ab17ca</errorID>
      <errorWord> </errorWord>
      <group>L1_Word</group>
      <groupName>字词问题</groupName>
      <ability>L2_Typo</ability>
      <abilityName>字词错误</abilityName>
      <candidateList>
        <item>°</item>
      </candidateList>
      <explain/>
      <paraID>1C75723B</paraID>
      <start>3</start>
      <end>4</end>
      <status>unmodified</status>
      <modifiedWord/>
      <trackRevisions>false</trackRevisions>
    </reviewItem>
    <reviewItem>
      <errorID>fde0e701-ba2e-4acb-881d-328524f5f713</errorID>
      <errorWord>,</errorWord>
      <group>L1_Punc</group>
      <groupName>标点问题</groupName>
      <ability>L2_Punc_CN</ability>
      <abilityName>标点符号问题</abilityName>
      <candidateList>
        <item>，</item>
      </candidateList>
      <explain/>
      <paraID>1C75723B</paraID>
      <start>15</start>
      <end>16</end>
      <status>unmodified</status>
      <modifiedWord/>
      <trackRevisions>false</trackRevisions>
    </reviewItem>
    <reviewItem>
      <errorID>0cc5c441-ed0d-443c-b212-d3e8a3210cf3</errorID>
      <errorWord> </errorWord>
      <group>L1_Word</group>
      <groupName>字词问题</groupName>
      <ability>L2_Typo</ability>
      <abilityName>字词错误</abilityName>
      <candidateList>
        <item>°</item>
      </candidateList>
      <explain/>
      <paraID>1C75723B</paraID>
      <start>19</start>
      <end>20</end>
      <status>unmodified</status>
      <modifiedWord/>
      <trackRevisions>false</trackRevisions>
    </reviewItem>
    <reviewItem>
      <errorID>6a1393d1-a967-448f-8c9d-f01812525c19</errorID>
      <errorWord> </errorWord>
      <group>L1_Word</group>
      <groupName>字词问题</groupName>
      <ability>L2_Typo</ability>
      <abilityName>字词错误</abilityName>
      <candidateList>
        <item>°</item>
      </candidateList>
      <explain/>
      <paraID>30F55B9C</paraID>
      <start>3</start>
      <end>4</end>
      <status>unmodified</status>
      <modifiedWord/>
      <trackRevisions>false</trackRevisions>
    </reviewItem>
    <reviewItem>
      <errorID>017fccfb-f509-4bc3-8915-0d060c6dc3fc</errorID>
      <errorWord>,</errorWord>
      <group>L1_Punc</group>
      <groupName>标点问题</groupName>
      <ability>L2_Punc_CN</ability>
      <abilityName>标点符号问题</abilityName>
      <candidateList>
        <item>，</item>
      </candidateList>
      <explain/>
      <paraID>30F55B9C</paraID>
      <start>15</start>
      <end>16</end>
      <status>unmodified</status>
      <modifiedWord/>
      <trackRevisions>false</trackRevisions>
    </reviewItem>
    <reviewItem>
      <errorID>4fea51cb-3fc1-4df3-948b-f8eda516c0cf</errorID>
      <errorWord> </errorWord>
      <group>L1_Word</group>
      <groupName>字词问题</groupName>
      <ability>L2_Typo</ability>
      <abilityName>字词错误</abilityName>
      <candidateList>
        <item>°</item>
      </candidateList>
      <explain/>
      <paraID>30F55B9C</paraID>
      <start>19</start>
      <end>20</end>
      <status>unmodified</status>
      <modifiedWord/>
      <trackRevisions>false</trackRevisions>
    </reviewItem>
    <reviewItem>
      <errorID>4e05e50d-e308-424f-8a6f-c4ad59b94ac2</errorID>
      <errorWord>GB3095</errorWord>
      <group>L1_Word</group>
      <groupName>字词问题</groupName>
      <ability>L2_Typo</ability>
      <abilityName>字词错误</abilityName>
      <candidateList>
        <item>GB 3095</item>
      </candidateList>
      <explain/>
      <paraID> D5C71E5</paraID>
      <start>11</start>
      <end>17</end>
      <status>unmodified</status>
      <modifiedWord/>
      <trackRevisions>false</trackRevisions>
    </reviewItem>
    <reviewItem>
      <errorID>c402153f-289a-46d1-87c0-0d1fe63a91de</errorID>
      <errorWord>建设项目生态环境影响报告表编制技术指南（污染影响类）</errorWord>
      <group>L1_Punc</group>
      <groupName>标点问题</groupName>
      <ability>L2_Punc_CN</ability>
      <abilityName>标点符号问题</abilityName>
      <candidateList>
        <item>《建设项目生态环境影响报告表编制技术指南（污染影响类）》，</item>
      </candidateList>
      <explain/>
      <paraID>4C168FE1</paraID>
      <start>24</start>
      <end>53</end>
      <status>modified</status>
      <modifiedWord>《建设项目生态环境影响报告表编制技术指南（污染影响类）》，</modifiedWord>
      <trackRevisions>false</trackRevisions>
    </reviewItem>
    <reviewItem>
      <errorID>55d73174-2713-483d-a8fa-8f4292091473</errorID>
      <errorWord>GB3095</errorWord>
      <group>L1_Word</group>
      <groupName>字词问题</groupName>
      <ability>L2_Typo</ability>
      <abilityName>字词错误</abilityName>
      <candidateList>
        <item>GB 3095</item>
      </candidateList>
      <explain/>
      <paraID>6376B024</paraID>
      <start>11</start>
      <end>17</end>
      <status>unmodified</status>
      <modifiedWord/>
      <trackRevisions>false</trackRevisions>
    </reviewItem>
    <reviewItem>
      <errorID>bcfd4c0f-1eab-4021-a41f-54e36bce7571</errorID>
      <errorWord>GB3096</errorWord>
      <group>L1_Word</group>
      <groupName>字词问题</groupName>
      <ability>L2_Typo</ability>
      <abilityName>字词错误</abilityName>
      <candidateList>
        <item>GB 3096</item>
      </candidateList>
      <explain/>
      <paraID>2ADD4BEF</paraID>
      <start>10</start>
      <end>16</end>
      <status>unmodified</status>
      <modifiedWord/>
      <trackRevisions>false</trackRevisions>
    </reviewItem>
    <reviewItem>
      <errorID>bcdccd8d-97b1-4a2c-9754-233a5b9f292f</errorID>
      <errorWord>T14848</errorWord>
      <group>L1_Word</group>
      <groupName>字词问题</groupName>
      <ability>L2_Typo</ability>
      <abilityName>字词错误</abilityName>
      <candidateList>
        <item>T 14848</item>
      </candidateList>
      <explain/>
      <paraID>5BE190AB</paraID>
      <start>13</start>
      <end>19</end>
      <status>unmodified</status>
      <modifiedWord/>
      <trackRevisions>false</trackRevisions>
    </reviewItem>
    <reviewItem>
      <errorID>6615e38b-91b7-4fad-bfbe-4818cb69bf0b</errorID>
      <errorWord>GB16297</errorWord>
      <group>L1_Word</group>
      <groupName>字词问题</groupName>
      <ability>L2_Typo</ability>
      <abilityName>字词错误</abilityName>
      <candidateList>
        <item>GB 16297</item>
      </candidateList>
      <explain/>
      <paraID>7C9DB26C</paraID>
      <start>37</start>
      <end>44</end>
      <status>unmodified</status>
      <modifiedWord/>
      <trackRevisions>false</trackRevisions>
    </reviewItem>
    <reviewItem>
      <errorID>7c95b040-0090-416e-9bda-eb92b4e76efa</errorID>
      <errorWord>0mg</errorWord>
      <group>L1_Word</group>
      <groupName>字词问题</groupName>
      <ability>L2_Typo</ability>
      <abilityName>字词错误</abilityName>
      <candidateList>
        <item>0 mg</item>
      </candidateList>
      <explain/>
      <paraID>7C9DB26C</paraID>
      <start>79</start>
      <end>82</end>
      <status>unmodified</status>
      <modifiedWord/>
      <trackRevisions>false</trackRevisions>
    </reviewItem>
    <reviewItem>
      <errorID>0758a394-8460-40d4-b8b4-cd5fffd1ddf8</errorID>
      <errorWord>GB20891</errorWord>
      <group>L1_Word</group>
      <groupName>字词问题</groupName>
      <ability>L2_Typo</ability>
      <abilityName>字词错误</abilityName>
      <candidateList>
        <item>GB 20891</item>
      </candidateList>
      <explain/>
      <paraID>5E4059C7</paraID>
      <start>48</start>
      <end>55</end>
      <status>unmodified</status>
      <modifiedWord/>
      <trackRevisions>false</trackRevisions>
    </reviewItem>
    <reviewItem>
      <errorID>c021514d-b0f1-46a4-8988-821607c5100e</errorID>
      <errorWord>70dB</errorWord>
      <group>L1_Word</group>
      <groupName>字词问题</groupName>
      <ability>L2_Typo</ability>
      <abilityName>字词错误</abilityName>
      <candidateList>
        <item>70 dB</item>
      </candidateList>
      <explain/>
      <paraID>2CB997FB</paraID>
      <start>43</start>
      <end>47</end>
      <status>unmodified</status>
      <modifiedWord/>
      <trackRevisions>false</trackRevisions>
    </reviewItem>
    <reviewItem>
      <errorID>663fe4f7-f9ad-4eda-8c91-5016c5a735f3</errorID>
      <errorWord>55dB</errorWord>
      <group>L1_Word</group>
      <groupName>字词问题</groupName>
      <ability>L2_Typo</ability>
      <abilityName>字词错误</abilityName>
      <candidateList>
        <item>55 dB</item>
      </candidateList>
      <explain/>
      <paraID>2CB997FB</paraID>
      <start>54</start>
      <end>58</end>
      <status>unmodified</status>
      <modifiedWord/>
      <trackRevisions>false</trackRevisions>
    </reviewItem>
    <reviewItem>
      <errorID>01e4bb1f-a7d5-4bb1-992e-6290d1dfa474</errorID>
      <errorWord>标准</errorWord>
      <group>L1_Punc</group>
      <groupName>标点问题</groupName>
      <ability>L2_Punc_CN</ability>
      <abilityName>标点符号问题</abilityName>
      <candidateList>
        <item>，标准</item>
      </candidateList>
      <explain/>
      <paraID>52B01033</paraID>
      <start>27</start>
      <end>29</end>
      <status>unmodified</status>
      <modifiedWord/>
      <trackRevisions>false</trackRevisions>
    </reviewItem>
    <reviewItem>
      <errorID>31e90447-7acf-4335-9644-bee401c456c0</errorID>
      <errorWord>）</errorWord>
      <group>L1_Punc</group>
      <groupName>标点问题</groupName>
      <ability>L2_Punc_CN</ability>
      <abilityName>标点符号问题</abilityName>
      <candidateList>
        <item/>
      </candidateList>
      <explain/>
      <paraID>534F5092</paraID>
      <start>37</start>
      <end>38</end>
      <status>unmodified</status>
      <modifiedWord/>
      <trackRevisions>false</trackRevisions>
    </reviewItem>
    <reviewItem>
      <errorID>9bffb5d0-9458-4a20-ab5a-1169b7509b9f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534F5092</paraID>
      <start>38</start>
      <end>39</end>
      <status>unmodified</status>
      <modifiedWord/>
      <trackRevisions>false</trackRevisions>
    </reviewItem>
    <reviewItem>
      <errorID>cc52921d-944d-4594-b0c6-5651d1db8278</errorID>
      <errorWord>（</errorWord>
      <group>L1_Grammar</group>
      <groupName>语法问题</groupName>
      <ability>L2_Grammar</ability>
      <abilityName>语法错误</abilityName>
      <candidateList>
        <item>限值（</item>
      </candidateList>
      <explain/>
      <paraID> CDC0055</paraID>
      <start>2</start>
      <end>3</end>
      <status>ignored</status>
      <modifiedWord/>
      <trackRevisions>false</trackRevisions>
    </reviewItem>
    <reviewItem>
      <errorID>57f4629e-4eee-4cbc-a7e8-b74ef363c65b</errorID>
      <errorWord>按照根据</errorWord>
      <group>L1_Grammar</group>
      <groupName>语法问题</groupName>
      <ability>L2_Grammar</ability>
      <abilityName>语法错误</abilityName>
      <candidateList>
        <item>根据</item>
      </candidateList>
      <explain/>
      <paraID>18E24CA5</paraID>
      <start>0</start>
      <end>2</end>
      <status>modified</status>
      <modifiedWord>根据</modifiedWord>
      <trackRevisions>false</trackRevisions>
    </reviewItem>
    <reviewItem>
      <errorID>afd6b68c-efb6-4abe-872c-3d6753732573</errorID>
      <errorWord>环境</errorWord>
      <group>L1_Punc</group>
      <groupName>标点问题</groupName>
      <ability>L2_Punc_CN</ability>
      <abilityName>标点符号问题</abilityName>
      <candidateList>
        <item>，环境</item>
      </candidateList>
      <explain/>
      <paraID>18E24CA5</paraID>
      <start>79</start>
      <end>81</end>
      <status>unmodified</status>
      <modifiedWord/>
      <trackRevisions>false</trackRevisions>
    </reviewItem>
    <reviewItem>
      <errorID>13fb9d65-eda8-40f8-a5b5-69eeaa353937</errorID>
      <errorWord>压卷</errorWord>
      <group>L1_Word</group>
      <groupName>字词问题</groupName>
      <ability>L2_Typo</ability>
      <abilityName>字词错误</abilityName>
      <candidateList>
        <item>压实</item>
      </candidateList>
      <explain/>
      <paraID>3C6E5AE7</paraID>
      <start>64</start>
      <end>66</end>
      <status>modified</status>
      <modifiedWord>压实</modifiedWord>
      <trackRevisions>false</trackRevisions>
    </reviewItem>
    <reviewItem>
      <errorID>26d8d85b-8be5-4399-9efd-ab98d9b1d58b</errorID>
      <errorWord>(</errorWord>
      <group>L1_Format</group>
      <groupName>格式问题</groupName>
      <ability>L2_HalfPunc_CN</ability>
      <abilityName>全半角问题</abilityName>
      <candidateList>
        <item>（</item>
      </candidateList>
      <explain>文本全半角错误。</explain>
      <paraID>3C6E5AE7</paraID>
      <start>178</start>
      <end>179</end>
      <status>unmodified</status>
      <modifiedWord/>
      <trackRevisions>false</trackRevisions>
    </reviewItem>
    <reviewItem>
      <errorID>5697ef81-9034-4481-9a10-7e3e6e4382f6</errorID>
      <errorWord>等措施</errorWord>
      <group>L1_Grammar</group>
      <groupName>语法问题</groupName>
      <ability>L2_Grammar</ability>
      <abilityName>语法错误</abilityName>
      <candidateList>
        <item>等</item>
      </candidateList>
      <explain/>
      <paraID>70A22E7A</paraID>
      <start>258</start>
      <end>259</end>
      <status>modified</status>
      <modifiedWord>等</modifiedWord>
      <trackRevisions>false</trackRevisions>
    </reviewItem>
    <reviewItem>
      <errorID>572667df-fe23-4730-b11d-2fff02eea2bd</errorID>
      <errorWord>（GB/T 50905-2014）</errorWord>
      <group>L1_Punc</group>
      <groupName>标点问题</groupName>
      <ability>L2_Punc_CN</ability>
      <abilityName>标点符号问题</abilityName>
      <candidateList>
        <item>《GB/T 50905-2014》</item>
      </candidateList>
      <explain/>
      <paraID>18DDE101</paraID>
      <start>14</start>
      <end>31</end>
      <status>unmodified</status>
      <modifiedWord/>
      <trackRevisions>false</trackRevisions>
    </reviewItem>
    <reviewItem>
      <errorID>1be289a9-bbd2-4529-a86f-71286a54d950</errorID>
      <errorWord>尾气</errorWord>
      <group>L1_Punc</group>
      <groupName>标点问题</groupName>
      <ability>L2_Punc_CN</ability>
      <abilityName>标点符号问题</abilityName>
      <candidateList>
        <item>，尾气</item>
      </candidateList>
      <explain/>
      <paraID>33F95E98</paraID>
      <start>69</start>
      <end>71</end>
      <status>unmodified</status>
      <modifiedWord/>
      <trackRevisions>false</trackRevisions>
    </reviewItem>
    <reviewItem>
      <errorID>0396abee-a255-4f54-9106-c77abc2e1ad1</errorID>
      <errorWord>GB20891</errorWord>
      <group>L1_Grammar</group>
      <groupName>语法问题</groupName>
      <ability>L2_Grammar</ability>
      <abilityName>语法错误</abilityName>
      <candidateList>
        <item>（GB 20891</item>
      </candidateList>
      <explain/>
      <paraID>33F95E98</paraID>
      <start>140</start>
      <end>149</end>
      <status>modified</status>
      <modifiedWord>（GB 20891</modifiedWord>
      <trackRevisions>false</trackRevisions>
    </reviewItem>
    <reviewItem>
      <errorID>c7e8f6cb-026a-47e4-9c97-bc0ff878b478</errorID>
      <errorWord>GB36886</errorWord>
      <group>L1_Word</group>
      <groupName>字词问题</groupName>
      <ability>L2_Typo</ability>
      <abilityName>字词错误</abilityName>
      <candidateList>
        <item>GB 36886</item>
      </candidateList>
      <explain/>
      <paraID>33F95E98</paraID>
      <start>188</start>
      <end>195</end>
      <status>unmodified</status>
      <modifiedWord/>
      <trackRevisions>false</trackRevisions>
    </reviewItem>
    <reviewItem>
      <errorID>75dbed4b-4210-43f5-8ec4-ed656231e5d1</errorID>
      <errorWord>。</errorWord>
      <group>L1_Punc</group>
      <groupName>标点问题</groupName>
      <ability>L2_Punc_CN</ability>
      <abilityName>标点符号问题</abilityName>
      <candidateList>
        <item>，</item>
      </candidateList>
      <explain/>
      <paraID>33F95E98</paraID>
      <start>242</start>
      <end>243</end>
      <status>unmodified</status>
      <modifiedWord/>
      <trackRevisions>false</trackRevisions>
    </reviewItem>
    <reviewItem>
      <errorID>967fd44f-f70c-4ca5-b029-2a765c4fb535</errorID>
      <errorWord>尘飞扬</errorWord>
      <group>L1_Grammar</group>
      <groupName>语法问题</groupName>
      <ability>L2_Grammar</ability>
      <abilityName>语法错误</abilityName>
      <candidateList>
        <item>尘</item>
      </candidateList>
      <explain/>
      <paraID>48E9E0B8</paraID>
      <start>49</start>
      <end>50</end>
      <status>modified</status>
      <modifiedWord>尘</modifiedWord>
      <trackRevisions>false</trackRevisions>
    </reviewItem>
    <reviewItem>
      <errorID>811af688-dc08-4773-9f49-650f6efdc355</errorID>
      <errorWord>》</errorWord>
      <group>L1_Word</group>
      <groupName>字词问题</groupName>
      <ability>L2_Typo</ability>
      <abilityName>字词错误</abilityName>
      <candidateList>
        <item>》和</item>
      </candidateList>
      <explain/>
      <paraID>611B1FCA</paraID>
      <start>160</start>
      <end>161</end>
      <status>unmodified</status>
      <modifiedWord/>
      <trackRevisions>false</trackRevisions>
    </reviewItem>
    <reviewItem>
      <errorID>ad4c8fdf-470c-4e91-82b8-a337e21db98e</errorID>
      <errorWord>（</errorWord>
      <group>L1_Format</group>
      <groupName>格式问题</groupName>
      <ability>L2_HalfPunc_CN</ability>
      <abilityName>全半角问题</abilityName>
      <candidateList>
        <item>(</item>
      </candidateList>
      <explain>文本全半角错误。</explain>
      <paraID> EC913B7</paraID>
      <start>0</start>
      <end>1</end>
      <status>unmodified</status>
      <modifiedWord/>
      <trackRevisions>false</trackRevisions>
    </reviewItem>
    <reviewItem>
      <errorID>83c50a1e-1432-4af2-9edd-a2f622203418</errorID>
      <errorWord>）</errorWord>
      <group>L1_Format</group>
      <groupName>格式问题</groupName>
      <ability>L2_HalfPunc_CN</ability>
      <abilityName>全半角问题</abilityName>
      <candidateList>
        <item>)</item>
      </candidateList>
      <explain>文本全半角错误。</explain>
      <paraID> EC913B7</paraID>
      <start>2</start>
      <end>3</end>
      <status>unmodified</status>
      <modifiedWord/>
      <trackRevisions>false</trackRevisions>
    </reviewItem>
    <reviewItem>
      <errorID>4a495b91-0460-4dff-ae95-cc7215c097ef</errorID>
      <errorWord>（</errorWord>
      <group>L1_Format</group>
      <groupName>格式问题</groupName>
      <ability>L2_HalfPunc_CN</ability>
      <abilityName>全半角问题</abilityName>
      <candidateList>
        <item>(</item>
      </candidateList>
      <explain>文本全半角错误。</explain>
      <paraID>7B0914CC</paraID>
      <start>0</start>
      <end>1</end>
      <status>unmodified</status>
      <modifiedWord/>
      <trackRevisions>false</trackRevisions>
    </reviewItem>
    <reviewItem>
      <errorID>95892069-72c7-42e8-975d-6d9716324a26</errorID>
      <errorWord>）</errorWord>
      <group>L1_Format</group>
      <groupName>格式问题</groupName>
      <ability>L2_HalfPunc_CN</ability>
      <abilityName>全半角问题</abilityName>
      <candidateList>
        <item>)</item>
      </candidateList>
      <explain>文本全半角错误。</explain>
      <paraID>7B0914CC</paraID>
      <start>2</start>
      <end>3</end>
      <status>unmodified</status>
      <modifiedWord/>
      <trackRevisions>false</trackRevisions>
    </reviewItem>
    <reviewItem>
      <errorID>3b6967c7-54ba-47e3-ae73-571caf053617</errorID>
      <errorWord>，</errorWord>
      <group>L1_Format</group>
      <groupName>格式问题</groupName>
      <ability>L2_HalfPunc_CN</ability>
      <abilityName>全半角问题</abilityName>
      <candidateList>
        <item>, </item>
      </candidateList>
      <explain>文本全半角错误。</explain>
      <paraID>6AE6C98D</paraID>
      <start>15</start>
      <end>16</end>
      <status>unmodified</status>
      <modifiedWord/>
      <trackRevisions>false</trackRevisions>
    </reviewItem>
    <reviewItem>
      <errorID>b1a71105-84f6-44c9-89f4-57cd4869e76a</errorID>
      <errorWord>，</errorWord>
      <group>L1_Format</group>
      <groupName>格式问题</groupName>
      <ability>L2_HalfPunc_CN</ability>
      <abilityName>全半角问题</abilityName>
      <candidateList>
        <item>,</item>
      </candidateList>
      <explain>文本全半角错误。</explain>
      <paraID>128459B8</paraID>
      <start>15</start>
      <end>16</end>
      <status>unmodified</status>
      <modifiedWord/>
      <trackRevisions>false</trackRevisions>
    </reviewItem>
    <reviewItem>
      <errorID>1fb0acf7-726c-4125-834a-5f7d39fdb727</errorID>
      <errorWord>，</errorWord>
      <group>L1_Format</group>
      <groupName>格式问题</groupName>
      <ability>L2_HalfPunc_CN</ability>
      <abilityName>全半角问题</abilityName>
      <candidateList>
        <item>,</item>
      </candidateList>
      <explain>文本全半角错误。</explain>
      <paraID>19AE31B0</paraID>
      <start>15</start>
      <end>16</end>
      <status>unmodified</status>
      <modifiedWord/>
      <trackRevisions>false</trackRevisions>
    </reviewItem>
    <reviewItem>
      <errorID>699a440b-6bba-44d9-ba75-b7d29f38a463</errorID>
      <errorWord>(</errorWord>
      <group>L1_Format</group>
      <groupName>格式问题</groupName>
      <ability>L2_HalfPunc_CN</ability>
      <abilityName>全半角问题</abilityName>
      <candidateList>
        <item>（</item>
      </candidateList>
      <explain>文本全半角错误。</explain>
      <paraID>71A6D277</paraID>
      <start>18</start>
      <end>19</end>
      <status>unmodified</status>
      <modifiedWord/>
      <trackRevisions>false</trackRevisions>
    </reviewItem>
    <reviewItem>
      <errorID>c9a217ab-c74d-4973-bcab-1a438162ed0f</errorID>
      <errorWord>)</errorWord>
      <group>L1_Format</group>
      <groupName>格式问题</groupName>
      <ability>L2_HalfPunc_CN</ability>
      <abilityName>全半角问题</abilityName>
      <candidateList>
        <item>）</item>
      </candidateList>
      <explain>文本全半角错误。</explain>
      <paraID>71A6D277</paraID>
      <start>20</start>
      <end>21</end>
      <status>unmodified</status>
      <modifiedWord/>
      <trackRevisions>false</trackRevisions>
    </reviewItem>
    <reviewItem>
      <errorID>b050e4e1-a89f-4a18-83b6-b8cdc706405f</errorID>
      <errorWord>，可</errorWord>
      <group>L1_Word</group>
      <groupName>字词问题</groupName>
      <ability>L2_Typo</ability>
      <abilityName>字词错误</abilityName>
      <candidateList>
        <item>，</item>
      </candidateList>
      <explain/>
      <paraID>643BEA6F</paraID>
      <start>164</start>
      <end>166</end>
      <status>unmodified</status>
      <modifiedWord/>
      <trackRevisions>false</trackRevisions>
    </reviewItem>
    <reviewItem>
      <errorID>ea4e6de9-22db-4e81-b1b1-246a12ae9478</errorID>
      <errorWord>程</errorWord>
      <group>L1_Word</group>
      <groupName>字词问题</groupName>
      <ability>L2_Typo</ability>
      <abilityName>字词错误</abilityName>
      <candidateList>
        <item>程中</item>
      </candidateList>
      <explain/>
      <paraID>477ED655</paraID>
      <start>31</start>
      <end>32</end>
      <status>unmodified</status>
      <modifiedWord/>
      <trackRevisions>false</trackRevisions>
    </reviewItem>
    <reviewItem>
      <errorID>9f3905fd-449a-46ea-ba43-c63bb7ae2234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1AA6113D</paraID>
      <start>20</start>
      <end>21</end>
      <status>unmodified</status>
      <modifiedWord/>
      <trackRevisions>false</trackRevisions>
    </reviewItem>
    <reviewItem>
      <errorID>9d003716-0dfe-40dc-8a1c-5e169791d815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22ED6BA7</paraID>
      <start>22</start>
      <end>23</end>
      <status>unmodified</status>
      <modifiedWord/>
      <trackRevisions>false</trackRevisions>
    </reviewItem>
    <reviewItem>
      <errorID>65d54182-5c02-4970-9977-49e5c5219513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F87C0C9</paraID>
      <start>17</start>
      <end>18</end>
      <status>unmodified</status>
      <modifiedWord/>
      <trackRevisions>false</trackRevisions>
    </reviewItem>
    <reviewItem>
      <errorID>e1ca1d60-4ea4-4663-a682-8400fb6cc9c3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7F02EC70</paraID>
      <start>16</start>
      <end>17</end>
      <status>unmodified</status>
      <modifiedWord/>
      <trackRevisions>false</trackRevisions>
    </reviewItem>
    <reviewItem>
      <errorID>f038e350-80c6-4205-ba05-c302040e27f4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1D65433F</paraID>
      <start>20</start>
      <end>21</end>
      <status>unmodified</status>
      <modifiedWord/>
      <trackRevisions>false</trackRevisions>
    </reviewItem>
    <reviewItem>
      <errorID>91e28f1e-5ecb-4ef5-abe0-645655e0118e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33FB1A6B</paraID>
      <start>27</start>
      <end>28</end>
      <status>unmodified</status>
      <modifiedWord/>
      <trackRevisions>false</trackRevisions>
    </reviewItem>
    <reviewItem>
      <errorID>a91810d0-f03d-476c-968f-617fa217c7a2</errorID>
      <errorWord>)</errorWord>
      <group>L1_Format</group>
      <groupName>格式问题</groupName>
      <ability>L2_HalfPunc_CN</ability>
      <abilityName>全半角问题</abilityName>
      <candidateList>
        <item>）</item>
      </candidateList>
      <explain>文本全半角错误。</explain>
      <paraID> FD1FC1A</paraID>
      <start>38</start>
      <end>39</end>
      <status>unmodified</status>
      <modifiedWord/>
      <trackRevisions>false</trackRevisions>
    </reviewItem>
    <reviewItem>
      <errorID>014cde7e-59ac-458a-8173-8c6a089eab07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26D21337</paraID>
      <start>194</start>
      <end>195</end>
      <status>unmodified</status>
      <modifiedWord/>
      <trackRevisions>false</trackRevisions>
    </reviewItem>
    <reviewItem>
      <errorID>1dd6d2a7-2610-4639-a5e7-aa7c0892a3d4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53EFD36D</paraID>
      <start>59</start>
      <end>60</end>
      <status>unmodified</status>
      <modifiedWord/>
      <trackRevisions>false</trackRevisions>
    </reviewItem>
    <reviewItem>
      <errorID>ce228227-20e7-4285-9534-d7711a1f948a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465182D8</paraID>
      <start>18</start>
      <end>19</end>
      <status>unmodified</status>
      <modifiedWord/>
      <trackRevisions>false</trackRevisions>
    </reviewItem>
    <reviewItem>
      <errorID>0876c093-9a16-4d4c-bce8-d28fface1eb5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6E7FC15E</paraID>
      <start>10</start>
      <end>11</end>
      <status>unmodified</status>
      <modifiedWord/>
      <trackRevisions>false</trackRevisions>
    </reviewItem>
    <reviewItem>
      <errorID>d48cbb2a-d26a-40e2-9e6a-6e1ac1d16837</errorID>
      <errorWord>)</errorWord>
      <group>L1_Format</group>
      <groupName>格式问题</groupName>
      <ability>L2_HalfPunc_CN</ability>
      <abilityName>全半角问题</abilityName>
      <candidateList>
        <item>）</item>
      </candidateList>
      <explain>文本全半角错误。</explain>
      <paraID>779B4313</paraID>
      <start>44</start>
      <end>45</end>
      <status>unmodified</status>
      <modifiedWord/>
      <trackRevisions>false</trackRevisions>
    </reviewItem>
    <reviewItem>
      <errorID>e17d7354-c9ee-4d49-af3e-8467de632c87</errorID>
      <errorWord>)</errorWord>
      <group>L1_Format</group>
      <groupName>格式问题</groupName>
      <ability>L2_HalfPunc_CN</ability>
      <abilityName>全半角问题</abilityName>
      <candidateList>
        <item>）</item>
      </candidateList>
      <explain>文本全半角错误。</explain>
      <paraID>779B4313</paraID>
      <start>55</start>
      <end>56</end>
      <status>unmodified</status>
      <modifiedWord/>
      <trackRevisions>false</trackRevisions>
    </reviewItem>
    <reviewItem>
      <errorID>be2f2cae-7228-40fc-a1f7-720b387127b7</errorID>
      <errorWord>)</errorWord>
      <group>L1_Format</group>
      <groupName>格式问题</groupName>
      <ability>L2_HalfPunc_CN</ability>
      <abilityName>全半角问题</abilityName>
      <candidateList>
        <item>）</item>
      </candidateList>
      <explain>文本全半角错误。</explain>
      <paraID>57CE3559</paraID>
      <start>44</start>
      <end>45</end>
      <status>unmodified</status>
      <modifiedWord/>
      <trackRevisions>false</trackRevisions>
    </reviewItem>
    <reviewItem>
      <errorID>38a8d242-fcb4-4320-944a-0bdf26285ee1</errorID>
      <errorWord>)</errorWord>
      <group>L1_Format</group>
      <groupName>格式问题</groupName>
      <ability>L2_HalfPunc_CN</ability>
      <abilityName>全半角问题</abilityName>
      <candidateList>
        <item>）</item>
      </candidateList>
      <explain>文本全半角错误。</explain>
      <paraID>57CE3559</paraID>
      <start>55</start>
      <end>56</end>
      <status>unmodified</status>
      <modifiedWord/>
      <trackRevisions>false</trackRevisions>
    </reviewItem>
    <reviewItem>
      <errorID>0244f58f-638e-40b5-b569-c246135e93d4</errorID>
      <errorWord>)</errorWord>
      <group>L1_Format</group>
      <groupName>格式问题</groupName>
      <ability>L2_HalfPunc_CN</ability>
      <abilityName>全半角问题</abilityName>
      <candidateList>
        <item>）</item>
      </candidateList>
      <explain>文本全半角错误。</explain>
      <paraID>651181DE</paraID>
      <start>44</start>
      <end>45</end>
      <status>unmodified</status>
      <modifiedWord/>
      <trackRevisions>false</trackRevisions>
    </reviewItem>
    <reviewItem>
      <errorID>139f9acb-a325-4f3b-9099-7c7073a57aa7</errorID>
      <errorWord>)</errorWord>
      <group>L1_Format</group>
      <groupName>格式问题</groupName>
      <ability>L2_HalfPunc_CN</ability>
      <abilityName>全半角问题</abilityName>
      <candidateList>
        <item>）</item>
      </candidateList>
      <explain>文本全半角错误。</explain>
      <paraID>651181DE</paraID>
      <start>55</start>
      <end>56</end>
      <status>unmodified</status>
      <modifiedWord/>
      <trackRevisions>false</trackRevisions>
    </reviewItem>
    <reviewItem>
      <errorID>c0ef6d59-d6b8-4003-aade-01413b7b36ad</errorID>
      <errorWord>)</errorWord>
      <group>L1_Format</group>
      <groupName>格式问题</groupName>
      <ability>L2_HalfPunc_CN</ability>
      <abilityName>全半角问题</abilityName>
      <candidateList>
        <item>）</item>
      </candidateList>
      <explain>文本全半角错误。</explain>
      <paraID>4B09FBB7</paraID>
      <start>44</start>
      <end>45</end>
      <status>unmodified</status>
      <modifiedWord/>
      <trackRevisions>false</trackRevisions>
    </reviewItem>
    <reviewItem>
      <errorID>e36e0fdc-aec4-44a7-8be8-29d43f27fe4a</errorID>
      <errorWord>)</errorWord>
      <group>L1_Format</group>
      <groupName>格式问题</groupName>
      <ability>L2_HalfPunc_CN</ability>
      <abilityName>全半角问题</abilityName>
      <candidateList>
        <item>）</item>
      </candidateList>
      <explain>文本全半角错误。</explain>
      <paraID>4B09FBB7</paraID>
      <start>55</start>
      <end>56</end>
      <status>unmodified</status>
      <modifiedWord/>
      <trackRevisions>false</trackRevisions>
    </reviewItem>
    <reviewItem>
      <errorID>8868286e-e076-4c58-a982-e82b559e9c39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5886538D</paraID>
      <start>76</start>
      <end>77</end>
      <status>unmodified</status>
      <modifiedWord/>
      <trackRevisions>false</trackRevisions>
    </reviewItem>
    <reviewItem>
      <errorID>74aa5403-2975-4f2b-a546-b52b16dc2e32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2FCFF979</paraID>
      <start>0</start>
      <end>1</end>
      <status>unmodified</status>
      <modifiedWord/>
      <trackRevisions>false</trackRevisions>
    </reviewItem>
    <reviewItem>
      <errorID>e3b5d5f8-a519-4504-9120-953b72c03b32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1EA8C34C</paraID>
      <start>0</start>
      <end>1</end>
      <status>unmodified</status>
      <modifiedWord/>
      <trackRevisions>false</trackRevisions>
    </reviewItem>
    <reviewItem>
      <errorID>a281f321-2d8a-4487-85e7-1dc78bce59b2</errorID>
      <errorWord>要求</errorWord>
      <group>L1_Word</group>
      <groupName>字词问题</groupName>
      <ability>L2_Typo</ability>
      <abilityName>字词错误</abilityName>
      <candidateList>
        <item>要</item>
      </candidateList>
      <explain/>
      <paraID>75E5E243</paraID>
      <start>3</start>
      <end>5</end>
      <status>unmodified</status>
      <modifiedWord/>
      <trackRevisions>false</trackRevisions>
    </reviewItem>
    <reviewItem>
      <errorID>4f5ce2c6-626d-4473-9d7d-4c74ef7f8a54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151BD52A</paraID>
      <start>6</start>
      <end>7</end>
      <status>unmodified</status>
      <modifiedWord/>
      <trackRevisions>false</trackRevisions>
    </reviewItem>
    <reviewItem>
      <errorID>eed78de3-fabb-487a-b938-e6d9729d5556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151BD52A</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a8c93c-7e5a-49f9-8182-eaa9c3196d26}">
  <ds:schemaRefs/>
</ds:datastoreItem>
</file>

<file path=docProps/app.xml><?xml version="1.0" encoding="utf-8"?>
<Properties xmlns="http://schemas.openxmlformats.org/officeDocument/2006/extended-properties" xmlns:vt="http://schemas.openxmlformats.org/officeDocument/2006/docPropsVTypes">
  <Template>Normal</Template>
  <Pages>93</Pages>
  <Words>21336</Words>
  <Characters>23220</Characters>
  <Lines>351</Lines>
  <Paragraphs>99</Paragraphs>
  <TotalTime>6</TotalTime>
  <ScaleCrop>false</ScaleCrop>
  <LinksUpToDate>false</LinksUpToDate>
  <CharactersWithSpaces>23431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2025-09-15T19:27:00Z</dcterms:created>
  <dc:creator>Michael Miles.</dc:creator>
  <cp:lastModifiedBy>Michael Miles.</cp:lastModifiedBy>
  <dcterms:modified xsi:type="dcterms:W3CDTF">2026-09-28T10:54:35Z</dcterms:modified>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1E51388AE57D42E7AE28F013DBE5363D_13</vt:lpwstr>
  </property>
  <property fmtid="{D5CDD505-2E9C-101B-9397-08002B2CF9AE}" pid="4" name="KSOTemplateDocerSaveRecord">
    <vt:lpwstr>eyJoZGlkIjoiMTdkYTA2ZWRhZGI1NDBiMDk4NWQ4YzlkYzgwZGM4YmIiLCJ1c2VySWQiOiI0MzM5ODQ2NTUifQ==</vt:lpwstr>
  </property>
</Properties>
</file>